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53.jpeg" ContentType="image/jpeg"/>
  <Override PartName="/word/media/image252.jpeg" ContentType="image/jpeg"/>
  <Override PartName="/word/media/image251.jpeg" ContentType="image/jpeg"/>
  <Override PartName="/word/media/image250.jpeg" ContentType="image/jpeg"/>
  <Override PartName="/word/media/image249.jpeg" ContentType="image/jpeg"/>
  <Override PartName="/word/media/image248.jpeg" ContentType="image/jpeg"/>
  <Override PartName="/word/media/image247.jpeg" ContentType="image/jpeg"/>
  <Override PartName="/word/media/image246.jpeg" ContentType="image/jpeg"/>
  <Override PartName="/word/media/image245.jpeg" ContentType="image/jpeg"/>
  <Override PartName="/word/media/image239.jpeg" ContentType="image/jpeg"/>
  <Override PartName="/word/media/image244.jpeg" ContentType="image/jpeg"/>
  <Override PartName="/word/media/image238.jpeg" ContentType="image/jpeg"/>
  <Override PartName="/word/media/image243.jpeg" ContentType="image/jpeg"/>
  <Override PartName="/word/media/image237.jpeg" ContentType="image/jpeg"/>
  <Override PartName="/word/media/image242.jpeg" ContentType="image/jpeg"/>
  <Override PartName="/word/media/image236.jpeg" ContentType="image/jpeg"/>
  <Override PartName="/word/media/image241.jpeg" ContentType="image/jpeg"/>
  <Override PartName="/word/media/image235.jpeg" ContentType="image/jpeg"/>
  <Override PartName="/word/media/image240.jpeg" ContentType="image/jpeg"/>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45.jpeg" ContentType="image/jpeg"/>
  <Override PartName="/word/media/image51.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180.jpeg" ContentType="image/jpeg"/>
  <Override PartName="/word/media/image181.jpeg" ContentType="image/jpeg"/>
  <Override PartName="/word/media/image182.jpeg" ContentType="image/jpeg"/>
  <Override PartName="/word/media/image183.jpeg" ContentType="image/jpeg"/>
  <Override PartName="/word/media/image184.jpeg" ContentType="image/jpeg"/>
  <Override PartName="/word/media/image190.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390557ddef14a.htm"/>
        <w:bookmarkStart w:id="1" w:name="ksd390557ddef14a"/>
        <w:bookmarkEnd w:id="0"/>
        <w:bookmarkEnd w:id="1"/>
        <w:r>
          <w:rPr>
            <w:rStyle w:val="InternetLink"/>
          </w:rPr>
          <w:t>Table of Contents</w:t>
        </w:r>
      </w:hyperlink>
    </w:p>
    <w:p>
      <w:pPr>
        <w:pStyle w:val="TextBody"/>
        <w:spacing w:before="0" w:after="0"/>
        <w:jc w:val="center"/>
        <w:rPr>
          <w:rFonts w:ascii="ARIAL" w:hAnsi="ARIAL"/>
          <w:b/>
          <w:sz w:val="18"/>
        </w:rPr>
      </w:pPr>
      <w:r>
        <w:rPr>
          <w:rFonts w:ascii="ARIAL" w:hAnsi="ARIAL"/>
          <w:b/>
          <w:sz w:val="18"/>
        </w:rPr>
        <w:t xml:space="preserve">SCHEDULE 14A </w:t>
      </w:r>
    </w:p>
    <w:p>
      <w:pPr>
        <w:pStyle w:val="TextBody"/>
        <w:spacing w:before="0" w:after="0"/>
        <w:jc w:val="center"/>
        <w:rPr>
          <w:rFonts w:ascii="ARIAL" w:hAnsi="ARIAL"/>
          <w:b/>
          <w:sz w:val="18"/>
        </w:rPr>
      </w:pPr>
      <w:r>
        <w:rPr>
          <w:rFonts w:ascii="ARIAL" w:hAnsi="ARIAL"/>
          <w:b/>
          <w:sz w:val="18"/>
        </w:rPr>
        <w:t xml:space="preserve">(Rule </w:t>
      </w:r>
    </w:p>
    <w:p>
      <w:pPr>
        <w:pStyle w:val="TextBody"/>
        <w:spacing w:before="0" w:after="0"/>
        <w:jc w:val="center"/>
        <w:rPr>
          <w:rFonts w:ascii="ARIAL" w:hAnsi="ARIAL"/>
          <w:b/>
          <w:spacing w:val="0"/>
          <w:sz w:val="18"/>
        </w:rPr>
      </w:pPr>
      <w:r>
        <w:rPr>
          <w:rFonts w:ascii="ARIAL" w:hAnsi="ARIAL"/>
          <w:b/>
          <w:spacing w:val="0"/>
          <w:sz w:val="18"/>
        </w:rPr>
        <w:t>14a-101)</w:t>
      </w:r>
    </w:p>
    <w:p>
      <w:pPr>
        <w:pStyle w:val="TextBody"/>
        <w:spacing w:before="360" w:after="0"/>
        <w:jc w:val="center"/>
        <w:rPr>
          <w:rFonts w:ascii="ARIAL" w:hAnsi="ARIAL"/>
          <w:b/>
          <w:sz w:val="18"/>
        </w:rPr>
      </w:pPr>
      <w:r>
        <w:rPr>
          <w:rFonts w:ascii="ARIAL" w:hAnsi="ARIAL"/>
          <w:b/>
          <w:sz w:val="18"/>
        </w:rPr>
        <w:t xml:space="preserve">INFORMATION REQUIRED IN PROXY STATEMENT </w:t>
      </w:r>
    </w:p>
    <w:p>
      <w:pPr>
        <w:pStyle w:val="TextBody"/>
        <w:spacing w:before="360" w:after="0"/>
        <w:jc w:val="center"/>
        <w:rPr>
          <w:rFonts w:ascii="ARIAL" w:hAnsi="ARIAL"/>
          <w:b/>
          <w:sz w:val="18"/>
        </w:rPr>
      </w:pPr>
      <w:r>
        <w:rPr>
          <w:rFonts w:ascii="ARIAL" w:hAnsi="ARIAL"/>
          <w:b/>
          <w:sz w:val="18"/>
        </w:rPr>
        <w:t xml:space="preserve">SCHEDULE 14A INFORMATION </w:t>
      </w:r>
    </w:p>
    <w:p>
      <w:pPr>
        <w:pStyle w:val="TextBody"/>
        <w:spacing w:before="0" w:after="0"/>
        <w:jc w:val="center"/>
        <w:rPr>
          <w:rFonts w:ascii="ARIAL" w:hAnsi="ARIAL"/>
          <w:b/>
          <w:sz w:val="18"/>
        </w:rPr>
      </w:pPr>
      <w:r>
        <w:rPr>
          <w:rFonts w:ascii="ARIAL" w:hAnsi="ARIAL"/>
          <w:b/>
          <w:sz w:val="18"/>
        </w:rPr>
        <w:t xml:space="preserve">Proxy Statement Pursuant to Section 14(a) of the Securities </w:t>
      </w:r>
    </w:p>
    <w:p>
      <w:pPr>
        <w:pStyle w:val="TextBody"/>
        <w:spacing w:before="0" w:after="0"/>
        <w:jc w:val="center"/>
        <w:rPr>
          <w:rFonts w:ascii="ARIAL" w:hAnsi="ARIAL"/>
          <w:b/>
          <w:sz w:val="18"/>
        </w:rPr>
      </w:pPr>
      <w:r>
        <w:rPr>
          <w:rFonts w:ascii="ARIAL" w:hAnsi="ARIAL"/>
          <w:b/>
          <w:sz w:val="18"/>
        </w:rPr>
        <w:t xml:space="preserve">Exchange Act of 1934 (Amendment No.    ) </w:t>
      </w:r>
    </w:p>
    <w:p>
      <w:pPr>
        <w:pStyle w:val="TextBody"/>
        <w:spacing w:before="360" w:after="0"/>
        <w:jc w:val="left"/>
        <w:rPr>
          <w:rFonts w:ascii="ARIAL" w:hAnsi="ARIAL"/>
          <w:sz w:val="18"/>
        </w:rPr>
      </w:pPr>
      <w:r>
        <w:rPr>
          <w:rFonts w:ascii="ARIAL" w:hAnsi="ARIAL"/>
          <w:sz w:val="18"/>
        </w:rPr>
        <w:t>Filed by the Registrant  </w:t>
      </w:r>
    </w:p>
    <w:p>
      <w:pPr>
        <w:pStyle w:val="TextBody"/>
        <w:spacing w:before="360" w:after="0"/>
        <w:jc w:val="left"/>
        <w:rPr>
          <w:spacing w:val="0"/>
        </w:rPr>
      </w:pPr>
      <w:r>
        <w:rPr>
          <w:spacing w:val="0"/>
        </w:rPr>
        <w:t>☒</w:t>
      </w:r>
    </w:p>
    <w:p>
      <w:pPr>
        <w:pStyle w:val="TextBody"/>
        <w:spacing w:before="360" w:after="0"/>
        <w:jc w:val="left"/>
        <w:rPr/>
      </w:pPr>
      <w:r>
        <w:rPr/>
        <w:t xml:space="preserve">                 </w:t>
      </w:r>
    </w:p>
    <w:p>
      <w:pPr>
        <w:pStyle w:val="TextBody"/>
        <w:spacing w:before="360" w:after="0"/>
        <w:jc w:val="left"/>
        <w:rPr>
          <w:rFonts w:ascii="ARIAL" w:hAnsi="ARIAL"/>
          <w:sz w:val="18"/>
        </w:rPr>
      </w:pPr>
      <w:r>
        <w:rPr>
          <w:rFonts w:ascii="ARIAL" w:hAnsi="ARIAL"/>
          <w:sz w:val="18"/>
        </w:rPr>
        <w:t>Filed by a Party other than the Registrant  </w:t>
      </w:r>
    </w:p>
    <w:p>
      <w:pPr>
        <w:pStyle w:val="TextBody"/>
        <w:spacing w:before="360" w:after="0"/>
        <w:jc w:val="left"/>
        <w:rPr>
          <w:spacing w:val="0"/>
        </w:rPr>
      </w:pPr>
      <w:r>
        <w:rPr>
          <w:spacing w:val="0"/>
        </w:rPr>
        <w:t>☐</w:t>
      </w:r>
    </w:p>
    <w:p>
      <w:pPr>
        <w:pStyle w:val="TextBody"/>
        <w:spacing w:before="360" w:after="0"/>
        <w:jc w:val="left"/>
        <w:rPr>
          <w:rFonts w:ascii="ARIAL" w:hAnsi="ARIAL"/>
          <w:sz w:val="18"/>
        </w:rPr>
      </w:pPr>
      <w:r>
        <w:rPr>
          <w:rFonts w:ascii="ARIAL" w:hAnsi="ARIAL"/>
          <w:sz w:val="18"/>
        </w:rPr>
        <w:t xml:space="preserve">Check the appropriate box: </w:t>
      </w:r>
    </w:p>
    <w:p>
      <w:pPr>
        <w:pStyle w:val="TextBody"/>
        <w:spacing w:before="0" w:after="0"/>
        <w:jc w:val="left"/>
        <w:rPr/>
      </w:pPr>
      <w:r>
        <w:rPr/>
        <w:t> </w:t>
      </w:r>
    </w:p>
    <w:tbl>
      <w:tblPr>
        <w:tblW w:w="9173" w:type="dxa"/>
        <w:jc w:val="left"/>
        <w:tblInd w:w="0" w:type="dxa"/>
        <w:tblCellMar>
          <w:top w:w="0" w:type="dxa"/>
          <w:left w:w="0" w:type="dxa"/>
          <w:bottom w:w="0" w:type="dxa"/>
          <w:right w:w="0" w:type="dxa"/>
        </w:tblCellMar>
      </w:tblPr>
      <w:tblGrid>
        <w:gridCol w:w="245"/>
        <w:gridCol w:w="60"/>
        <w:gridCol w:w="2423"/>
        <w:gridCol w:w="2423"/>
        <w:gridCol w:w="4022"/>
      </w:tblGrid>
      <w:tr>
        <w:trPr/>
        <w:tc>
          <w:tcPr>
            <w:tcW w:w="2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23" w:type="dxa"/>
            <w:tcBorders/>
            <w:shd w:fill="auto" w:val="clear"/>
            <w:vAlign w:val="center"/>
          </w:tcPr>
          <w:p>
            <w:pPr>
              <w:pStyle w:val="TableContents"/>
              <w:spacing w:before="0" w:after="283"/>
              <w:rPr>
                <w:sz w:val="4"/>
                <w:szCs w:val="4"/>
              </w:rPr>
            </w:pPr>
            <w:r>
              <w:rPr>
                <w:sz w:val="4"/>
                <w:szCs w:val="4"/>
              </w:rPr>
            </w:r>
          </w:p>
        </w:tc>
        <w:tc>
          <w:tcPr>
            <w:tcW w:w="2423" w:type="dxa"/>
            <w:tcBorders/>
            <w:shd w:fill="auto" w:val="clear"/>
            <w:vAlign w:val="center"/>
          </w:tcPr>
          <w:p>
            <w:pPr>
              <w:pStyle w:val="TableContents"/>
              <w:spacing w:before="0" w:after="283"/>
              <w:rPr>
                <w:sz w:val="4"/>
                <w:szCs w:val="4"/>
              </w:rPr>
            </w:pPr>
            <w:r>
              <w:rPr>
                <w:sz w:val="4"/>
                <w:szCs w:val="4"/>
              </w:rPr>
            </w:r>
          </w:p>
        </w:tc>
        <w:tc>
          <w:tcPr>
            <w:tcW w:w="4022"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8868" w:type="dxa"/>
            <w:gridSpan w:val="3"/>
            <w:tcBorders/>
            <w:shd w:fill="auto" w:val="clear"/>
            <w:vAlign w:val="center"/>
          </w:tcPr>
          <w:p>
            <w:pPr>
              <w:pStyle w:val="TableContents"/>
              <w:spacing w:before="0" w:after="283"/>
              <w:rPr/>
            </w:pPr>
            <w:r>
              <w:rPr/>
              <w:t>Preliminary Proxy Statement</w:t>
            </w:r>
          </w:p>
        </w:tc>
      </w:tr>
      <w:tr>
        <w:trPr/>
        <w:tc>
          <w:tcPr>
            <w:tcW w:w="245" w:type="dxa"/>
            <w:tcBorders/>
            <w:shd w:fill="auto" w:val="clear"/>
            <w:vAlign w:val="center"/>
          </w:tcPr>
          <w:p>
            <w:pPr>
              <w:pStyle w:val="TableContents"/>
              <w:spacing w:before="0" w:after="283"/>
              <w:rPr>
                <w:sz w:val="4"/>
                <w:szCs w:val="4"/>
              </w:rPr>
            </w:pPr>
            <w:r>
              <w:rPr>
                <w:sz w:val="4"/>
                <w:szCs w:val="4"/>
              </w:rPr>
            </w:r>
          </w:p>
        </w:tc>
        <w:tc>
          <w:tcPr>
            <w:tcW w:w="8928"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8868" w:type="dxa"/>
            <w:gridSpan w:val="3"/>
            <w:tcBorders/>
            <w:shd w:fill="auto" w:val="clear"/>
            <w:vAlign w:val="center"/>
          </w:tcPr>
          <w:p>
            <w:pPr>
              <w:pStyle w:val="TableContents"/>
              <w:spacing w:before="0" w:after="0"/>
              <w:rPr>
                <w:b/>
                <w:spacing w:val="0"/>
              </w:rPr>
            </w:pPr>
            <w:r>
              <w:rPr>
                <w:b/>
                <w:spacing w:val="0"/>
              </w:rPr>
              <w:t xml:space="preserve">Confidential, for Use of the Commission Only (as permitted by Rule </w:t>
            </w:r>
          </w:p>
          <w:p>
            <w:pPr>
              <w:pStyle w:val="TableContents"/>
              <w:spacing w:before="0" w:after="0"/>
              <w:rPr>
                <w:b/>
                <w:spacing w:val="0"/>
              </w:rPr>
            </w:pPr>
            <w:r>
              <w:rPr>
                <w:b/>
                <w:spacing w:val="0"/>
              </w:rPr>
              <w:t>14a-6(e)(2))</w:t>
            </w:r>
          </w:p>
        </w:tc>
      </w:tr>
      <w:tr>
        <w:trPr/>
        <w:tc>
          <w:tcPr>
            <w:tcW w:w="245" w:type="dxa"/>
            <w:tcBorders/>
            <w:shd w:fill="auto" w:val="clear"/>
            <w:vAlign w:val="center"/>
          </w:tcPr>
          <w:p>
            <w:pPr>
              <w:pStyle w:val="TableContents"/>
              <w:spacing w:before="0" w:after="283"/>
              <w:rPr>
                <w:sz w:val="4"/>
                <w:szCs w:val="4"/>
              </w:rPr>
            </w:pPr>
            <w:r>
              <w:rPr>
                <w:sz w:val="4"/>
                <w:szCs w:val="4"/>
              </w:rPr>
            </w:r>
          </w:p>
        </w:tc>
        <w:tc>
          <w:tcPr>
            <w:tcW w:w="8928"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8868" w:type="dxa"/>
            <w:gridSpan w:val="3"/>
            <w:tcBorders/>
            <w:shd w:fill="auto" w:val="clear"/>
            <w:vAlign w:val="center"/>
          </w:tcPr>
          <w:p>
            <w:pPr>
              <w:pStyle w:val="TableContents"/>
              <w:spacing w:before="0" w:after="283"/>
              <w:rPr/>
            </w:pPr>
            <w:r>
              <w:rPr/>
              <w:t>Definitive Proxy Statement</w:t>
            </w:r>
          </w:p>
        </w:tc>
      </w:tr>
      <w:tr>
        <w:trPr/>
        <w:tc>
          <w:tcPr>
            <w:tcW w:w="245" w:type="dxa"/>
            <w:tcBorders/>
            <w:shd w:fill="auto" w:val="clear"/>
            <w:vAlign w:val="center"/>
          </w:tcPr>
          <w:p>
            <w:pPr>
              <w:pStyle w:val="TableContents"/>
              <w:spacing w:before="0" w:after="283"/>
              <w:rPr>
                <w:sz w:val="4"/>
                <w:szCs w:val="4"/>
              </w:rPr>
            </w:pPr>
            <w:r>
              <w:rPr>
                <w:sz w:val="4"/>
                <w:szCs w:val="4"/>
              </w:rPr>
            </w:r>
          </w:p>
        </w:tc>
        <w:tc>
          <w:tcPr>
            <w:tcW w:w="8928"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8868" w:type="dxa"/>
            <w:gridSpan w:val="3"/>
            <w:tcBorders/>
            <w:shd w:fill="auto" w:val="clear"/>
            <w:vAlign w:val="center"/>
          </w:tcPr>
          <w:p>
            <w:pPr>
              <w:pStyle w:val="TableContents"/>
              <w:spacing w:before="0" w:after="283"/>
              <w:rPr/>
            </w:pPr>
            <w:r>
              <w:rPr/>
              <w:t>Definitive Additional Materials</w:t>
            </w:r>
          </w:p>
        </w:tc>
      </w:tr>
      <w:tr>
        <w:trPr/>
        <w:tc>
          <w:tcPr>
            <w:tcW w:w="245" w:type="dxa"/>
            <w:tcBorders/>
            <w:shd w:fill="auto" w:val="clear"/>
            <w:vAlign w:val="center"/>
          </w:tcPr>
          <w:p>
            <w:pPr>
              <w:pStyle w:val="TableContents"/>
              <w:spacing w:before="0" w:after="283"/>
              <w:rPr>
                <w:sz w:val="4"/>
                <w:szCs w:val="4"/>
              </w:rPr>
            </w:pPr>
            <w:r>
              <w:rPr>
                <w:sz w:val="4"/>
                <w:szCs w:val="4"/>
              </w:rPr>
            </w:r>
          </w:p>
        </w:tc>
        <w:tc>
          <w:tcPr>
            <w:tcW w:w="8928"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8868" w:type="dxa"/>
            <w:gridSpan w:val="3"/>
            <w:tcBorders/>
            <w:shd w:fill="auto" w:val="clear"/>
            <w:vAlign w:val="center"/>
          </w:tcPr>
          <w:p>
            <w:pPr>
              <w:pStyle w:val="TableContents"/>
              <w:spacing w:before="0" w:after="283"/>
              <w:rPr/>
            </w:pPr>
            <w:r>
              <w:rPr/>
              <w:t>Soliciting Material under §240.14a-12</w:t>
            </w:r>
          </w:p>
        </w:tc>
      </w:tr>
      <w:tr>
        <w:trPr/>
        <w:tc>
          <w:tcPr>
            <w:tcW w:w="9173" w:type="dxa"/>
            <w:gridSpan w:val="5"/>
            <w:tcBorders/>
            <w:shd w:fill="auto" w:val="clear"/>
            <w:vAlign w:val="center"/>
          </w:tcPr>
          <w:p>
            <w:pPr>
              <w:pStyle w:val="TableContents"/>
              <w:spacing w:before="0" w:after="0"/>
              <w:rPr/>
            </w:pPr>
            <w:r>
              <w:rPr/>
              <w:t> </w:t>
            </w:r>
          </w:p>
          <w:p>
            <w:pPr>
              <w:pStyle w:val="TableContents"/>
              <w:spacing w:before="0" w:after="0"/>
              <w:jc w:val="center"/>
              <w:rPr>
                <w:rFonts w:ascii="ARIAL" w:hAnsi="ARIAL"/>
                <w:b/>
                <w:sz w:val="18"/>
                <w:bdr w:val="single" w:sz="2" w:space="1" w:color="000000"/>
              </w:rPr>
            </w:pPr>
            <w:r>
              <w:rPr>
                <w:rFonts w:ascii="ARIAL" w:hAnsi="ARIAL"/>
                <w:b/>
                <w:sz w:val="18"/>
                <w:bdr w:val="single" w:sz="2" w:space="1" w:color="000000"/>
              </w:rPr>
              <w:t>Martin Marietta Materials, Inc.</w:t>
            </w:r>
          </w:p>
          <w:p>
            <w:pPr>
              <w:pStyle w:val="TableContents"/>
              <w:spacing w:before="0" w:after="0"/>
              <w:jc w:val="center"/>
              <w:rPr>
                <w:rFonts w:ascii="ARIAL" w:hAnsi="ARIAL"/>
                <w:sz w:val="15"/>
              </w:rPr>
            </w:pPr>
            <w:r>
              <w:rPr>
                <w:rFonts w:ascii="ARIAL" w:hAnsi="ARIAL"/>
                <w:sz w:val="15"/>
              </w:rPr>
              <w:t>(Name of Registrant as Specified In Its Charter)</w:t>
            </w:r>
          </w:p>
          <w:p>
            <w:pPr>
              <w:pStyle w:val="TableContents"/>
              <w:spacing w:before="0" w:after="0"/>
              <w:jc w:val="left"/>
              <w:rPr/>
            </w:pPr>
            <w:r>
              <w:rPr/>
              <w:t> </w:t>
            </w:r>
          </w:p>
          <w:p>
            <w:pPr>
              <w:pStyle w:val="TableContents"/>
              <w:spacing w:before="0" w:after="0"/>
              <w:jc w:val="center"/>
              <w:rPr>
                <w:bdr w:val="single" w:sz="2" w:space="1" w:color="000000"/>
              </w:rPr>
            </w:pPr>
            <w:r>
              <w:rPr>
                <w:bdr w:val="single" w:sz="2" w:space="1" w:color="000000"/>
              </w:rPr>
              <w:t> </w:t>
            </w:r>
          </w:p>
          <w:p>
            <w:pPr>
              <w:pStyle w:val="TableContents"/>
              <w:spacing w:before="0" w:after="0"/>
              <w:jc w:val="center"/>
              <w:rPr>
                <w:rFonts w:ascii="ARIAL" w:hAnsi="ARIAL"/>
                <w:sz w:val="15"/>
              </w:rPr>
            </w:pPr>
            <w:r>
              <w:rPr>
                <w:rFonts w:ascii="ARIAL" w:hAnsi="ARIAL"/>
                <w:sz w:val="15"/>
              </w:rPr>
              <w:t>(Name of Person(s) Filing Proxy Statement, if other than the Registrant)</w:t>
            </w:r>
          </w:p>
          <w:p>
            <w:pPr>
              <w:pStyle w:val="TableContents"/>
              <w:spacing w:before="0" w:after="20"/>
              <w:jc w:val="left"/>
              <w:rPr/>
            </w:pPr>
            <w:r>
              <w:rPr/>
              <w:t> </w:t>
            </w:r>
          </w:p>
        </w:tc>
      </w:tr>
      <w:tr>
        <w:trPr/>
        <w:tc>
          <w:tcPr>
            <w:tcW w:w="9173" w:type="dxa"/>
            <w:gridSpan w:val="5"/>
            <w:tcBorders/>
            <w:shd w:fill="auto" w:val="clear"/>
            <w:vAlign w:val="center"/>
          </w:tcPr>
          <w:p>
            <w:pPr>
              <w:pStyle w:val="TableContents"/>
              <w:spacing w:before="0" w:after="0"/>
              <w:rPr>
                <w:rFonts w:ascii="ARIAL" w:hAnsi="ARIAL"/>
                <w:sz w:val="20"/>
              </w:rPr>
            </w:pPr>
            <w:r>
              <w:rPr>
                <w:rFonts w:ascii="ARIAL" w:hAnsi="ARIAL"/>
                <w:sz w:val="20"/>
              </w:rPr>
              <w:t>Payment of Filing Fee (Check all boxes that apply):</w:t>
            </w:r>
          </w:p>
          <w:p>
            <w:pPr>
              <w:pStyle w:val="TableContents"/>
              <w:spacing w:before="0" w:after="20"/>
              <w:rPr/>
            </w:pPr>
            <w:r>
              <w:rPr/>
              <w:t> </w:t>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8868" w:type="dxa"/>
            <w:gridSpan w:val="3"/>
            <w:tcBorders/>
            <w:shd w:fill="auto" w:val="clear"/>
            <w:vAlign w:val="center"/>
          </w:tcPr>
          <w:p>
            <w:pPr>
              <w:pStyle w:val="TableContents"/>
              <w:spacing w:before="0" w:after="0"/>
              <w:rPr>
                <w:rFonts w:ascii="ARIAL" w:hAnsi="ARIAL"/>
                <w:sz w:val="20"/>
              </w:rPr>
            </w:pPr>
            <w:r>
              <w:rPr>
                <w:rFonts w:ascii="ARIAL" w:hAnsi="ARIAL"/>
                <w:sz w:val="20"/>
              </w:rPr>
              <w:t>No fee required.</w:t>
            </w:r>
          </w:p>
          <w:p>
            <w:pPr>
              <w:pStyle w:val="TableContents"/>
              <w:spacing w:before="0" w:after="20"/>
              <w:rPr/>
            </w:pPr>
            <w:r>
              <w:rPr/>
              <w:t> </w:t>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8868" w:type="dxa"/>
            <w:gridSpan w:val="3"/>
            <w:tcBorders/>
            <w:shd w:fill="auto" w:val="clear"/>
            <w:vAlign w:val="center"/>
          </w:tcPr>
          <w:p>
            <w:pPr>
              <w:pStyle w:val="TableContents"/>
              <w:spacing w:before="0" w:after="0"/>
              <w:rPr>
                <w:rFonts w:ascii="ARIAL" w:hAnsi="ARIAL"/>
                <w:sz w:val="20"/>
              </w:rPr>
            </w:pPr>
            <w:r>
              <w:rPr>
                <w:rFonts w:ascii="ARIAL" w:hAnsi="ARIAL"/>
                <w:sz w:val="20"/>
              </w:rPr>
              <w:t>Fee paid previously with preliminary materials.</w:t>
            </w:r>
          </w:p>
          <w:p>
            <w:pPr>
              <w:pStyle w:val="TableContents"/>
              <w:spacing w:before="0" w:after="20"/>
              <w:rPr/>
            </w:pPr>
            <w:r>
              <w:rPr/>
              <w:t> </w:t>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8868" w:type="dxa"/>
            <w:gridSpan w:val="3"/>
            <w:tcBorders/>
            <w:shd w:fill="auto" w:val="clear"/>
            <w:vAlign w:val="center"/>
          </w:tcPr>
          <w:p>
            <w:pPr>
              <w:pStyle w:val="TableContents"/>
              <w:spacing w:before="0" w:after="0"/>
              <w:rPr>
                <w:rFonts w:ascii="ARIAL" w:hAnsi="ARIAL"/>
                <w:sz w:val="20"/>
              </w:rPr>
            </w:pPr>
            <w:r>
              <w:rPr>
                <w:rFonts w:ascii="ARIAL" w:hAnsi="ARIAL"/>
                <w:sz w:val="20"/>
              </w:rPr>
              <w:t>Fee computed on table in exhibit required by Item 25(b) per Exchange Act Rules 14a-(6)(i)(1) and 0-11</w:t>
            </w:r>
          </w:p>
          <w:p>
            <w:pPr>
              <w:pStyle w:val="TableContents"/>
              <w:spacing w:before="0" w:after="20"/>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7115175"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15175" cy="9144000"/>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2023 Annual Meeting of Shareholders Proxy Statement Martin Marietta ANNUAL MEETING OF SHAREHOLDERS | PROXY STATEMENT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tbl>
      <w:tblPr>
        <w:tblW w:w="1904" w:type="dxa"/>
        <w:jc w:val="left"/>
        <w:tblInd w:w="0" w:type="dxa"/>
        <w:tblCellMar>
          <w:top w:w="0" w:type="dxa"/>
          <w:left w:w="0" w:type="dxa"/>
          <w:bottom w:w="0" w:type="dxa"/>
          <w:right w:w="0" w:type="dxa"/>
        </w:tblCellMar>
      </w:tblPr>
      <w:tblGrid>
        <w:gridCol w:w="271"/>
        <w:gridCol w:w="120"/>
        <w:gridCol w:w="1415"/>
        <w:gridCol w:w="60"/>
        <w:gridCol w:w="38"/>
      </w:tblGrid>
      <w:tr>
        <w:trPr/>
        <w:tc>
          <w:tcPr>
            <w:tcW w:w="2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vAlign w:val="center"/>
          </w:tcPr>
          <w:p>
            <w:pPr>
              <w:pStyle w:val="TableContents"/>
              <w:spacing w:before="0" w:after="283"/>
              <w:rPr/>
            </w:pPr>
            <w:r>
              <w:rPr/>
              <w:drawing>
                <wp:inline distT="0" distB="0" distL="0" distR="0">
                  <wp:extent cx="124460" cy="361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4460" cy="3619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415" w:type="dxa"/>
            <w:tcBorders/>
            <w:shd w:fill="auto" w:val="clear"/>
            <w:vAlign w:val="center"/>
          </w:tcPr>
          <w:p>
            <w:pPr>
              <w:pStyle w:val="TableContents"/>
              <w:spacing w:before="0" w:after="283"/>
              <w:jc w:val="right"/>
              <w:rPr/>
            </w:pPr>
            <w:r>
              <w:rPr/>
              <w:t>April 13, 2023</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240" w:after="0"/>
        <w:jc w:val="left"/>
        <w:rPr>
          <w:rFonts w:ascii="ARIAL" w:hAnsi="ARIAL"/>
          <w:b/>
          <w:color w:val="71BE9A"/>
          <w:sz w:val="26"/>
        </w:rPr>
      </w:pPr>
      <w:r>
        <w:rPr>
          <w:rFonts w:ascii="ARIAL" w:hAnsi="ARIAL"/>
          <w:b/>
          <w:color w:val="71BE9A"/>
          <w:sz w:val="26"/>
        </w:rPr>
        <w:t xml:space="preserve">Dear Shareholders: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923"/>
        <w:gridCol w:w="60"/>
        <w:gridCol w:w="222"/>
      </w:tblGrid>
      <w:tr>
        <w:trPr/>
        <w:tc>
          <w:tcPr>
            <w:tcW w:w="99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9923" w:type="dxa"/>
            <w:tcBorders/>
            <w:shd w:fill="auto" w:val="clear"/>
            <w:vAlign w:val="center"/>
          </w:tcPr>
          <w:p>
            <w:pPr>
              <w:pStyle w:val="TableContents"/>
              <w:spacing w:before="0" w:after="0"/>
              <w:rPr>
                <w:rFonts w:ascii="ARIAL" w:hAnsi="ARIAL"/>
                <w:sz w:val="20"/>
              </w:rPr>
            </w:pPr>
            <w:r>
              <w:rPr>
                <w:rFonts w:ascii="ARIAL" w:hAnsi="ARIAL"/>
                <w:sz w:val="20"/>
              </w:rPr>
              <w:t>It is my pleasure to invite you to attend Martin Marietta’s 2023 Annual Meeting of Shareholders on Thursday, May 11, 2023. This document provides some of the highlights of our key actions and important decisions in 2022, as well as information about our financial and other performance. Please review this Proxy Statement and the 2022 Annual Report for more information about these topics.</w:t>
            </w:r>
          </w:p>
          <w:p>
            <w:pPr>
              <w:pStyle w:val="TableContents"/>
              <w:spacing w:before="0" w:after="0"/>
              <w:rPr/>
            </w:pPr>
            <w:r>
              <w:rPr/>
              <w:t> </w:t>
            </w:r>
          </w:p>
          <w:p>
            <w:pPr>
              <w:pStyle w:val="TableContents"/>
              <w:spacing w:before="0" w:after="0"/>
              <w:rPr>
                <w:rFonts w:ascii="ARIAL" w:hAnsi="ARIAL"/>
                <w:b/>
                <w:color w:val="71BE9A"/>
                <w:sz w:val="22"/>
              </w:rPr>
            </w:pPr>
            <w:r>
              <w:rPr>
                <w:rFonts w:ascii="ARIAL" w:hAnsi="ARIAL"/>
                <w:b/>
                <w:color w:val="71BE9A"/>
                <w:sz w:val="22"/>
              </w:rPr>
              <w:t>Record 2022 Financial Performance</w:t>
            </w:r>
          </w:p>
          <w:p>
            <w:pPr>
              <w:pStyle w:val="TableContents"/>
              <w:spacing w:before="0" w:after="0"/>
              <w:rPr/>
            </w:pPr>
            <w:r>
              <w:rPr/>
              <w:t> </w:t>
            </w:r>
          </w:p>
          <w:p>
            <w:pPr>
              <w:pStyle w:val="TableContents"/>
              <w:spacing w:before="0" w:after="20"/>
              <w:rPr>
                <w:rFonts w:ascii="ARIAL" w:hAnsi="ARIAL"/>
                <w:sz w:val="20"/>
              </w:rPr>
            </w:pPr>
            <w:r>
              <w:rPr>
                <w:rFonts w:ascii="ARIAL" w:hAnsi="ARIAL"/>
                <w:sz w:val="20"/>
              </w:rPr>
              <w:t>In 2022 Martin Marietta delivered another year of strong financial results marking eleven years of consecutive growth for consolidated products and services revenues, gross profit and Adjusted EBITDA. We achieved product and services revenues from continuing operations of $5.7 billion, up 13% from $5.1 billion in 2021. We increased our dividend 8% in August 2022 (following a 7% increase in 2021) and during the year returned $309 million to shareholders through a combination of meaningful and sustainable dividends and share repurchases. Our five-year Total Shareholder Return (TSR) is 59% and ten-year TSR is 295%. These significant accomplishments demonstrate the continued success of our deliberate strategic planning process, our team’s outstanding operational execution, and the long-term resiliency and earnings power of our aggregates-led business.</w:t>
            </w:r>
          </w:p>
        </w:tc>
        <w:tc>
          <w:tcPr>
            <w:tcW w:w="60"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jc w:val="right"/>
              <w:rPr/>
            </w:pPr>
            <w:r>
              <w:rPr/>
              <w:drawing>
                <wp:inline distT="0" distB="0" distL="0" distR="0">
                  <wp:extent cx="127000" cy="1911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7000" cy="191135"/>
                          </a:xfrm>
                          <a:prstGeom prst="rect">
                            <a:avLst/>
                          </a:prstGeom>
                        </pic:spPr>
                      </pic:pic>
                    </a:graphicData>
                  </a:graphic>
                </wp:inline>
              </w:drawing>
            </w:r>
            <w:r>
              <w:rPr/>
              <w:t xml:space="preserve"> </w:t>
            </w:r>
          </w:p>
        </w:tc>
      </w:tr>
    </w:tbl>
    <w:p>
      <w:pPr>
        <w:pStyle w:val="TextBody"/>
        <w:spacing w:before="200" w:after="0"/>
        <w:jc w:val="left"/>
        <w:rPr>
          <w:rFonts w:ascii="ARIAL" w:hAnsi="ARIAL"/>
          <w:b/>
          <w:color w:val="71BE9A"/>
          <w:sz w:val="22"/>
        </w:rPr>
      </w:pPr>
      <w:r>
        <w:rPr>
          <w:rFonts w:ascii="ARIAL" w:hAnsi="ARIAL"/>
          <w:b/>
          <w:color w:val="71BE9A"/>
          <w:sz w:val="22"/>
        </w:rPr>
        <w:t xml:space="preserve">Important Investments for Long-Term Success </w:t>
      </w:r>
    </w:p>
    <w:p>
      <w:pPr>
        <w:pStyle w:val="TextBody"/>
        <w:spacing w:before="120" w:after="0"/>
        <w:jc w:val="left"/>
        <w:rPr>
          <w:rFonts w:ascii="ARIAL" w:hAnsi="ARIAL"/>
          <w:sz w:val="20"/>
        </w:rPr>
      </w:pPr>
      <w:r>
        <w:rPr>
          <w:rFonts w:ascii="ARIAL" w:hAnsi="ARIAL"/>
          <w:sz w:val="20"/>
        </w:rPr>
        <w:t xml:space="preserve">Over recent years we have made tremendous progress on our Strategic Operating Analysis and Review (SOAR) 2025 initiatives. Since the launch of SOAR in 2010, the Company has invested nearly $8.0 billion in acquisitions, resulting in an enviable coast-to-coast geographic footprint in which we enjoy leading positions in many of the nation’s most attractive high-growth markets. In 2022, we also invested in our newly acquired West Coast operations with financial and management resources that improved training, safety, equipment, and financial performance. We also divested our Northern California cement facilities, our concrete operations in Southern California, Colorado and Central Texas, and entered into an agreement to divest our Southern California cement facilities. These important portfolio-shaping undertakings help position the Company for continued long-term success and are a testament to our team’s commitment to Martin Marietta’s vision and strategic priorities. </w:t>
      </w:r>
    </w:p>
    <w:p>
      <w:pPr>
        <w:pStyle w:val="TextBody"/>
        <w:spacing w:before="200" w:after="0"/>
        <w:jc w:val="left"/>
        <w:rPr>
          <w:rFonts w:ascii="ARIAL" w:hAnsi="ARIAL"/>
          <w:b/>
          <w:color w:val="71BE9A"/>
          <w:sz w:val="22"/>
        </w:rPr>
      </w:pPr>
      <w:r>
        <w:rPr>
          <w:rFonts w:ascii="ARIAL" w:hAnsi="ARIAL"/>
          <w:b/>
          <w:color w:val="71BE9A"/>
          <w:sz w:val="22"/>
        </w:rPr>
        <w:t xml:space="preserve">Environmental, Social and Governance Priorities </w:t>
      </w:r>
    </w:p>
    <w:p>
      <w:pPr>
        <w:pStyle w:val="TextBody"/>
        <w:spacing w:before="120" w:after="0"/>
        <w:jc w:val="left"/>
        <w:rPr>
          <w:rFonts w:ascii="ARIAL" w:hAnsi="ARIAL"/>
          <w:sz w:val="20"/>
        </w:rPr>
      </w:pPr>
      <w:r>
        <w:rPr>
          <w:rFonts w:ascii="ARIAL" w:hAnsi="ARIAL"/>
          <w:sz w:val="20"/>
        </w:rPr>
        <w:t xml:space="preserve">We continued our relentless focus on world-class safety performance, delivering a company-wide Total Injury Incident Rate (TIIR) of 0.78 in 2022, exceeding the world-class rate of 0.90 for the second consecutive year. Moreover, our fidelity to our Guardian Angel culture meant that 99.8% of our over 9,000 employees experienced ZERO lost-time incidents. Our safety performance sets the foundation for our long-term financial strength and successful SOAR execution. Martin Marietta’s goal is ZERO incidents. </w:t>
      </w:r>
    </w:p>
    <w:p>
      <w:pPr>
        <w:pStyle w:val="TextBody"/>
        <w:spacing w:before="200" w:after="0"/>
        <w:jc w:val="left"/>
        <w:rPr>
          <w:rFonts w:ascii="ARIAL" w:hAnsi="ARIAL"/>
          <w:sz w:val="20"/>
        </w:rPr>
      </w:pPr>
      <w:r>
        <w:rPr>
          <w:rFonts w:ascii="ARIAL" w:hAnsi="ARIAL"/>
          <w:sz w:val="20"/>
        </w:rPr>
        <w:t xml:space="preserve">Our stakeholders are increasingly focused on environmental, social, and governance (ESG) matters. We recognize the importance of building a resilient and sustainable company; our management’s engagement and the Board of Director’s oversight of our sustainability efforts are focused on transparency, responsiveness and vision. Our senior management team and I engage personally and continuously with our stakeholders to listen carefully and share thoughts regarding ESG; the important feedback we receive on these issues helps inform our policies, practices and disclosures. Among other things, since 2022: </w:t>
      </w:r>
    </w:p>
    <w:p>
      <w:pPr>
        <w:pStyle w:val="TextBody"/>
        <w:spacing w:before="0" w:after="0"/>
        <w:jc w:val="left"/>
        <w:rPr/>
      </w:pPr>
      <w:r>
        <w:rPr/>
        <w:t> </w:t>
      </w:r>
    </w:p>
    <w:tbl>
      <w:tblPr>
        <w:tblW w:w="9235" w:type="dxa"/>
        <w:jc w:val="left"/>
        <w:tblInd w:w="0" w:type="dxa"/>
        <w:tblCellMar>
          <w:top w:w="0" w:type="dxa"/>
          <w:left w:w="0" w:type="dxa"/>
          <w:bottom w:w="0" w:type="dxa"/>
          <w:right w:w="0" w:type="dxa"/>
        </w:tblCellMar>
      </w:tblPr>
      <w:tblGrid>
        <w:gridCol w:w="125"/>
        <w:gridCol w:w="60"/>
        <w:gridCol w:w="905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enhanced transparency of our diversity and inclusion progress by publishing our EEO-1 report data.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joined the CEO Pledge for Diversity &amp; Inclusion supporting a trusting environment where all ideas are welcomed and employees comfortable and empowered to have discussions about diversity and inclusion.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launched a dedicated section on our Company’s website highlighting Inclusion, Engagement and Diversity at Martin Marietta and elevated the Head of Inclusion and Engagement to a vice president level position. Our Head of Inclusion and Engagement implements programs and training and advances a culture in furtherance of development, retention and engagement of our employees. </w:t>
            </w:r>
          </w:p>
        </w:tc>
      </w:tr>
    </w:tbl>
    <w:p>
      <w:pPr>
        <w:pStyle w:val="TextBody"/>
        <w:spacing w:before="0" w:after="0"/>
        <w:jc w:val="left"/>
        <w:rPr/>
      </w:pPr>
      <w:r>
        <w:rPr/>
        <w:t> </w:t>
      </w:r>
    </w:p>
    <w:tbl>
      <w:tblPr>
        <w:tblW w:w="328" w:type="dxa"/>
        <w:jc w:val="left"/>
        <w:tblInd w:w="0" w:type="dxa"/>
        <w:tblCellMar>
          <w:top w:w="0" w:type="dxa"/>
          <w:left w:w="0" w:type="dxa"/>
          <w:bottom w:w="0" w:type="dxa"/>
          <w:right w:w="0" w:type="dxa"/>
        </w:tblCellMar>
      </w:tblPr>
      <w:tblGrid>
        <w:gridCol w:w="38"/>
        <w:gridCol w:w="60"/>
        <w:gridCol w:w="132"/>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will publish our 9th annual Sustainability Report in April 2023, which will expand our ESG disclosures, add clarity to our business’ related performance, our opportunities and challenges, and commit to goals we can achieve.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In last year’s letter to you, published in April 2022, I noted our continued progress on sustainability matters, including our Scope 1 reduction targets for greenhouse gas emissions (GHGs) and goals to reduce or offset our Scope 2 GHGs including a Scope 2 goal with a net zero target for 2050 as well as a roadmap for achieving our 2030 and 2050 reduction targets. In our 2022 Sustainability Report published later this month, we will provide more detail on our ambition to be net zero by 2050 across our entire value chain, including various initiatives we have implemented, and plan to implement, to fulfil our commitments.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are adding a new website section providing additional transparency with respect to the Company’s political contributions and lobbying activities.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refreshed the leadership of the Audit Committee and the Ethics, Environment, Safety and Health (EESH) Committee with a continued focus on diversity and ensuring our Board composition and skills are aligned with our strategy. </w:t>
            </w:r>
          </w:p>
        </w:tc>
      </w:tr>
    </w:tbl>
    <w:p>
      <w:pPr>
        <w:pStyle w:val="TextBody"/>
        <w:spacing w:before="200" w:after="0"/>
        <w:jc w:val="left"/>
        <w:rPr>
          <w:rFonts w:ascii="ARIAL" w:hAnsi="ARIAL"/>
          <w:sz w:val="20"/>
        </w:rPr>
      </w:pPr>
      <w:r>
        <w:rPr>
          <w:rFonts w:ascii="ARIAL" w:hAnsi="ARIAL"/>
          <w:sz w:val="20"/>
        </w:rPr>
        <w:t xml:space="preserve">Over the past seven years, we have added seven new independent directors. Almost half (45 percent) of our Board is diverse, including three women, two African American and one Hispanic director, each of whom brings strong backgrounds and experience with publicly-traded companies and adds unique insights to our Board mix. At this year’s Annual Meeting, Smith W. Davis will retire in accordance with the mandatory retirement provision in our bylaws. Mr. Davis has been a superb and insightful member of our Board; we are extremely grateful for his steady guidance and thoughtful leadership throughout his Board tenure and as Chair of our EESH Committee. We wish him well in retirement. </w:t>
      </w:r>
    </w:p>
    <w:p>
      <w:pPr>
        <w:pStyle w:val="TextBody"/>
        <w:spacing w:before="200" w:after="0"/>
        <w:jc w:val="left"/>
        <w:rPr>
          <w:rFonts w:ascii="ARIAL" w:hAnsi="ARIAL"/>
          <w:b/>
          <w:color w:val="71BE9A"/>
          <w:sz w:val="22"/>
        </w:rPr>
      </w:pPr>
      <w:r>
        <w:rPr>
          <w:rFonts w:ascii="ARIAL" w:hAnsi="ARIAL"/>
          <w:b/>
          <w:color w:val="71BE9A"/>
          <w:sz w:val="22"/>
        </w:rPr>
        <w:t xml:space="preserve">Your Vote Matters </w:t>
      </w:r>
    </w:p>
    <w:p>
      <w:pPr>
        <w:pStyle w:val="TextBody"/>
        <w:spacing w:before="120" w:after="0"/>
        <w:jc w:val="left"/>
        <w:rPr>
          <w:rFonts w:ascii="ARIAL" w:hAnsi="ARIAL"/>
          <w:sz w:val="20"/>
        </w:rPr>
      </w:pPr>
      <w:r>
        <w:rPr>
          <w:rFonts w:ascii="ARIAL" w:hAnsi="ARIAL"/>
          <w:sz w:val="20"/>
        </w:rPr>
        <w:t xml:space="preserve">I urge you to promptly cast your vote, You may do so by either returning the enclosed Proxy Card or by the electronic or telephone options described in our Proxy Statement. On behalf of our Board of Directors, thank you for your investment in Martin Marietta. We look forward to continuing to deliver strong and responsible performance, innovation and growth to our customers, our shareholders and our other stakeholders. </w:t>
      </w:r>
    </w:p>
    <w:p>
      <w:pPr>
        <w:pStyle w:val="TextBody"/>
        <w:spacing w:before="200" w:after="0"/>
        <w:jc w:val="left"/>
        <w:rPr>
          <w:rFonts w:ascii="ARIAL" w:hAnsi="ARIAL"/>
          <w:sz w:val="20"/>
        </w:rPr>
      </w:pPr>
      <w:r>
        <w:rPr>
          <w:rFonts w:ascii="ARIAL" w:hAnsi="ARIAL"/>
          <w:sz w:val="20"/>
        </w:rPr>
        <w:t xml:space="preserve">Sincerely,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132715" cy="419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2715" cy="41910"/>
                    </a:xfrm>
                    <a:prstGeom prst="rect">
                      <a:avLst/>
                    </a:prstGeom>
                  </pic:spPr>
                </pic:pic>
              </a:graphicData>
            </a:graphic>
          </wp:inline>
        </w:drawing>
      </w:r>
      <w:r>
        <w:rPr/>
        <w:t xml:space="preserve"> </w:t>
      </w:r>
    </w:p>
    <w:p>
      <w:pPr>
        <w:pStyle w:val="TextBody"/>
        <w:spacing w:before="200" w:after="0"/>
        <w:jc w:val="left"/>
        <w:rPr>
          <w:rFonts w:ascii="ARIAL" w:hAnsi="ARIAL"/>
          <w:b/>
          <w:sz w:val="19"/>
        </w:rPr>
      </w:pPr>
      <w:r>
        <w:rPr>
          <w:rFonts w:ascii="ARIAL" w:hAnsi="ARIAL"/>
          <w:b/>
          <w:sz w:val="19"/>
        </w:rPr>
        <w:t xml:space="preserve">C. Howard Nye </w:t>
      </w:r>
    </w:p>
    <w:p>
      <w:pPr>
        <w:pStyle w:val="TextBody"/>
        <w:spacing w:before="0" w:after="0"/>
        <w:jc w:val="left"/>
        <w:rPr>
          <w:rFonts w:ascii="ARIAL" w:hAnsi="ARIAL"/>
          <w:i/>
          <w:sz w:val="20"/>
        </w:rPr>
      </w:pPr>
      <w:r>
        <w:rPr>
          <w:rFonts w:ascii="ARIAL" w:hAnsi="ARIAL"/>
          <w:i/>
          <w:sz w:val="20"/>
        </w:rPr>
        <w:t xml:space="preserve">Chairman of the Board, President and Chief Executive Officer </w:t>
      </w:r>
    </w:p>
    <w:p>
      <w:pPr>
        <w:pStyle w:val="TextBody"/>
        <w:spacing w:before="0" w:after="0"/>
        <w:jc w:val="left"/>
        <w:rPr/>
      </w:pPr>
      <w:r>
        <w:rPr/>
        <w:t> </w:t>
      </w:r>
    </w:p>
    <w:tbl>
      <w:tblPr>
        <w:tblW w:w="328" w:type="dxa"/>
        <w:jc w:val="left"/>
        <w:tblInd w:w="0" w:type="dxa"/>
        <w:tblCellMar>
          <w:top w:w="0" w:type="dxa"/>
          <w:left w:w="0" w:type="dxa"/>
          <w:bottom w:w="0" w:type="dxa"/>
          <w:right w:w="0" w:type="dxa"/>
        </w:tblCellMar>
      </w:tblPr>
      <w:tblGrid>
        <w:gridCol w:w="38"/>
        <w:gridCol w:w="60"/>
        <w:gridCol w:w="132"/>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pPr>
      <w:r>
        <w:rPr/>
        <w:drawing>
          <wp:inline distT="0" distB="0" distL="0" distR="0">
            <wp:extent cx="124460" cy="361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4460" cy="36195"/>
                    </a:xfrm>
                    <a:prstGeom prst="rect">
                      <a:avLst/>
                    </a:prstGeom>
                  </pic:spPr>
                </pic:pic>
              </a:graphicData>
            </a:graphic>
          </wp:inline>
        </w:drawing>
      </w:r>
      <w:r>
        <w:rPr/>
        <w:t xml:space="preserve"> </w:t>
      </w:r>
    </w:p>
    <w:p>
      <w:pPr>
        <w:pStyle w:val="TextBody"/>
        <w:spacing w:before="200" w:after="0"/>
        <w:jc w:val="left"/>
        <w:rPr>
          <w:rFonts w:ascii="ARIAL" w:hAnsi="ARIAL"/>
          <w:b/>
          <w:color w:val="007CBA"/>
          <w:sz w:val="28"/>
        </w:rPr>
      </w:pPr>
      <w:r>
        <w:rPr>
          <w:rFonts w:ascii="ARIAL" w:hAnsi="ARIAL"/>
          <w:b/>
          <w:color w:val="007CBA"/>
          <w:sz w:val="28"/>
        </w:rPr>
        <w:t xml:space="preserve">Notice of 2023 Annual Meeting of Shareholders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95"/>
        <w:gridCol w:w="60"/>
        <w:gridCol w:w="2047"/>
        <w:gridCol w:w="60"/>
        <w:gridCol w:w="1344"/>
        <w:gridCol w:w="60"/>
        <w:gridCol w:w="1838"/>
        <w:gridCol w:w="60"/>
        <w:gridCol w:w="240"/>
        <w:gridCol w:w="60"/>
        <w:gridCol w:w="3741"/>
      </w:tblGrid>
      <w:tr>
        <w:trPr/>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41" w:type="dxa"/>
            <w:tcBorders/>
            <w:shd w:fill="auto" w:val="clear"/>
            <w:vAlign w:val="center"/>
          </w:tcPr>
          <w:p>
            <w:pPr>
              <w:pStyle w:val="TableContents"/>
              <w:spacing w:before="0" w:after="283"/>
              <w:rPr>
                <w:sz w:val="4"/>
                <w:szCs w:val="4"/>
              </w:rPr>
            </w:pPr>
            <w:r>
              <w:rPr>
                <w:sz w:val="4"/>
                <w:szCs w:val="4"/>
              </w:rPr>
            </w:r>
          </w:p>
        </w:tc>
      </w:tr>
      <w:tr>
        <w:trPr/>
        <w:tc>
          <w:tcPr>
            <w:tcW w:w="695" w:type="dxa"/>
            <w:vMerge w:val="restart"/>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vMerge w:val="restart"/>
            <w:tcBorders>
              <w:bottom w:val="single" w:sz="6" w:space="0" w:color="000000"/>
            </w:tcBorders>
            <w:shd w:fill="auto" w:val="clear"/>
            <w:tcMar>
              <w:bottom w:w="28" w:type="dxa"/>
            </w:tcMar>
            <w:vAlign w:val="center"/>
          </w:tcPr>
          <w:p>
            <w:pPr>
              <w:pStyle w:val="TableContents"/>
              <w:spacing w:before="0" w:after="283"/>
              <w:rPr/>
            </w:pPr>
            <w:r>
              <w:rPr/>
              <w:t> </w:t>
            </w:r>
          </w:p>
        </w:tc>
        <w:tc>
          <w:tcPr>
            <w:tcW w:w="2047" w:type="dxa"/>
            <w:vMerge w:val="restart"/>
            <w:tcBorders>
              <w:bottom w:val="single" w:sz="6" w:space="0" w:color="000000"/>
            </w:tcBorders>
            <w:shd w:fill="auto" w:val="clear"/>
            <w:tcMar>
              <w:bottom w:w="80" w:type="dxa"/>
            </w:tcMar>
            <w:vAlign w:val="center"/>
          </w:tcPr>
          <w:p>
            <w:pPr>
              <w:pStyle w:val="TableContents"/>
              <w:spacing w:before="0" w:after="283"/>
              <w:rPr>
                <w:b/>
                <w:color w:val="007CBA"/>
              </w:rPr>
            </w:pPr>
            <w:r>
              <w:rPr>
                <w:b/>
                <w:color w:val="007CBA"/>
              </w:rPr>
              <w:t>Item of Business</w:t>
            </w:r>
          </w:p>
        </w:tc>
        <w:tc>
          <w:tcPr>
            <w:tcW w:w="60" w:type="dxa"/>
            <w:vMerge w:val="restart"/>
            <w:tcBorders>
              <w:bottom w:val="single" w:sz="6" w:space="0" w:color="000000"/>
            </w:tcBorders>
            <w:shd w:fill="auto" w:val="clear"/>
            <w:tcMar>
              <w:bottom w:w="28" w:type="dxa"/>
            </w:tcMar>
            <w:vAlign w:val="center"/>
          </w:tcPr>
          <w:p>
            <w:pPr>
              <w:pStyle w:val="TableContents"/>
              <w:spacing w:before="0" w:after="283"/>
              <w:rPr/>
            </w:pPr>
            <w:r>
              <w:rPr/>
              <w:t> </w:t>
            </w:r>
          </w:p>
        </w:tc>
        <w:tc>
          <w:tcPr>
            <w:tcW w:w="1344" w:type="dxa"/>
            <w:vMerge w:val="restart"/>
            <w:tcBorders>
              <w:bottom w:val="single" w:sz="6" w:space="0" w:color="000000"/>
            </w:tcBorders>
            <w:shd w:fill="auto" w:val="clear"/>
            <w:tcMar>
              <w:bottom w:w="80" w:type="dxa"/>
            </w:tcMar>
            <w:vAlign w:val="center"/>
          </w:tcPr>
          <w:p>
            <w:pPr>
              <w:pStyle w:val="TableContents"/>
              <w:spacing w:before="0" w:after="283"/>
              <w:rPr>
                <w:b/>
                <w:color w:val="007CBA"/>
              </w:rPr>
            </w:pPr>
            <w:r>
              <w:rPr>
                <w:b/>
                <w:color w:val="007CBA"/>
              </w:rPr>
              <w:t>For More Information See Page</w:t>
            </w:r>
          </w:p>
        </w:tc>
        <w:tc>
          <w:tcPr>
            <w:tcW w:w="60" w:type="dxa"/>
            <w:vMerge w:val="restart"/>
            <w:tcBorders>
              <w:bottom w:val="single" w:sz="6" w:space="0" w:color="000000"/>
            </w:tcBorders>
            <w:shd w:fill="auto" w:val="clear"/>
            <w:tcMar>
              <w:bottom w:w="28" w:type="dxa"/>
            </w:tcMar>
            <w:vAlign w:val="center"/>
          </w:tcPr>
          <w:p>
            <w:pPr>
              <w:pStyle w:val="TableContents"/>
              <w:spacing w:before="0" w:after="283"/>
              <w:rPr/>
            </w:pPr>
            <w:r>
              <w:rPr/>
              <w:t> </w:t>
            </w:r>
          </w:p>
        </w:tc>
        <w:tc>
          <w:tcPr>
            <w:tcW w:w="1838" w:type="dxa"/>
            <w:vMerge w:val="restart"/>
            <w:tcBorders>
              <w:bottom w:val="single" w:sz="6" w:space="0" w:color="000000"/>
            </w:tcBorders>
            <w:shd w:fill="auto" w:val="clear"/>
            <w:tcMar>
              <w:bottom w:w="80" w:type="dxa"/>
            </w:tcMar>
            <w:vAlign w:val="center"/>
          </w:tcPr>
          <w:p>
            <w:pPr>
              <w:pStyle w:val="TableContents"/>
              <w:spacing w:before="0" w:after="283"/>
              <w:rPr>
                <w:b/>
                <w:color w:val="007CBA"/>
              </w:rPr>
            </w:pPr>
            <w:r>
              <w:rPr>
                <w:b/>
                <w:color w:val="007CBA"/>
              </w:rPr>
              <w:t>Board Recommendation</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007CBA" w:val="clear"/>
            <w:vAlign w:val="center"/>
          </w:tcPr>
          <w:p>
            <w:pPr>
              <w:pStyle w:val="TableContents"/>
              <w:spacing w:before="0" w:after="283"/>
              <w:rPr/>
            </w:pPr>
            <w:r>
              <w:rPr/>
              <w:t> </w:t>
            </w:r>
          </w:p>
        </w:tc>
        <w:tc>
          <w:tcPr>
            <w:tcW w:w="3741" w:type="dxa"/>
            <w:tcBorders/>
            <w:shd w:fill="007CBA" w:val="clear"/>
            <w:vAlign w:val="center"/>
          </w:tcPr>
          <w:p>
            <w:pPr>
              <w:pStyle w:val="TableContents"/>
              <w:spacing w:before="0" w:after="283"/>
              <w:rPr>
                <w:sz w:val="4"/>
                <w:szCs w:val="4"/>
              </w:rPr>
            </w:pPr>
            <w:r>
              <w:rPr>
                <w:sz w:val="4"/>
                <w:szCs w:val="4"/>
              </w:rPr>
            </w:r>
          </w:p>
        </w:tc>
      </w:tr>
      <w:tr>
        <w:trPr/>
        <w:tc>
          <w:tcPr>
            <w:tcW w:w="695" w:type="dxa"/>
            <w:vMerge w:val="continue"/>
            <w:tcBorders>
              <w:bottom w:val="single" w:sz="6" w:space="0" w:color="000000"/>
            </w:tcBorders>
            <w:shd w:fill="auto" w:val="clear"/>
            <w:tcMar>
              <w:bottom w:w="28" w:type="dxa"/>
            </w:tcMar>
            <w:vAlign w:val="center"/>
          </w:tcPr>
          <w:p>
            <w:pPr>
              <w:pStyle w:val="Normal"/>
              <w:rPr/>
            </w:pPr>
            <w:r>
              <w:rPr/>
            </w:r>
          </w:p>
        </w:tc>
        <w:tc>
          <w:tcPr>
            <w:tcW w:w="60" w:type="dxa"/>
            <w:vMerge w:val="continue"/>
            <w:tcBorders>
              <w:bottom w:val="single" w:sz="6" w:space="0" w:color="000000"/>
            </w:tcBorders>
            <w:shd w:fill="auto" w:val="clear"/>
            <w:tcMar>
              <w:bottom w:w="28" w:type="dxa"/>
            </w:tcMar>
            <w:vAlign w:val="center"/>
          </w:tcPr>
          <w:p>
            <w:pPr>
              <w:pStyle w:val="Normal"/>
              <w:rPr/>
            </w:pPr>
            <w:r>
              <w:rPr/>
            </w:r>
          </w:p>
        </w:tc>
        <w:tc>
          <w:tcPr>
            <w:tcW w:w="2047" w:type="dxa"/>
            <w:vMerge w:val="continue"/>
            <w:tcBorders>
              <w:bottom w:val="single" w:sz="6" w:space="0" w:color="000000"/>
            </w:tcBorders>
            <w:shd w:fill="auto" w:val="clear"/>
            <w:tcMar>
              <w:bottom w:w="80" w:type="dxa"/>
            </w:tcMar>
            <w:vAlign w:val="center"/>
          </w:tcPr>
          <w:p>
            <w:pPr>
              <w:pStyle w:val="Normal"/>
              <w:rPr/>
            </w:pPr>
            <w:r>
              <w:rPr/>
            </w:r>
          </w:p>
        </w:tc>
        <w:tc>
          <w:tcPr>
            <w:tcW w:w="60" w:type="dxa"/>
            <w:vMerge w:val="continue"/>
            <w:tcBorders>
              <w:bottom w:val="single" w:sz="6" w:space="0" w:color="000000"/>
            </w:tcBorders>
            <w:shd w:fill="auto" w:val="clear"/>
            <w:tcMar>
              <w:bottom w:w="28" w:type="dxa"/>
            </w:tcMar>
            <w:vAlign w:val="center"/>
          </w:tcPr>
          <w:p>
            <w:pPr>
              <w:pStyle w:val="Normal"/>
              <w:rPr/>
            </w:pPr>
            <w:r>
              <w:rPr/>
            </w:r>
          </w:p>
        </w:tc>
        <w:tc>
          <w:tcPr>
            <w:tcW w:w="1344" w:type="dxa"/>
            <w:vMerge w:val="continue"/>
            <w:tcBorders>
              <w:bottom w:val="single" w:sz="6" w:space="0" w:color="000000"/>
            </w:tcBorders>
            <w:shd w:fill="auto" w:val="clear"/>
            <w:tcMar>
              <w:bottom w:w="80" w:type="dxa"/>
            </w:tcMar>
            <w:vAlign w:val="center"/>
          </w:tcPr>
          <w:p>
            <w:pPr>
              <w:pStyle w:val="Normal"/>
              <w:rPr/>
            </w:pPr>
            <w:r>
              <w:rPr/>
            </w:r>
          </w:p>
        </w:tc>
        <w:tc>
          <w:tcPr>
            <w:tcW w:w="60" w:type="dxa"/>
            <w:vMerge w:val="continue"/>
            <w:tcBorders>
              <w:bottom w:val="single" w:sz="6" w:space="0" w:color="000000"/>
            </w:tcBorders>
            <w:shd w:fill="auto" w:val="clear"/>
            <w:tcMar>
              <w:bottom w:w="28" w:type="dxa"/>
            </w:tcMar>
            <w:vAlign w:val="center"/>
          </w:tcPr>
          <w:p>
            <w:pPr>
              <w:pStyle w:val="Normal"/>
              <w:rPr/>
            </w:pPr>
            <w:r>
              <w:rPr/>
            </w:r>
          </w:p>
        </w:tc>
        <w:tc>
          <w:tcPr>
            <w:tcW w:w="1838" w:type="dxa"/>
            <w:vMerge w:val="continue"/>
            <w:tcBorders>
              <w:bottom w:val="single" w:sz="6"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color w:val="007CBA"/>
              </w:rPr>
            </w:pPr>
            <w:r>
              <w:rPr>
                <w:color w:val="007CBA"/>
              </w:rPr>
              <w:t>    </w:t>
            </w:r>
          </w:p>
        </w:tc>
        <w:tc>
          <w:tcPr>
            <w:tcW w:w="60" w:type="dxa"/>
            <w:vMerge w:val="restart"/>
            <w:tcBorders>
              <w:top w:val="single" w:sz="6" w:space="0" w:color="CCCCCC"/>
              <w:left w:val="single" w:sz="6" w:space="0" w:color="CCCCCC"/>
              <w:bottom w:val="single" w:sz="6" w:space="0" w:color="CCCCCC"/>
            </w:tcBorders>
            <w:shd w:fill="E5F1F8" w:val="clear"/>
            <w:tcMar>
              <w:top w:w="28" w:type="dxa"/>
              <w:left w:w="28" w:type="dxa"/>
              <w:bottom w:w="28" w:type="dxa"/>
            </w:tcMar>
            <w:vAlign w:val="center"/>
          </w:tcPr>
          <w:p>
            <w:pPr>
              <w:pStyle w:val="TableContents"/>
              <w:spacing w:before="0" w:after="283"/>
              <w:rPr/>
            </w:pPr>
            <w:r>
              <w:rPr/>
              <w:t> </w:t>
            </w:r>
          </w:p>
        </w:tc>
        <w:tc>
          <w:tcPr>
            <w:tcW w:w="3741" w:type="dxa"/>
            <w:vMerge w:val="restart"/>
            <w:tcBorders>
              <w:top w:val="single" w:sz="6" w:space="0" w:color="CCCCCC"/>
              <w:bottom w:val="single" w:sz="6" w:space="0" w:color="CCCCCC"/>
              <w:right w:val="single" w:sz="6" w:space="0" w:color="CCCCCC"/>
            </w:tcBorders>
            <w:shd w:fill="E5F1F8" w:val="clear"/>
            <w:tcMar>
              <w:top w:w="28" w:type="dxa"/>
              <w:bottom w:w="80" w:type="dxa"/>
              <w:right w:w="40" w:type="dxa"/>
            </w:tcMar>
            <w:vAlign w:val="center"/>
          </w:tcPr>
          <w:p>
            <w:pPr>
              <w:pStyle w:val="TableContents"/>
              <w:spacing w:before="0" w:after="0"/>
              <w:rPr/>
            </w:pPr>
            <w:r>
              <w:rPr/>
              <w:t> </w:t>
            </w:r>
          </w:p>
          <w:p>
            <w:pPr>
              <w:pStyle w:val="TableContents"/>
              <w:spacing w:before="0" w:after="0"/>
              <w:rPr>
                <w:rFonts w:ascii="ARIAL" w:hAnsi="ARIAL"/>
                <w:b/>
                <w:color w:val="007CBA"/>
                <w:sz w:val="22"/>
              </w:rPr>
            </w:pPr>
            <w:r>
              <w:rPr>
                <w:rFonts w:ascii="ARIAL" w:hAnsi="ARIAL"/>
                <w:b/>
                <w:color w:val="007CBA"/>
                <w:sz w:val="22"/>
              </w:rPr>
              <w:t>Annual Meeting of Shareholders</w:t>
            </w:r>
          </w:p>
          <w:p>
            <w:pPr>
              <w:pStyle w:val="TableContents"/>
              <w:spacing w:before="0" w:after="0"/>
              <w:rPr/>
            </w:pPr>
            <w:r>
              <w:rPr/>
              <w:t> </w:t>
            </w:r>
          </w:p>
          <w:p>
            <w:pPr>
              <w:pStyle w:val="TableContents"/>
              <w:spacing w:before="0" w:after="0"/>
              <w:rPr>
                <w:rFonts w:ascii="ARIAL" w:hAnsi="ARIAL"/>
                <w:b/>
                <w:color w:val="007CBA"/>
                <w:sz w:val="22"/>
              </w:rPr>
            </w:pPr>
            <w:r>
              <w:rPr>
                <w:rFonts w:ascii="ARIAL" w:hAnsi="ARIAL"/>
                <w:b/>
                <w:color w:val="007CBA"/>
                <w:sz w:val="22"/>
              </w:rPr>
              <w:t>When:</w:t>
            </w:r>
          </w:p>
          <w:p>
            <w:pPr>
              <w:pStyle w:val="TableContents"/>
              <w:spacing w:before="0" w:after="0"/>
              <w:rPr>
                <w:rFonts w:ascii="ARIAL" w:hAnsi="ARIAL"/>
                <w:sz w:val="20"/>
              </w:rPr>
            </w:pPr>
            <w:r>
              <w:rPr>
                <w:rFonts w:ascii="ARIAL" w:hAnsi="ARIAL"/>
                <w:sz w:val="20"/>
              </w:rPr>
              <w:t>Thursday, May 11, 2023, 11:30 a.m. ET</w:t>
            </w:r>
          </w:p>
          <w:p>
            <w:pPr>
              <w:pStyle w:val="TableContents"/>
              <w:spacing w:before="0" w:after="0"/>
              <w:rPr/>
            </w:pPr>
            <w:r>
              <w:rPr/>
              <w:t> </w:t>
            </w:r>
          </w:p>
          <w:p>
            <w:pPr>
              <w:pStyle w:val="TableContents"/>
              <w:spacing w:before="0" w:after="0"/>
              <w:rPr>
                <w:rFonts w:ascii="ARIAL" w:hAnsi="ARIAL"/>
                <w:b/>
                <w:color w:val="007CBA"/>
                <w:sz w:val="22"/>
              </w:rPr>
            </w:pPr>
            <w:r>
              <w:rPr>
                <w:rFonts w:ascii="ARIAL" w:hAnsi="ARIAL"/>
                <w:b/>
                <w:color w:val="007CBA"/>
                <w:sz w:val="22"/>
              </w:rPr>
              <w:t>Place:</w:t>
            </w:r>
          </w:p>
          <w:p>
            <w:pPr>
              <w:pStyle w:val="TableContents"/>
              <w:spacing w:before="0" w:after="0"/>
              <w:rPr>
                <w:rFonts w:ascii="ARIAL" w:hAnsi="ARIAL"/>
                <w:sz w:val="20"/>
              </w:rPr>
            </w:pPr>
            <w:r>
              <w:rPr>
                <w:rFonts w:ascii="ARIAL" w:hAnsi="ARIAL"/>
                <w:sz w:val="20"/>
              </w:rPr>
              <w:t>4123 Parklake Avenue, Raleigh, NC 27612</w:t>
            </w:r>
          </w:p>
          <w:p>
            <w:pPr>
              <w:pStyle w:val="TableContents"/>
              <w:spacing w:before="0" w:after="0"/>
              <w:rPr>
                <w:rFonts w:ascii="ARIAL" w:hAnsi="ARIAL"/>
                <w:sz w:val="20"/>
              </w:rPr>
            </w:pPr>
            <w:r>
              <w:rPr>
                <w:rFonts w:ascii="ARIAL" w:hAnsi="ARIAL"/>
                <w:sz w:val="20"/>
              </w:rPr>
              <w:t>(our principal executive offices)</w:t>
            </w:r>
          </w:p>
          <w:p>
            <w:pPr>
              <w:pStyle w:val="TableContents"/>
              <w:spacing w:before="0" w:after="0"/>
              <w:rPr/>
            </w:pPr>
            <w:r>
              <w:rPr/>
              <w:t> </w:t>
            </w:r>
          </w:p>
          <w:p>
            <w:pPr>
              <w:pStyle w:val="TableContents"/>
              <w:spacing w:before="0" w:after="0"/>
              <w:rPr>
                <w:rFonts w:ascii="ARIAL" w:hAnsi="ARIAL"/>
                <w:b/>
                <w:color w:val="007CBA"/>
                <w:sz w:val="22"/>
              </w:rPr>
            </w:pPr>
            <w:r>
              <w:rPr>
                <w:rFonts w:ascii="ARIAL" w:hAnsi="ARIAL"/>
                <w:b/>
                <w:color w:val="007CBA"/>
                <w:sz w:val="22"/>
              </w:rPr>
              <w:t>Who Can Vote:</w:t>
            </w:r>
          </w:p>
          <w:p>
            <w:pPr>
              <w:pStyle w:val="TableContents"/>
              <w:spacing w:before="0" w:after="0"/>
              <w:rPr>
                <w:rFonts w:ascii="ARIAL" w:hAnsi="ARIAL"/>
                <w:sz w:val="20"/>
              </w:rPr>
            </w:pPr>
            <w:r>
              <w:rPr>
                <w:rFonts w:ascii="ARIAL" w:hAnsi="ARIAL"/>
                <w:sz w:val="20"/>
              </w:rPr>
              <w:t>Shareholders of record at the close of</w:t>
              <w:br/>
              <w:t>business on March 6, 2023</w:t>
            </w:r>
          </w:p>
          <w:p>
            <w:pPr>
              <w:pStyle w:val="TableContents"/>
              <w:spacing w:before="0" w:after="20"/>
              <w:rPr/>
            </w:pPr>
            <w:r>
              <w:rPr/>
              <w:t> </w:t>
            </w:r>
          </w:p>
        </w:tc>
      </w:tr>
      <w:tr>
        <w:trPr/>
        <w:tc>
          <w:tcPr>
            <w:tcW w:w="695" w:type="dxa"/>
            <w:tcBorders>
              <w:bottom w:val="single" w:sz="6" w:space="0" w:color="000000"/>
            </w:tcBorders>
            <w:shd w:fill="auto" w:val="clear"/>
            <w:tcMar>
              <w:bottom w:w="60" w:type="dxa"/>
            </w:tcMar>
            <w:vAlign w:val="center"/>
          </w:tcPr>
          <w:p>
            <w:pPr>
              <w:pStyle w:val="TableContents"/>
              <w:spacing w:before="0" w:after="283"/>
              <w:rPr>
                <w:color w:val="007CBA"/>
              </w:rPr>
            </w:pPr>
            <w:r>
              <w:rPr>
                <w:color w:val="007CBA"/>
              </w:rPr>
              <w:t>  </w:t>
            </w:r>
            <w:r>
              <w:rPr>
                <w:color w:val="007CBA"/>
                <w:sz w:val="16"/>
              </w:rPr>
              <w:t>Item 1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047" w:type="dxa"/>
            <w:tcBorders>
              <w:bottom w:val="single" w:sz="6" w:space="0" w:color="000000"/>
            </w:tcBorders>
            <w:shd w:fill="auto" w:val="clear"/>
            <w:tcMar>
              <w:bottom w:w="60" w:type="dxa"/>
            </w:tcMar>
            <w:vAlign w:val="center"/>
          </w:tcPr>
          <w:p>
            <w:pPr>
              <w:pStyle w:val="TableContents"/>
              <w:spacing w:before="0" w:after="283"/>
              <w:rPr>
                <w:sz w:val="16"/>
              </w:rPr>
            </w:pPr>
            <w:r>
              <w:rPr>
                <w:sz w:val="16"/>
              </w:rPr>
              <w:t>To elect 10 directors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344" w:type="dxa"/>
            <w:tcBorders>
              <w:bottom w:val="single" w:sz="6" w:space="0" w:color="000000"/>
            </w:tcBorders>
            <w:shd w:fill="auto" w:val="clear"/>
            <w:tcMar>
              <w:bottom w:w="60" w:type="dxa"/>
            </w:tcMar>
            <w:vAlign w:val="center"/>
          </w:tcPr>
          <w:p>
            <w:pPr>
              <w:pStyle w:val="TableContents"/>
              <w:spacing w:before="0" w:after="0"/>
              <w:rPr>
                <w:rFonts w:ascii="ARIAL" w:hAnsi="ARIAL"/>
                <w:sz w:val="20"/>
              </w:rPr>
            </w:pPr>
            <w:r>
              <w:rPr>
                <w:rFonts w:ascii="ARIAL" w:hAnsi="ARIAL"/>
                <w:sz w:val="20"/>
              </w:rPr>
              <w:t>23</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838" w:type="dxa"/>
            <w:tcBorders>
              <w:bottom w:val="single" w:sz="6" w:space="0" w:color="000000"/>
            </w:tcBorders>
            <w:shd w:fill="auto" w:val="clear"/>
            <w:tcMar>
              <w:bottom w:w="60" w:type="dxa"/>
            </w:tcMar>
            <w:vAlign w:val="center"/>
          </w:tcPr>
          <w:p>
            <w:pPr>
              <w:pStyle w:val="TableContents"/>
              <w:spacing w:before="0" w:after="0"/>
              <w:rPr>
                <w:rFonts w:ascii="ARIAL" w:hAnsi="ARIAL"/>
                <w:b/>
                <w:sz w:val="20"/>
              </w:rPr>
            </w:pPr>
            <w:r>
              <w:rPr>
                <w:rFonts w:ascii="ARIAL" w:hAnsi="ARIAL"/>
                <w:b/>
                <w:sz w:val="20"/>
              </w:rPr>
              <w:t>FOR</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vMerge w:val="continue"/>
            <w:tcBorders>
              <w:top w:val="single" w:sz="6" w:space="0" w:color="CCCCCC"/>
              <w:left w:val="single" w:sz="6" w:space="0" w:color="CCCCCC"/>
              <w:bottom w:val="single" w:sz="6" w:space="0" w:color="CCCCCC"/>
            </w:tcBorders>
            <w:shd w:fill="E5F1F8" w:val="clear"/>
            <w:tcMar>
              <w:top w:w="28" w:type="dxa"/>
              <w:left w:w="28" w:type="dxa"/>
              <w:bottom w:w="28" w:type="dxa"/>
            </w:tcMar>
            <w:vAlign w:val="center"/>
          </w:tcPr>
          <w:p>
            <w:pPr>
              <w:pStyle w:val="Normal"/>
              <w:rPr/>
            </w:pPr>
            <w:r>
              <w:rPr/>
            </w:r>
          </w:p>
        </w:tc>
        <w:tc>
          <w:tcPr>
            <w:tcW w:w="3741" w:type="dxa"/>
            <w:vMerge w:val="continue"/>
            <w:tcBorders>
              <w:top w:val="single" w:sz="6" w:space="0" w:color="CCCCCC"/>
              <w:bottom w:val="single" w:sz="6" w:space="0" w:color="CCCCCC"/>
              <w:right w:val="single" w:sz="6" w:space="0" w:color="CCCCCC"/>
            </w:tcBorders>
            <w:shd w:fill="E5F1F8" w:val="clear"/>
            <w:tcMar>
              <w:top w:w="28" w:type="dxa"/>
              <w:bottom w:w="80" w:type="dxa"/>
              <w:right w:w="40" w:type="dxa"/>
            </w:tcMar>
            <w:vAlign w:val="center"/>
          </w:tcPr>
          <w:p>
            <w:pPr>
              <w:pStyle w:val="Normal"/>
              <w:rPr/>
            </w:pPr>
            <w:r>
              <w:rPr/>
            </w:r>
          </w:p>
        </w:tc>
      </w:tr>
      <w:tr>
        <w:trPr/>
        <w:tc>
          <w:tcPr>
            <w:tcW w:w="695" w:type="dxa"/>
            <w:tcBorders>
              <w:bottom w:val="single" w:sz="6" w:space="0" w:color="000000"/>
            </w:tcBorders>
            <w:shd w:fill="auto" w:val="clear"/>
            <w:tcMar>
              <w:bottom w:w="40" w:type="dxa"/>
            </w:tcMar>
            <w:vAlign w:val="center"/>
          </w:tcPr>
          <w:p>
            <w:pPr>
              <w:pStyle w:val="TableContents"/>
              <w:spacing w:before="0" w:after="283"/>
              <w:rPr>
                <w:color w:val="007CBA"/>
              </w:rPr>
            </w:pPr>
            <w:r>
              <w:rPr>
                <w:color w:val="007CBA"/>
              </w:rPr>
              <w:t>  </w:t>
            </w:r>
            <w:r>
              <w:rPr>
                <w:color w:val="007CBA"/>
                <w:sz w:val="16"/>
              </w:rPr>
              <w:t>Item 2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047" w:type="dxa"/>
            <w:tcBorders>
              <w:bottom w:val="single" w:sz="6" w:space="0" w:color="000000"/>
            </w:tcBorders>
            <w:shd w:fill="auto" w:val="clear"/>
            <w:tcMar>
              <w:bottom w:w="40" w:type="dxa"/>
            </w:tcMar>
            <w:vAlign w:val="center"/>
          </w:tcPr>
          <w:p>
            <w:pPr>
              <w:pStyle w:val="TableContents"/>
              <w:spacing w:before="0" w:after="283"/>
              <w:rPr>
                <w:sz w:val="16"/>
              </w:rPr>
            </w:pPr>
            <w:r>
              <w:rPr>
                <w:sz w:val="16"/>
              </w:rPr>
              <w:t>To ratify the appointment of PricewaterhouseCoopers LLP as independent auditors for 2023</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344" w:type="dxa"/>
            <w:tcBorders>
              <w:bottom w:val="single" w:sz="6" w:space="0" w:color="000000"/>
            </w:tcBorders>
            <w:shd w:fill="auto" w:val="clear"/>
            <w:tcMar>
              <w:bottom w:w="40" w:type="dxa"/>
            </w:tcMar>
            <w:vAlign w:val="center"/>
          </w:tcPr>
          <w:p>
            <w:pPr>
              <w:pStyle w:val="TableContents"/>
              <w:spacing w:before="0" w:after="0"/>
              <w:rPr>
                <w:rFonts w:ascii="ARIAL" w:hAnsi="ARIAL"/>
                <w:sz w:val="20"/>
              </w:rPr>
            </w:pPr>
            <w:r>
              <w:rPr>
                <w:rFonts w:ascii="ARIAL" w:hAnsi="ARIAL"/>
                <w:sz w:val="20"/>
              </w:rPr>
              <w:t>37</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838" w:type="dxa"/>
            <w:tcBorders>
              <w:bottom w:val="single" w:sz="6" w:space="0" w:color="000000"/>
            </w:tcBorders>
            <w:shd w:fill="auto" w:val="clear"/>
            <w:tcMar>
              <w:bottom w:w="40" w:type="dxa"/>
            </w:tcMar>
            <w:vAlign w:val="center"/>
          </w:tcPr>
          <w:p>
            <w:pPr>
              <w:pStyle w:val="TableContents"/>
              <w:spacing w:before="0" w:after="0"/>
              <w:rPr>
                <w:rFonts w:ascii="ARIAL" w:hAnsi="ARIAL"/>
                <w:b/>
                <w:sz w:val="20"/>
              </w:rPr>
            </w:pPr>
            <w:r>
              <w:rPr>
                <w:rFonts w:ascii="ARIAL" w:hAnsi="ARIAL"/>
                <w:b/>
                <w:sz w:val="20"/>
              </w:rPr>
              <w:t>FOR</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vMerge w:val="continue"/>
            <w:tcBorders>
              <w:top w:val="single" w:sz="6" w:space="0" w:color="CCCCCC"/>
              <w:left w:val="single" w:sz="6" w:space="0" w:color="CCCCCC"/>
              <w:bottom w:val="single" w:sz="6" w:space="0" w:color="CCCCCC"/>
            </w:tcBorders>
            <w:shd w:fill="E5F1F8" w:val="clear"/>
            <w:tcMar>
              <w:top w:w="28" w:type="dxa"/>
              <w:left w:w="28" w:type="dxa"/>
              <w:bottom w:w="28" w:type="dxa"/>
            </w:tcMar>
            <w:vAlign w:val="center"/>
          </w:tcPr>
          <w:p>
            <w:pPr>
              <w:pStyle w:val="Normal"/>
              <w:rPr/>
            </w:pPr>
            <w:r>
              <w:rPr/>
            </w:r>
          </w:p>
        </w:tc>
        <w:tc>
          <w:tcPr>
            <w:tcW w:w="3741" w:type="dxa"/>
            <w:vMerge w:val="continue"/>
            <w:tcBorders>
              <w:top w:val="single" w:sz="6" w:space="0" w:color="CCCCCC"/>
              <w:bottom w:val="single" w:sz="6" w:space="0" w:color="CCCCCC"/>
              <w:right w:val="single" w:sz="6" w:space="0" w:color="CCCCCC"/>
            </w:tcBorders>
            <w:shd w:fill="E5F1F8" w:val="clear"/>
            <w:tcMar>
              <w:top w:w="28" w:type="dxa"/>
              <w:bottom w:w="80" w:type="dxa"/>
              <w:right w:w="40" w:type="dxa"/>
            </w:tcMar>
            <w:vAlign w:val="center"/>
          </w:tcPr>
          <w:p>
            <w:pPr>
              <w:pStyle w:val="Normal"/>
              <w:rPr/>
            </w:pPr>
            <w:r>
              <w:rPr/>
            </w:r>
          </w:p>
        </w:tc>
      </w:tr>
      <w:tr>
        <w:trPr/>
        <w:tc>
          <w:tcPr>
            <w:tcW w:w="695" w:type="dxa"/>
            <w:tcBorders>
              <w:bottom w:val="single" w:sz="6" w:space="0" w:color="000000"/>
            </w:tcBorders>
            <w:shd w:fill="auto" w:val="clear"/>
            <w:tcMar>
              <w:bottom w:w="40" w:type="dxa"/>
            </w:tcMar>
            <w:vAlign w:val="center"/>
          </w:tcPr>
          <w:p>
            <w:pPr>
              <w:pStyle w:val="TableContents"/>
              <w:spacing w:before="0" w:after="283"/>
              <w:rPr>
                <w:color w:val="007CBA"/>
              </w:rPr>
            </w:pPr>
            <w:r>
              <w:rPr>
                <w:color w:val="007CBA"/>
              </w:rPr>
              <w:t>  </w:t>
            </w:r>
            <w:r>
              <w:rPr>
                <w:color w:val="007CBA"/>
                <w:sz w:val="16"/>
              </w:rPr>
              <w:t>Item 3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047" w:type="dxa"/>
            <w:tcBorders>
              <w:bottom w:val="single" w:sz="6" w:space="0" w:color="000000"/>
            </w:tcBorders>
            <w:shd w:fill="auto" w:val="clear"/>
            <w:tcMar>
              <w:bottom w:w="40" w:type="dxa"/>
            </w:tcMar>
            <w:vAlign w:val="center"/>
          </w:tcPr>
          <w:p>
            <w:pPr>
              <w:pStyle w:val="TableContents"/>
              <w:spacing w:before="0" w:after="283"/>
              <w:rPr>
                <w:sz w:val="16"/>
              </w:rPr>
            </w:pPr>
            <w:r>
              <w:rPr>
                <w:sz w:val="16"/>
              </w:rPr>
              <w:t>To vote on an advisory resolution to approve the compensation of our named executive officers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344" w:type="dxa"/>
            <w:tcBorders>
              <w:bottom w:val="single" w:sz="6" w:space="0" w:color="000000"/>
            </w:tcBorders>
            <w:shd w:fill="auto" w:val="clear"/>
            <w:tcMar>
              <w:bottom w:w="40" w:type="dxa"/>
            </w:tcMar>
            <w:vAlign w:val="center"/>
          </w:tcPr>
          <w:p>
            <w:pPr>
              <w:pStyle w:val="TableContents"/>
              <w:spacing w:before="0" w:after="0"/>
              <w:rPr>
                <w:rFonts w:ascii="ARIAL" w:hAnsi="ARIAL"/>
                <w:sz w:val="20"/>
              </w:rPr>
            </w:pPr>
            <w:r>
              <w:rPr>
                <w:rFonts w:ascii="ARIAL" w:hAnsi="ARIAL"/>
                <w:sz w:val="20"/>
              </w:rPr>
              <w:t>88</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838" w:type="dxa"/>
            <w:tcBorders>
              <w:bottom w:val="single" w:sz="6" w:space="0" w:color="000000"/>
            </w:tcBorders>
            <w:shd w:fill="auto" w:val="clear"/>
            <w:tcMar>
              <w:bottom w:w="40" w:type="dxa"/>
            </w:tcMar>
            <w:vAlign w:val="center"/>
          </w:tcPr>
          <w:p>
            <w:pPr>
              <w:pStyle w:val="TableContents"/>
              <w:spacing w:before="0" w:after="0"/>
              <w:rPr>
                <w:rFonts w:ascii="ARIAL" w:hAnsi="ARIAL"/>
                <w:b/>
                <w:sz w:val="20"/>
              </w:rPr>
            </w:pPr>
            <w:r>
              <w:rPr>
                <w:rFonts w:ascii="ARIAL" w:hAnsi="ARIAL"/>
                <w:b/>
                <w:sz w:val="20"/>
              </w:rPr>
              <w:t>FOR</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vMerge w:val="continue"/>
            <w:tcBorders>
              <w:top w:val="single" w:sz="6" w:space="0" w:color="CCCCCC"/>
              <w:left w:val="single" w:sz="6" w:space="0" w:color="CCCCCC"/>
              <w:bottom w:val="single" w:sz="6" w:space="0" w:color="CCCCCC"/>
            </w:tcBorders>
            <w:shd w:fill="E5F1F8" w:val="clear"/>
            <w:tcMar>
              <w:top w:w="28" w:type="dxa"/>
              <w:left w:w="28" w:type="dxa"/>
              <w:bottom w:w="28" w:type="dxa"/>
            </w:tcMar>
            <w:vAlign w:val="center"/>
          </w:tcPr>
          <w:p>
            <w:pPr>
              <w:pStyle w:val="Normal"/>
              <w:rPr/>
            </w:pPr>
            <w:r>
              <w:rPr/>
            </w:r>
          </w:p>
        </w:tc>
        <w:tc>
          <w:tcPr>
            <w:tcW w:w="3741" w:type="dxa"/>
            <w:vMerge w:val="continue"/>
            <w:tcBorders>
              <w:top w:val="single" w:sz="6" w:space="0" w:color="CCCCCC"/>
              <w:bottom w:val="single" w:sz="6" w:space="0" w:color="CCCCCC"/>
              <w:right w:val="single" w:sz="6" w:space="0" w:color="CCCCCC"/>
            </w:tcBorders>
            <w:shd w:fill="E5F1F8" w:val="clear"/>
            <w:tcMar>
              <w:top w:w="28" w:type="dxa"/>
              <w:bottom w:w="80" w:type="dxa"/>
              <w:right w:w="40" w:type="dxa"/>
            </w:tcMar>
            <w:vAlign w:val="center"/>
          </w:tcPr>
          <w:p>
            <w:pPr>
              <w:pStyle w:val="Normal"/>
              <w:rPr/>
            </w:pPr>
            <w:r>
              <w:rPr/>
            </w:r>
          </w:p>
        </w:tc>
      </w:tr>
      <w:tr>
        <w:trPr/>
        <w:tc>
          <w:tcPr>
            <w:tcW w:w="695" w:type="dxa"/>
            <w:tcBorders>
              <w:bottom w:val="single" w:sz="6" w:space="0" w:color="000000"/>
            </w:tcBorders>
            <w:shd w:fill="auto" w:val="clear"/>
            <w:tcMar>
              <w:bottom w:w="40" w:type="dxa"/>
            </w:tcMar>
            <w:vAlign w:val="center"/>
          </w:tcPr>
          <w:p>
            <w:pPr>
              <w:pStyle w:val="TableContents"/>
              <w:spacing w:before="0" w:after="283"/>
              <w:rPr>
                <w:color w:val="007CBA"/>
              </w:rPr>
            </w:pPr>
            <w:r>
              <w:rPr>
                <w:color w:val="007CBA"/>
              </w:rPr>
              <w:t>  </w:t>
            </w:r>
            <w:r>
              <w:rPr>
                <w:color w:val="007CBA"/>
                <w:sz w:val="16"/>
              </w:rPr>
              <w:t>Item 4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047" w:type="dxa"/>
            <w:tcBorders>
              <w:bottom w:val="single" w:sz="6" w:space="0" w:color="000000"/>
            </w:tcBorders>
            <w:shd w:fill="auto" w:val="clear"/>
            <w:tcMar>
              <w:bottom w:w="40" w:type="dxa"/>
            </w:tcMar>
            <w:vAlign w:val="center"/>
          </w:tcPr>
          <w:p>
            <w:pPr>
              <w:pStyle w:val="TableContents"/>
              <w:spacing w:before="0" w:after="283"/>
              <w:rPr>
                <w:sz w:val="16"/>
              </w:rPr>
            </w:pPr>
            <w:r>
              <w:rPr>
                <w:sz w:val="16"/>
              </w:rPr>
              <w:t>To vote on an advisory resolution regarding the frequency of shareholder votes on executive compensation</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344" w:type="dxa"/>
            <w:tcBorders>
              <w:bottom w:val="single" w:sz="6" w:space="0" w:color="000000"/>
            </w:tcBorders>
            <w:shd w:fill="auto" w:val="clear"/>
            <w:tcMar>
              <w:bottom w:w="40" w:type="dxa"/>
            </w:tcMar>
            <w:vAlign w:val="center"/>
          </w:tcPr>
          <w:p>
            <w:pPr>
              <w:pStyle w:val="TableContents"/>
              <w:spacing w:before="0" w:after="0"/>
              <w:rPr>
                <w:rFonts w:ascii="ARIAL" w:hAnsi="ARIAL"/>
                <w:sz w:val="20"/>
              </w:rPr>
            </w:pPr>
            <w:r>
              <w:rPr>
                <w:rFonts w:ascii="ARIAL" w:hAnsi="ARIAL"/>
                <w:sz w:val="20"/>
              </w:rPr>
              <w:t>89</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838" w:type="dxa"/>
            <w:tcBorders>
              <w:bottom w:val="single" w:sz="6" w:space="0" w:color="000000"/>
            </w:tcBorders>
            <w:shd w:fill="auto" w:val="clear"/>
            <w:tcMar>
              <w:bottom w:w="40" w:type="dxa"/>
            </w:tcMar>
            <w:vAlign w:val="center"/>
          </w:tcPr>
          <w:p>
            <w:pPr>
              <w:pStyle w:val="TableContents"/>
              <w:spacing w:before="0" w:after="0"/>
              <w:rPr>
                <w:rFonts w:ascii="ARIAL" w:hAnsi="ARIAL"/>
                <w:b/>
                <w:sz w:val="20"/>
              </w:rPr>
            </w:pPr>
            <w:r>
              <w:rPr>
                <w:rFonts w:ascii="ARIAL" w:hAnsi="ARIAL"/>
                <w:b/>
                <w:sz w:val="20"/>
              </w:rPr>
              <w:t>EVERY 1 YEAR</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vMerge w:val="continue"/>
            <w:tcBorders>
              <w:top w:val="single" w:sz="6" w:space="0" w:color="CCCCCC"/>
              <w:left w:val="single" w:sz="6" w:space="0" w:color="CCCCCC"/>
              <w:bottom w:val="single" w:sz="6" w:space="0" w:color="CCCCCC"/>
            </w:tcBorders>
            <w:shd w:fill="E5F1F8" w:val="clear"/>
            <w:tcMar>
              <w:top w:w="28" w:type="dxa"/>
              <w:left w:w="28" w:type="dxa"/>
              <w:bottom w:w="28" w:type="dxa"/>
            </w:tcMar>
            <w:vAlign w:val="center"/>
          </w:tcPr>
          <w:p>
            <w:pPr>
              <w:pStyle w:val="Normal"/>
              <w:rPr/>
            </w:pPr>
            <w:r>
              <w:rPr/>
            </w:r>
          </w:p>
        </w:tc>
        <w:tc>
          <w:tcPr>
            <w:tcW w:w="3741" w:type="dxa"/>
            <w:vMerge w:val="continue"/>
            <w:tcBorders>
              <w:top w:val="single" w:sz="6" w:space="0" w:color="CCCCCC"/>
              <w:bottom w:val="single" w:sz="6" w:space="0" w:color="CCCCCC"/>
              <w:right w:val="single" w:sz="6" w:space="0" w:color="CCCCCC"/>
            </w:tcBorders>
            <w:shd w:fill="E5F1F8" w:val="clear"/>
            <w:tcMar>
              <w:top w:w="28" w:type="dxa"/>
              <w:bottom w:w="80" w:type="dxa"/>
              <w:right w:w="40" w:type="dxa"/>
            </w:tcMar>
            <w:vAlign w:val="center"/>
          </w:tcPr>
          <w:p>
            <w:pPr>
              <w:pStyle w:val="Normal"/>
              <w:rPr/>
            </w:pPr>
            <w:r>
              <w:rPr/>
            </w:r>
          </w:p>
        </w:tc>
      </w:tr>
      <w:tr>
        <w:trPr/>
        <w:tc>
          <w:tcPr>
            <w:tcW w:w="695" w:type="dxa"/>
            <w:tcBorders>
              <w:bottom w:val="single" w:sz="6" w:space="0" w:color="000000"/>
            </w:tcBorders>
            <w:shd w:fill="auto" w:val="clear"/>
            <w:tcMar>
              <w:bottom w:w="40" w:type="dxa"/>
            </w:tcMar>
            <w:vAlign w:val="center"/>
          </w:tcPr>
          <w:p>
            <w:pPr>
              <w:pStyle w:val="TableContents"/>
              <w:spacing w:before="0" w:after="283"/>
              <w:rPr>
                <w:color w:val="007CBA"/>
              </w:rPr>
            </w:pPr>
            <w:r>
              <w:rPr>
                <w:color w:val="007CBA"/>
              </w:rPr>
              <w:t>  </w:t>
            </w:r>
            <w:r>
              <w:rPr>
                <w:color w:val="007CBA"/>
                <w:sz w:val="16"/>
              </w:rPr>
              <w:t>Item 5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047" w:type="dxa"/>
            <w:tcBorders>
              <w:bottom w:val="single" w:sz="6" w:space="0" w:color="000000"/>
            </w:tcBorders>
            <w:shd w:fill="auto" w:val="clear"/>
            <w:tcMar>
              <w:bottom w:w="40" w:type="dxa"/>
            </w:tcMar>
            <w:vAlign w:val="center"/>
          </w:tcPr>
          <w:p>
            <w:pPr>
              <w:pStyle w:val="TableContents"/>
              <w:spacing w:before="0" w:after="20"/>
              <w:rPr>
                <w:rFonts w:ascii="ARIAL" w:hAnsi="ARIAL"/>
                <w:sz w:val="16"/>
              </w:rPr>
            </w:pPr>
            <w:r>
              <w:rPr>
                <w:rFonts w:ascii="ARIAL" w:hAnsi="ARIAL"/>
                <w:sz w:val="16"/>
              </w:rPr>
              <w:t>To vote on a shareholder proposal, if properly presented at the meeting, described in the accompanying proxy statement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344" w:type="dxa"/>
            <w:tcBorders>
              <w:bottom w:val="single" w:sz="6" w:space="0" w:color="000000"/>
            </w:tcBorders>
            <w:shd w:fill="auto" w:val="clear"/>
            <w:tcMar>
              <w:bottom w:w="40" w:type="dxa"/>
            </w:tcMar>
            <w:vAlign w:val="center"/>
          </w:tcPr>
          <w:p>
            <w:pPr>
              <w:pStyle w:val="TableContents"/>
              <w:spacing w:before="0" w:after="0"/>
              <w:rPr>
                <w:rFonts w:ascii="ARIAL" w:hAnsi="ARIAL"/>
                <w:sz w:val="20"/>
              </w:rPr>
            </w:pPr>
            <w:r>
              <w:rPr>
                <w:rFonts w:ascii="ARIAL" w:hAnsi="ARIAL"/>
                <w:sz w:val="20"/>
              </w:rPr>
              <w:t>90</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838" w:type="dxa"/>
            <w:tcBorders>
              <w:bottom w:val="single" w:sz="6" w:space="0" w:color="000000"/>
            </w:tcBorders>
            <w:shd w:fill="auto" w:val="clear"/>
            <w:tcMar>
              <w:bottom w:w="40" w:type="dxa"/>
            </w:tcMar>
            <w:vAlign w:val="center"/>
          </w:tcPr>
          <w:p>
            <w:pPr>
              <w:pStyle w:val="TableContents"/>
              <w:spacing w:before="0" w:after="0"/>
              <w:rPr>
                <w:rFonts w:ascii="ARIAL" w:hAnsi="ARIAL"/>
                <w:b/>
                <w:sz w:val="20"/>
              </w:rPr>
            </w:pPr>
            <w:r>
              <w:rPr>
                <w:rFonts w:ascii="ARIAL" w:hAnsi="ARIAL"/>
                <w:b/>
                <w:sz w:val="20"/>
              </w:rPr>
              <w:t>AGAINST</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vMerge w:val="continue"/>
            <w:tcBorders>
              <w:top w:val="single" w:sz="6" w:space="0" w:color="CCCCCC"/>
              <w:left w:val="single" w:sz="6" w:space="0" w:color="CCCCCC"/>
              <w:bottom w:val="single" w:sz="6" w:space="0" w:color="CCCCCC"/>
            </w:tcBorders>
            <w:shd w:fill="E5F1F8" w:val="clear"/>
            <w:tcMar>
              <w:top w:w="28" w:type="dxa"/>
              <w:left w:w="28" w:type="dxa"/>
              <w:bottom w:w="28" w:type="dxa"/>
            </w:tcMar>
            <w:vAlign w:val="center"/>
          </w:tcPr>
          <w:p>
            <w:pPr>
              <w:pStyle w:val="Normal"/>
              <w:rPr/>
            </w:pPr>
            <w:r>
              <w:rPr/>
            </w:r>
          </w:p>
        </w:tc>
        <w:tc>
          <w:tcPr>
            <w:tcW w:w="3741" w:type="dxa"/>
            <w:vMerge w:val="continue"/>
            <w:tcBorders>
              <w:top w:val="single" w:sz="6" w:space="0" w:color="CCCCCC"/>
              <w:bottom w:val="single" w:sz="6" w:space="0" w:color="CCCCCC"/>
              <w:right w:val="single" w:sz="6" w:space="0" w:color="CCCCCC"/>
            </w:tcBorders>
            <w:shd w:fill="E5F1F8" w:val="clear"/>
            <w:tcMar>
              <w:top w:w="28" w:type="dxa"/>
              <w:bottom w:w="80" w:type="dxa"/>
              <w:right w:w="40" w:type="dxa"/>
            </w:tcMar>
            <w:vAlign w:val="center"/>
          </w:tcPr>
          <w:p>
            <w:pPr>
              <w:pStyle w:val="Normal"/>
              <w:rPr/>
            </w:pPr>
            <w:r>
              <w:rPr/>
            </w:r>
          </w:p>
        </w:tc>
      </w:tr>
      <w:tr>
        <w:trPr/>
        <w:tc>
          <w:tcPr>
            <w:tcW w:w="695"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047" w:type="dxa"/>
            <w:tcBorders>
              <w:bottom w:val="single" w:sz="6" w:space="0" w:color="000000"/>
            </w:tcBorders>
            <w:shd w:fill="auto" w:val="clear"/>
            <w:tcMar>
              <w:bottom w:w="80" w:type="dxa"/>
            </w:tcMar>
            <w:vAlign w:val="center"/>
          </w:tcPr>
          <w:p>
            <w:pPr>
              <w:pStyle w:val="TableContents"/>
              <w:spacing w:before="0" w:after="283"/>
              <w:rPr/>
            </w:pPr>
            <w:r>
              <w:rPr/>
              <w:t>Any other matters that may properly come before the meeting</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344"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838"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vMerge w:val="continue"/>
            <w:tcBorders>
              <w:top w:val="single" w:sz="6" w:space="0" w:color="CCCCCC"/>
              <w:left w:val="single" w:sz="6" w:space="0" w:color="CCCCCC"/>
              <w:bottom w:val="single" w:sz="6" w:space="0" w:color="CCCCCC"/>
            </w:tcBorders>
            <w:shd w:fill="E5F1F8" w:val="clear"/>
            <w:tcMar>
              <w:top w:w="28" w:type="dxa"/>
              <w:left w:w="28" w:type="dxa"/>
              <w:bottom w:w="28" w:type="dxa"/>
            </w:tcMar>
            <w:vAlign w:val="center"/>
          </w:tcPr>
          <w:p>
            <w:pPr>
              <w:pStyle w:val="Normal"/>
              <w:rPr/>
            </w:pPr>
            <w:r>
              <w:rPr/>
            </w:r>
          </w:p>
        </w:tc>
        <w:tc>
          <w:tcPr>
            <w:tcW w:w="3741" w:type="dxa"/>
            <w:vMerge w:val="continue"/>
            <w:tcBorders>
              <w:top w:val="single" w:sz="6" w:space="0" w:color="CCCCCC"/>
              <w:bottom w:val="single" w:sz="6" w:space="0" w:color="CCCCCC"/>
              <w:right w:val="single" w:sz="6" w:space="0" w:color="CCCCCC"/>
            </w:tcBorders>
            <w:shd w:fill="E5F1F8" w:val="clear"/>
            <w:tcMar>
              <w:top w:w="28" w:type="dxa"/>
              <w:bottom w:w="80" w:type="dxa"/>
              <w:right w:w="40" w:type="dxa"/>
            </w:tcMar>
            <w:vAlign w:val="center"/>
          </w:tcPr>
          <w:p>
            <w:pPr>
              <w:pStyle w:val="Normal"/>
              <w:rPr/>
            </w:pPr>
            <w:r>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34"/>
        <w:gridCol w:w="60"/>
        <w:gridCol w:w="1047"/>
        <w:gridCol w:w="70"/>
        <w:gridCol w:w="3394"/>
      </w:tblGrid>
      <w:tr>
        <w:trPr/>
        <w:tc>
          <w:tcPr>
            <w:tcW w:w="56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3394" w:type="dxa"/>
            <w:tcBorders/>
            <w:shd w:fill="auto" w:val="clear"/>
            <w:vAlign w:val="center"/>
          </w:tcPr>
          <w:p>
            <w:pPr>
              <w:pStyle w:val="TableContents"/>
              <w:spacing w:before="0" w:after="283"/>
              <w:rPr>
                <w:sz w:val="4"/>
                <w:szCs w:val="4"/>
              </w:rPr>
            </w:pPr>
            <w:r>
              <w:rPr>
                <w:sz w:val="4"/>
                <w:szCs w:val="4"/>
              </w:rPr>
            </w:r>
          </w:p>
        </w:tc>
      </w:tr>
      <w:tr>
        <w:trPr/>
        <w:tc>
          <w:tcPr>
            <w:tcW w:w="5634" w:type="dxa"/>
            <w:vMerge w:val="restart"/>
            <w:tcBorders/>
            <w:shd w:fill="auto" w:val="clear"/>
            <w:vAlign w:val="center"/>
          </w:tcPr>
          <w:p>
            <w:pPr>
              <w:pStyle w:val="TableContents"/>
              <w:spacing w:before="0" w:after="0"/>
              <w:rPr>
                <w:rFonts w:ascii="ARIAL" w:hAnsi="ARIAL"/>
                <w:b/>
                <w:color w:val="007CBA"/>
                <w:sz w:val="22"/>
              </w:rPr>
            </w:pPr>
            <w:r>
              <w:rPr>
                <w:rFonts w:ascii="ARIAL" w:hAnsi="ARIAL"/>
                <w:b/>
                <w:color w:val="007CBA"/>
                <w:sz w:val="22"/>
              </w:rPr>
              <w:t>Date of Availability:</w:t>
            </w:r>
          </w:p>
          <w:p>
            <w:pPr>
              <w:pStyle w:val="TableContents"/>
              <w:spacing w:before="0" w:after="0"/>
              <w:rPr>
                <w:rFonts w:ascii="ARIAL" w:hAnsi="ARIAL"/>
                <w:sz w:val="18"/>
              </w:rPr>
            </w:pPr>
            <w:r>
              <w:rPr>
                <w:rFonts w:ascii="ARIAL" w:hAnsi="ARIAL"/>
                <w:sz w:val="18"/>
              </w:rPr>
              <w:t>This Notice, Proxy Statement, the Proxy Card, and the Notice of Meeting are being sent commencing on approximately April 13, 2023 to shareholders of record at the close of business on March 6, 2023.</w:t>
            </w:r>
          </w:p>
          <w:p>
            <w:pPr>
              <w:pStyle w:val="TableContents"/>
              <w:spacing w:before="0" w:after="0"/>
              <w:rPr/>
            </w:pPr>
            <w:r>
              <w:rPr/>
              <w:t> </w:t>
            </w:r>
          </w:p>
          <w:p>
            <w:pPr>
              <w:pStyle w:val="TableContents"/>
              <w:spacing w:before="0" w:after="0"/>
              <w:rPr>
                <w:rFonts w:ascii="ARIAL" w:hAnsi="ARIAL"/>
                <w:sz w:val="18"/>
              </w:rPr>
            </w:pPr>
            <w:r>
              <w:rPr>
                <w:rFonts w:ascii="ARIAL" w:hAnsi="ARIAL"/>
                <w:b/>
                <w:sz w:val="18"/>
              </w:rPr>
              <w:t>Your vote is important</w:t>
            </w:r>
            <w:r>
              <w:rPr>
                <w:rFonts w:ascii="ARIAL" w:hAnsi="ARIAL"/>
                <w:sz w:val="18"/>
              </w:rPr>
              <w:t>. You may vote in person at the 2023 Annual Meeting of Shareholders (Annual Meeting) or submit a proxy over the internet. If you have received a paper copy of the Proxy Card (or if you request a paper copy of the materials), you may submit a proxy by telephone or by mail.</w:t>
            </w:r>
          </w:p>
          <w:p>
            <w:pPr>
              <w:pStyle w:val="TableContents"/>
              <w:spacing w:before="0" w:after="0"/>
              <w:rPr/>
            </w:pPr>
            <w:r>
              <w:rPr/>
              <w:t> </w:t>
            </w:r>
          </w:p>
          <w:p>
            <w:pPr>
              <w:pStyle w:val="TableContents"/>
              <w:spacing w:before="0" w:after="0"/>
              <w:rPr>
                <w:rFonts w:ascii="ARIAL" w:hAnsi="ARIAL"/>
                <w:color w:val="1989C0"/>
                <w:sz w:val="18"/>
              </w:rPr>
            </w:pPr>
            <w:r>
              <w:rPr>
                <w:rFonts w:ascii="ARIAL" w:hAnsi="ARIAL"/>
                <w:color w:val="1989C0"/>
                <w:sz w:val="18"/>
              </w:rPr>
              <w:t xml:space="preserve">Whether or not you expect to attend the meeting, we hope you will </w:t>
            </w:r>
            <w:r>
              <w:rPr>
                <w:rFonts w:ascii="ARIAL" w:hAnsi="ARIAL"/>
                <w:b/>
                <w:color w:val="1989C0"/>
                <w:sz w:val="18"/>
              </w:rPr>
              <w:t xml:space="preserve">date and sign the enclosed Proxy Card </w:t>
            </w:r>
            <w:r>
              <w:rPr>
                <w:rFonts w:ascii="ARIAL" w:hAnsi="ARIAL"/>
                <w:color w:val="1989C0"/>
                <w:sz w:val="18"/>
              </w:rPr>
              <w:t>and mail it promptly in the enclosed stamped envelope. Submitting your proxy now will not prevent you from voting your shares at the meeting, as your proxy is revocable at your option.</w:t>
            </w:r>
          </w:p>
          <w:p>
            <w:pPr>
              <w:pStyle w:val="TableContents"/>
              <w:spacing w:before="0" w:after="0"/>
              <w:rPr/>
            </w:pPr>
            <w:r>
              <w:rPr/>
              <w:t> </w:t>
            </w:r>
          </w:p>
          <w:p>
            <w:pPr>
              <w:pStyle w:val="TableContents"/>
              <w:spacing w:before="0" w:after="0"/>
              <w:rPr>
                <w:rFonts w:ascii="ARIAL" w:hAnsi="ARIAL"/>
                <w:sz w:val="18"/>
              </w:rPr>
            </w:pPr>
            <w:r>
              <w:rPr>
                <w:rFonts w:ascii="ARIAL" w:hAnsi="ARIAL"/>
                <w:sz w:val="18"/>
              </w:rPr>
              <w:t>If you submit your proxy by telephone or over the internet, you do not need to return your Proxy Card by mail.</w:t>
            </w:r>
          </w:p>
          <w:p>
            <w:pPr>
              <w:pStyle w:val="TableContents"/>
              <w:spacing w:before="0" w:after="0"/>
              <w:rPr/>
            </w:pPr>
            <w:r>
              <w:rPr/>
              <w:t> </w:t>
            </w:r>
          </w:p>
          <w:p>
            <w:pPr>
              <w:pStyle w:val="TableContents"/>
              <w:spacing w:before="0" w:after="0"/>
              <w:rPr>
                <w:rFonts w:ascii="ARIAL" w:hAnsi="ARIAL"/>
                <w:sz w:val="22"/>
              </w:rPr>
            </w:pPr>
            <w:r>
              <w:rPr>
                <w:rFonts w:ascii="ARIAL" w:hAnsi="ARIAL"/>
                <w:sz w:val="22"/>
              </w:rPr>
              <w:t>Sincerely,</w:t>
            </w:r>
          </w:p>
          <w:p>
            <w:pPr>
              <w:pStyle w:val="TableContents"/>
              <w:spacing w:before="0" w:after="0"/>
              <w:rPr/>
            </w:pPr>
            <w:r>
              <w:rPr/>
              <w:t> </w:t>
            </w:r>
          </w:p>
          <w:p>
            <w:pPr>
              <w:pStyle w:val="TableContents"/>
              <w:spacing w:before="0" w:after="0"/>
              <w:rPr/>
            </w:pPr>
            <w:r>
              <w:rPr/>
              <w:drawing>
                <wp:inline distT="0" distB="0" distL="0" distR="0">
                  <wp:extent cx="137160" cy="5334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7160" cy="53340"/>
                          </a:xfrm>
                          <a:prstGeom prst="rect">
                            <a:avLst/>
                          </a:prstGeom>
                        </pic:spPr>
                      </pic:pic>
                    </a:graphicData>
                  </a:graphic>
                </wp:inline>
              </w:drawing>
            </w:r>
            <w:r>
              <w:rPr/>
              <w:t xml:space="preserve"> </w:t>
            </w:r>
          </w:p>
          <w:p>
            <w:pPr>
              <w:pStyle w:val="TableContents"/>
              <w:spacing w:before="0" w:after="0"/>
              <w:rPr>
                <w:rFonts w:ascii="ARIAL" w:hAnsi="ARIAL"/>
                <w:b/>
                <w:color w:val="1989C0"/>
                <w:sz w:val="22"/>
              </w:rPr>
            </w:pPr>
            <w:r>
              <w:rPr>
                <w:rFonts w:ascii="ARIAL" w:hAnsi="ARIAL"/>
                <w:b/>
                <w:color w:val="1989C0"/>
                <w:sz w:val="22"/>
              </w:rPr>
              <w:t>Roselyn R. Bar</w:t>
            </w:r>
          </w:p>
          <w:p>
            <w:pPr>
              <w:pStyle w:val="TableContents"/>
              <w:spacing w:before="0" w:after="0"/>
              <w:rPr>
                <w:rFonts w:ascii="ARIAL" w:hAnsi="ARIAL"/>
                <w:i/>
                <w:sz w:val="22"/>
              </w:rPr>
            </w:pPr>
            <w:r>
              <w:rPr>
                <w:rFonts w:ascii="ARIAL" w:hAnsi="ARIAL"/>
                <w:i/>
                <w:sz w:val="22"/>
              </w:rPr>
              <w:t>Executive Vice President, General Counsel</w:t>
            </w:r>
          </w:p>
          <w:p>
            <w:pPr>
              <w:pStyle w:val="TableContents"/>
              <w:spacing w:before="0" w:after="0"/>
              <w:rPr>
                <w:rFonts w:ascii="ARIAL" w:hAnsi="ARIAL"/>
                <w:i/>
                <w:sz w:val="22"/>
              </w:rPr>
            </w:pPr>
            <w:r>
              <w:rPr>
                <w:rFonts w:ascii="ARIAL" w:hAnsi="ARIAL"/>
                <w:i/>
                <w:sz w:val="22"/>
              </w:rPr>
              <w:t>and Corporate Secretary</w:t>
            </w:r>
          </w:p>
          <w:p>
            <w:pPr>
              <w:pStyle w:val="TableContents"/>
              <w:spacing w:before="0" w:after="0"/>
              <w:rPr>
                <w:rFonts w:ascii="ARIAL" w:hAnsi="ARIAL"/>
                <w:sz w:val="22"/>
              </w:rPr>
            </w:pPr>
            <w:r>
              <w:rPr>
                <w:rFonts w:ascii="ARIAL" w:hAnsi="ARIAL"/>
                <w:sz w:val="22"/>
              </w:rPr>
              <w:t>Martin Marietta Materials, Inc.</w:t>
            </w:r>
          </w:p>
          <w:p>
            <w:pPr>
              <w:pStyle w:val="TableContents"/>
              <w:spacing w:before="0" w:after="0"/>
              <w:rPr>
                <w:rFonts w:ascii="ARIAL" w:hAnsi="ARIAL"/>
                <w:sz w:val="22"/>
              </w:rPr>
            </w:pPr>
            <w:r>
              <w:rPr>
                <w:rFonts w:ascii="ARIAL" w:hAnsi="ARIAL"/>
                <w:sz w:val="22"/>
              </w:rPr>
              <w:t>Raleigh, North Carolina</w:t>
            </w:r>
          </w:p>
          <w:p>
            <w:pPr>
              <w:pStyle w:val="TableContents"/>
              <w:spacing w:before="0" w:after="20"/>
              <w:rPr>
                <w:rFonts w:ascii="ARIAL" w:hAnsi="ARIAL"/>
                <w:sz w:val="22"/>
              </w:rPr>
            </w:pPr>
            <w:r>
              <w:rPr>
                <w:rFonts w:ascii="ARIAL" w:hAnsi="ARIAL"/>
                <w:sz w:val="22"/>
              </w:rPr>
              <w:t>April 13, 2023</w:t>
            </w:r>
          </w:p>
        </w:tc>
        <w:tc>
          <w:tcPr>
            <w:tcW w:w="60" w:type="dxa"/>
            <w:tcBorders/>
            <w:shd w:fill="auto" w:val="clear"/>
            <w:vAlign w:val="center"/>
          </w:tcPr>
          <w:p>
            <w:pPr>
              <w:pStyle w:val="TableContents"/>
              <w:spacing w:before="0" w:after="283"/>
              <w:rPr/>
            </w:pPr>
            <w:r>
              <w:rPr/>
              <w:t> </w:t>
            </w:r>
          </w:p>
        </w:tc>
        <w:tc>
          <w:tcPr>
            <w:tcW w:w="4511" w:type="dxa"/>
            <w:gridSpan w:val="3"/>
            <w:tcBorders/>
            <w:shd w:fill="auto" w:val="clear"/>
            <w:vAlign w:val="center"/>
          </w:tcPr>
          <w:p>
            <w:pPr>
              <w:pStyle w:val="TableContents"/>
              <w:spacing w:before="0" w:after="0"/>
              <w:rPr>
                <w:rFonts w:ascii="ARIAL" w:hAnsi="ARIAL"/>
                <w:b/>
                <w:color w:val="007CBA"/>
                <w:sz w:val="22"/>
              </w:rPr>
            </w:pPr>
            <w:r>
              <w:rPr>
                <w:rFonts w:ascii="ARIAL" w:hAnsi="ARIAL"/>
                <w:b/>
                <w:color w:val="007CBA"/>
                <w:sz w:val="22"/>
              </w:rPr>
              <w:t>How to Vote:</w:t>
            </w:r>
          </w:p>
          <w:p>
            <w:pPr>
              <w:pStyle w:val="TableContents"/>
              <w:spacing w:before="0" w:after="0"/>
              <w:rPr>
                <w:rFonts w:ascii="ARIAL" w:hAnsi="ARIAL"/>
                <w:b/>
                <w:sz w:val="20"/>
              </w:rPr>
            </w:pPr>
            <w:r>
              <w:rPr>
                <w:rFonts w:ascii="ARIAL" w:hAnsi="ARIAL"/>
                <w:b/>
                <w:sz w:val="20"/>
              </w:rPr>
              <w:t>It is important that your shares be represented and voted at the Annual Meeting. We urge you to vote by using any of these methods.</w:t>
            </w:r>
          </w:p>
          <w:p>
            <w:pPr>
              <w:pStyle w:val="TableContents"/>
              <w:spacing w:before="0" w:after="20"/>
              <w:rPr/>
            </w:pPr>
            <w:r>
              <w:rPr/>
              <w:t> </w:t>
            </w:r>
          </w:p>
        </w:tc>
      </w:tr>
      <w:tr>
        <w:trPr/>
        <w:tc>
          <w:tcPr>
            <w:tcW w:w="5634"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047" w:type="dxa"/>
            <w:tcBorders/>
            <w:shd w:fill="auto" w:val="clear"/>
            <w:vAlign w:val="center"/>
          </w:tcPr>
          <w:p>
            <w:pPr>
              <w:pStyle w:val="TableContents"/>
              <w:spacing w:before="0" w:after="283"/>
              <w:jc w:val="center"/>
              <w:rPr/>
            </w:pPr>
            <w:r>
              <w:rPr/>
              <w:drawing>
                <wp:inline distT="0" distB="0" distL="0" distR="0">
                  <wp:extent cx="419100" cy="428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19100" cy="428625"/>
                          </a:xfrm>
                          <a:prstGeom prst="rect">
                            <a:avLst/>
                          </a:prstGeom>
                        </pic:spPr>
                      </pic:pic>
                    </a:graphicData>
                  </a:graphic>
                </wp:inline>
              </w:drawing>
            </w:r>
            <w:r>
              <w:rPr/>
              <w:t xml:space="preserve"> </w:t>
            </w:r>
          </w:p>
        </w:tc>
        <w:tc>
          <w:tcPr>
            <w:tcW w:w="70" w:type="dxa"/>
            <w:tcBorders/>
            <w:shd w:fill="auto" w:val="clear"/>
            <w:vAlign w:val="center"/>
          </w:tcPr>
          <w:p>
            <w:pPr>
              <w:pStyle w:val="TableContents"/>
              <w:spacing w:before="0" w:after="283"/>
              <w:rPr/>
            </w:pPr>
            <w:r>
              <w:rPr/>
              <w:t> </w:t>
            </w:r>
          </w:p>
        </w:tc>
        <w:tc>
          <w:tcPr>
            <w:tcW w:w="3394" w:type="dxa"/>
            <w:tcBorders/>
            <w:shd w:fill="auto" w:val="clear"/>
            <w:vAlign w:val="center"/>
          </w:tcPr>
          <w:p>
            <w:pPr>
              <w:pStyle w:val="TableContents"/>
              <w:spacing w:before="0" w:after="0"/>
              <w:rPr>
                <w:rFonts w:ascii="ARIAL" w:hAnsi="ARIAL"/>
                <w:b/>
                <w:sz w:val="22"/>
              </w:rPr>
            </w:pPr>
            <w:r>
              <w:rPr>
                <w:rFonts w:ascii="ARIAL" w:hAnsi="ARIAL"/>
                <w:b/>
                <w:sz w:val="22"/>
              </w:rPr>
              <w:t>Via the internet</w:t>
            </w:r>
          </w:p>
          <w:p>
            <w:pPr>
              <w:pStyle w:val="TableContents"/>
              <w:spacing w:before="0" w:after="20"/>
              <w:rPr>
                <w:rFonts w:ascii="ARIAL" w:hAnsi="ARIAL"/>
                <w:sz w:val="20"/>
              </w:rPr>
            </w:pPr>
            <w:r>
              <w:rPr>
                <w:rFonts w:ascii="ARIAL" w:hAnsi="ARIAL"/>
                <w:sz w:val="20"/>
              </w:rPr>
              <w:t>www.voteproxy.com</w:t>
            </w:r>
          </w:p>
        </w:tc>
      </w:tr>
      <w:tr>
        <w:trPr/>
        <w:tc>
          <w:tcPr>
            <w:tcW w:w="5634"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047" w:type="dxa"/>
            <w:tcBorders/>
            <w:shd w:fill="auto" w:val="clear"/>
            <w:vAlign w:val="center"/>
          </w:tcPr>
          <w:p>
            <w:pPr>
              <w:pStyle w:val="TableContents"/>
              <w:spacing w:before="0" w:after="0"/>
              <w:rPr/>
            </w:pPr>
            <w:r>
              <w:rPr/>
              <w:t> </w:t>
            </w:r>
          </w:p>
          <w:p>
            <w:pPr>
              <w:pStyle w:val="TableContents"/>
              <w:spacing w:before="0" w:after="20"/>
              <w:jc w:val="center"/>
              <w:rPr/>
            </w:pPr>
            <w:r>
              <w:rPr/>
              <w:drawing>
                <wp:inline distT="0" distB="0" distL="0" distR="0">
                  <wp:extent cx="285750" cy="447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85750" cy="447675"/>
                          </a:xfrm>
                          <a:prstGeom prst="rect">
                            <a:avLst/>
                          </a:prstGeom>
                        </pic:spPr>
                      </pic:pic>
                    </a:graphicData>
                  </a:graphic>
                </wp:inline>
              </w:drawing>
            </w:r>
            <w:r>
              <w:rPr/>
              <w:t xml:space="preserve"> </w:t>
            </w:r>
          </w:p>
        </w:tc>
        <w:tc>
          <w:tcPr>
            <w:tcW w:w="70" w:type="dxa"/>
            <w:tcBorders/>
            <w:shd w:fill="auto" w:val="clear"/>
            <w:vAlign w:val="center"/>
          </w:tcPr>
          <w:p>
            <w:pPr>
              <w:pStyle w:val="TableContents"/>
              <w:spacing w:before="0" w:after="283"/>
              <w:rPr/>
            </w:pPr>
            <w:r>
              <w:rPr/>
              <w:t> </w:t>
            </w:r>
          </w:p>
        </w:tc>
        <w:tc>
          <w:tcPr>
            <w:tcW w:w="3394" w:type="dxa"/>
            <w:tcBorders/>
            <w:shd w:fill="auto" w:val="clear"/>
            <w:vAlign w:val="center"/>
          </w:tcPr>
          <w:p>
            <w:pPr>
              <w:pStyle w:val="TableContents"/>
              <w:spacing w:before="0" w:after="0"/>
              <w:rPr/>
            </w:pPr>
            <w:r>
              <w:rPr/>
              <w:t> </w:t>
            </w:r>
          </w:p>
          <w:p>
            <w:pPr>
              <w:pStyle w:val="TableContents"/>
              <w:spacing w:before="0" w:after="0"/>
              <w:rPr>
                <w:rFonts w:ascii="ARIAL" w:hAnsi="ARIAL"/>
                <w:b/>
                <w:sz w:val="22"/>
              </w:rPr>
            </w:pPr>
            <w:r>
              <w:rPr>
                <w:rFonts w:ascii="ARIAL" w:hAnsi="ARIAL"/>
                <w:b/>
                <w:sz w:val="22"/>
              </w:rPr>
              <w:t>By Telephone</w:t>
            </w:r>
          </w:p>
          <w:p>
            <w:pPr>
              <w:pStyle w:val="TableContents"/>
              <w:spacing w:before="0" w:after="0"/>
              <w:rPr>
                <w:rFonts w:ascii="ARIAL" w:hAnsi="ARIAL"/>
                <w:sz w:val="20"/>
              </w:rPr>
            </w:pPr>
            <w:r>
              <w:rPr>
                <w:rFonts w:ascii="ARIAL" w:hAnsi="ARIAL"/>
                <w:sz w:val="20"/>
              </w:rPr>
              <w:t>1-800-PROXIES (1-800-776-9437) in the United States or</w:t>
            </w:r>
          </w:p>
          <w:p>
            <w:pPr>
              <w:pStyle w:val="TableContents"/>
              <w:spacing w:before="0" w:after="20"/>
              <w:rPr>
                <w:rFonts w:ascii="ARIAL" w:hAnsi="ARIAL"/>
                <w:sz w:val="20"/>
              </w:rPr>
            </w:pPr>
            <w:r>
              <w:rPr>
                <w:rFonts w:ascii="ARIAL" w:hAnsi="ARIAL"/>
                <w:sz w:val="20"/>
              </w:rPr>
              <w:t>1-718-921-8500 from outside the United States</w:t>
            </w:r>
          </w:p>
        </w:tc>
      </w:tr>
      <w:tr>
        <w:trPr/>
        <w:tc>
          <w:tcPr>
            <w:tcW w:w="5634"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047" w:type="dxa"/>
            <w:tcBorders/>
            <w:shd w:fill="auto" w:val="clear"/>
            <w:vAlign w:val="center"/>
          </w:tcPr>
          <w:p>
            <w:pPr>
              <w:pStyle w:val="TableContents"/>
              <w:spacing w:before="0" w:after="0"/>
              <w:rPr/>
            </w:pPr>
            <w:r>
              <w:rPr/>
              <w:t> </w:t>
            </w:r>
          </w:p>
          <w:p>
            <w:pPr>
              <w:pStyle w:val="TableContents"/>
              <w:spacing w:before="0" w:after="20"/>
              <w:jc w:val="center"/>
              <w:rPr/>
            </w:pPr>
            <w:r>
              <w:rPr/>
              <w:drawing>
                <wp:inline distT="0" distB="0" distL="0" distR="0">
                  <wp:extent cx="419100" cy="485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19100" cy="485775"/>
                          </a:xfrm>
                          <a:prstGeom prst="rect">
                            <a:avLst/>
                          </a:prstGeom>
                        </pic:spPr>
                      </pic:pic>
                    </a:graphicData>
                  </a:graphic>
                </wp:inline>
              </w:drawing>
            </w:r>
            <w:r>
              <w:rPr/>
              <w:t xml:space="preserve"> </w:t>
            </w:r>
          </w:p>
        </w:tc>
        <w:tc>
          <w:tcPr>
            <w:tcW w:w="70" w:type="dxa"/>
            <w:tcBorders/>
            <w:shd w:fill="auto" w:val="clear"/>
            <w:vAlign w:val="center"/>
          </w:tcPr>
          <w:p>
            <w:pPr>
              <w:pStyle w:val="TableContents"/>
              <w:spacing w:before="0" w:after="283"/>
              <w:rPr/>
            </w:pPr>
            <w:r>
              <w:rPr/>
              <w:t> </w:t>
            </w:r>
          </w:p>
        </w:tc>
        <w:tc>
          <w:tcPr>
            <w:tcW w:w="3394" w:type="dxa"/>
            <w:tcBorders/>
            <w:shd w:fill="auto" w:val="clear"/>
            <w:vAlign w:val="center"/>
          </w:tcPr>
          <w:p>
            <w:pPr>
              <w:pStyle w:val="TableContents"/>
              <w:spacing w:before="0" w:after="0"/>
              <w:rPr/>
            </w:pPr>
            <w:r>
              <w:rPr/>
              <w:t> </w:t>
            </w:r>
          </w:p>
          <w:p>
            <w:pPr>
              <w:pStyle w:val="TableContents"/>
              <w:spacing w:before="0" w:after="0"/>
              <w:rPr>
                <w:rFonts w:ascii="ARIAL" w:hAnsi="ARIAL"/>
                <w:b/>
                <w:sz w:val="22"/>
              </w:rPr>
            </w:pPr>
            <w:r>
              <w:rPr>
                <w:rFonts w:ascii="ARIAL" w:hAnsi="ARIAL"/>
                <w:b/>
                <w:sz w:val="22"/>
              </w:rPr>
              <w:t>By Mail</w:t>
            </w:r>
          </w:p>
          <w:p>
            <w:pPr>
              <w:pStyle w:val="TableContents"/>
              <w:spacing w:before="0" w:after="20"/>
              <w:rPr>
                <w:rFonts w:ascii="ARIAL" w:hAnsi="ARIAL"/>
                <w:sz w:val="20"/>
              </w:rPr>
            </w:pPr>
            <w:r>
              <w:rPr>
                <w:rFonts w:ascii="ARIAL" w:hAnsi="ARIAL"/>
                <w:sz w:val="20"/>
              </w:rPr>
              <w:t>Sign, date and mail your proxy card in the envelope provided</w:t>
            </w:r>
          </w:p>
        </w:tc>
      </w:tr>
      <w:tr>
        <w:trPr/>
        <w:tc>
          <w:tcPr>
            <w:tcW w:w="5634"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047" w:type="dxa"/>
            <w:tcBorders/>
            <w:shd w:fill="auto" w:val="clear"/>
            <w:vAlign w:val="center"/>
          </w:tcPr>
          <w:p>
            <w:pPr>
              <w:pStyle w:val="TableContents"/>
              <w:spacing w:before="0" w:after="0"/>
              <w:rPr/>
            </w:pPr>
            <w:r>
              <w:rPr/>
              <w:t> </w:t>
            </w:r>
          </w:p>
          <w:p>
            <w:pPr>
              <w:pStyle w:val="TableContents"/>
              <w:spacing w:before="0" w:after="20"/>
              <w:jc w:val="center"/>
              <w:rPr/>
            </w:pPr>
            <w:r>
              <w:rPr/>
              <w:drawing>
                <wp:inline distT="0" distB="0" distL="0" distR="0">
                  <wp:extent cx="552450"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52450" cy="381000"/>
                          </a:xfrm>
                          <a:prstGeom prst="rect">
                            <a:avLst/>
                          </a:prstGeom>
                        </pic:spPr>
                      </pic:pic>
                    </a:graphicData>
                  </a:graphic>
                </wp:inline>
              </w:drawing>
            </w:r>
            <w:r>
              <w:rPr/>
              <w:t xml:space="preserve"> </w:t>
            </w:r>
          </w:p>
        </w:tc>
        <w:tc>
          <w:tcPr>
            <w:tcW w:w="70" w:type="dxa"/>
            <w:tcBorders/>
            <w:shd w:fill="auto" w:val="clear"/>
            <w:vAlign w:val="center"/>
          </w:tcPr>
          <w:p>
            <w:pPr>
              <w:pStyle w:val="TableContents"/>
              <w:spacing w:before="0" w:after="283"/>
              <w:rPr/>
            </w:pPr>
            <w:r>
              <w:rPr/>
              <w:t> </w:t>
            </w:r>
          </w:p>
        </w:tc>
        <w:tc>
          <w:tcPr>
            <w:tcW w:w="3394" w:type="dxa"/>
            <w:tcBorders/>
            <w:shd w:fill="auto" w:val="clear"/>
            <w:vAlign w:val="center"/>
          </w:tcPr>
          <w:p>
            <w:pPr>
              <w:pStyle w:val="TableContents"/>
              <w:spacing w:before="0" w:after="0"/>
              <w:rPr/>
            </w:pPr>
            <w:r>
              <w:rPr/>
              <w:t> </w:t>
            </w:r>
          </w:p>
          <w:p>
            <w:pPr>
              <w:pStyle w:val="TableContents"/>
              <w:spacing w:before="0" w:after="0"/>
              <w:rPr>
                <w:rFonts w:ascii="ARIAL" w:hAnsi="ARIAL"/>
                <w:b/>
                <w:sz w:val="22"/>
              </w:rPr>
            </w:pPr>
            <w:r>
              <w:rPr>
                <w:rFonts w:ascii="ARIAL" w:hAnsi="ARIAL"/>
                <w:b/>
                <w:sz w:val="22"/>
              </w:rPr>
              <w:t>In Person</w:t>
            </w:r>
          </w:p>
          <w:p>
            <w:pPr>
              <w:pStyle w:val="TableContents"/>
              <w:spacing w:before="0" w:after="0"/>
              <w:rPr>
                <w:rFonts w:ascii="ARIAL" w:hAnsi="ARIAL"/>
                <w:sz w:val="20"/>
              </w:rPr>
            </w:pPr>
            <w:r>
              <w:rPr>
                <w:rFonts w:ascii="ARIAL" w:hAnsi="ARIAL"/>
                <w:sz w:val="20"/>
              </w:rPr>
              <w:t>Attend the Annual Meeting and vote by ballot</w:t>
            </w:r>
          </w:p>
          <w:p>
            <w:pPr>
              <w:pStyle w:val="TableContents"/>
              <w:spacing w:before="0" w:after="20"/>
              <w:rPr/>
            </w:pPr>
            <w:r>
              <w:rPr/>
              <w:t> </w:t>
            </w:r>
          </w:p>
        </w:tc>
      </w:tr>
    </w:tbl>
    <w:p>
      <w:pPr>
        <w:pStyle w:val="TextBody"/>
        <w:spacing w:before="0" w:after="0"/>
        <w:jc w:val="left"/>
        <w:rPr/>
      </w:pPr>
      <w:r>
        <w:rPr/>
        <w:t> </w:t>
      </w:r>
    </w:p>
    <w:tbl>
      <w:tblPr>
        <w:tblW w:w="9770" w:type="dxa"/>
        <w:jc w:val="left"/>
        <w:tblInd w:w="0" w:type="dxa"/>
        <w:tblCellMar>
          <w:top w:w="0" w:type="dxa"/>
          <w:left w:w="0" w:type="dxa"/>
          <w:bottom w:w="0" w:type="dxa"/>
          <w:right w:w="0" w:type="dxa"/>
        </w:tblCellMar>
      </w:tblPr>
      <w:tblGrid>
        <w:gridCol w:w="9770"/>
      </w:tblGrid>
      <w:tr>
        <w:trPr/>
        <w:tc>
          <w:tcPr>
            <w:tcW w:w="9770" w:type="dxa"/>
            <w:tcBorders/>
            <w:shd w:fill="auto" w:val="clear"/>
            <w:vAlign w:val="center"/>
          </w:tcPr>
          <w:p>
            <w:pPr>
              <w:pStyle w:val="TableContents"/>
              <w:spacing w:before="0" w:after="283"/>
              <w:rPr>
                <w:sz w:val="4"/>
                <w:szCs w:val="4"/>
              </w:rPr>
            </w:pPr>
            <w:r>
              <w:rPr>
                <w:sz w:val="4"/>
                <w:szCs w:val="4"/>
              </w:rPr>
            </w:r>
          </w:p>
        </w:tc>
      </w:tr>
      <w:tr>
        <w:trPr/>
        <w:tc>
          <w:tcPr>
            <w:tcW w:w="9770" w:type="dxa"/>
            <w:tcBorders>
              <w:top w:val="single" w:sz="6" w:space="0" w:color="CCCCCC"/>
              <w:left w:val="single" w:sz="6" w:space="0" w:color="CCCCCC"/>
              <w:bottom w:val="single" w:sz="6" w:space="0" w:color="CCCCCC"/>
              <w:right w:val="single" w:sz="6" w:space="0" w:color="CCCCCC"/>
            </w:tcBorders>
            <w:shd w:fill="auto" w:val="clear"/>
            <w:tcMar>
              <w:top w:w="28" w:type="dxa"/>
              <w:left w:w="160" w:type="dxa"/>
              <w:bottom w:w="28" w:type="dxa"/>
              <w:right w:w="40" w:type="dxa"/>
            </w:tcMar>
            <w:vAlign w:val="center"/>
          </w:tcPr>
          <w:p>
            <w:pPr>
              <w:pStyle w:val="TableContents"/>
              <w:spacing w:before="0" w:after="0"/>
              <w:rPr>
                <w:rFonts w:ascii="ARIAL" w:hAnsi="ARIAL"/>
                <w:b/>
                <w:color w:val="007CBA"/>
                <w:sz w:val="22"/>
              </w:rPr>
            </w:pPr>
            <w:r>
              <w:rPr>
                <w:rFonts w:ascii="ARIAL" w:hAnsi="ARIAL"/>
                <w:b/>
                <w:color w:val="007CBA"/>
                <w:sz w:val="22"/>
              </w:rPr>
              <w:t>Important Notice Regarding the Availability of Proxy Materials for the 2023 Annual Meeting of</w:t>
            </w:r>
          </w:p>
          <w:p>
            <w:pPr>
              <w:pStyle w:val="TableContents"/>
              <w:spacing w:before="0" w:after="0"/>
              <w:rPr>
                <w:rFonts w:ascii="ARIAL" w:hAnsi="ARIAL"/>
                <w:sz w:val="22"/>
              </w:rPr>
            </w:pPr>
            <w:r>
              <w:rPr>
                <w:rFonts w:ascii="ARIAL" w:hAnsi="ARIAL"/>
                <w:b/>
                <w:color w:val="007CBA"/>
                <w:sz w:val="22"/>
              </w:rPr>
              <w:t>Shareholders:</w:t>
            </w:r>
            <w:r>
              <w:rPr>
                <w:rFonts w:ascii="ARIAL" w:hAnsi="ARIAL"/>
                <w:sz w:val="22"/>
              </w:rPr>
              <w:t xml:space="preserve"> The Proxy Statement and Annual Report on Form 10-K are available at</w:t>
            </w:r>
          </w:p>
          <w:p>
            <w:pPr>
              <w:pStyle w:val="TableContents"/>
              <w:spacing w:before="0" w:after="0"/>
              <w:rPr>
                <w:rFonts w:ascii="ARIAL" w:hAnsi="ARIAL"/>
                <w:sz w:val="22"/>
              </w:rPr>
            </w:pPr>
            <w:r>
              <w:rPr>
                <w:rFonts w:ascii="ARIAL" w:hAnsi="ARIAL"/>
                <w:sz w:val="22"/>
              </w:rPr>
              <w:t>https://ir.martinmarietta.com/reports-filings/annual-reports-and-proxies.</w:t>
            </w:r>
          </w:p>
          <w:p>
            <w:pPr>
              <w:pStyle w:val="TableContents"/>
              <w:spacing w:before="0" w:after="20"/>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7CBA"/>
          <w:sz w:val="42"/>
        </w:rPr>
      </w:pPr>
      <w:bookmarkStart w:id="2" w:name="toc"/>
      <w:bookmarkEnd w:id="2"/>
      <w:r>
        <w:rPr>
          <w:rFonts w:ascii="ARIAL" w:hAnsi="ARIAL"/>
          <w:b/>
          <w:color w:val="007CBA"/>
          <w:sz w:val="42"/>
        </w:rPr>
        <w:t xml:space="preserve">Table of Contents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9972040"/>
                <wp:effectExtent l="0" t="0" r="0" b="0"/>
                <wp:wrapSquare wrapText="largest"/>
                <wp:docPr id="13" name="Frame1"/>
                <a:graphic xmlns:a="http://schemas.openxmlformats.org/drawingml/2006/main">
                  <a:graphicData uri="http://schemas.microsoft.com/office/word/2010/wordprocessingShape">
                    <wps:wsp>
                      <wps:cNvSpPr txBox="1"/>
                      <wps:spPr>
                        <a:xfrm>
                          <a:off x="0" y="0"/>
                          <a:ext cx="3110230" cy="9972040"/>
                        </a:xfrm>
                        <a:prstGeom prst="rect"/>
                      </wps:spPr>
                      <wps:txbx>
                        <w:txbxContent>
                          <w:tbl>
                            <w:tblPr>
                              <w:tblW w:w="9865" w:type="dxa"/>
                              <w:jc w:val="left"/>
                              <w:tblInd w:w="0" w:type="dxa"/>
                              <w:tblCellMar>
                                <w:top w:w="0" w:type="dxa"/>
                                <w:left w:w="0" w:type="dxa"/>
                                <w:bottom w:w="0" w:type="dxa"/>
                                <w:right w:w="0" w:type="dxa"/>
                              </w:tblCellMar>
                            </w:tblPr>
                            <w:tblGrid>
                              <w:gridCol w:w="9350"/>
                              <w:gridCol w:w="120"/>
                              <w:gridCol w:w="60"/>
                              <w:gridCol w:w="260"/>
                              <w:gridCol w:w="75"/>
                            </w:tblGrid>
                            <w:tr>
                              <w:trPr/>
                              <w:tc>
                                <w:tcPr>
                                  <w:tcW w:w="9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1">
                                    <w:r>
                                      <w:rPr>
                                        <w:rStyle w:val="InternetLink"/>
                                        <w:b/>
                                        <w:color w:val="007CBA"/>
                                      </w:rPr>
                                      <w:t>Proxy Statement Highlights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1</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2">
                                    <w:r>
                                      <w:rPr>
                                        <w:rStyle w:val="InternetLink"/>
                                        <w:b/>
                                        <w:color w:val="007CBA"/>
                                      </w:rPr>
                                      <w:t>The Board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14</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
                                    <w:r>
                                      <w:rPr>
                                        <w:rStyle w:val="InternetLink"/>
                                        <w:rFonts w:ascii="ARIAL" w:hAnsi="ARIAL"/>
                                        <w:sz w:val="18"/>
                                      </w:rPr>
                                      <w:t>Board Effectiveness and Refreshment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14</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4">
                                    <w:r>
                                      <w:rPr>
                                        <w:rStyle w:val="InternetLink"/>
                                        <w:rFonts w:ascii="ARIAL" w:hAnsi="ARIAL"/>
                                        <w:sz w:val="18"/>
                                      </w:rPr>
                                      <w:t>Board Qualifications, Gender and Diversity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16</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4a">
                                    <w:r>
                                      <w:rPr>
                                        <w:rStyle w:val="InternetLink"/>
                                        <w:rFonts w:ascii="ARIAL" w:hAnsi="ARIAL"/>
                                        <w:sz w:val="18"/>
                                      </w:rPr>
                                      <w:t xml:space="preserve">Board Refreshment Elements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4b">
                                    <w:r>
                                      <w:rPr>
                                        <w:rStyle w:val="InternetLink"/>
                                        <w:rFonts w:ascii="ARIAL" w:hAnsi="ARIAL"/>
                                        <w:sz w:val="18"/>
                                      </w:rPr>
                                      <w:t xml:space="preserve">Tenure Guidelines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5">
                                    <w:r>
                                      <w:rPr>
                                        <w:rStyle w:val="InternetLink"/>
                                        <w:rFonts w:ascii="ARIAL" w:hAnsi="ARIAL"/>
                                        <w:sz w:val="18"/>
                                      </w:rPr>
                                      <w:t>Board, Committee and Individual Director Evaluations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6">
                                    <w:r>
                                      <w:rPr>
                                        <w:rStyle w:val="InternetLink"/>
                                        <w:rFonts w:ascii="ARIAL" w:hAnsi="ARIAL"/>
                                        <w:sz w:val="18"/>
                                      </w:rPr>
                                      <w:t>Board Committees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19</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7">
                                    <w:r>
                                      <w:rPr>
                                        <w:rStyle w:val="InternetLink"/>
                                        <w:color w:val="FFFFFF"/>
                                        <w:highlight w:val="darkCyan"/>
                                      </w:rPr>
                                      <w:t> </w:t>
                                    </w:r>
                                  </w:hyperlink>
                                  <w:hyperlink w:anchor="toc390557_7">
                                    <w:r>
                                      <w:rPr>
                                        <w:rStyle w:val="InternetLink"/>
                                        <w:b/>
                                        <w:color w:val="FFFFFF"/>
                                        <w:highlight w:val="darkCyan"/>
                                      </w:rPr>
                                      <w:t>Proposal 1: </w:t>
                                    </w:r>
                                  </w:hyperlink>
                                  <w:r>
                                    <w:rPr/>
                                    <w:t xml:space="preserve"> </w:t>
                                  </w:r>
                                  <w:r>
                                    <w:rPr>
                                      <w:b/>
                                    </w:rPr>
                                    <w:t>Election of Directors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23</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8">
                                    <w:r>
                                      <w:rPr>
                                        <w:rStyle w:val="InternetLink"/>
                                        <w:rFonts w:ascii="ARIAL" w:hAnsi="ARIAL"/>
                                        <w:sz w:val="18"/>
                                      </w:rPr>
                                      <w:t>Director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9">
                                    <w:r>
                                      <w:rPr>
                                        <w:rStyle w:val="InternetLink"/>
                                        <w:rFonts w:ascii="ARIAL" w:hAnsi="ARIAL"/>
                                        <w:sz w:val="18"/>
                                      </w:rPr>
                                      <w:t>Director Compensation Table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29</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10">
                                    <w:r>
                                      <w:rPr>
                                        <w:rStyle w:val="InternetLink"/>
                                        <w:b/>
                                        <w:color w:val="007CBA"/>
                                      </w:rPr>
                                      <w:t>Beneficial Owners and Management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30</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1">
                                    <w:r>
                                      <w:rPr>
                                        <w:rStyle w:val="InternetLink"/>
                                        <w:rFonts w:ascii="ARIAL" w:hAnsi="ARIAL"/>
                                        <w:sz w:val="18"/>
                                      </w:rPr>
                                      <w:t>Stock Ownership</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30</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12">
                                    <w:r>
                                      <w:rPr>
                                        <w:rStyle w:val="InternetLink"/>
                                        <w:b/>
                                        <w:color w:val="007CBA"/>
                                      </w:rPr>
                                      <w:t>Corporate Governance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32</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3">
                                    <w:r>
                                      <w:rPr>
                                        <w:rStyle w:val="InternetLink"/>
                                        <w:rFonts w:ascii="ARIAL" w:hAnsi="ARIAL"/>
                                        <w:sz w:val="18"/>
                                      </w:rPr>
                                      <w:t>Corporate Governance Philosophy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32</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4">
                                    <w:r>
                                      <w:rPr>
                                        <w:rStyle w:val="InternetLink"/>
                                        <w:rFonts w:ascii="ARIAL" w:hAnsi="ARIAL"/>
                                        <w:sz w:val="18"/>
                                      </w:rPr>
                                      <w:t>Corporate Governance Board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33</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15">
                                    <w:r>
                                      <w:rPr>
                                        <w:rStyle w:val="InternetLink"/>
                                        <w:color w:val="FFFFFF"/>
                                        <w:highlight w:val="darkCyan"/>
                                      </w:rPr>
                                      <w:t> </w:t>
                                    </w:r>
                                  </w:hyperlink>
                                  <w:hyperlink w:anchor="toc390557_15">
                                    <w:r>
                                      <w:rPr>
                                        <w:rStyle w:val="InternetLink"/>
                                        <w:b/>
                                        <w:color w:val="FFFFFF"/>
                                        <w:highlight w:val="darkCyan"/>
                                      </w:rPr>
                                      <w:t>Proposal 2: </w:t>
                                    </w:r>
                                  </w:hyperlink>
                                  <w:r>
                                    <w:rPr/>
                                    <w:t xml:space="preserve"> </w:t>
                                  </w:r>
                                  <w:r>
                                    <w:rPr>
                                      <w:b/>
                                    </w:rPr>
                                    <w:t>Independent Auditors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37</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6">
                                    <w:r>
                                      <w:rPr>
                                        <w:rStyle w:val="InternetLink"/>
                                        <w:rFonts w:ascii="ARIAL" w:hAnsi="ARIAL"/>
                                        <w:sz w:val="18"/>
                                      </w:rPr>
                                      <w:t>Summary of Fees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7">
                                    <w:r>
                                      <w:rPr>
                                        <w:rStyle w:val="InternetLink"/>
                                        <w:rFonts w:ascii="ARIAL" w:hAnsi="ARIAL"/>
                                        <w:sz w:val="18"/>
                                      </w:rPr>
                                      <w:t>Pre-Approval Policies and Procedures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8">
                                    <w:r>
                                      <w:rPr>
                                        <w:rStyle w:val="InternetLink"/>
                                        <w:rFonts w:ascii="ARIAL" w:hAnsi="ARIAL"/>
                                        <w:sz w:val="18"/>
                                      </w:rPr>
                                      <w:t>Audit Committee Review</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19">
                                    <w:r>
                                      <w:rPr>
                                        <w:rStyle w:val="InternetLink"/>
                                        <w:b/>
                                        <w:color w:val="007CBA"/>
                                      </w:rPr>
                                      <w:t>Audit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39</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20">
                                    <w:r>
                                      <w:rPr>
                                        <w:rStyle w:val="InternetLink"/>
                                        <w:b/>
                                        <w:color w:val="007CBA"/>
                                      </w:rPr>
                                      <w:t>Management Development and Compensation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40</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21">
                                    <w:r>
                                      <w:rPr>
                                        <w:rStyle w:val="InternetLink"/>
                                        <w:b/>
                                        <w:color w:val="007CBA"/>
                                      </w:rPr>
                                      <w:t>Compensation Committee Interlocks and Insider Participation in Compensation Decisions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40</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22">
                                    <w:r>
                                      <w:rPr>
                                        <w:rStyle w:val="InternetLink"/>
                                        <w:b/>
                                        <w:color w:val="007CBA"/>
                                      </w:rPr>
                                      <w:t>Compensation Discussion and Analysis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41</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3">
                                    <w:r>
                                      <w:rPr>
                                        <w:rStyle w:val="InternetLink"/>
                                        <w:rFonts w:ascii="ARIAL" w:hAnsi="ARIAL"/>
                                        <w:sz w:val="18"/>
                                      </w:rPr>
                                      <w:t>Introduction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41</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3a">
                                    <w:r>
                                      <w:rPr>
                                        <w:rStyle w:val="InternetLink"/>
                                        <w:rFonts w:ascii="ARIAL" w:hAnsi="ARIAL"/>
                                        <w:sz w:val="18"/>
                                      </w:rPr>
                                      <w:t>Letter from Committee Chair</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42</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4">
                                    <w:r>
                                      <w:rPr>
                                        <w:rStyle w:val="InternetLink"/>
                                        <w:rFonts w:ascii="ARIAL" w:hAnsi="ARIAL"/>
                                        <w:sz w:val="18"/>
                                      </w:rPr>
                                      <w:t>Summary of our Compensation Considerations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5">
                                    <w:r>
                                      <w:rPr>
                                        <w:rStyle w:val="InternetLink"/>
                                        <w:rFonts w:ascii="ARIAL" w:hAnsi="ARIAL"/>
                                        <w:sz w:val="18"/>
                                      </w:rPr>
                                      <w:t>Responsiveness to Shareholders: Shareholder Engagement and Feedback on Executive Compensation Programs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6">
                                    <w:r>
                                      <w:rPr>
                                        <w:rStyle w:val="InternetLink"/>
                                        <w:rFonts w:ascii="ARIAL" w:hAnsi="ARIAL"/>
                                        <w:sz w:val="18"/>
                                      </w:rPr>
                                      <w:t>Our 2022 Performance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7">
                                    <w:r>
                                      <w:rPr>
                                        <w:rStyle w:val="InternetLink"/>
                                        <w:rFonts w:ascii="ARIAL" w:hAnsi="ARIAL"/>
                                        <w:sz w:val="18"/>
                                      </w:rPr>
                                      <w:t xml:space="preserve">Sustainability, Safety and Employee Well-Being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8">
                                    <w:r>
                                      <w:rPr>
                                        <w:rStyle w:val="InternetLink"/>
                                        <w:rFonts w:ascii="ARIAL" w:hAnsi="ARIAL"/>
                                        <w:sz w:val="18"/>
                                      </w:rPr>
                                      <w:t>Compensation Decisions Yielding Alignment with Performance and Enhancing our Corporate Resilience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52</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9">
                                    <w:r>
                                      <w:rPr>
                                        <w:rStyle w:val="InternetLink"/>
                                        <w:rFonts w:ascii="ARIAL" w:hAnsi="ARIAL"/>
                                        <w:sz w:val="18"/>
                                      </w:rPr>
                                      <w:t>Pay Decisions and Compensation Governance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54</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0">
                                    <w:r>
                                      <w:rPr>
                                        <w:rStyle w:val="InternetLink"/>
                                        <w:rFonts w:ascii="ARIAL" w:hAnsi="ARIAL"/>
                                        <w:sz w:val="18"/>
                                      </w:rPr>
                                      <w:t>Determination of CEO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1">
                                    <w:r>
                                      <w:rPr>
                                        <w:rStyle w:val="InternetLink"/>
                                        <w:rFonts w:ascii="ARIAL" w:hAnsi="ARIAL"/>
                                        <w:sz w:val="18"/>
                                      </w:rPr>
                                      <w:t>2022 Chairman, President and CEO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2">
                                    <w:r>
                                      <w:rPr>
                                        <w:rStyle w:val="InternetLink"/>
                                        <w:rFonts w:ascii="ARIAL" w:hAnsi="ARIAL"/>
                                        <w:sz w:val="18"/>
                                      </w:rPr>
                                      <w:t>2022 Named Executive Officers’ Compensation – Our Compensation Strategy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3">
                                    <w:r>
                                      <w:rPr>
                                        <w:rStyle w:val="InternetLink"/>
                                        <w:rFonts w:ascii="ARIAL" w:hAnsi="ARIAL"/>
                                        <w:sz w:val="18"/>
                                      </w:rPr>
                                      <w:t>Considerations Regarding 2022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4">
                                    <w:r>
                                      <w:rPr>
                                        <w:rStyle w:val="InternetLink"/>
                                        <w:rFonts w:ascii="ARIAL" w:hAnsi="ARIAL"/>
                                        <w:sz w:val="18"/>
                                      </w:rPr>
                                      <w:t>2022 Base Salary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5">
                                    <w:r>
                                      <w:rPr>
                                        <w:rStyle w:val="InternetLink"/>
                                        <w:rFonts w:ascii="ARIAL" w:hAnsi="ARIAL"/>
                                        <w:sz w:val="18"/>
                                      </w:rPr>
                                      <w:t>2022 Annual Cash Incentive Goals and Results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59</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6">
                                    <w:r>
                                      <w:rPr>
                                        <w:rStyle w:val="InternetLink"/>
                                        <w:rFonts w:ascii="ARIAL" w:hAnsi="ARIAL"/>
                                        <w:sz w:val="18"/>
                                      </w:rPr>
                                      <w:t>2022 Actual Incentive Cash Earned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59</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7">
                                    <w:r>
                                      <w:rPr>
                                        <w:rStyle w:val="InternetLink"/>
                                        <w:rFonts w:ascii="ARIAL" w:hAnsi="ARIAL"/>
                                        <w:sz w:val="18"/>
                                      </w:rPr>
                                      <w:t>Annual Incentive Feature: Stock Purchase Plan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8">
                                    <w:r>
                                      <w:rPr>
                                        <w:rStyle w:val="InternetLink"/>
                                        <w:rFonts w:ascii="ARIAL" w:hAnsi="ARIAL"/>
                                        <w:sz w:val="18"/>
                                      </w:rPr>
                                      <w:t>2022 Long-Term Incentive Compensation Overview</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9">
                                    <w:r>
                                      <w:rPr>
                                        <w:rStyle w:val="InternetLink"/>
                                        <w:rFonts w:ascii="ARIAL" w:hAnsi="ARIAL"/>
                                        <w:sz w:val="18"/>
                                      </w:rPr>
                                      <w:t>PSU Awards (55% of LTI Award)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865" w:type="dxa"/>
                        <w:jc w:val="left"/>
                        <w:tblInd w:w="0" w:type="dxa"/>
                        <w:tblCellMar>
                          <w:top w:w="0" w:type="dxa"/>
                          <w:left w:w="0" w:type="dxa"/>
                          <w:bottom w:w="0" w:type="dxa"/>
                          <w:right w:w="0" w:type="dxa"/>
                        </w:tblCellMar>
                      </w:tblPr>
                      <w:tblGrid>
                        <w:gridCol w:w="9350"/>
                        <w:gridCol w:w="120"/>
                        <w:gridCol w:w="60"/>
                        <w:gridCol w:w="260"/>
                        <w:gridCol w:w="75"/>
                      </w:tblGrid>
                      <w:tr>
                        <w:trPr/>
                        <w:tc>
                          <w:tcPr>
                            <w:tcW w:w="9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1">
                              <w:r>
                                <w:rPr>
                                  <w:rStyle w:val="InternetLink"/>
                                  <w:b/>
                                  <w:color w:val="007CBA"/>
                                </w:rPr>
                                <w:t>Proxy Statement Highlights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1</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2">
                              <w:r>
                                <w:rPr>
                                  <w:rStyle w:val="InternetLink"/>
                                  <w:b/>
                                  <w:color w:val="007CBA"/>
                                </w:rPr>
                                <w:t>The Board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14</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
                              <w:r>
                                <w:rPr>
                                  <w:rStyle w:val="InternetLink"/>
                                  <w:rFonts w:ascii="ARIAL" w:hAnsi="ARIAL"/>
                                  <w:sz w:val="18"/>
                                </w:rPr>
                                <w:t>Board Effectiveness and Refreshment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14</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4">
                              <w:r>
                                <w:rPr>
                                  <w:rStyle w:val="InternetLink"/>
                                  <w:rFonts w:ascii="ARIAL" w:hAnsi="ARIAL"/>
                                  <w:sz w:val="18"/>
                                </w:rPr>
                                <w:t>Board Qualifications, Gender and Diversity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16</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4a">
                              <w:r>
                                <w:rPr>
                                  <w:rStyle w:val="InternetLink"/>
                                  <w:rFonts w:ascii="ARIAL" w:hAnsi="ARIAL"/>
                                  <w:sz w:val="18"/>
                                </w:rPr>
                                <w:t xml:space="preserve">Board Refreshment Elements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4b">
                              <w:r>
                                <w:rPr>
                                  <w:rStyle w:val="InternetLink"/>
                                  <w:rFonts w:ascii="ARIAL" w:hAnsi="ARIAL"/>
                                  <w:sz w:val="18"/>
                                </w:rPr>
                                <w:t xml:space="preserve">Tenure Guidelines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5">
                              <w:r>
                                <w:rPr>
                                  <w:rStyle w:val="InternetLink"/>
                                  <w:rFonts w:ascii="ARIAL" w:hAnsi="ARIAL"/>
                                  <w:sz w:val="18"/>
                                </w:rPr>
                                <w:t>Board, Committee and Individual Director Evaluations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6">
                              <w:r>
                                <w:rPr>
                                  <w:rStyle w:val="InternetLink"/>
                                  <w:rFonts w:ascii="ARIAL" w:hAnsi="ARIAL"/>
                                  <w:sz w:val="18"/>
                                </w:rPr>
                                <w:t>Board Committees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19</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7">
                              <w:r>
                                <w:rPr>
                                  <w:rStyle w:val="InternetLink"/>
                                  <w:color w:val="FFFFFF"/>
                                  <w:highlight w:val="darkCyan"/>
                                </w:rPr>
                                <w:t> </w:t>
                              </w:r>
                            </w:hyperlink>
                            <w:hyperlink w:anchor="toc390557_7">
                              <w:r>
                                <w:rPr>
                                  <w:rStyle w:val="InternetLink"/>
                                  <w:b/>
                                  <w:color w:val="FFFFFF"/>
                                  <w:highlight w:val="darkCyan"/>
                                </w:rPr>
                                <w:t>Proposal 1: </w:t>
                              </w:r>
                            </w:hyperlink>
                            <w:r>
                              <w:rPr/>
                              <w:t xml:space="preserve"> </w:t>
                            </w:r>
                            <w:r>
                              <w:rPr>
                                <w:b/>
                              </w:rPr>
                              <w:t>Election of Directors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23</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8">
                              <w:r>
                                <w:rPr>
                                  <w:rStyle w:val="InternetLink"/>
                                  <w:rFonts w:ascii="ARIAL" w:hAnsi="ARIAL"/>
                                  <w:sz w:val="18"/>
                                </w:rPr>
                                <w:t>Director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9">
                              <w:r>
                                <w:rPr>
                                  <w:rStyle w:val="InternetLink"/>
                                  <w:rFonts w:ascii="ARIAL" w:hAnsi="ARIAL"/>
                                  <w:sz w:val="18"/>
                                </w:rPr>
                                <w:t>Director Compensation Table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29</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10">
                              <w:r>
                                <w:rPr>
                                  <w:rStyle w:val="InternetLink"/>
                                  <w:b/>
                                  <w:color w:val="007CBA"/>
                                </w:rPr>
                                <w:t>Beneficial Owners and Management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30</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1">
                              <w:r>
                                <w:rPr>
                                  <w:rStyle w:val="InternetLink"/>
                                  <w:rFonts w:ascii="ARIAL" w:hAnsi="ARIAL"/>
                                  <w:sz w:val="18"/>
                                </w:rPr>
                                <w:t>Stock Ownership</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30</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12">
                              <w:r>
                                <w:rPr>
                                  <w:rStyle w:val="InternetLink"/>
                                  <w:b/>
                                  <w:color w:val="007CBA"/>
                                </w:rPr>
                                <w:t>Corporate Governance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32</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3">
                              <w:r>
                                <w:rPr>
                                  <w:rStyle w:val="InternetLink"/>
                                  <w:rFonts w:ascii="ARIAL" w:hAnsi="ARIAL"/>
                                  <w:sz w:val="18"/>
                                </w:rPr>
                                <w:t>Corporate Governance Philosophy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32</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4">
                              <w:r>
                                <w:rPr>
                                  <w:rStyle w:val="InternetLink"/>
                                  <w:rFonts w:ascii="ARIAL" w:hAnsi="ARIAL"/>
                                  <w:sz w:val="18"/>
                                </w:rPr>
                                <w:t>Corporate Governance Board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33</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15">
                              <w:r>
                                <w:rPr>
                                  <w:rStyle w:val="InternetLink"/>
                                  <w:color w:val="FFFFFF"/>
                                  <w:highlight w:val="darkCyan"/>
                                </w:rPr>
                                <w:t> </w:t>
                              </w:r>
                            </w:hyperlink>
                            <w:hyperlink w:anchor="toc390557_15">
                              <w:r>
                                <w:rPr>
                                  <w:rStyle w:val="InternetLink"/>
                                  <w:b/>
                                  <w:color w:val="FFFFFF"/>
                                  <w:highlight w:val="darkCyan"/>
                                </w:rPr>
                                <w:t>Proposal 2: </w:t>
                              </w:r>
                            </w:hyperlink>
                            <w:r>
                              <w:rPr/>
                              <w:t xml:space="preserve"> </w:t>
                            </w:r>
                            <w:r>
                              <w:rPr>
                                <w:b/>
                              </w:rPr>
                              <w:t>Independent Auditors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37</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6">
                              <w:r>
                                <w:rPr>
                                  <w:rStyle w:val="InternetLink"/>
                                  <w:rFonts w:ascii="ARIAL" w:hAnsi="ARIAL"/>
                                  <w:sz w:val="18"/>
                                </w:rPr>
                                <w:t>Summary of Fees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7">
                              <w:r>
                                <w:rPr>
                                  <w:rStyle w:val="InternetLink"/>
                                  <w:rFonts w:ascii="ARIAL" w:hAnsi="ARIAL"/>
                                  <w:sz w:val="18"/>
                                </w:rPr>
                                <w:t>Pre-Approval Policies and Procedures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18">
                              <w:r>
                                <w:rPr>
                                  <w:rStyle w:val="InternetLink"/>
                                  <w:rFonts w:ascii="ARIAL" w:hAnsi="ARIAL"/>
                                  <w:sz w:val="18"/>
                                </w:rPr>
                                <w:t>Audit Committee Review</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19">
                              <w:r>
                                <w:rPr>
                                  <w:rStyle w:val="InternetLink"/>
                                  <w:b/>
                                  <w:color w:val="007CBA"/>
                                </w:rPr>
                                <w:t>Audit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39</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20">
                              <w:r>
                                <w:rPr>
                                  <w:rStyle w:val="InternetLink"/>
                                  <w:b/>
                                  <w:color w:val="007CBA"/>
                                </w:rPr>
                                <w:t>Management Development and Compensation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40</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21">
                              <w:r>
                                <w:rPr>
                                  <w:rStyle w:val="InternetLink"/>
                                  <w:b/>
                                  <w:color w:val="007CBA"/>
                                </w:rPr>
                                <w:t>Compensation Committee Interlocks and Insider Participation in Compensation Decisions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40</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pPr>
                            <w:hyperlink w:anchor="toc390557_22">
                              <w:r>
                                <w:rPr>
                                  <w:rStyle w:val="InternetLink"/>
                                  <w:b/>
                                  <w:color w:val="007CBA"/>
                                </w:rPr>
                                <w:t>Compensation Discussion and Analysis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b/>
                                <w:color w:val="007CBA"/>
                              </w:rPr>
                            </w:pPr>
                            <w:r>
                              <w:rPr>
                                <w:b/>
                                <w:color w:val="007CBA"/>
                              </w:rPr>
                              <w:t>41</w:t>
                            </w:r>
                          </w:p>
                        </w:tc>
                        <w:tc>
                          <w:tcPr>
                            <w:tcW w:w="75" w:type="dxa"/>
                            <w:tcBorders/>
                            <w:shd w:fill="auto" w:val="clear"/>
                            <w:vAlign w:val="center"/>
                          </w:tcPr>
                          <w:p>
                            <w:pPr>
                              <w:pStyle w:val="TableContents"/>
                              <w:spacing w:before="0" w:after="283"/>
                              <w:rPr>
                                <w:color w:val="007CBA"/>
                              </w:rPr>
                            </w:pPr>
                            <w:r>
                              <w:rPr>
                                <w:color w:val="007CBA"/>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3">
                              <w:r>
                                <w:rPr>
                                  <w:rStyle w:val="InternetLink"/>
                                  <w:rFonts w:ascii="ARIAL" w:hAnsi="ARIAL"/>
                                  <w:sz w:val="18"/>
                                </w:rPr>
                                <w:t>Introduction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41</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3a">
                              <w:r>
                                <w:rPr>
                                  <w:rStyle w:val="InternetLink"/>
                                  <w:rFonts w:ascii="ARIAL" w:hAnsi="ARIAL"/>
                                  <w:sz w:val="18"/>
                                </w:rPr>
                                <w:t>Letter from Committee Chair</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42</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4">
                              <w:r>
                                <w:rPr>
                                  <w:rStyle w:val="InternetLink"/>
                                  <w:rFonts w:ascii="ARIAL" w:hAnsi="ARIAL"/>
                                  <w:sz w:val="18"/>
                                </w:rPr>
                                <w:t>Summary of our Compensation Considerations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5">
                              <w:r>
                                <w:rPr>
                                  <w:rStyle w:val="InternetLink"/>
                                  <w:rFonts w:ascii="ARIAL" w:hAnsi="ARIAL"/>
                                  <w:sz w:val="18"/>
                                </w:rPr>
                                <w:t>Responsiveness to Shareholders: Shareholder Engagement and Feedback on Executive Compensation Programs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6">
                              <w:r>
                                <w:rPr>
                                  <w:rStyle w:val="InternetLink"/>
                                  <w:rFonts w:ascii="ARIAL" w:hAnsi="ARIAL"/>
                                  <w:sz w:val="18"/>
                                </w:rPr>
                                <w:t>Our 2022 Performance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7">
                              <w:r>
                                <w:rPr>
                                  <w:rStyle w:val="InternetLink"/>
                                  <w:rFonts w:ascii="ARIAL" w:hAnsi="ARIAL"/>
                                  <w:sz w:val="18"/>
                                </w:rPr>
                                <w:t xml:space="preserve">Sustainability, Safety and Employee Well-Being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8">
                              <w:r>
                                <w:rPr>
                                  <w:rStyle w:val="InternetLink"/>
                                  <w:rFonts w:ascii="ARIAL" w:hAnsi="ARIAL"/>
                                  <w:sz w:val="18"/>
                                </w:rPr>
                                <w:t>Compensation Decisions Yielding Alignment with Performance and Enhancing our Corporate Resilience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52</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29">
                              <w:r>
                                <w:rPr>
                                  <w:rStyle w:val="InternetLink"/>
                                  <w:rFonts w:ascii="ARIAL" w:hAnsi="ARIAL"/>
                                  <w:sz w:val="18"/>
                                </w:rPr>
                                <w:t>Pay Decisions and Compensation Governance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54</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0">
                              <w:r>
                                <w:rPr>
                                  <w:rStyle w:val="InternetLink"/>
                                  <w:rFonts w:ascii="ARIAL" w:hAnsi="ARIAL"/>
                                  <w:sz w:val="18"/>
                                </w:rPr>
                                <w:t>Determination of CEO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1">
                              <w:r>
                                <w:rPr>
                                  <w:rStyle w:val="InternetLink"/>
                                  <w:rFonts w:ascii="ARIAL" w:hAnsi="ARIAL"/>
                                  <w:sz w:val="18"/>
                                </w:rPr>
                                <w:t>2022 Chairman, President and CEO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2">
                              <w:r>
                                <w:rPr>
                                  <w:rStyle w:val="InternetLink"/>
                                  <w:rFonts w:ascii="ARIAL" w:hAnsi="ARIAL"/>
                                  <w:sz w:val="18"/>
                                </w:rPr>
                                <w:t>2022 Named Executive Officers’ Compensation – Our Compensation Strategy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3">
                              <w:r>
                                <w:rPr>
                                  <w:rStyle w:val="InternetLink"/>
                                  <w:rFonts w:ascii="ARIAL" w:hAnsi="ARIAL"/>
                                  <w:sz w:val="18"/>
                                </w:rPr>
                                <w:t>Considerations Regarding 2022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4">
                              <w:r>
                                <w:rPr>
                                  <w:rStyle w:val="InternetLink"/>
                                  <w:rFonts w:ascii="ARIAL" w:hAnsi="ARIAL"/>
                                  <w:sz w:val="18"/>
                                </w:rPr>
                                <w:t>2022 Base Salary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58</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5">
                              <w:r>
                                <w:rPr>
                                  <w:rStyle w:val="InternetLink"/>
                                  <w:rFonts w:ascii="ARIAL" w:hAnsi="ARIAL"/>
                                  <w:sz w:val="18"/>
                                </w:rPr>
                                <w:t>2022 Annual Cash Incentive Goals and Results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59</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6">
                              <w:r>
                                <w:rPr>
                                  <w:rStyle w:val="InternetLink"/>
                                  <w:rFonts w:ascii="ARIAL" w:hAnsi="ARIAL"/>
                                  <w:sz w:val="18"/>
                                </w:rPr>
                                <w:t>2022 Actual Incentive Cash Earned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59</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7">
                              <w:r>
                                <w:rPr>
                                  <w:rStyle w:val="InternetLink"/>
                                  <w:rFonts w:ascii="ARIAL" w:hAnsi="ARIAL"/>
                                  <w:sz w:val="18"/>
                                </w:rPr>
                                <w:t>Annual Incentive Feature: Stock Purchase Plan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8">
                              <w:r>
                                <w:rPr>
                                  <w:rStyle w:val="InternetLink"/>
                                  <w:rFonts w:ascii="ARIAL" w:hAnsi="ARIAL"/>
                                  <w:sz w:val="18"/>
                                </w:rPr>
                                <w:t>2022 Long-Term Incentive Compensation Overview</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935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0"/>
                              <w:rPr/>
                            </w:pPr>
                            <w:hyperlink w:anchor="toc390557_39">
                              <w:r>
                                <w:rPr>
                                  <w:rStyle w:val="InternetLink"/>
                                  <w:rFonts w:ascii="ARIAL" w:hAnsi="ARIAL"/>
                                  <w:sz w:val="18"/>
                                </w:rPr>
                                <w:t>PSU Awards (55% of LTI Award)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75000" cy="9972040"/>
                <wp:effectExtent l="0" t="0" r="0" b="0"/>
                <wp:wrapSquare wrapText="largest"/>
                <wp:docPr id="14" name="Frame2"/>
                <a:graphic xmlns:a="http://schemas.openxmlformats.org/drawingml/2006/main">
                  <a:graphicData uri="http://schemas.microsoft.com/office/word/2010/wordprocessingShape">
                    <wps:wsp>
                      <wps:cNvSpPr txBox="1"/>
                      <wps:spPr>
                        <a:xfrm>
                          <a:off x="0" y="0"/>
                          <a:ext cx="3175000" cy="9972040"/>
                        </a:xfrm>
                        <a:prstGeom prst="rect"/>
                      </wps:spPr>
                      <wps:txbx>
                        <w:txbxContent>
                          <w:tbl>
                            <w:tblPr>
                              <w:tblW w:w="10205" w:type="dxa"/>
                              <w:jc w:val="left"/>
                              <w:tblInd w:w="0" w:type="dxa"/>
                              <w:tblCellMar>
                                <w:top w:w="0" w:type="dxa"/>
                                <w:left w:w="0" w:type="dxa"/>
                                <w:bottom w:w="0" w:type="dxa"/>
                                <w:right w:w="0" w:type="dxa"/>
                              </w:tblCellMar>
                            </w:tblPr>
                            <w:tblGrid>
                              <w:gridCol w:w="9561"/>
                              <w:gridCol w:w="120"/>
                              <w:gridCol w:w="60"/>
                              <w:gridCol w:w="388"/>
                              <w:gridCol w:w="76"/>
                            </w:tblGrid>
                            <w:tr>
                              <w:trPr/>
                              <w:tc>
                                <w:tcPr>
                                  <w:tcW w:w="956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0">
                                    <w:r>
                                      <w:rPr>
                                        <w:rStyle w:val="InternetLink"/>
                                        <w:rFonts w:ascii="ARIAL" w:hAnsi="ARIAL"/>
                                        <w:sz w:val="18"/>
                                      </w:rPr>
                                      <w:t>Selection of Relative TSR</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62</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1">
                                    <w:r>
                                      <w:rPr>
                                        <w:rStyle w:val="InternetLink"/>
                                        <w:rFonts w:ascii="ARIAL" w:hAnsi="ARIAL"/>
                                        <w:sz w:val="18"/>
                                      </w:rPr>
                                      <w:t>Performance-Based RSU Awards (45% of LTI Award)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63</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2">
                                    <w:r>
                                      <w:rPr>
                                        <w:rStyle w:val="InternetLink"/>
                                        <w:rFonts w:ascii="ARIAL" w:hAnsi="ARIAL"/>
                                        <w:sz w:val="18"/>
                                      </w:rPr>
                                      <w:t>2022-2024 Performance Goals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63</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3">
                                    <w:r>
                                      <w:rPr>
                                        <w:rStyle w:val="InternetLink"/>
                                        <w:rFonts w:ascii="ARIAL" w:hAnsi="ARIAL"/>
                                        <w:sz w:val="18"/>
                                      </w:rPr>
                                      <w:t>2020-2022 PSU Award Payouts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64</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4">
                                    <w:r>
                                      <w:rPr>
                                        <w:rStyle w:val="InternetLink"/>
                                        <w:rFonts w:ascii="ARIAL" w:hAnsi="ARIAL"/>
                                        <w:sz w:val="18"/>
                                      </w:rPr>
                                      <w:t>Ongoing Corporate Governance Policies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65</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5">
                                    <w:r>
                                      <w:rPr>
                                        <w:rStyle w:val="InternetLink"/>
                                        <w:rFonts w:ascii="ARIAL" w:hAnsi="ARIAL"/>
                                        <w:sz w:val="18"/>
                                      </w:rPr>
                                      <w:t>Compensation Decision Process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65</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6">
                                    <w:r>
                                      <w:rPr>
                                        <w:rStyle w:val="InternetLink"/>
                                        <w:rFonts w:ascii="ARIAL" w:hAnsi="ARIAL"/>
                                        <w:sz w:val="18"/>
                                      </w:rPr>
                                      <w:t>Other Compensation Program Features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67</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7">
                                    <w:r>
                                      <w:rPr>
                                        <w:rStyle w:val="InternetLink"/>
                                        <w:rFonts w:ascii="ARIAL" w:hAnsi="ARIAL"/>
                                        <w:sz w:val="18"/>
                                      </w:rPr>
                                      <w:t>Compensation Program Risk Assessment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67</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8">
                                    <w:r>
                                      <w:rPr>
                                        <w:rStyle w:val="InternetLink"/>
                                        <w:rFonts w:ascii="ARIAL" w:hAnsi="ARIAL"/>
                                        <w:sz w:val="18"/>
                                      </w:rPr>
                                      <w:t>Stock-Based Awards Generally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67</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9">
                                    <w:r>
                                      <w:rPr>
                                        <w:rStyle w:val="InternetLink"/>
                                        <w:rFonts w:ascii="ARIAL" w:hAnsi="ARIAL"/>
                                        <w:sz w:val="18"/>
                                      </w:rPr>
                                      <w:t>Stock Ownership Requirements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68</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0">
                                    <w:r>
                                      <w:rPr>
                                        <w:rStyle w:val="InternetLink"/>
                                        <w:rFonts w:ascii="ARIAL" w:hAnsi="ARIAL"/>
                                        <w:sz w:val="18"/>
                                      </w:rPr>
                                      <w:t>Anti-Hedging and Pledging Policy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68</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1">
                                    <w:r>
                                      <w:rPr>
                                        <w:rStyle w:val="InternetLink"/>
                                        <w:rFonts w:ascii="ARIAL" w:hAnsi="ARIAL"/>
                                        <w:sz w:val="18"/>
                                      </w:rPr>
                                      <w:t>Clawback Policy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69</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2">
                                    <w:r>
                                      <w:rPr>
                                        <w:rStyle w:val="InternetLink"/>
                                        <w:rFonts w:ascii="ARIAL" w:hAnsi="ARIAL"/>
                                        <w:sz w:val="18"/>
                                      </w:rPr>
                                      <w:t>Our Use of Independent Compensation Consultants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69</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3">
                                    <w:r>
                                      <w:rPr>
                                        <w:rStyle w:val="InternetLink"/>
                                        <w:rFonts w:ascii="ARIAL" w:hAnsi="ARIAL"/>
                                        <w:sz w:val="18"/>
                                      </w:rPr>
                                      <w:t>Practice Regarding Timing of Equity Grants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69</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4">
                                    <w:r>
                                      <w:rPr>
                                        <w:rStyle w:val="InternetLink"/>
                                        <w:rFonts w:ascii="ARIAL" w:hAnsi="ARIAL"/>
                                        <w:sz w:val="18"/>
                                      </w:rPr>
                                      <w:t>Perquisites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70</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5">
                                    <w:r>
                                      <w:rPr>
                                        <w:rStyle w:val="InternetLink"/>
                                        <w:rFonts w:ascii="ARIAL" w:hAnsi="ARIAL"/>
                                        <w:sz w:val="18"/>
                                      </w:rPr>
                                      <w:t>Retirement and Other 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70</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6">
                                    <w:r>
                                      <w:rPr>
                                        <w:rStyle w:val="InternetLink"/>
                                        <w:rFonts w:ascii="ARIAL" w:hAnsi="ARIAL"/>
                                        <w:sz w:val="18"/>
                                      </w:rPr>
                                      <w:t>Potential Payments upon Termination or Change of Control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70</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7">
                                    <w:r>
                                      <w:rPr>
                                        <w:rStyle w:val="InternetLink"/>
                                        <w:rFonts w:ascii="ARIAL" w:hAnsi="ARIAL"/>
                                        <w:sz w:val="18"/>
                                      </w:rPr>
                                      <w:t>Tax and Accounting Implications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71</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58">
                                    <w:r>
                                      <w:rPr>
                                        <w:rStyle w:val="InternetLink"/>
                                        <w:b/>
                                        <w:color w:val="007CBA"/>
                                      </w:rPr>
                                      <w:t>Executive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72</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9">
                                    <w:r>
                                      <w:rPr>
                                        <w:rStyle w:val="InternetLink"/>
                                        <w:rFonts w:ascii="ARIAL" w:hAnsi="ARIAL"/>
                                        <w:sz w:val="18"/>
                                      </w:rPr>
                                      <w:t>Executive Officer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72</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0">
                                    <w:r>
                                      <w:rPr>
                                        <w:rStyle w:val="InternetLink"/>
                                        <w:rFonts w:ascii="ARIAL" w:hAnsi="ARIAL"/>
                                        <w:sz w:val="18"/>
                                      </w:rPr>
                                      <w:t>Summary Compensation Table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72</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1">
                                    <w:r>
                                      <w:rPr>
                                        <w:rStyle w:val="InternetLink"/>
                                        <w:rFonts w:ascii="ARIAL" w:hAnsi="ARIAL"/>
                                        <w:sz w:val="18"/>
                                      </w:rPr>
                                      <w:t>Grants of Plan-Based Awards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73</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2">
                                    <w:r>
                                      <w:rPr>
                                        <w:rStyle w:val="InternetLink"/>
                                        <w:rFonts w:ascii="ARIAL" w:hAnsi="ARIAL"/>
                                        <w:sz w:val="18"/>
                                      </w:rPr>
                                      <w:t>Outstanding Equity Awards at Fiscal Year-End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75</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3">
                                    <w:r>
                                      <w:rPr>
                                        <w:rStyle w:val="InternetLink"/>
                                        <w:rFonts w:ascii="ARIAL" w:hAnsi="ARIAL"/>
                                        <w:sz w:val="18"/>
                                      </w:rPr>
                                      <w:t>Option Exercises and Stock Vested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76</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4">
                                    <w:r>
                                      <w:rPr>
                                        <w:rStyle w:val="InternetLink"/>
                                        <w:rFonts w:ascii="ARIAL" w:hAnsi="ARIAL"/>
                                        <w:sz w:val="18"/>
                                      </w:rPr>
                                      <w:t>Retirement and Other 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76</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5">
                                    <w:r>
                                      <w:rPr>
                                        <w:rStyle w:val="InternetLink"/>
                                        <w:rFonts w:ascii="ARIAL" w:hAnsi="ARIAL"/>
                                        <w:sz w:val="18"/>
                                      </w:rPr>
                                      <w:t>Pension 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78</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6">
                                    <w:r>
                                      <w:rPr>
                                        <w:rStyle w:val="InternetLink"/>
                                        <w:rFonts w:ascii="ARIAL" w:hAnsi="ARIAL"/>
                                        <w:sz w:val="18"/>
                                      </w:rPr>
                                      <w:t>Potential Payments Upon Termination or Change of Control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79</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66a">
                                    <w:r>
                                      <w:rPr>
                                        <w:rStyle w:val="InternetLink"/>
                                        <w:b/>
                                        <w:color w:val="007CBA"/>
                                      </w:rPr>
                                      <w:t xml:space="preserve">Required Pay Disclosures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82</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7">
                                    <w:r>
                                      <w:rPr>
                                        <w:rStyle w:val="InternetLink"/>
                                        <w:rFonts w:ascii="ARIAL" w:hAnsi="ARIAL"/>
                                        <w:sz w:val="18"/>
                                      </w:rPr>
                                      <w:t>CEO Pay Ratio Disclosure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82</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101">
                                    <w:r>
                                      <w:rPr>
                                        <w:rStyle w:val="InternetLink"/>
                                        <w:rFonts w:ascii="ARIAL" w:hAnsi="ARIAL"/>
                                        <w:sz w:val="18"/>
                                      </w:rPr>
                                      <w:t>Pay Versus Performance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83</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68">
                                    <w:r>
                                      <w:rPr>
                                        <w:rStyle w:val="InternetLink"/>
                                        <w:color w:val="FFFFFF"/>
                                        <w:highlight w:val="darkCyan"/>
                                      </w:rPr>
                                      <w:t> </w:t>
                                    </w:r>
                                  </w:hyperlink>
                                  <w:hyperlink w:anchor="toc390557_68">
                                    <w:r>
                                      <w:rPr>
                                        <w:rStyle w:val="InternetLink"/>
                                        <w:b/>
                                        <w:color w:val="FFFFFF"/>
                                        <w:highlight w:val="darkCyan"/>
                                      </w:rPr>
                                      <w:t>Proposal 3: </w:t>
                                    </w:r>
                                  </w:hyperlink>
                                  <w:r>
                                    <w:rPr/>
                                    <w:t xml:space="preserve"> </w:t>
                                  </w:r>
                                  <w:r>
                                    <w:rPr>
                                      <w:b/>
                                    </w:rPr>
                                    <w:t>Advisory Vote on the Compensation of Our Named Executive Officers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88</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69">
                                    <w:r>
                                      <w:rPr>
                                        <w:rStyle w:val="InternetLink"/>
                                        <w:color w:val="FFFFFF"/>
                                        <w:highlight w:val="darkCyan"/>
                                      </w:rPr>
                                      <w:t> </w:t>
                                    </w:r>
                                  </w:hyperlink>
                                  <w:hyperlink w:anchor="toc390557_69">
                                    <w:r>
                                      <w:rPr>
                                        <w:rStyle w:val="InternetLink"/>
                                        <w:b/>
                                        <w:color w:val="FFFFFF"/>
                                        <w:highlight w:val="darkCyan"/>
                                      </w:rPr>
                                      <w:t>Proposal 4: </w:t>
                                    </w:r>
                                  </w:hyperlink>
                                  <w:r>
                                    <w:rPr/>
                                    <w:t xml:space="preserve"> </w:t>
                                  </w:r>
                                  <w:r>
                                    <w:rPr>
                                      <w:b/>
                                    </w:rPr>
                                    <w:t>Advisory Vote on the Frequency of Executive Compensation Vote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89</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102">
                                    <w:r>
                                      <w:rPr>
                                        <w:rStyle w:val="InternetLink"/>
                                        <w:color w:val="FFFFFF"/>
                                        <w:highlight w:val="darkCyan"/>
                                      </w:rPr>
                                      <w:t> </w:t>
                                    </w:r>
                                  </w:hyperlink>
                                  <w:hyperlink w:anchor="toc390557_102">
                                    <w:r>
                                      <w:rPr>
                                        <w:rStyle w:val="InternetLink"/>
                                        <w:b/>
                                        <w:color w:val="FFFFFF"/>
                                        <w:highlight w:val="darkCyan"/>
                                      </w:rPr>
                                      <w:t>Proposal 5: </w:t>
                                    </w:r>
                                  </w:hyperlink>
                                  <w:r>
                                    <w:rPr/>
                                    <w:t xml:space="preserve"> </w:t>
                                  </w:r>
                                  <w:r>
                                    <w:rPr>
                                      <w:b/>
                                    </w:rPr>
                                    <w:t xml:space="preserve">Shareholder Proposal, if Properly Presented at the Meeting, Requesting the Establishment Within a Year of GHG Reduction Targets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90</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70">
                                    <w:r>
                                      <w:rPr>
                                        <w:rStyle w:val="InternetLink"/>
                                        <w:b/>
                                        <w:color w:val="007CBA"/>
                                      </w:rPr>
                                      <w:t>Securities Authorized for Issuance Under Equity Compensation Plans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96</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71">
                                    <w:r>
                                      <w:rPr>
                                        <w:rStyle w:val="InternetLink"/>
                                        <w:rFonts w:ascii="ARIAL" w:hAnsi="ARIAL"/>
                                        <w:sz w:val="18"/>
                                      </w:rPr>
                                      <w:t>Equity Compensation Plan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96</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72">
                                    <w:r>
                                      <w:rPr>
                                        <w:rStyle w:val="InternetLink"/>
                                        <w:rFonts w:ascii="ARIAL" w:hAnsi="ARIAL"/>
                                        <w:sz w:val="18"/>
                                      </w:rPr>
                                      <w:t>Description of the TXI Legacy Plan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96</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73">
                                    <w:r>
                                      <w:rPr>
                                        <w:rStyle w:val="InternetLink"/>
                                        <w:rFonts w:ascii="ARIAL" w:hAnsi="ARIAL"/>
                                        <w:sz w:val="18"/>
                                      </w:rPr>
                                      <w:t>Description of the Deferred Compensation Plan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97</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74">
                                    <w:r>
                                      <w:rPr>
                                        <w:rStyle w:val="InternetLink"/>
                                        <w:b/>
                                        <w:color w:val="007CBA"/>
                                      </w:rPr>
                                      <w:t>Annual Meeting and Voting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98</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75">
                                    <w:r>
                                      <w:rPr>
                                        <w:rStyle w:val="InternetLink"/>
                                        <w:rFonts w:ascii="ARIAL" w:hAnsi="ARIAL"/>
                                        <w:sz w:val="18"/>
                                      </w:rPr>
                                      <w:t>Incorporation by Reference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101</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76">
                                    <w:r>
                                      <w:rPr>
                                        <w:rStyle w:val="InternetLink"/>
                                        <w:rFonts w:ascii="ARIAL" w:hAnsi="ARIAL"/>
                                        <w:sz w:val="18"/>
                                      </w:rPr>
                                      <w:t>Shareholders’ Proposals for 2024 Annual Meeting</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101</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77">
                                    <w:r>
                                      <w:rPr>
                                        <w:rStyle w:val="InternetLink"/>
                                        <w:b/>
                                        <w:color w:val="007CBA"/>
                                      </w:rPr>
                                      <w:t>Appendix A: Martin Marietta Guidelines for Potential New Board Members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A-1</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78">
                                    <w:r>
                                      <w:rPr>
                                        <w:rStyle w:val="InternetLink"/>
                                        <w:b/>
                                        <w:color w:val="007CBA"/>
                                      </w:rPr>
                                      <w:t>Appendix B: Non-GAAP Measures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B-1</w:t>
                                  </w:r>
                                </w:p>
                              </w:tc>
                              <w:tc>
                                <w:tcPr>
                                  <w:tcW w:w="76" w:type="dxa"/>
                                  <w:tcBorders/>
                                  <w:shd w:fill="auto" w:val="clear"/>
                                  <w:vAlign w:val="center"/>
                                </w:tcPr>
                                <w:p>
                                  <w:pPr>
                                    <w:pStyle w:val="TableContents"/>
                                    <w:spacing w:before="0" w:after="283"/>
                                    <w:rPr>
                                      <w:color w:val="007CBA"/>
                                    </w:rPr>
                                  </w:pPr>
                                  <w:r>
                                    <w:rPr>
                                      <w:color w:val="007CBA"/>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9561"/>
                        <w:gridCol w:w="120"/>
                        <w:gridCol w:w="60"/>
                        <w:gridCol w:w="388"/>
                        <w:gridCol w:w="76"/>
                      </w:tblGrid>
                      <w:tr>
                        <w:trPr/>
                        <w:tc>
                          <w:tcPr>
                            <w:tcW w:w="956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0">
                              <w:r>
                                <w:rPr>
                                  <w:rStyle w:val="InternetLink"/>
                                  <w:rFonts w:ascii="ARIAL" w:hAnsi="ARIAL"/>
                                  <w:sz w:val="18"/>
                                </w:rPr>
                                <w:t>Selection of Relative TSR</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62</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1">
                              <w:r>
                                <w:rPr>
                                  <w:rStyle w:val="InternetLink"/>
                                  <w:rFonts w:ascii="ARIAL" w:hAnsi="ARIAL"/>
                                  <w:sz w:val="18"/>
                                </w:rPr>
                                <w:t>Performance-Based RSU Awards (45% of LTI Award)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63</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2">
                              <w:r>
                                <w:rPr>
                                  <w:rStyle w:val="InternetLink"/>
                                  <w:rFonts w:ascii="ARIAL" w:hAnsi="ARIAL"/>
                                  <w:sz w:val="18"/>
                                </w:rPr>
                                <w:t>2022-2024 Performance Goals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63</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3">
                              <w:r>
                                <w:rPr>
                                  <w:rStyle w:val="InternetLink"/>
                                  <w:rFonts w:ascii="ARIAL" w:hAnsi="ARIAL"/>
                                  <w:sz w:val="18"/>
                                </w:rPr>
                                <w:t>2020-2022 PSU Award Payouts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64</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4">
                              <w:r>
                                <w:rPr>
                                  <w:rStyle w:val="InternetLink"/>
                                  <w:rFonts w:ascii="ARIAL" w:hAnsi="ARIAL"/>
                                  <w:sz w:val="18"/>
                                </w:rPr>
                                <w:t>Ongoing Corporate Governance Policies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65</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5">
                              <w:r>
                                <w:rPr>
                                  <w:rStyle w:val="InternetLink"/>
                                  <w:rFonts w:ascii="ARIAL" w:hAnsi="ARIAL"/>
                                  <w:sz w:val="18"/>
                                </w:rPr>
                                <w:t>Compensation Decision Process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65</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6">
                              <w:r>
                                <w:rPr>
                                  <w:rStyle w:val="InternetLink"/>
                                  <w:rFonts w:ascii="ARIAL" w:hAnsi="ARIAL"/>
                                  <w:sz w:val="18"/>
                                </w:rPr>
                                <w:t>Other Compensation Program Features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67</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7">
                              <w:r>
                                <w:rPr>
                                  <w:rStyle w:val="InternetLink"/>
                                  <w:rFonts w:ascii="ARIAL" w:hAnsi="ARIAL"/>
                                  <w:sz w:val="18"/>
                                </w:rPr>
                                <w:t>Compensation Program Risk Assessment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67</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8">
                              <w:r>
                                <w:rPr>
                                  <w:rStyle w:val="InternetLink"/>
                                  <w:rFonts w:ascii="ARIAL" w:hAnsi="ARIAL"/>
                                  <w:sz w:val="18"/>
                                </w:rPr>
                                <w:t>Stock-Based Awards Generally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67</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49">
                              <w:r>
                                <w:rPr>
                                  <w:rStyle w:val="InternetLink"/>
                                  <w:rFonts w:ascii="ARIAL" w:hAnsi="ARIAL"/>
                                  <w:sz w:val="18"/>
                                </w:rPr>
                                <w:t>Stock Ownership Requirements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68</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0">
                              <w:r>
                                <w:rPr>
                                  <w:rStyle w:val="InternetLink"/>
                                  <w:rFonts w:ascii="ARIAL" w:hAnsi="ARIAL"/>
                                  <w:sz w:val="18"/>
                                </w:rPr>
                                <w:t>Anti-Hedging and Pledging Policy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68</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1">
                              <w:r>
                                <w:rPr>
                                  <w:rStyle w:val="InternetLink"/>
                                  <w:rFonts w:ascii="ARIAL" w:hAnsi="ARIAL"/>
                                  <w:sz w:val="18"/>
                                </w:rPr>
                                <w:t>Clawback Policy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69</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2">
                              <w:r>
                                <w:rPr>
                                  <w:rStyle w:val="InternetLink"/>
                                  <w:rFonts w:ascii="ARIAL" w:hAnsi="ARIAL"/>
                                  <w:sz w:val="18"/>
                                </w:rPr>
                                <w:t>Our Use of Independent Compensation Consultants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69</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3">
                              <w:r>
                                <w:rPr>
                                  <w:rStyle w:val="InternetLink"/>
                                  <w:rFonts w:ascii="ARIAL" w:hAnsi="ARIAL"/>
                                  <w:sz w:val="18"/>
                                </w:rPr>
                                <w:t>Practice Regarding Timing of Equity Grants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69</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4">
                              <w:r>
                                <w:rPr>
                                  <w:rStyle w:val="InternetLink"/>
                                  <w:rFonts w:ascii="ARIAL" w:hAnsi="ARIAL"/>
                                  <w:sz w:val="18"/>
                                </w:rPr>
                                <w:t>Perquisites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70</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5">
                              <w:r>
                                <w:rPr>
                                  <w:rStyle w:val="InternetLink"/>
                                  <w:rFonts w:ascii="ARIAL" w:hAnsi="ARIAL"/>
                                  <w:sz w:val="18"/>
                                </w:rPr>
                                <w:t>Retirement and Other 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70</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6">
                              <w:r>
                                <w:rPr>
                                  <w:rStyle w:val="InternetLink"/>
                                  <w:rFonts w:ascii="ARIAL" w:hAnsi="ARIAL"/>
                                  <w:sz w:val="18"/>
                                </w:rPr>
                                <w:t>Potential Payments upon Termination or Change of Control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70</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7">
                              <w:r>
                                <w:rPr>
                                  <w:rStyle w:val="InternetLink"/>
                                  <w:rFonts w:ascii="ARIAL" w:hAnsi="ARIAL"/>
                                  <w:sz w:val="18"/>
                                </w:rPr>
                                <w:t>Tax and Accounting Implications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71</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58">
                              <w:r>
                                <w:rPr>
                                  <w:rStyle w:val="InternetLink"/>
                                  <w:b/>
                                  <w:color w:val="007CBA"/>
                                </w:rPr>
                                <w:t>Executive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72</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59">
                              <w:r>
                                <w:rPr>
                                  <w:rStyle w:val="InternetLink"/>
                                  <w:rFonts w:ascii="ARIAL" w:hAnsi="ARIAL"/>
                                  <w:sz w:val="18"/>
                                </w:rPr>
                                <w:t>Executive Officer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72</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0">
                              <w:r>
                                <w:rPr>
                                  <w:rStyle w:val="InternetLink"/>
                                  <w:rFonts w:ascii="ARIAL" w:hAnsi="ARIAL"/>
                                  <w:sz w:val="18"/>
                                </w:rPr>
                                <w:t>Summary Compensation Table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72</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1">
                              <w:r>
                                <w:rPr>
                                  <w:rStyle w:val="InternetLink"/>
                                  <w:rFonts w:ascii="ARIAL" w:hAnsi="ARIAL"/>
                                  <w:sz w:val="18"/>
                                </w:rPr>
                                <w:t>Grants of Plan-Based Awards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73</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2">
                              <w:r>
                                <w:rPr>
                                  <w:rStyle w:val="InternetLink"/>
                                  <w:rFonts w:ascii="ARIAL" w:hAnsi="ARIAL"/>
                                  <w:sz w:val="18"/>
                                </w:rPr>
                                <w:t>Outstanding Equity Awards at Fiscal Year-End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75</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3">
                              <w:r>
                                <w:rPr>
                                  <w:rStyle w:val="InternetLink"/>
                                  <w:rFonts w:ascii="ARIAL" w:hAnsi="ARIAL"/>
                                  <w:sz w:val="18"/>
                                </w:rPr>
                                <w:t>Option Exercises and Stock Vested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76</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4">
                              <w:r>
                                <w:rPr>
                                  <w:rStyle w:val="InternetLink"/>
                                  <w:rFonts w:ascii="ARIAL" w:hAnsi="ARIAL"/>
                                  <w:sz w:val="18"/>
                                </w:rPr>
                                <w:t>Retirement and Other 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76</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5">
                              <w:r>
                                <w:rPr>
                                  <w:rStyle w:val="InternetLink"/>
                                  <w:rFonts w:ascii="ARIAL" w:hAnsi="ARIAL"/>
                                  <w:sz w:val="18"/>
                                </w:rPr>
                                <w:t>Pension 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78</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6">
                              <w:r>
                                <w:rPr>
                                  <w:rStyle w:val="InternetLink"/>
                                  <w:rFonts w:ascii="ARIAL" w:hAnsi="ARIAL"/>
                                  <w:sz w:val="18"/>
                                </w:rPr>
                                <w:t>Potential Payments Upon Termination or Change of Control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79</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66a">
                              <w:r>
                                <w:rPr>
                                  <w:rStyle w:val="InternetLink"/>
                                  <w:b/>
                                  <w:color w:val="007CBA"/>
                                </w:rPr>
                                <w:t xml:space="preserve">Required Pay Disclosures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82</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67">
                              <w:r>
                                <w:rPr>
                                  <w:rStyle w:val="InternetLink"/>
                                  <w:rFonts w:ascii="ARIAL" w:hAnsi="ARIAL"/>
                                  <w:sz w:val="18"/>
                                </w:rPr>
                                <w:t>CEO Pay Ratio Disclosure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82</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101">
                              <w:r>
                                <w:rPr>
                                  <w:rStyle w:val="InternetLink"/>
                                  <w:rFonts w:ascii="ARIAL" w:hAnsi="ARIAL"/>
                                  <w:sz w:val="18"/>
                                </w:rPr>
                                <w:t>Pay Versus Performance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83</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68">
                              <w:r>
                                <w:rPr>
                                  <w:rStyle w:val="InternetLink"/>
                                  <w:color w:val="FFFFFF"/>
                                  <w:highlight w:val="darkCyan"/>
                                </w:rPr>
                                <w:t> </w:t>
                              </w:r>
                            </w:hyperlink>
                            <w:hyperlink w:anchor="toc390557_68">
                              <w:r>
                                <w:rPr>
                                  <w:rStyle w:val="InternetLink"/>
                                  <w:b/>
                                  <w:color w:val="FFFFFF"/>
                                  <w:highlight w:val="darkCyan"/>
                                </w:rPr>
                                <w:t>Proposal 3: </w:t>
                              </w:r>
                            </w:hyperlink>
                            <w:r>
                              <w:rPr/>
                              <w:t xml:space="preserve"> </w:t>
                            </w:r>
                            <w:r>
                              <w:rPr>
                                <w:b/>
                              </w:rPr>
                              <w:t>Advisory Vote on the Compensation of Our Named Executive Officers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88</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69">
                              <w:r>
                                <w:rPr>
                                  <w:rStyle w:val="InternetLink"/>
                                  <w:color w:val="FFFFFF"/>
                                  <w:highlight w:val="darkCyan"/>
                                </w:rPr>
                                <w:t> </w:t>
                              </w:r>
                            </w:hyperlink>
                            <w:hyperlink w:anchor="toc390557_69">
                              <w:r>
                                <w:rPr>
                                  <w:rStyle w:val="InternetLink"/>
                                  <w:b/>
                                  <w:color w:val="FFFFFF"/>
                                  <w:highlight w:val="darkCyan"/>
                                </w:rPr>
                                <w:t>Proposal 4: </w:t>
                              </w:r>
                            </w:hyperlink>
                            <w:r>
                              <w:rPr/>
                              <w:t xml:space="preserve"> </w:t>
                            </w:r>
                            <w:r>
                              <w:rPr>
                                <w:b/>
                              </w:rPr>
                              <w:t>Advisory Vote on the Frequency of Executive Compensation Vote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89</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102">
                              <w:r>
                                <w:rPr>
                                  <w:rStyle w:val="InternetLink"/>
                                  <w:color w:val="FFFFFF"/>
                                  <w:highlight w:val="darkCyan"/>
                                </w:rPr>
                                <w:t> </w:t>
                              </w:r>
                            </w:hyperlink>
                            <w:hyperlink w:anchor="toc390557_102">
                              <w:r>
                                <w:rPr>
                                  <w:rStyle w:val="InternetLink"/>
                                  <w:b/>
                                  <w:color w:val="FFFFFF"/>
                                  <w:highlight w:val="darkCyan"/>
                                </w:rPr>
                                <w:t>Proposal 5: </w:t>
                              </w:r>
                            </w:hyperlink>
                            <w:r>
                              <w:rPr/>
                              <w:t xml:space="preserve"> </w:t>
                            </w:r>
                            <w:r>
                              <w:rPr>
                                <w:b/>
                              </w:rPr>
                              <w:t xml:space="preserve">Shareholder Proposal, if Properly Presented at the Meeting, Requesting the Establishment Within a Year of GHG Reduction Targets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90</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70">
                              <w:r>
                                <w:rPr>
                                  <w:rStyle w:val="InternetLink"/>
                                  <w:b/>
                                  <w:color w:val="007CBA"/>
                                </w:rPr>
                                <w:t>Securities Authorized for Issuance Under Equity Compensation Plans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96</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71">
                              <w:r>
                                <w:rPr>
                                  <w:rStyle w:val="InternetLink"/>
                                  <w:rFonts w:ascii="ARIAL" w:hAnsi="ARIAL"/>
                                  <w:sz w:val="18"/>
                                </w:rPr>
                                <w:t>Equity Compensation Plan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96</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72">
                              <w:r>
                                <w:rPr>
                                  <w:rStyle w:val="InternetLink"/>
                                  <w:rFonts w:ascii="ARIAL" w:hAnsi="ARIAL"/>
                                  <w:sz w:val="18"/>
                                </w:rPr>
                                <w:t>Description of the TXI Legacy Plan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96</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73">
                              <w:r>
                                <w:rPr>
                                  <w:rStyle w:val="InternetLink"/>
                                  <w:rFonts w:ascii="ARIAL" w:hAnsi="ARIAL"/>
                                  <w:sz w:val="18"/>
                                </w:rPr>
                                <w:t>Description of the Deferred Compensation Plan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97</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74">
                              <w:r>
                                <w:rPr>
                                  <w:rStyle w:val="InternetLink"/>
                                  <w:b/>
                                  <w:color w:val="007CBA"/>
                                </w:rPr>
                                <w:t>Annual Meeting and Voting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98</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75">
                              <w:r>
                                <w:rPr>
                                  <w:rStyle w:val="InternetLink"/>
                                  <w:rFonts w:ascii="ARIAL" w:hAnsi="ARIAL"/>
                                  <w:sz w:val="18"/>
                                </w:rPr>
                                <w:t>Incorporation by Reference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101</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0"/>
                              <w:rPr/>
                            </w:pPr>
                            <w:hyperlink w:anchor="toc390557_76">
                              <w:r>
                                <w:rPr>
                                  <w:rStyle w:val="InternetLink"/>
                                  <w:rFonts w:ascii="ARIAL" w:hAnsi="ARIAL"/>
                                  <w:sz w:val="18"/>
                                </w:rPr>
                                <w:t>Shareholders’ Proposals for 2024 Annual Meeting</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101</w:t>
                            </w:r>
                          </w:p>
                        </w:tc>
                        <w:tc>
                          <w:tcPr>
                            <w:tcW w:w="76" w:type="dxa"/>
                            <w:tcBorders/>
                            <w:shd w:fill="auto" w:val="clear"/>
                            <w:vAlign w:val="center"/>
                          </w:tcPr>
                          <w:p>
                            <w:pPr>
                              <w:pStyle w:val="TableContents"/>
                              <w:spacing w:before="0" w:after="283"/>
                              <w:rPr/>
                            </w:pPr>
                            <w:r>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77">
                              <w:r>
                                <w:rPr>
                                  <w:rStyle w:val="InternetLink"/>
                                  <w:b/>
                                  <w:color w:val="007CBA"/>
                                </w:rPr>
                                <w:t>Appendix A: Martin Marietta Guidelines for Potential New Board Members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A-1</w:t>
                            </w:r>
                          </w:p>
                        </w:tc>
                        <w:tc>
                          <w:tcPr>
                            <w:tcW w:w="76" w:type="dxa"/>
                            <w:tcBorders/>
                            <w:shd w:fill="auto" w:val="clear"/>
                            <w:vAlign w:val="center"/>
                          </w:tcPr>
                          <w:p>
                            <w:pPr>
                              <w:pStyle w:val="TableContents"/>
                              <w:spacing w:before="0" w:after="283"/>
                              <w:rPr>
                                <w:color w:val="007CBA"/>
                              </w:rPr>
                            </w:pPr>
                            <w:r>
                              <w:rPr>
                                <w:color w:val="007CBA"/>
                              </w:rPr>
                              <w:t> </w:t>
                            </w:r>
                          </w:p>
                        </w:tc>
                      </w:tr>
                      <w:tr>
                        <w:trPr/>
                        <w:tc>
                          <w:tcPr>
                            <w:tcW w:w="9561"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r>
                      <w:tr>
                        <w:trPr/>
                        <w:tc>
                          <w:tcPr>
                            <w:tcW w:w="9561" w:type="dxa"/>
                            <w:tcBorders/>
                            <w:shd w:fill="auto" w:val="clear"/>
                            <w:vAlign w:val="center"/>
                          </w:tcPr>
                          <w:p>
                            <w:pPr>
                              <w:pStyle w:val="TableContents"/>
                              <w:spacing w:before="0" w:after="283"/>
                              <w:rPr/>
                            </w:pPr>
                            <w:hyperlink w:anchor="toc390557_78">
                              <w:r>
                                <w:rPr>
                                  <w:rStyle w:val="InternetLink"/>
                                  <w:b/>
                                  <w:color w:val="007CBA"/>
                                </w:rPr>
                                <w:t>Appendix B: Non-GAAP Measures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388" w:type="dxa"/>
                            <w:tcBorders/>
                            <w:shd w:fill="auto" w:val="clear"/>
                            <w:vAlign w:val="center"/>
                          </w:tcPr>
                          <w:p>
                            <w:pPr>
                              <w:pStyle w:val="TableContents"/>
                              <w:spacing w:before="0" w:after="283"/>
                              <w:jc w:val="right"/>
                              <w:rPr>
                                <w:b/>
                                <w:color w:val="007CBA"/>
                              </w:rPr>
                            </w:pPr>
                            <w:r>
                              <w:rPr>
                                <w:b/>
                                <w:color w:val="007CBA"/>
                              </w:rPr>
                              <w:t>B-1</w:t>
                            </w:r>
                          </w:p>
                        </w:tc>
                        <w:tc>
                          <w:tcPr>
                            <w:tcW w:w="76" w:type="dxa"/>
                            <w:tcBorders/>
                            <w:shd w:fill="auto" w:val="clear"/>
                            <w:vAlign w:val="center"/>
                          </w:tcPr>
                          <w:p>
                            <w:pPr>
                              <w:pStyle w:val="TableContents"/>
                              <w:spacing w:before="0" w:after="283"/>
                              <w:rPr>
                                <w:color w:val="007CBA"/>
                              </w:rPr>
                            </w:pPr>
                            <w:r>
                              <w:rPr>
                                <w:color w:val="007CBA"/>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3220" w:type="dxa"/>
        <w:jc w:val="left"/>
        <w:tblInd w:w="0" w:type="dxa"/>
        <w:tblCellMar>
          <w:top w:w="0" w:type="dxa"/>
          <w:left w:w="0" w:type="dxa"/>
          <w:bottom w:w="0" w:type="dxa"/>
          <w:right w:w="0" w:type="dxa"/>
        </w:tblCellMar>
      </w:tblPr>
      <w:tblGrid>
        <w:gridCol w:w="2930"/>
        <w:gridCol w:w="60"/>
        <w:gridCol w:w="132"/>
        <w:gridCol w:w="60"/>
        <w:gridCol w:w="38"/>
      </w:tblGrid>
      <w:tr>
        <w:trPr/>
        <w:tc>
          <w:tcPr>
            <w:tcW w:w="29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2930" w:type="dxa"/>
            <w:tcBorders/>
            <w:shd w:fill="auto" w:val="clear"/>
            <w:vAlign w:val="center"/>
          </w:tcPr>
          <w:p>
            <w:pPr>
              <w:pStyle w:val="TableContents"/>
              <w:spacing w:before="0" w:after="283"/>
              <w:rPr>
                <w:color w:val="007CBA"/>
              </w:rPr>
            </w:pPr>
            <w:r>
              <w:rPr>
                <w:color w:val="007CBA"/>
              </w:rPr>
              <w:t>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PROXY</w:t>
      </w:r>
      <w:r>
        <w:rPr>
          <w:rFonts w:ascii="ARIAL" w:hAnsi="ARIAL"/>
          <w:sz w:val="16"/>
        </w:rPr>
        <w:t xml:space="preserve"> </w:t>
      </w:r>
    </w:p>
    <w:p>
      <w:pPr>
        <w:pStyle w:val="TextBody"/>
        <w:spacing w:before="0" w:after="0"/>
        <w:jc w:val="left"/>
        <w:rPr/>
      </w:pPr>
      <w:r>
        <w:rPr/>
        <w:t> </w:t>
      </w:r>
    </w:p>
    <w:p>
      <w:pPr>
        <w:pStyle w:val="Normal"/>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888105" cy="9962515"/>
                <wp:effectExtent l="0" t="0" r="0" b="0"/>
                <wp:wrapSquare wrapText="largest"/>
                <wp:docPr id="16" name="Frame3"/>
                <a:graphic xmlns:a="http://schemas.openxmlformats.org/drawingml/2006/main">
                  <a:graphicData uri="http://schemas.microsoft.com/office/word/2010/wordprocessingShape">
                    <wps:wsp>
                      <wps:cNvSpPr txBox="1"/>
                      <wps:spPr>
                        <a:xfrm>
                          <a:off x="0" y="0"/>
                          <a:ext cx="3888105" cy="9962515"/>
                        </a:xfrm>
                        <a:prstGeom prst="rect"/>
                      </wps:spPr>
                      <wps:txbx>
                        <w:txbxContent>
                          <w:p>
                            <w:pPr>
                              <w:pStyle w:val="TextBody"/>
                              <w:spacing w:lineRule="atLeast" w:line="460" w:before="0" w:after="0"/>
                              <w:rPr>
                                <w:rFonts w:ascii="ARIAL" w:hAnsi="ARIAL"/>
                                <w:b/>
                                <w:color w:val="007CBA"/>
                                <w:sz w:val="42"/>
                              </w:rPr>
                            </w:pPr>
                            <w:bookmarkStart w:id="3" w:name="toc390557_1"/>
                            <w:bookmarkEnd w:id="3"/>
                            <w:r>
                              <w:rPr>
                                <w:rFonts w:ascii="ARIAL" w:hAnsi="ARIAL"/>
                                <w:b/>
                                <w:color w:val="007CBA"/>
                                <w:sz w:val="42"/>
                              </w:rPr>
                              <w:t xml:space="preserve">Proxy Statement Highlights </w:t>
                            </w:r>
                          </w:p>
                          <w:p>
                            <w:pPr>
                              <w:pStyle w:val="TextBody"/>
                              <w:spacing w:lineRule="atLeast" w:line="300" w:before="120" w:after="0"/>
                              <w:rPr>
                                <w:rFonts w:ascii="ARIAL" w:hAnsi="ARIAL"/>
                                <w:b/>
                                <w:color w:val="71BE9A"/>
                                <w:sz w:val="24"/>
                              </w:rPr>
                            </w:pPr>
                            <w:r>
                              <w:rPr>
                                <w:rFonts w:ascii="ARIAL" w:hAnsi="ARIAL"/>
                                <w:b/>
                                <w:color w:val="71BE9A"/>
                                <w:sz w:val="24"/>
                              </w:rPr>
                              <w:t xml:space="preserve">Shareholders Benefit from Martin Marietta’s Record 2022 Performance </w:t>
                            </w:r>
                          </w:p>
                          <w:p>
                            <w:pPr>
                              <w:pStyle w:val="TextBody"/>
                              <w:spacing w:lineRule="atLeast" w:line="240" w:before="120" w:after="0"/>
                              <w:rPr>
                                <w:rFonts w:ascii="ARIAL" w:hAnsi="ARIAL"/>
                                <w:sz w:val="16"/>
                              </w:rPr>
                            </w:pPr>
                            <w:r>
                              <w:rPr>
                                <w:rFonts w:ascii="ARIAL" w:hAnsi="ARIAL"/>
                                <w:sz w:val="16"/>
                              </w:rPr>
                              <w:t xml:space="preserve">This summary provides highlights of selected information about Martin Marietta Materials, Inc. (the Company, Martin Marietta, we or us) from this Proxy Statement. The Board of Directors is providing the Notice of 2023 Annual Meeting of Shareholders, this Proxy Statement and Proxy Card (the Proxy Materials) in connection with the Company’s solicitation of proxies for the 2023 Annual Meeting (the Annual Meeting) to be held on May 11, 2023, and at any adjournment or postponement thereof. </w:t>
                            </w:r>
                          </w:p>
                          <w:p>
                            <w:pPr>
                              <w:pStyle w:val="TextBody"/>
                              <w:spacing w:lineRule="atLeast" w:line="240" w:before="120" w:after="0"/>
                              <w:rPr>
                                <w:rFonts w:ascii="ARIAL" w:hAnsi="ARIAL"/>
                                <w:sz w:val="16"/>
                              </w:rPr>
                            </w:pPr>
                            <w:r>
                              <w:rPr>
                                <w:rFonts w:ascii="ARIAL" w:hAnsi="ARIAL"/>
                                <w:sz w:val="16"/>
                              </w:rPr>
                              <w:t xml:space="preserve">This proxy summary highlights information contained elsewhere in our Proxy Statement. The summary does not contain all the information that you should consider, and we encourage you to read the entire Proxy Statement before voting. </w:t>
                            </w:r>
                          </w:p>
                          <w:p>
                            <w:pPr>
                              <w:pStyle w:val="TextBody"/>
                              <w:spacing w:lineRule="atLeast" w:line="300" w:before="200" w:after="0"/>
                              <w:rPr>
                                <w:rFonts w:ascii="ARIAL" w:hAnsi="ARIAL"/>
                                <w:b/>
                                <w:color w:val="71BE9A"/>
                                <w:sz w:val="24"/>
                              </w:rPr>
                            </w:pPr>
                            <w:r>
                              <w:rPr>
                                <w:rFonts w:ascii="ARIAL" w:hAnsi="ARIAL"/>
                                <w:b/>
                                <w:color w:val="71BE9A"/>
                                <w:sz w:val="24"/>
                              </w:rPr>
                              <w:t xml:space="preserve">These are highlights of our financial performance in 2022: </w:t>
                            </w:r>
                          </w:p>
                          <w:p>
                            <w:pPr>
                              <w:pStyle w:val="TextBody"/>
                              <w:spacing w:before="0" w:after="0"/>
                              <w:rPr/>
                            </w:pPr>
                            <w:r>
                              <w:rPr/>
                              <w:t> </w:t>
                            </w:r>
                          </w:p>
                          <w:tbl>
                            <w:tblPr>
                              <w:tblW w:w="8365" w:type="dxa"/>
                              <w:jc w:val="left"/>
                              <w:tblInd w:w="0" w:type="dxa"/>
                              <w:tblCellMar>
                                <w:top w:w="0" w:type="dxa"/>
                                <w:left w:w="0" w:type="dxa"/>
                                <w:bottom w:w="0" w:type="dxa"/>
                                <w:right w:w="0" w:type="dxa"/>
                              </w:tblCellMar>
                            </w:tblPr>
                            <w:tblGrid>
                              <w:gridCol w:w="125"/>
                              <w:gridCol w:w="60"/>
                              <w:gridCol w:w="818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180" w:type="dxa"/>
                                  <w:tcBorders/>
                                  <w:shd w:fill="auto" w:val="clear"/>
                                  <w:vAlign w:val="center"/>
                                </w:tcPr>
                                <w:p>
                                  <w:pPr>
                                    <w:pStyle w:val="TableContents"/>
                                    <w:spacing w:before="0" w:after="283"/>
                                    <w:jc w:val="left"/>
                                    <w:rPr/>
                                  </w:pPr>
                                  <w:r>
                                    <w:rPr/>
                                    <w:t xml:space="preserve">Product and services </w:t>
                                  </w:r>
                                  <w:r>
                                    <w:rPr>
                                      <w:b/>
                                      <w:color w:val="007CBA"/>
                                    </w:rPr>
                                    <w:t>revenues from continuing operations of $5.7 billion, up 13%</w:t>
                                  </w:r>
                                  <w:r>
                                    <w:rPr/>
                                    <w:t xml:space="preserve"> </w:t>
                                  </w:r>
                                </w:p>
                              </w:tc>
                            </w:tr>
                          </w:tbl>
                          <w:p>
                            <w:pPr>
                              <w:pStyle w:val="TextBody"/>
                              <w:spacing w:before="0" w:after="0"/>
                              <w:rPr/>
                            </w:pPr>
                            <w:r>
                              <w:rPr/>
                              <w:t> </w:t>
                            </w:r>
                          </w:p>
                          <w:tbl>
                            <w:tblPr>
                              <w:tblW w:w="6565" w:type="dxa"/>
                              <w:jc w:val="left"/>
                              <w:tblInd w:w="0" w:type="dxa"/>
                              <w:tblCellMar>
                                <w:top w:w="0" w:type="dxa"/>
                                <w:left w:w="0" w:type="dxa"/>
                                <w:bottom w:w="0" w:type="dxa"/>
                                <w:right w:w="0" w:type="dxa"/>
                              </w:tblCellMar>
                            </w:tblPr>
                            <w:tblGrid>
                              <w:gridCol w:w="125"/>
                              <w:gridCol w:w="60"/>
                              <w:gridCol w:w="638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380" w:type="dxa"/>
                                  <w:tcBorders/>
                                  <w:shd w:fill="auto" w:val="clear"/>
                                  <w:vAlign w:val="center"/>
                                </w:tcPr>
                                <w:p>
                                  <w:pPr>
                                    <w:pStyle w:val="TableContents"/>
                                    <w:spacing w:before="0" w:after="283"/>
                                    <w:jc w:val="left"/>
                                    <w:rPr/>
                                  </w:pPr>
                                  <w:r>
                                    <w:rPr>
                                      <w:b/>
                                      <w:color w:val="007CBA"/>
                                    </w:rPr>
                                    <w:t>Net earnings</w:t>
                                  </w:r>
                                  <w:r>
                                    <w:rPr/>
                                    <w:t xml:space="preserve"> attributable to continuing operations </w:t>
                                  </w:r>
                                  <w:r>
                                    <w:rPr>
                                      <w:b/>
                                      <w:color w:val="007CBA"/>
                                    </w:rPr>
                                    <w:t>of $856 million</w:t>
                                  </w:r>
                                  <w:r>
                                    <w:rPr/>
                                    <w:t xml:space="preserve"> </w:t>
                                  </w:r>
                                </w:p>
                              </w:tc>
                            </w:tr>
                          </w:tbl>
                          <w:p>
                            <w:pPr>
                              <w:pStyle w:val="TextBody"/>
                              <w:spacing w:before="0" w:after="0"/>
                              <w:rPr/>
                            </w:pPr>
                            <w:r>
                              <w:rPr/>
                              <w:t> </w:t>
                            </w:r>
                          </w:p>
                          <w:tbl>
                            <w:tblPr>
                              <w:tblW w:w="7435" w:type="dxa"/>
                              <w:jc w:val="left"/>
                              <w:tblInd w:w="0" w:type="dxa"/>
                              <w:tblCellMar>
                                <w:top w:w="0" w:type="dxa"/>
                                <w:left w:w="0" w:type="dxa"/>
                                <w:bottom w:w="0" w:type="dxa"/>
                                <w:right w:w="0" w:type="dxa"/>
                              </w:tblCellMar>
                            </w:tblPr>
                            <w:tblGrid>
                              <w:gridCol w:w="125"/>
                              <w:gridCol w:w="60"/>
                              <w:gridCol w:w="725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283"/>
                                    <w:jc w:val="left"/>
                                    <w:rPr/>
                                  </w:pPr>
                                  <w:r>
                                    <w:rPr>
                                      <w:b/>
                                      <w:color w:val="007CBA"/>
                                    </w:rPr>
                                    <w:t>Gross profit</w:t>
                                  </w:r>
                                  <w:r>
                                    <w:rPr/>
                                    <w:t xml:space="preserve"> from continuing operations of $1.4 billion, </w:t>
                                  </w:r>
                                  <w:r>
                                    <w:rPr>
                                      <w:b/>
                                      <w:color w:val="007CBA"/>
                                    </w:rPr>
                                    <w:t>an increase of 6%</w:t>
                                  </w:r>
                                  <w:r>
                                    <w:rPr/>
                                    <w:t xml:space="preserve"> </w:t>
                                  </w:r>
                                </w:p>
                              </w:tc>
                            </w:tr>
                          </w:tbl>
                          <w:p>
                            <w:pPr>
                              <w:pStyle w:val="TextBody"/>
                              <w:spacing w:before="0" w:after="0"/>
                              <w:rPr/>
                            </w:pPr>
                            <w:r>
                              <w:rPr/>
                              <w:t> </w:t>
                            </w:r>
                          </w:p>
                          <w:tbl>
                            <w:tblPr>
                              <w:tblW w:w="6700" w:type="dxa"/>
                              <w:jc w:val="left"/>
                              <w:tblInd w:w="0" w:type="dxa"/>
                              <w:tblCellMar>
                                <w:top w:w="0" w:type="dxa"/>
                                <w:left w:w="0" w:type="dxa"/>
                                <w:bottom w:w="0" w:type="dxa"/>
                                <w:right w:w="0" w:type="dxa"/>
                              </w:tblCellMar>
                            </w:tblPr>
                            <w:tblGrid>
                              <w:gridCol w:w="125"/>
                              <w:gridCol w:w="60"/>
                              <w:gridCol w:w="6515"/>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515" w:type="dxa"/>
                                  <w:tcBorders/>
                                  <w:shd w:fill="auto" w:val="clear"/>
                                  <w:vAlign w:val="center"/>
                                </w:tcPr>
                                <w:p>
                                  <w:pPr>
                                    <w:pStyle w:val="TableContents"/>
                                    <w:spacing w:before="0" w:after="283"/>
                                    <w:jc w:val="left"/>
                                    <w:rPr/>
                                  </w:pPr>
                                  <w:r>
                                    <w:rPr/>
                                    <w:t xml:space="preserve">Earnings from operations from continuing operations of </w:t>
                                  </w:r>
                                  <w:r>
                                    <w:rPr>
                                      <w:b/>
                                      <w:color w:val="007CBA"/>
                                    </w:rPr>
                                    <w:t>$1.2 billion</w:t>
                                  </w:r>
                                  <w:r>
                                    <w:rPr/>
                                    <w:t xml:space="preserve"> </w:t>
                                  </w:r>
                                </w:p>
                              </w:tc>
                            </w:tr>
                          </w:tbl>
                          <w:p>
                            <w:pPr>
                              <w:pStyle w:val="TextBody"/>
                              <w:spacing w:before="0" w:after="0"/>
                              <w:rPr/>
                            </w:pPr>
                            <w:r>
                              <w:rPr/>
                              <w:t> </w:t>
                            </w:r>
                          </w:p>
                          <w:tbl>
                            <w:tblPr>
                              <w:tblW w:w="7975" w:type="dxa"/>
                              <w:jc w:val="left"/>
                              <w:tblInd w:w="0" w:type="dxa"/>
                              <w:tblCellMar>
                                <w:top w:w="0" w:type="dxa"/>
                                <w:left w:w="0" w:type="dxa"/>
                                <w:bottom w:w="0" w:type="dxa"/>
                                <w:right w:w="0" w:type="dxa"/>
                              </w:tblCellMar>
                            </w:tblPr>
                            <w:tblGrid>
                              <w:gridCol w:w="125"/>
                              <w:gridCol w:w="60"/>
                              <w:gridCol w:w="779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790" w:type="dxa"/>
                                  <w:tcBorders/>
                                  <w:shd w:fill="auto" w:val="clear"/>
                                  <w:vAlign w:val="center"/>
                                </w:tcPr>
                                <w:p>
                                  <w:pPr>
                                    <w:pStyle w:val="TableContents"/>
                                    <w:spacing w:before="0" w:after="283"/>
                                    <w:jc w:val="left"/>
                                    <w:rPr/>
                                  </w:pPr>
                                  <w:r>
                                    <w:rPr>
                                      <w:b/>
                                      <w:color w:val="007CBA"/>
                                    </w:rPr>
                                    <w:t>Adjusted EBITDA from continuing operations increased 5%</w:t>
                                  </w:r>
                                  <w:r>
                                    <w:rPr/>
                                    <w:t xml:space="preserve"> to $1.6 billion*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Quarterly </w:t>
                                  </w:r>
                                  <w:r>
                                    <w:rPr>
                                      <w:b/>
                                      <w:color w:val="007CBA"/>
                                    </w:rPr>
                                    <w:t>dividend increase of 8%,</w:t>
                                  </w:r>
                                  <w:r>
                                    <w:rPr/>
                                    <w:t xml:space="preserve"> resulting in total annual dividends paid of $159 million, or $2.64 per share on an annualized basis </w:t>
                                  </w:r>
                                </w:p>
                              </w:tc>
                            </w:tr>
                          </w:tbl>
                          <w:p>
                            <w:pPr>
                              <w:pStyle w:val="TextBody"/>
                              <w:spacing w:before="0" w:after="0"/>
                              <w:rPr/>
                            </w:pPr>
                            <w:r>
                              <w:rPr/>
                              <w:t> </w:t>
                            </w:r>
                          </w:p>
                          <w:tbl>
                            <w:tblPr>
                              <w:tblW w:w="6340" w:type="dxa"/>
                              <w:jc w:val="left"/>
                              <w:tblInd w:w="0" w:type="dxa"/>
                              <w:tblCellMar>
                                <w:top w:w="0" w:type="dxa"/>
                                <w:left w:w="0" w:type="dxa"/>
                                <w:bottom w:w="0" w:type="dxa"/>
                                <w:right w:w="0" w:type="dxa"/>
                              </w:tblCellMar>
                            </w:tblPr>
                            <w:tblGrid>
                              <w:gridCol w:w="125"/>
                              <w:gridCol w:w="60"/>
                              <w:gridCol w:w="6155"/>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155" w:type="dxa"/>
                                  <w:tcBorders/>
                                  <w:shd w:fill="auto" w:val="clear"/>
                                  <w:vAlign w:val="center"/>
                                </w:tcPr>
                                <w:p>
                                  <w:pPr>
                                    <w:pStyle w:val="TableContents"/>
                                    <w:spacing w:before="0" w:after="283"/>
                                    <w:jc w:val="left"/>
                                    <w:rPr/>
                                  </w:pPr>
                                  <w:r>
                                    <w:rPr/>
                                    <w:t xml:space="preserve">Diluted earnings per share from continuing operations of </w:t>
                                  </w:r>
                                  <w:r>
                                    <w:rPr>
                                      <w:b/>
                                      <w:color w:val="007CBA"/>
                                    </w:rPr>
                                    <w:t>$13.70</w:t>
                                  </w:r>
                                  <w:r>
                                    <w:rPr/>
                                    <w:t xml:space="preserve"> </w:t>
                                  </w:r>
                                </w:p>
                              </w:tc>
                            </w:tr>
                          </w:tbl>
                          <w:p>
                            <w:pPr>
                              <w:pStyle w:val="TextBody"/>
                              <w:spacing w:before="0" w:after="0"/>
                              <w:rPr/>
                            </w:pPr>
                            <w:r>
                              <w:rPr/>
                              <w:t> </w:t>
                            </w:r>
                          </w:p>
                          <w:tbl>
                            <w:tblPr>
                              <w:tblW w:w="7705" w:type="dxa"/>
                              <w:jc w:val="left"/>
                              <w:tblInd w:w="0" w:type="dxa"/>
                              <w:tblCellMar>
                                <w:top w:w="0" w:type="dxa"/>
                                <w:left w:w="0" w:type="dxa"/>
                                <w:bottom w:w="0" w:type="dxa"/>
                                <w:right w:w="0" w:type="dxa"/>
                              </w:tblCellMar>
                            </w:tblPr>
                            <w:tblGrid>
                              <w:gridCol w:w="125"/>
                              <w:gridCol w:w="60"/>
                              <w:gridCol w:w="752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520" w:type="dxa"/>
                                  <w:tcBorders/>
                                  <w:shd w:fill="auto" w:val="clear"/>
                                  <w:vAlign w:val="center"/>
                                </w:tcPr>
                                <w:p>
                                  <w:pPr>
                                    <w:pStyle w:val="TableContents"/>
                                    <w:spacing w:lineRule="atLeast" w:line="180" w:before="0" w:after="283"/>
                                    <w:jc w:val="left"/>
                                    <w:rPr/>
                                  </w:pPr>
                                  <w:r>
                                    <w:rPr/>
                                    <w:t xml:space="preserve">Adjusted diluted </w:t>
                                  </w:r>
                                  <w:r>
                                    <w:rPr>
                                      <w:b/>
                                      <w:color w:val="007CBA"/>
                                    </w:rPr>
                                    <w:t>earnings per share from continuing operations of $12.07</w:t>
                                  </w:r>
                                  <w:r>
                                    <w:rPr/>
                                    <w:t xml:space="preserve">* </w:t>
                                  </w:r>
                                </w:p>
                              </w:tc>
                            </w:tr>
                          </w:tbl>
                          <w:p>
                            <w:pPr>
                              <w:pStyle w:val="TextBody"/>
                              <w:spacing w:before="0" w:after="0"/>
                              <w:rPr/>
                            </w:pPr>
                            <w:r>
                              <w:rPr/>
                              <w:t> </w:t>
                            </w:r>
                          </w:p>
                          <w:tbl>
                            <w:tblPr>
                              <w:tblW w:w="5275" w:type="dxa"/>
                              <w:jc w:val="left"/>
                              <w:tblInd w:w="0" w:type="dxa"/>
                              <w:tblCellMar>
                                <w:top w:w="0" w:type="dxa"/>
                                <w:left w:w="0" w:type="dxa"/>
                                <w:bottom w:w="0" w:type="dxa"/>
                                <w:right w:w="0" w:type="dxa"/>
                              </w:tblCellMar>
                            </w:tblPr>
                            <w:tblGrid>
                              <w:gridCol w:w="125"/>
                              <w:gridCol w:w="60"/>
                              <w:gridCol w:w="509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left"/>
                                    <w:rPr/>
                                  </w:pPr>
                                  <w:r>
                                    <w:rPr>
                                      <w:b/>
                                      <w:color w:val="007CBA"/>
                                    </w:rPr>
                                    <w:t>Capital investments</w:t>
                                  </w:r>
                                  <w:r>
                                    <w:rPr/>
                                    <w:t xml:space="preserve"> into operations of </w:t>
                                  </w:r>
                                  <w:r>
                                    <w:rPr>
                                      <w:b/>
                                      <w:color w:val="007CBA"/>
                                    </w:rPr>
                                    <w:t>$482 million</w:t>
                                  </w:r>
                                  <w:r>
                                    <w:rPr/>
                                    <w:t xml:space="preserv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Announced and/or completed over $1 billion of non-core asset divestitures in 2022, continuing our long track record of delevering following acquisitions, returning </w:t>
                                  </w:r>
                                  <w:r>
                                    <w:rPr>
                                      <w:b/>
                                      <w:color w:val="007CBA"/>
                                    </w:rPr>
                                    <w:t>net leverage to</w:t>
                                  </w:r>
                                  <w:r>
                                    <w:rPr/>
                                    <w:t xml:space="preserve"> </w:t>
                                  </w:r>
                                  <w:r>
                                    <w:rPr>
                                      <w:b/>
                                      <w:color w:val="007CBA"/>
                                    </w:rPr>
                                    <w:t>2.5x</w:t>
                                  </w:r>
                                  <w:r>
                                    <w:rPr/>
                                    <w:t xml:space="preserve"> at December 31, 2022* </w:t>
                                  </w:r>
                                </w:p>
                              </w:tc>
                            </w:tr>
                          </w:tbl>
                          <w:p>
                            <w:pPr>
                              <w:pStyle w:val="TextBody"/>
                              <w:spacing w:before="120" w:after="0"/>
                              <w:rPr>
                                <w:rFonts w:ascii="ARIAL" w:hAnsi="ARIAL"/>
                                <w:sz w:val="16"/>
                              </w:rPr>
                            </w:pPr>
                            <w:r>
                              <w:rPr>
                                <w:rFonts w:ascii="ARIAL" w:hAnsi="ARIAL"/>
                                <w:sz w:val="16"/>
                              </w:rPr>
                              <w:t xml:space="preserve">*Please see Appendix B for a reconciliation of non-GAAP measures to GAAP measures </w:t>
                            </w:r>
                          </w:p>
                        </w:txbxContent>
                      </wps:txbx>
                      <wps:bodyPr anchor="t" lIns="0" tIns="0" rIns="0" bIns="0">
                        <a:noAutofit/>
                      </wps:bodyPr>
                    </wps:wsp>
                  </a:graphicData>
                </a:graphic>
                <wp14:sizeRelH relativeFrom="margin">
                  <wp14:pctWidth>60000</wp14:pctWidth>
                </wp14:sizeRelH>
              </wp:anchor>
            </w:drawing>
          </mc:Choice>
          <mc:Fallback>
            <w:pict>
              <v:rect style="position:absolute;rotation:0;width:306.15pt;height:784.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lineRule="atLeast" w:line="460" w:before="0" w:after="0"/>
                        <w:rPr>
                          <w:rFonts w:ascii="ARIAL" w:hAnsi="ARIAL"/>
                          <w:b/>
                          <w:color w:val="007CBA"/>
                          <w:sz w:val="42"/>
                        </w:rPr>
                      </w:pPr>
                      <w:bookmarkStart w:id="4" w:name="toc390557_1"/>
                      <w:bookmarkEnd w:id="4"/>
                      <w:r>
                        <w:rPr>
                          <w:rFonts w:ascii="ARIAL" w:hAnsi="ARIAL"/>
                          <w:b/>
                          <w:color w:val="007CBA"/>
                          <w:sz w:val="42"/>
                        </w:rPr>
                        <w:t xml:space="preserve">Proxy Statement Highlights </w:t>
                      </w:r>
                    </w:p>
                    <w:p>
                      <w:pPr>
                        <w:pStyle w:val="TextBody"/>
                        <w:spacing w:lineRule="atLeast" w:line="300" w:before="120" w:after="0"/>
                        <w:rPr>
                          <w:rFonts w:ascii="ARIAL" w:hAnsi="ARIAL"/>
                          <w:b/>
                          <w:color w:val="71BE9A"/>
                          <w:sz w:val="24"/>
                        </w:rPr>
                      </w:pPr>
                      <w:r>
                        <w:rPr>
                          <w:rFonts w:ascii="ARIAL" w:hAnsi="ARIAL"/>
                          <w:b/>
                          <w:color w:val="71BE9A"/>
                          <w:sz w:val="24"/>
                        </w:rPr>
                        <w:t xml:space="preserve">Shareholders Benefit from Martin Marietta’s Record 2022 Performance </w:t>
                      </w:r>
                    </w:p>
                    <w:p>
                      <w:pPr>
                        <w:pStyle w:val="TextBody"/>
                        <w:spacing w:lineRule="atLeast" w:line="240" w:before="120" w:after="0"/>
                        <w:rPr>
                          <w:rFonts w:ascii="ARIAL" w:hAnsi="ARIAL"/>
                          <w:sz w:val="16"/>
                        </w:rPr>
                      </w:pPr>
                      <w:r>
                        <w:rPr>
                          <w:rFonts w:ascii="ARIAL" w:hAnsi="ARIAL"/>
                          <w:sz w:val="16"/>
                        </w:rPr>
                        <w:t xml:space="preserve">This summary provides highlights of selected information about Martin Marietta Materials, Inc. (the Company, Martin Marietta, we or us) from this Proxy Statement. The Board of Directors is providing the Notice of 2023 Annual Meeting of Shareholders, this Proxy Statement and Proxy Card (the Proxy Materials) in connection with the Company’s solicitation of proxies for the 2023 Annual Meeting (the Annual Meeting) to be held on May 11, 2023, and at any adjournment or postponement thereof. </w:t>
                      </w:r>
                    </w:p>
                    <w:p>
                      <w:pPr>
                        <w:pStyle w:val="TextBody"/>
                        <w:spacing w:lineRule="atLeast" w:line="240" w:before="120" w:after="0"/>
                        <w:rPr>
                          <w:rFonts w:ascii="ARIAL" w:hAnsi="ARIAL"/>
                          <w:sz w:val="16"/>
                        </w:rPr>
                      </w:pPr>
                      <w:r>
                        <w:rPr>
                          <w:rFonts w:ascii="ARIAL" w:hAnsi="ARIAL"/>
                          <w:sz w:val="16"/>
                        </w:rPr>
                        <w:t xml:space="preserve">This proxy summary highlights information contained elsewhere in our Proxy Statement. The summary does not contain all the information that you should consider, and we encourage you to read the entire Proxy Statement before voting. </w:t>
                      </w:r>
                    </w:p>
                    <w:p>
                      <w:pPr>
                        <w:pStyle w:val="TextBody"/>
                        <w:spacing w:lineRule="atLeast" w:line="300" w:before="200" w:after="0"/>
                        <w:rPr>
                          <w:rFonts w:ascii="ARIAL" w:hAnsi="ARIAL"/>
                          <w:b/>
                          <w:color w:val="71BE9A"/>
                          <w:sz w:val="24"/>
                        </w:rPr>
                      </w:pPr>
                      <w:r>
                        <w:rPr>
                          <w:rFonts w:ascii="ARIAL" w:hAnsi="ARIAL"/>
                          <w:b/>
                          <w:color w:val="71BE9A"/>
                          <w:sz w:val="24"/>
                        </w:rPr>
                        <w:t xml:space="preserve">These are highlights of our financial performance in 2022: </w:t>
                      </w:r>
                    </w:p>
                    <w:p>
                      <w:pPr>
                        <w:pStyle w:val="TextBody"/>
                        <w:spacing w:before="0" w:after="0"/>
                        <w:rPr/>
                      </w:pPr>
                      <w:r>
                        <w:rPr/>
                        <w:t> </w:t>
                      </w:r>
                    </w:p>
                    <w:tbl>
                      <w:tblPr>
                        <w:tblW w:w="8365" w:type="dxa"/>
                        <w:jc w:val="left"/>
                        <w:tblInd w:w="0" w:type="dxa"/>
                        <w:tblCellMar>
                          <w:top w:w="0" w:type="dxa"/>
                          <w:left w:w="0" w:type="dxa"/>
                          <w:bottom w:w="0" w:type="dxa"/>
                          <w:right w:w="0" w:type="dxa"/>
                        </w:tblCellMar>
                      </w:tblPr>
                      <w:tblGrid>
                        <w:gridCol w:w="125"/>
                        <w:gridCol w:w="60"/>
                        <w:gridCol w:w="818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180" w:type="dxa"/>
                            <w:tcBorders/>
                            <w:shd w:fill="auto" w:val="clear"/>
                            <w:vAlign w:val="center"/>
                          </w:tcPr>
                          <w:p>
                            <w:pPr>
                              <w:pStyle w:val="TableContents"/>
                              <w:spacing w:before="0" w:after="283"/>
                              <w:jc w:val="left"/>
                              <w:rPr/>
                            </w:pPr>
                            <w:r>
                              <w:rPr/>
                              <w:t xml:space="preserve">Product and services </w:t>
                            </w:r>
                            <w:r>
                              <w:rPr>
                                <w:b/>
                                <w:color w:val="007CBA"/>
                              </w:rPr>
                              <w:t>revenues from continuing operations of $5.7 billion, up 13%</w:t>
                            </w:r>
                            <w:r>
                              <w:rPr/>
                              <w:t xml:space="preserve"> </w:t>
                            </w:r>
                          </w:p>
                        </w:tc>
                      </w:tr>
                    </w:tbl>
                    <w:p>
                      <w:pPr>
                        <w:pStyle w:val="TextBody"/>
                        <w:spacing w:before="0" w:after="0"/>
                        <w:rPr/>
                      </w:pPr>
                      <w:r>
                        <w:rPr/>
                        <w:t> </w:t>
                      </w:r>
                    </w:p>
                    <w:tbl>
                      <w:tblPr>
                        <w:tblW w:w="6565" w:type="dxa"/>
                        <w:jc w:val="left"/>
                        <w:tblInd w:w="0" w:type="dxa"/>
                        <w:tblCellMar>
                          <w:top w:w="0" w:type="dxa"/>
                          <w:left w:w="0" w:type="dxa"/>
                          <w:bottom w:w="0" w:type="dxa"/>
                          <w:right w:w="0" w:type="dxa"/>
                        </w:tblCellMar>
                      </w:tblPr>
                      <w:tblGrid>
                        <w:gridCol w:w="125"/>
                        <w:gridCol w:w="60"/>
                        <w:gridCol w:w="638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380" w:type="dxa"/>
                            <w:tcBorders/>
                            <w:shd w:fill="auto" w:val="clear"/>
                            <w:vAlign w:val="center"/>
                          </w:tcPr>
                          <w:p>
                            <w:pPr>
                              <w:pStyle w:val="TableContents"/>
                              <w:spacing w:before="0" w:after="283"/>
                              <w:jc w:val="left"/>
                              <w:rPr/>
                            </w:pPr>
                            <w:r>
                              <w:rPr>
                                <w:b/>
                                <w:color w:val="007CBA"/>
                              </w:rPr>
                              <w:t>Net earnings</w:t>
                            </w:r>
                            <w:r>
                              <w:rPr/>
                              <w:t xml:space="preserve"> attributable to continuing operations </w:t>
                            </w:r>
                            <w:r>
                              <w:rPr>
                                <w:b/>
                                <w:color w:val="007CBA"/>
                              </w:rPr>
                              <w:t>of $856 million</w:t>
                            </w:r>
                            <w:r>
                              <w:rPr/>
                              <w:t xml:space="preserve"> </w:t>
                            </w:r>
                          </w:p>
                        </w:tc>
                      </w:tr>
                    </w:tbl>
                    <w:p>
                      <w:pPr>
                        <w:pStyle w:val="TextBody"/>
                        <w:spacing w:before="0" w:after="0"/>
                        <w:rPr/>
                      </w:pPr>
                      <w:r>
                        <w:rPr/>
                        <w:t> </w:t>
                      </w:r>
                    </w:p>
                    <w:tbl>
                      <w:tblPr>
                        <w:tblW w:w="7435" w:type="dxa"/>
                        <w:jc w:val="left"/>
                        <w:tblInd w:w="0" w:type="dxa"/>
                        <w:tblCellMar>
                          <w:top w:w="0" w:type="dxa"/>
                          <w:left w:w="0" w:type="dxa"/>
                          <w:bottom w:w="0" w:type="dxa"/>
                          <w:right w:w="0" w:type="dxa"/>
                        </w:tblCellMar>
                      </w:tblPr>
                      <w:tblGrid>
                        <w:gridCol w:w="125"/>
                        <w:gridCol w:w="60"/>
                        <w:gridCol w:w="725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283"/>
                              <w:jc w:val="left"/>
                              <w:rPr/>
                            </w:pPr>
                            <w:r>
                              <w:rPr>
                                <w:b/>
                                <w:color w:val="007CBA"/>
                              </w:rPr>
                              <w:t>Gross profit</w:t>
                            </w:r>
                            <w:r>
                              <w:rPr/>
                              <w:t xml:space="preserve"> from continuing operations of $1.4 billion, </w:t>
                            </w:r>
                            <w:r>
                              <w:rPr>
                                <w:b/>
                                <w:color w:val="007CBA"/>
                              </w:rPr>
                              <w:t>an increase of 6%</w:t>
                            </w:r>
                            <w:r>
                              <w:rPr/>
                              <w:t xml:space="preserve"> </w:t>
                            </w:r>
                          </w:p>
                        </w:tc>
                      </w:tr>
                    </w:tbl>
                    <w:p>
                      <w:pPr>
                        <w:pStyle w:val="TextBody"/>
                        <w:spacing w:before="0" w:after="0"/>
                        <w:rPr/>
                      </w:pPr>
                      <w:r>
                        <w:rPr/>
                        <w:t> </w:t>
                      </w:r>
                    </w:p>
                    <w:tbl>
                      <w:tblPr>
                        <w:tblW w:w="6700" w:type="dxa"/>
                        <w:jc w:val="left"/>
                        <w:tblInd w:w="0" w:type="dxa"/>
                        <w:tblCellMar>
                          <w:top w:w="0" w:type="dxa"/>
                          <w:left w:w="0" w:type="dxa"/>
                          <w:bottom w:w="0" w:type="dxa"/>
                          <w:right w:w="0" w:type="dxa"/>
                        </w:tblCellMar>
                      </w:tblPr>
                      <w:tblGrid>
                        <w:gridCol w:w="125"/>
                        <w:gridCol w:w="60"/>
                        <w:gridCol w:w="6515"/>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515" w:type="dxa"/>
                            <w:tcBorders/>
                            <w:shd w:fill="auto" w:val="clear"/>
                            <w:vAlign w:val="center"/>
                          </w:tcPr>
                          <w:p>
                            <w:pPr>
                              <w:pStyle w:val="TableContents"/>
                              <w:spacing w:before="0" w:after="283"/>
                              <w:jc w:val="left"/>
                              <w:rPr/>
                            </w:pPr>
                            <w:r>
                              <w:rPr/>
                              <w:t xml:space="preserve">Earnings from operations from continuing operations of </w:t>
                            </w:r>
                            <w:r>
                              <w:rPr>
                                <w:b/>
                                <w:color w:val="007CBA"/>
                              </w:rPr>
                              <w:t>$1.2 billion</w:t>
                            </w:r>
                            <w:r>
                              <w:rPr/>
                              <w:t xml:space="preserve"> </w:t>
                            </w:r>
                          </w:p>
                        </w:tc>
                      </w:tr>
                    </w:tbl>
                    <w:p>
                      <w:pPr>
                        <w:pStyle w:val="TextBody"/>
                        <w:spacing w:before="0" w:after="0"/>
                        <w:rPr/>
                      </w:pPr>
                      <w:r>
                        <w:rPr/>
                        <w:t> </w:t>
                      </w:r>
                    </w:p>
                    <w:tbl>
                      <w:tblPr>
                        <w:tblW w:w="7975" w:type="dxa"/>
                        <w:jc w:val="left"/>
                        <w:tblInd w:w="0" w:type="dxa"/>
                        <w:tblCellMar>
                          <w:top w:w="0" w:type="dxa"/>
                          <w:left w:w="0" w:type="dxa"/>
                          <w:bottom w:w="0" w:type="dxa"/>
                          <w:right w:w="0" w:type="dxa"/>
                        </w:tblCellMar>
                      </w:tblPr>
                      <w:tblGrid>
                        <w:gridCol w:w="125"/>
                        <w:gridCol w:w="60"/>
                        <w:gridCol w:w="779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790" w:type="dxa"/>
                            <w:tcBorders/>
                            <w:shd w:fill="auto" w:val="clear"/>
                            <w:vAlign w:val="center"/>
                          </w:tcPr>
                          <w:p>
                            <w:pPr>
                              <w:pStyle w:val="TableContents"/>
                              <w:spacing w:before="0" w:after="283"/>
                              <w:jc w:val="left"/>
                              <w:rPr/>
                            </w:pPr>
                            <w:r>
                              <w:rPr>
                                <w:b/>
                                <w:color w:val="007CBA"/>
                              </w:rPr>
                              <w:t>Adjusted EBITDA from continuing operations increased 5%</w:t>
                            </w:r>
                            <w:r>
                              <w:rPr/>
                              <w:t xml:space="preserve"> to $1.6 billion*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Quarterly </w:t>
                            </w:r>
                            <w:r>
                              <w:rPr>
                                <w:b/>
                                <w:color w:val="007CBA"/>
                              </w:rPr>
                              <w:t>dividend increase of 8%,</w:t>
                            </w:r>
                            <w:r>
                              <w:rPr/>
                              <w:t xml:space="preserve"> resulting in total annual dividends paid of $159 million, or $2.64 per share on an annualized basis </w:t>
                            </w:r>
                          </w:p>
                        </w:tc>
                      </w:tr>
                    </w:tbl>
                    <w:p>
                      <w:pPr>
                        <w:pStyle w:val="TextBody"/>
                        <w:spacing w:before="0" w:after="0"/>
                        <w:rPr/>
                      </w:pPr>
                      <w:r>
                        <w:rPr/>
                        <w:t> </w:t>
                      </w:r>
                    </w:p>
                    <w:tbl>
                      <w:tblPr>
                        <w:tblW w:w="6340" w:type="dxa"/>
                        <w:jc w:val="left"/>
                        <w:tblInd w:w="0" w:type="dxa"/>
                        <w:tblCellMar>
                          <w:top w:w="0" w:type="dxa"/>
                          <w:left w:w="0" w:type="dxa"/>
                          <w:bottom w:w="0" w:type="dxa"/>
                          <w:right w:w="0" w:type="dxa"/>
                        </w:tblCellMar>
                      </w:tblPr>
                      <w:tblGrid>
                        <w:gridCol w:w="125"/>
                        <w:gridCol w:w="60"/>
                        <w:gridCol w:w="6155"/>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155" w:type="dxa"/>
                            <w:tcBorders/>
                            <w:shd w:fill="auto" w:val="clear"/>
                            <w:vAlign w:val="center"/>
                          </w:tcPr>
                          <w:p>
                            <w:pPr>
                              <w:pStyle w:val="TableContents"/>
                              <w:spacing w:before="0" w:after="283"/>
                              <w:jc w:val="left"/>
                              <w:rPr/>
                            </w:pPr>
                            <w:r>
                              <w:rPr/>
                              <w:t xml:space="preserve">Diluted earnings per share from continuing operations of </w:t>
                            </w:r>
                            <w:r>
                              <w:rPr>
                                <w:b/>
                                <w:color w:val="007CBA"/>
                              </w:rPr>
                              <w:t>$13.70</w:t>
                            </w:r>
                            <w:r>
                              <w:rPr/>
                              <w:t xml:space="preserve"> </w:t>
                            </w:r>
                          </w:p>
                        </w:tc>
                      </w:tr>
                    </w:tbl>
                    <w:p>
                      <w:pPr>
                        <w:pStyle w:val="TextBody"/>
                        <w:spacing w:before="0" w:after="0"/>
                        <w:rPr/>
                      </w:pPr>
                      <w:r>
                        <w:rPr/>
                        <w:t> </w:t>
                      </w:r>
                    </w:p>
                    <w:tbl>
                      <w:tblPr>
                        <w:tblW w:w="7705" w:type="dxa"/>
                        <w:jc w:val="left"/>
                        <w:tblInd w:w="0" w:type="dxa"/>
                        <w:tblCellMar>
                          <w:top w:w="0" w:type="dxa"/>
                          <w:left w:w="0" w:type="dxa"/>
                          <w:bottom w:w="0" w:type="dxa"/>
                          <w:right w:w="0" w:type="dxa"/>
                        </w:tblCellMar>
                      </w:tblPr>
                      <w:tblGrid>
                        <w:gridCol w:w="125"/>
                        <w:gridCol w:w="60"/>
                        <w:gridCol w:w="752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520" w:type="dxa"/>
                            <w:tcBorders/>
                            <w:shd w:fill="auto" w:val="clear"/>
                            <w:vAlign w:val="center"/>
                          </w:tcPr>
                          <w:p>
                            <w:pPr>
                              <w:pStyle w:val="TableContents"/>
                              <w:spacing w:lineRule="atLeast" w:line="180" w:before="0" w:after="283"/>
                              <w:jc w:val="left"/>
                              <w:rPr/>
                            </w:pPr>
                            <w:r>
                              <w:rPr/>
                              <w:t xml:space="preserve">Adjusted diluted </w:t>
                            </w:r>
                            <w:r>
                              <w:rPr>
                                <w:b/>
                                <w:color w:val="007CBA"/>
                              </w:rPr>
                              <w:t>earnings per share from continuing operations of $12.07</w:t>
                            </w:r>
                            <w:r>
                              <w:rPr/>
                              <w:t xml:space="preserve">* </w:t>
                            </w:r>
                          </w:p>
                        </w:tc>
                      </w:tr>
                    </w:tbl>
                    <w:p>
                      <w:pPr>
                        <w:pStyle w:val="TextBody"/>
                        <w:spacing w:before="0" w:after="0"/>
                        <w:rPr/>
                      </w:pPr>
                      <w:r>
                        <w:rPr/>
                        <w:t> </w:t>
                      </w:r>
                    </w:p>
                    <w:tbl>
                      <w:tblPr>
                        <w:tblW w:w="5275" w:type="dxa"/>
                        <w:jc w:val="left"/>
                        <w:tblInd w:w="0" w:type="dxa"/>
                        <w:tblCellMar>
                          <w:top w:w="0" w:type="dxa"/>
                          <w:left w:w="0" w:type="dxa"/>
                          <w:bottom w:w="0" w:type="dxa"/>
                          <w:right w:w="0" w:type="dxa"/>
                        </w:tblCellMar>
                      </w:tblPr>
                      <w:tblGrid>
                        <w:gridCol w:w="125"/>
                        <w:gridCol w:w="60"/>
                        <w:gridCol w:w="509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left"/>
                              <w:rPr/>
                            </w:pPr>
                            <w:r>
                              <w:rPr>
                                <w:b/>
                                <w:color w:val="007CBA"/>
                              </w:rPr>
                              <w:t>Capital investments</w:t>
                            </w:r>
                            <w:r>
                              <w:rPr/>
                              <w:t xml:space="preserve"> into operations of </w:t>
                            </w:r>
                            <w:r>
                              <w:rPr>
                                <w:b/>
                                <w:color w:val="007CBA"/>
                              </w:rPr>
                              <w:t>$482 million</w:t>
                            </w:r>
                            <w:r>
                              <w:rPr/>
                              <w:t xml:space="preserv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lineRule="atLeast" w:line="240" w:before="0" w:after="0"/>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Announced and/or completed over $1 billion of non-core asset divestitures in 2022, continuing our long track record of delevering following acquisitions, returning </w:t>
                            </w:r>
                            <w:r>
                              <w:rPr>
                                <w:b/>
                                <w:color w:val="007CBA"/>
                              </w:rPr>
                              <w:t>net leverage to</w:t>
                            </w:r>
                            <w:r>
                              <w:rPr/>
                              <w:t xml:space="preserve"> </w:t>
                            </w:r>
                            <w:r>
                              <w:rPr>
                                <w:b/>
                                <w:color w:val="007CBA"/>
                              </w:rPr>
                              <w:t>2.5x</w:t>
                            </w:r>
                            <w:r>
                              <w:rPr/>
                              <w:t xml:space="preserve"> at December 31, 2022* </w:t>
                            </w:r>
                          </w:p>
                        </w:tc>
                      </w:tr>
                    </w:tbl>
                    <w:p>
                      <w:pPr>
                        <w:pStyle w:val="TextBody"/>
                        <w:spacing w:before="120" w:after="0"/>
                        <w:rPr>
                          <w:rFonts w:ascii="ARIAL" w:hAnsi="ARIAL"/>
                          <w:sz w:val="16"/>
                        </w:rPr>
                      </w:pPr>
                      <w:r>
                        <w:rPr>
                          <w:rFonts w:ascii="ARIAL" w:hAnsi="ARIAL"/>
                          <w:sz w:val="16"/>
                        </w:rPr>
                        <w:t xml:space="preserve">*Please see Appendix B for a reconciliation of non-GAAP measures to GAAP measures </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397125" cy="4427220"/>
                <wp:effectExtent l="0" t="0" r="0" b="0"/>
                <wp:wrapSquare wrapText="largest"/>
                <wp:docPr id="17" name="Frame4"/>
                <a:graphic xmlns:a="http://schemas.openxmlformats.org/drawingml/2006/main">
                  <a:graphicData uri="http://schemas.microsoft.com/office/word/2010/wordprocessingShape">
                    <wps:wsp>
                      <wps:cNvSpPr txBox="1"/>
                      <wps:spPr>
                        <a:xfrm>
                          <a:off x="0" y="0"/>
                          <a:ext cx="2397125" cy="4427220"/>
                        </a:xfrm>
                        <a:prstGeom prst="rect"/>
                      </wps:spPr>
                      <wps:txbx>
                        <w:txbxContent>
                          <w:p>
                            <w:pPr>
                              <w:pStyle w:val="TextBody"/>
                              <w:spacing w:before="0" w:after="0"/>
                              <w:rPr>
                                <w:highlight w:val="white"/>
                              </w:rPr>
                            </w:pPr>
                            <w:r>
                              <w:rPr>
                                <w:highlight w:val="white"/>
                              </w:rPr>
                              <w:t> </w:t>
                            </w:r>
                          </w:p>
                          <w:tbl>
                            <w:tblPr>
                              <w:tblW w:w="2480" w:type="dxa"/>
                              <w:jc w:val="left"/>
                              <w:tblInd w:w="0" w:type="dxa"/>
                              <w:tblCellMar>
                                <w:top w:w="0" w:type="dxa"/>
                                <w:left w:w="0" w:type="dxa"/>
                                <w:bottom w:w="0" w:type="dxa"/>
                                <w:right w:w="0" w:type="dxa"/>
                              </w:tblCellMar>
                            </w:tblPr>
                            <w:tblGrid>
                              <w:gridCol w:w="2480"/>
                            </w:tblGrid>
                            <w:tr>
                              <w:trPr/>
                              <w:tc>
                                <w:tcPr>
                                  <w:tcW w:w="2480" w:type="dxa"/>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0"/>
                                    <w:jc w:val="center"/>
                                    <w:rPr>
                                      <w:rFonts w:ascii="ARIAL" w:hAnsi="ARIAL"/>
                                      <w:b/>
                                      <w:color w:val="007CBA"/>
                                      <w:sz w:val="23"/>
                                    </w:rPr>
                                  </w:pPr>
                                  <w:r>
                                    <w:rPr>
                                      <w:rFonts w:ascii="ARIAL" w:hAnsi="ARIAL"/>
                                      <w:b/>
                                      <w:color w:val="007CBA"/>
                                      <w:sz w:val="23"/>
                                    </w:rPr>
                                    <w:t>RECORD FINANCIAL</w:t>
                                    <w:br/>
                                    <w:t>PERFORMANCE</w:t>
                                  </w:r>
                                </w:p>
                                <w:p>
                                  <w:pPr>
                                    <w:pStyle w:val="TableContents"/>
                                    <w:pBdr>
                                      <w:bottom w:val="dotted" w:sz="8" w:space="1" w:color="000000"/>
                                    </w:pBdr>
                                    <w:spacing w:before="0" w:after="0"/>
                                    <w:jc w:val="left"/>
                                    <w:rPr/>
                                  </w:pPr>
                                  <w:r>
                                    <w:rPr/>
                                    <w:t> </w:t>
                                  </w:r>
                                </w:p>
                                <w:p>
                                  <w:pPr>
                                    <w:pStyle w:val="TableContents"/>
                                    <w:spacing w:before="0" w:after="0"/>
                                    <w:rPr/>
                                  </w:pPr>
                                  <w:r>
                                    <w:rPr/>
                                    <w:t> </w:t>
                                  </w:r>
                                </w:p>
                                <w:p>
                                  <w:pPr>
                                    <w:pStyle w:val="TableContents"/>
                                    <w:spacing w:before="0" w:after="0"/>
                                    <w:jc w:val="center"/>
                                    <w:rPr>
                                      <w:rFonts w:ascii="ARIAL" w:hAnsi="ARIAL"/>
                                      <w:b/>
                                      <w:sz w:val="18"/>
                                    </w:rPr>
                                  </w:pPr>
                                  <w:r>
                                    <w:rPr>
                                      <w:rFonts w:ascii="ARIAL" w:hAnsi="ARIAL"/>
                                      <w:b/>
                                      <w:sz w:val="18"/>
                                    </w:rPr>
                                    <w:t>PRODUCTS AND SERVICES</w:t>
                                    <w:br/>
                                    <w:t>REVENUES</w:t>
                                  </w:r>
                                </w:p>
                                <w:p>
                                  <w:pPr>
                                    <w:pStyle w:val="TableContents"/>
                                    <w:spacing w:lineRule="atLeast" w:line="400" w:before="0" w:after="0"/>
                                    <w:jc w:val="center"/>
                                    <w:rPr>
                                      <w:rFonts w:ascii="ARIAL" w:hAnsi="ARIAL"/>
                                      <w:color w:val="007CBA"/>
                                      <w:sz w:val="40"/>
                                    </w:rPr>
                                  </w:pPr>
                                  <w:r>
                                    <w:rPr>
                                      <w:rFonts w:ascii="ARIAL" w:hAnsi="ARIAL"/>
                                      <w:color w:val="007CBA"/>
                                      <w:sz w:val="40"/>
                                    </w:rPr>
                                    <w:t>$5.7 B</w:t>
                                  </w:r>
                                </w:p>
                                <w:p>
                                  <w:pPr>
                                    <w:pStyle w:val="TableContents"/>
                                    <w:spacing w:before="0" w:after="0"/>
                                    <w:jc w:val="center"/>
                                    <w:rPr>
                                      <w:rFonts w:ascii="ARIAL" w:hAnsi="ARIAL"/>
                                      <w:i/>
                                      <w:sz w:val="27"/>
                                    </w:rPr>
                                  </w:pPr>
                                  <w:r>
                                    <w:rPr>
                                      <w:rFonts w:ascii="ARIAL" w:hAnsi="ARIAL"/>
                                      <w:i/>
                                      <w:sz w:val="27"/>
                                    </w:rPr>
                                    <w:t>+13%</w:t>
                                  </w:r>
                                </w:p>
                                <w:p>
                                  <w:pPr>
                                    <w:pStyle w:val="TableContents"/>
                                    <w:pBdr>
                                      <w:bottom w:val="dotted" w:sz="8" w:space="1" w:color="000000"/>
                                    </w:pBdr>
                                    <w:spacing w:before="0" w:after="0"/>
                                    <w:jc w:val="left"/>
                                    <w:rPr/>
                                  </w:pPr>
                                  <w:r>
                                    <w:rPr/>
                                    <w:t> </w:t>
                                  </w:r>
                                </w:p>
                                <w:p>
                                  <w:pPr>
                                    <w:pStyle w:val="TableContents"/>
                                    <w:spacing w:before="0" w:after="0"/>
                                    <w:rPr/>
                                  </w:pPr>
                                  <w:r>
                                    <w:rPr/>
                                    <w:t> </w:t>
                                  </w:r>
                                </w:p>
                                <w:p>
                                  <w:pPr>
                                    <w:pStyle w:val="TableContents"/>
                                    <w:spacing w:before="0" w:after="0"/>
                                    <w:jc w:val="center"/>
                                    <w:rPr>
                                      <w:rFonts w:ascii="ARIAL" w:hAnsi="ARIAL"/>
                                      <w:b/>
                                      <w:sz w:val="18"/>
                                    </w:rPr>
                                  </w:pPr>
                                  <w:r>
                                    <w:rPr>
                                      <w:rFonts w:ascii="ARIAL" w:hAnsi="ARIAL"/>
                                      <w:b/>
                                      <w:sz w:val="18"/>
                                    </w:rPr>
                                    <w:t>GROSS PROFIT</w:t>
                                  </w:r>
                                </w:p>
                                <w:p>
                                  <w:pPr>
                                    <w:pStyle w:val="TableContents"/>
                                    <w:spacing w:lineRule="atLeast" w:line="400" w:before="0" w:after="0"/>
                                    <w:jc w:val="center"/>
                                    <w:rPr>
                                      <w:rFonts w:ascii="ARIAL" w:hAnsi="ARIAL"/>
                                      <w:color w:val="007CBA"/>
                                      <w:sz w:val="40"/>
                                    </w:rPr>
                                  </w:pPr>
                                  <w:r>
                                    <w:rPr>
                                      <w:rFonts w:ascii="ARIAL" w:hAnsi="ARIAL"/>
                                      <w:color w:val="007CBA"/>
                                      <w:sz w:val="40"/>
                                    </w:rPr>
                                    <w:t>$1.4 B</w:t>
                                  </w:r>
                                </w:p>
                                <w:p>
                                  <w:pPr>
                                    <w:pStyle w:val="TableContents"/>
                                    <w:spacing w:before="0" w:after="0"/>
                                    <w:jc w:val="center"/>
                                    <w:rPr>
                                      <w:rFonts w:ascii="ARIAL" w:hAnsi="ARIAL"/>
                                      <w:i/>
                                      <w:sz w:val="27"/>
                                    </w:rPr>
                                  </w:pPr>
                                  <w:r>
                                    <w:rPr>
                                      <w:rFonts w:ascii="ARIAL" w:hAnsi="ARIAL"/>
                                      <w:i/>
                                      <w:sz w:val="27"/>
                                    </w:rPr>
                                    <w:t>+6%</w:t>
                                  </w:r>
                                </w:p>
                                <w:p>
                                  <w:pPr>
                                    <w:pStyle w:val="TableContents"/>
                                    <w:pBdr>
                                      <w:bottom w:val="dotted" w:sz="8" w:space="1" w:color="000000"/>
                                    </w:pBdr>
                                    <w:spacing w:before="0" w:after="0"/>
                                    <w:jc w:val="left"/>
                                    <w:rPr/>
                                  </w:pPr>
                                  <w:r>
                                    <w:rPr/>
                                    <w:t> </w:t>
                                  </w:r>
                                </w:p>
                                <w:p>
                                  <w:pPr>
                                    <w:pStyle w:val="TableContents"/>
                                    <w:spacing w:before="0" w:after="0"/>
                                    <w:rPr/>
                                  </w:pPr>
                                  <w:r>
                                    <w:rPr/>
                                    <w:t> </w:t>
                                  </w:r>
                                </w:p>
                                <w:p>
                                  <w:pPr>
                                    <w:pStyle w:val="TableContents"/>
                                    <w:spacing w:before="0" w:after="0"/>
                                    <w:jc w:val="center"/>
                                    <w:rPr>
                                      <w:rFonts w:ascii="ARIAL" w:hAnsi="ARIAL"/>
                                      <w:b/>
                                      <w:sz w:val="18"/>
                                    </w:rPr>
                                  </w:pPr>
                                  <w:r>
                                    <w:rPr>
                                      <w:rFonts w:ascii="ARIAL" w:hAnsi="ARIAL"/>
                                      <w:b/>
                                      <w:sz w:val="18"/>
                                    </w:rPr>
                                    <w:t>ADJUSTED EBITDA</w:t>
                                  </w:r>
                                </w:p>
                                <w:p>
                                  <w:pPr>
                                    <w:pStyle w:val="TableContents"/>
                                    <w:spacing w:lineRule="atLeast" w:line="400" w:before="0" w:after="0"/>
                                    <w:jc w:val="center"/>
                                    <w:rPr>
                                      <w:rFonts w:ascii="ARIAL" w:hAnsi="ARIAL"/>
                                      <w:color w:val="007CBA"/>
                                      <w:sz w:val="40"/>
                                    </w:rPr>
                                  </w:pPr>
                                  <w:r>
                                    <w:rPr>
                                      <w:rFonts w:ascii="ARIAL" w:hAnsi="ARIAL"/>
                                      <w:color w:val="007CBA"/>
                                      <w:sz w:val="40"/>
                                    </w:rPr>
                                    <w:t>$1.6 B</w:t>
                                  </w:r>
                                </w:p>
                                <w:p>
                                  <w:pPr>
                                    <w:pStyle w:val="TableContents"/>
                                    <w:spacing w:before="0" w:after="0"/>
                                    <w:jc w:val="center"/>
                                    <w:rPr>
                                      <w:rFonts w:ascii="ARIAL" w:hAnsi="ARIAL"/>
                                      <w:i/>
                                      <w:sz w:val="27"/>
                                    </w:rPr>
                                  </w:pPr>
                                  <w:r>
                                    <w:rPr>
                                      <w:rFonts w:ascii="ARIAL" w:hAnsi="ARIAL"/>
                                      <w:i/>
                                      <w:sz w:val="27"/>
                                    </w:rPr>
                                    <w:t>+5%</w:t>
                                  </w:r>
                                </w:p>
                                <w:p>
                                  <w:pPr>
                                    <w:pStyle w:val="TableContents"/>
                                    <w:pBdr>
                                      <w:bottom w:val="dotted" w:sz="8" w:space="1" w:color="000000"/>
                                    </w:pBdr>
                                    <w:spacing w:before="0" w:after="0"/>
                                    <w:jc w:val="left"/>
                                    <w:rPr/>
                                  </w:pPr>
                                  <w:r>
                                    <w:rPr/>
                                    <w:t> </w:t>
                                  </w:r>
                                </w:p>
                                <w:p>
                                  <w:pPr>
                                    <w:pStyle w:val="TableContents"/>
                                    <w:spacing w:before="0" w:after="20"/>
                                    <w:rPr/>
                                  </w:pPr>
                                  <w:r>
                                    <w:rPr/>
                                    <w:t> </w:t>
                                  </w:r>
                                </w:p>
                              </w:tc>
                            </w:tr>
                          </w:tbl>
                          <w:p>
                            <w:pPr>
                              <w:pStyle w:val="TextBody"/>
                              <w:spacing w:before="0" w:after="0"/>
                              <w:rPr/>
                            </w:pPr>
                            <w:r>
                              <w:rPr/>
                              <w:t> </w:t>
                            </w:r>
                          </w:p>
                        </w:txbxContent>
                      </wps:txbx>
                      <wps:bodyPr anchor="t" lIns="0" tIns="0" rIns="0" bIns="0">
                        <a:noAutofit/>
                      </wps:bodyPr>
                    </wps:wsp>
                  </a:graphicData>
                </a:graphic>
                <wp14:sizeRelH relativeFrom="margin">
                  <wp14:pctWidth>37000</wp14:pctWidth>
                </wp14:sizeRelH>
              </wp:anchor>
            </w:drawing>
          </mc:Choice>
          <mc:Fallback>
            <w:pict>
              <v:rect style="position:absolute;rotation:0;width:188.75pt;height:348.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highlight w:val="white"/>
                        </w:rPr>
                      </w:pPr>
                      <w:r>
                        <w:rPr>
                          <w:highlight w:val="white"/>
                        </w:rPr>
                        <w:t> </w:t>
                      </w:r>
                    </w:p>
                    <w:tbl>
                      <w:tblPr>
                        <w:tblW w:w="2480" w:type="dxa"/>
                        <w:jc w:val="left"/>
                        <w:tblInd w:w="0" w:type="dxa"/>
                        <w:tblCellMar>
                          <w:top w:w="0" w:type="dxa"/>
                          <w:left w:w="0" w:type="dxa"/>
                          <w:bottom w:w="0" w:type="dxa"/>
                          <w:right w:w="0" w:type="dxa"/>
                        </w:tblCellMar>
                      </w:tblPr>
                      <w:tblGrid>
                        <w:gridCol w:w="2480"/>
                      </w:tblGrid>
                      <w:tr>
                        <w:trPr/>
                        <w:tc>
                          <w:tcPr>
                            <w:tcW w:w="2480" w:type="dxa"/>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0"/>
                              <w:jc w:val="center"/>
                              <w:rPr>
                                <w:rFonts w:ascii="ARIAL" w:hAnsi="ARIAL"/>
                                <w:b/>
                                <w:color w:val="007CBA"/>
                                <w:sz w:val="23"/>
                              </w:rPr>
                            </w:pPr>
                            <w:r>
                              <w:rPr>
                                <w:rFonts w:ascii="ARIAL" w:hAnsi="ARIAL"/>
                                <w:b/>
                                <w:color w:val="007CBA"/>
                                <w:sz w:val="23"/>
                              </w:rPr>
                              <w:t>RECORD FINANCIAL</w:t>
                              <w:br/>
                              <w:t>PERFORMANCE</w:t>
                            </w:r>
                          </w:p>
                          <w:p>
                            <w:pPr>
                              <w:pStyle w:val="TableContents"/>
                              <w:pBdr>
                                <w:bottom w:val="dotted" w:sz="8" w:space="1" w:color="000000"/>
                              </w:pBdr>
                              <w:spacing w:before="0" w:after="0"/>
                              <w:jc w:val="left"/>
                              <w:rPr/>
                            </w:pPr>
                            <w:r>
                              <w:rPr/>
                              <w:t> </w:t>
                            </w:r>
                          </w:p>
                          <w:p>
                            <w:pPr>
                              <w:pStyle w:val="TableContents"/>
                              <w:spacing w:before="0" w:after="0"/>
                              <w:rPr/>
                            </w:pPr>
                            <w:r>
                              <w:rPr/>
                              <w:t> </w:t>
                            </w:r>
                          </w:p>
                          <w:p>
                            <w:pPr>
                              <w:pStyle w:val="TableContents"/>
                              <w:spacing w:before="0" w:after="0"/>
                              <w:jc w:val="center"/>
                              <w:rPr>
                                <w:rFonts w:ascii="ARIAL" w:hAnsi="ARIAL"/>
                                <w:b/>
                                <w:sz w:val="18"/>
                              </w:rPr>
                            </w:pPr>
                            <w:r>
                              <w:rPr>
                                <w:rFonts w:ascii="ARIAL" w:hAnsi="ARIAL"/>
                                <w:b/>
                                <w:sz w:val="18"/>
                              </w:rPr>
                              <w:t>PRODUCTS AND SERVICES</w:t>
                              <w:br/>
                              <w:t>REVENUES</w:t>
                            </w:r>
                          </w:p>
                          <w:p>
                            <w:pPr>
                              <w:pStyle w:val="TableContents"/>
                              <w:spacing w:lineRule="atLeast" w:line="400" w:before="0" w:after="0"/>
                              <w:jc w:val="center"/>
                              <w:rPr>
                                <w:rFonts w:ascii="ARIAL" w:hAnsi="ARIAL"/>
                                <w:color w:val="007CBA"/>
                                <w:sz w:val="40"/>
                              </w:rPr>
                            </w:pPr>
                            <w:r>
                              <w:rPr>
                                <w:rFonts w:ascii="ARIAL" w:hAnsi="ARIAL"/>
                                <w:color w:val="007CBA"/>
                                <w:sz w:val="40"/>
                              </w:rPr>
                              <w:t>$5.7 B</w:t>
                            </w:r>
                          </w:p>
                          <w:p>
                            <w:pPr>
                              <w:pStyle w:val="TableContents"/>
                              <w:spacing w:before="0" w:after="0"/>
                              <w:jc w:val="center"/>
                              <w:rPr>
                                <w:rFonts w:ascii="ARIAL" w:hAnsi="ARIAL"/>
                                <w:i/>
                                <w:sz w:val="27"/>
                              </w:rPr>
                            </w:pPr>
                            <w:r>
                              <w:rPr>
                                <w:rFonts w:ascii="ARIAL" w:hAnsi="ARIAL"/>
                                <w:i/>
                                <w:sz w:val="27"/>
                              </w:rPr>
                              <w:t>+13%</w:t>
                            </w:r>
                          </w:p>
                          <w:p>
                            <w:pPr>
                              <w:pStyle w:val="TableContents"/>
                              <w:pBdr>
                                <w:bottom w:val="dotted" w:sz="8" w:space="1" w:color="000000"/>
                              </w:pBdr>
                              <w:spacing w:before="0" w:after="0"/>
                              <w:jc w:val="left"/>
                              <w:rPr/>
                            </w:pPr>
                            <w:r>
                              <w:rPr/>
                              <w:t> </w:t>
                            </w:r>
                          </w:p>
                          <w:p>
                            <w:pPr>
                              <w:pStyle w:val="TableContents"/>
                              <w:spacing w:before="0" w:after="0"/>
                              <w:rPr/>
                            </w:pPr>
                            <w:r>
                              <w:rPr/>
                              <w:t> </w:t>
                            </w:r>
                          </w:p>
                          <w:p>
                            <w:pPr>
                              <w:pStyle w:val="TableContents"/>
                              <w:spacing w:before="0" w:after="0"/>
                              <w:jc w:val="center"/>
                              <w:rPr>
                                <w:rFonts w:ascii="ARIAL" w:hAnsi="ARIAL"/>
                                <w:b/>
                                <w:sz w:val="18"/>
                              </w:rPr>
                            </w:pPr>
                            <w:r>
                              <w:rPr>
                                <w:rFonts w:ascii="ARIAL" w:hAnsi="ARIAL"/>
                                <w:b/>
                                <w:sz w:val="18"/>
                              </w:rPr>
                              <w:t>GROSS PROFIT</w:t>
                            </w:r>
                          </w:p>
                          <w:p>
                            <w:pPr>
                              <w:pStyle w:val="TableContents"/>
                              <w:spacing w:lineRule="atLeast" w:line="400" w:before="0" w:after="0"/>
                              <w:jc w:val="center"/>
                              <w:rPr>
                                <w:rFonts w:ascii="ARIAL" w:hAnsi="ARIAL"/>
                                <w:color w:val="007CBA"/>
                                <w:sz w:val="40"/>
                              </w:rPr>
                            </w:pPr>
                            <w:r>
                              <w:rPr>
                                <w:rFonts w:ascii="ARIAL" w:hAnsi="ARIAL"/>
                                <w:color w:val="007CBA"/>
                                <w:sz w:val="40"/>
                              </w:rPr>
                              <w:t>$1.4 B</w:t>
                            </w:r>
                          </w:p>
                          <w:p>
                            <w:pPr>
                              <w:pStyle w:val="TableContents"/>
                              <w:spacing w:before="0" w:after="0"/>
                              <w:jc w:val="center"/>
                              <w:rPr>
                                <w:rFonts w:ascii="ARIAL" w:hAnsi="ARIAL"/>
                                <w:i/>
                                <w:sz w:val="27"/>
                              </w:rPr>
                            </w:pPr>
                            <w:r>
                              <w:rPr>
                                <w:rFonts w:ascii="ARIAL" w:hAnsi="ARIAL"/>
                                <w:i/>
                                <w:sz w:val="27"/>
                              </w:rPr>
                              <w:t>+6%</w:t>
                            </w:r>
                          </w:p>
                          <w:p>
                            <w:pPr>
                              <w:pStyle w:val="TableContents"/>
                              <w:pBdr>
                                <w:bottom w:val="dotted" w:sz="8" w:space="1" w:color="000000"/>
                              </w:pBdr>
                              <w:spacing w:before="0" w:after="0"/>
                              <w:jc w:val="left"/>
                              <w:rPr/>
                            </w:pPr>
                            <w:r>
                              <w:rPr/>
                              <w:t> </w:t>
                            </w:r>
                          </w:p>
                          <w:p>
                            <w:pPr>
                              <w:pStyle w:val="TableContents"/>
                              <w:spacing w:before="0" w:after="0"/>
                              <w:rPr/>
                            </w:pPr>
                            <w:r>
                              <w:rPr/>
                              <w:t> </w:t>
                            </w:r>
                          </w:p>
                          <w:p>
                            <w:pPr>
                              <w:pStyle w:val="TableContents"/>
                              <w:spacing w:before="0" w:after="0"/>
                              <w:jc w:val="center"/>
                              <w:rPr>
                                <w:rFonts w:ascii="ARIAL" w:hAnsi="ARIAL"/>
                                <w:b/>
                                <w:sz w:val="18"/>
                              </w:rPr>
                            </w:pPr>
                            <w:r>
                              <w:rPr>
                                <w:rFonts w:ascii="ARIAL" w:hAnsi="ARIAL"/>
                                <w:b/>
                                <w:sz w:val="18"/>
                              </w:rPr>
                              <w:t>ADJUSTED EBITDA</w:t>
                            </w:r>
                          </w:p>
                          <w:p>
                            <w:pPr>
                              <w:pStyle w:val="TableContents"/>
                              <w:spacing w:lineRule="atLeast" w:line="400" w:before="0" w:after="0"/>
                              <w:jc w:val="center"/>
                              <w:rPr>
                                <w:rFonts w:ascii="ARIAL" w:hAnsi="ARIAL"/>
                                <w:color w:val="007CBA"/>
                                <w:sz w:val="40"/>
                              </w:rPr>
                            </w:pPr>
                            <w:r>
                              <w:rPr>
                                <w:rFonts w:ascii="ARIAL" w:hAnsi="ARIAL"/>
                                <w:color w:val="007CBA"/>
                                <w:sz w:val="40"/>
                              </w:rPr>
                              <w:t>$1.6 B</w:t>
                            </w:r>
                          </w:p>
                          <w:p>
                            <w:pPr>
                              <w:pStyle w:val="TableContents"/>
                              <w:spacing w:before="0" w:after="0"/>
                              <w:jc w:val="center"/>
                              <w:rPr>
                                <w:rFonts w:ascii="ARIAL" w:hAnsi="ARIAL"/>
                                <w:i/>
                                <w:sz w:val="27"/>
                              </w:rPr>
                            </w:pPr>
                            <w:r>
                              <w:rPr>
                                <w:rFonts w:ascii="ARIAL" w:hAnsi="ARIAL"/>
                                <w:i/>
                                <w:sz w:val="27"/>
                              </w:rPr>
                              <w:t>+5%</w:t>
                            </w:r>
                          </w:p>
                          <w:p>
                            <w:pPr>
                              <w:pStyle w:val="TableContents"/>
                              <w:pBdr>
                                <w:bottom w:val="dotted" w:sz="8" w:space="1" w:color="000000"/>
                              </w:pBdr>
                              <w:spacing w:before="0" w:after="0"/>
                              <w:jc w:val="left"/>
                              <w:rPr/>
                            </w:pPr>
                            <w:r>
                              <w:rPr/>
                              <w:t> </w:t>
                            </w:r>
                          </w:p>
                          <w:p>
                            <w:pPr>
                              <w:pStyle w:val="TableContents"/>
                              <w:spacing w:before="0" w:after="20"/>
                              <w:rPr/>
                            </w:pPr>
                            <w:r>
                              <w:rPr/>
                              <w:t> </w:t>
                            </w:r>
                          </w:p>
                        </w:tc>
                      </w:tr>
                    </w:tbl>
                    <w:p>
                      <w:pPr>
                        <w:pStyle w:val="TextBody"/>
                        <w:spacing w:before="0" w:after="0"/>
                        <w:rPr/>
                      </w:pPr>
                      <w:r>
                        <w:rPr/>
                        <w:t> </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115"/>
        <w:gridCol w:w="60"/>
        <w:gridCol w:w="5997"/>
        <w:gridCol w:w="60"/>
        <w:gridCol w:w="2973"/>
      </w:tblGrid>
      <w:tr>
        <w:trPr/>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007CBA" w:val="clear"/>
            <w:vAlign w:val="center"/>
          </w:tcPr>
          <w:p>
            <w:pPr>
              <w:pStyle w:val="TableContents"/>
              <w:spacing w:before="0" w:after="283"/>
              <w:rPr>
                <w:sz w:val="4"/>
                <w:szCs w:val="4"/>
              </w:rPr>
            </w:pPr>
            <w:r>
              <w:rPr>
                <w:sz w:val="4"/>
                <w:szCs w:val="4"/>
              </w:rPr>
            </w:r>
          </w:p>
        </w:tc>
        <w:tc>
          <w:tcPr>
            <w:tcW w:w="60" w:type="dxa"/>
            <w:tcBorders/>
            <w:shd w:fill="007CBA" w:val="clear"/>
            <w:vAlign w:val="center"/>
          </w:tcPr>
          <w:p>
            <w:pPr>
              <w:pStyle w:val="TableContents"/>
              <w:spacing w:before="0" w:after="283"/>
              <w:rPr/>
            </w:pPr>
            <w:r>
              <w:rPr/>
              <w:t> </w:t>
            </w:r>
          </w:p>
        </w:tc>
        <w:tc>
          <w:tcPr>
            <w:tcW w:w="5997" w:type="dxa"/>
            <w:tcBorders/>
            <w:shd w:fill="007CBA" w:val="clear"/>
            <w:vAlign w:val="center"/>
          </w:tcPr>
          <w:p>
            <w:pPr>
              <w:pStyle w:val="TableContents"/>
              <w:spacing w:before="0" w:after="283"/>
              <w:rPr>
                <w:sz w:val="4"/>
                <w:szCs w:val="4"/>
              </w:rPr>
            </w:pPr>
            <w:r>
              <w:rPr>
                <w:sz w:val="4"/>
                <w:szCs w:val="4"/>
              </w:rPr>
            </w:r>
          </w:p>
        </w:tc>
        <w:tc>
          <w:tcPr>
            <w:tcW w:w="60" w:type="dxa"/>
            <w:tcBorders/>
            <w:shd w:fill="007CBA" w:val="clear"/>
            <w:vAlign w:val="center"/>
          </w:tcPr>
          <w:p>
            <w:pPr>
              <w:pStyle w:val="TableContents"/>
              <w:spacing w:before="0" w:after="283"/>
              <w:rPr/>
            </w:pPr>
            <w:r>
              <w:rPr/>
              <w:t> </w:t>
            </w:r>
          </w:p>
        </w:tc>
        <w:tc>
          <w:tcPr>
            <w:tcW w:w="2973" w:type="dxa"/>
            <w:tcBorders/>
            <w:shd w:fill="007CBA" w:val="clear"/>
            <w:vAlign w:val="center"/>
          </w:tcPr>
          <w:p>
            <w:pPr>
              <w:pStyle w:val="TableContents"/>
              <w:spacing w:before="0" w:after="283"/>
              <w:rPr>
                <w:sz w:val="4"/>
                <w:szCs w:val="4"/>
              </w:rPr>
            </w:pPr>
            <w:r>
              <w:rPr>
                <w:sz w:val="4"/>
                <w:szCs w:val="4"/>
              </w:rPr>
            </w:r>
          </w:p>
        </w:tc>
      </w:tr>
      <w:tr>
        <w:trPr/>
        <w:tc>
          <w:tcPr>
            <w:tcW w:w="1115" w:type="dxa"/>
            <w:tcBorders>
              <w:left w:val="single" w:sz="6" w:space="0" w:color="CCCCCC"/>
              <w:right w:val="single" w:sz="6" w:space="0" w:color="CCCCCC"/>
            </w:tcBorders>
            <w:shd w:fill="F2F8FB" w:val="clear"/>
            <w:tcMar>
              <w:left w:w="160" w:type="dxa"/>
              <w:right w:w="28" w:type="dxa"/>
            </w:tcMar>
            <w:vAlign w:val="center"/>
          </w:tcPr>
          <w:p>
            <w:pPr>
              <w:pStyle w:val="TableContents"/>
              <w:spacing w:before="0" w:after="283"/>
              <w:rPr/>
            </w:pPr>
            <w:r>
              <w:rPr/>
              <w:t> </w:t>
            </w:r>
          </w:p>
        </w:tc>
        <w:tc>
          <w:tcPr>
            <w:tcW w:w="6057" w:type="dxa"/>
            <w:gridSpan w:val="2"/>
            <w:tcBorders/>
            <w:shd w:fill="auto" w:val="clear"/>
            <w:vAlign w:val="center"/>
          </w:tcPr>
          <w:p>
            <w:pPr>
              <w:pStyle w:val="TableContents"/>
              <w:spacing w:before="0" w:after="283"/>
              <w:rPr>
                <w:sz w:val="4"/>
                <w:szCs w:val="4"/>
              </w:rPr>
            </w:pPr>
            <w:r>
              <w:rPr>
                <w:sz w:val="4"/>
                <w:szCs w:val="4"/>
              </w:rPr>
            </w:r>
          </w:p>
        </w:tc>
        <w:tc>
          <w:tcPr>
            <w:tcW w:w="3033" w:type="dxa"/>
            <w:gridSpan w:val="2"/>
            <w:tcBorders>
              <w:left w:val="single" w:sz="6" w:space="0" w:color="CCCCCC"/>
              <w:right w:val="single" w:sz="6" w:space="0" w:color="CCCCCC"/>
            </w:tcBorders>
            <w:shd w:fill="auto" w:val="clear"/>
            <w:tcMar>
              <w:left w:w="28" w:type="dxa"/>
              <w:right w:w="28" w:type="dxa"/>
            </w:tcMar>
            <w:vAlign w:val="center"/>
          </w:tcPr>
          <w:p>
            <w:pPr>
              <w:pStyle w:val="TableContents"/>
              <w:spacing w:before="0" w:after="283"/>
              <w:rPr/>
            </w:pPr>
            <w:r>
              <w:rPr/>
              <w:t> </w:t>
            </w:r>
          </w:p>
        </w:tc>
      </w:tr>
      <w:tr>
        <w:trPr/>
        <w:tc>
          <w:tcPr>
            <w:tcW w:w="1115" w:type="dxa"/>
            <w:tcBorders>
              <w:left w:val="single" w:sz="6" w:space="0" w:color="CCCCCC"/>
              <w:bottom w:val="single" w:sz="6" w:space="0" w:color="CCCCCC"/>
              <w:right w:val="single" w:sz="6" w:space="0" w:color="CCCCCC"/>
            </w:tcBorders>
            <w:shd w:fill="F2F8FB" w:val="clear"/>
            <w:tcMar>
              <w:left w:w="160" w:type="dxa"/>
              <w:bottom w:w="60" w:type="dxa"/>
              <w:right w:w="28" w:type="dxa"/>
            </w:tcMar>
            <w:vAlign w:val="center"/>
          </w:tcPr>
          <w:p>
            <w:pPr>
              <w:pStyle w:val="TableContents"/>
              <w:spacing w:before="0" w:after="283"/>
              <w:rPr>
                <w:b/>
                <w:color w:val="007CBA"/>
              </w:rPr>
            </w:pPr>
            <w:r>
              <w:rPr>
                <w:b/>
                <w:color w:val="007CBA"/>
              </w:rPr>
              <w:t>Proposal 1</w:t>
            </w:r>
          </w:p>
        </w:tc>
        <w:tc>
          <w:tcPr>
            <w:tcW w:w="60" w:type="dxa"/>
            <w:tcBorders>
              <w:bottom w:val="single" w:sz="6" w:space="0" w:color="CCCCCC"/>
            </w:tcBorders>
            <w:shd w:fill="auto" w:val="clear"/>
            <w:tcMar>
              <w:bottom w:w="28" w:type="dxa"/>
            </w:tcMar>
            <w:vAlign w:val="center"/>
          </w:tcPr>
          <w:p>
            <w:pPr>
              <w:pStyle w:val="TableContents"/>
              <w:spacing w:before="0" w:after="283"/>
              <w:rPr/>
            </w:pPr>
            <w:r>
              <w:rPr/>
              <w:t> </w:t>
            </w:r>
          </w:p>
        </w:tc>
        <w:tc>
          <w:tcPr>
            <w:tcW w:w="5997" w:type="dxa"/>
            <w:tcBorders>
              <w:bottom w:val="single" w:sz="6" w:space="0" w:color="CCCCCC"/>
            </w:tcBorders>
            <w:shd w:fill="auto" w:val="clear"/>
            <w:tcMar>
              <w:bottom w:w="60" w:type="dxa"/>
            </w:tcMar>
            <w:vAlign w:val="center"/>
          </w:tcPr>
          <w:p>
            <w:pPr>
              <w:pStyle w:val="TableContents"/>
              <w:spacing w:before="0" w:after="0"/>
              <w:rPr>
                <w:rFonts w:ascii="ARIAL" w:hAnsi="ARIAL"/>
                <w:b/>
                <w:color w:val="007CBA"/>
                <w:sz w:val="16"/>
              </w:rPr>
            </w:pPr>
            <w:r>
              <w:rPr>
                <w:rFonts w:ascii="ARIAL" w:hAnsi="ARIAL"/>
                <w:b/>
                <w:color w:val="007CBA"/>
                <w:sz w:val="16"/>
              </w:rPr>
              <w:t>Election of 10 Directors</w:t>
            </w:r>
          </w:p>
          <w:p>
            <w:pPr>
              <w:pStyle w:val="TableContents"/>
              <w:spacing w:before="0" w:after="20"/>
              <w:rPr>
                <w:rFonts w:ascii="ARIAL" w:hAnsi="ARIAL"/>
                <w:sz w:val="16"/>
              </w:rPr>
            </w:pPr>
            <w:r>
              <w:rPr>
                <w:rFonts w:ascii="ARIAL" w:hAnsi="ARIAL"/>
                <w:sz w:val="16"/>
              </w:rPr>
              <w:t xml:space="preserve">The Board recommends a vote </w:t>
            </w:r>
            <w:r>
              <w:rPr>
                <w:rFonts w:ascii="ARIAL" w:hAnsi="ARIAL"/>
                <w:b/>
                <w:sz w:val="16"/>
              </w:rPr>
              <w:t>FOR</w:t>
            </w:r>
            <w:r>
              <w:rPr>
                <w:rFonts w:ascii="ARIAL" w:hAnsi="ARIAL"/>
                <w:sz w:val="16"/>
              </w:rPr>
              <w:t xml:space="preserve"> each of the Directors</w:t>
            </w:r>
          </w:p>
        </w:tc>
        <w:tc>
          <w:tcPr>
            <w:tcW w:w="60" w:type="dxa"/>
            <w:tcBorders>
              <w:left w:val="single" w:sz="6" w:space="0" w:color="CCCCCC"/>
              <w:bottom w:val="single" w:sz="6" w:space="0" w:color="CCCCCC"/>
            </w:tcBorders>
            <w:shd w:fill="auto" w:val="clear"/>
            <w:tcMar>
              <w:left w:w="28" w:type="dxa"/>
              <w:bottom w:w="28" w:type="dxa"/>
            </w:tcMar>
            <w:vAlign w:val="center"/>
          </w:tcPr>
          <w:p>
            <w:pPr>
              <w:pStyle w:val="TableContents"/>
              <w:spacing w:before="0" w:after="283"/>
              <w:rPr/>
            </w:pPr>
            <w:r>
              <w:rPr/>
              <w:t> </w:t>
            </w:r>
          </w:p>
        </w:tc>
        <w:tc>
          <w:tcPr>
            <w:tcW w:w="2973" w:type="dxa"/>
            <w:tcBorders>
              <w:bottom w:val="single" w:sz="6" w:space="0" w:color="CCCCCC"/>
              <w:right w:val="single" w:sz="6" w:space="0" w:color="CCCCCC"/>
            </w:tcBorders>
            <w:shd w:fill="auto" w:val="clear"/>
            <w:tcMar>
              <w:bottom w:w="60" w:type="dxa"/>
              <w:right w:w="40" w:type="dxa"/>
            </w:tcMar>
            <w:vAlign w:val="center"/>
          </w:tcPr>
          <w:p>
            <w:pPr>
              <w:pStyle w:val="TableContents"/>
              <w:spacing w:before="0" w:after="283"/>
              <w:rPr>
                <w:b/>
                <w:color w:val="007CBA"/>
              </w:rPr>
            </w:pPr>
            <w:r>
              <w:rPr>
                <w:b/>
                <w:color w:val="007CBA"/>
              </w:rPr>
              <w:t>See pages 23-27 for more information</w:t>
            </w:r>
          </w:p>
        </w:tc>
      </w:tr>
      <w:tr>
        <w:trPr/>
        <w:tc>
          <w:tcPr>
            <w:tcW w:w="1115" w:type="dxa"/>
            <w:tcBorders>
              <w:left w:val="single" w:sz="6" w:space="0" w:color="CCCCCC"/>
              <w:right w:val="single" w:sz="6" w:space="0" w:color="CCCCCC"/>
            </w:tcBorders>
            <w:shd w:fill="F2F8FB" w:val="clear"/>
            <w:tcMar>
              <w:left w:w="160" w:type="dxa"/>
              <w:right w:w="28" w:type="dxa"/>
            </w:tcMar>
            <w:vAlign w:val="center"/>
          </w:tcPr>
          <w:p>
            <w:pPr>
              <w:pStyle w:val="TableContents"/>
              <w:spacing w:before="0" w:after="283"/>
              <w:rPr/>
            </w:pPr>
            <w:r>
              <w:rPr/>
              <w:t> </w:t>
            </w:r>
          </w:p>
        </w:tc>
        <w:tc>
          <w:tcPr>
            <w:tcW w:w="6057" w:type="dxa"/>
            <w:gridSpan w:val="2"/>
            <w:tcBorders/>
            <w:shd w:fill="auto" w:val="clear"/>
            <w:vAlign w:val="center"/>
          </w:tcPr>
          <w:p>
            <w:pPr>
              <w:pStyle w:val="TableContents"/>
              <w:spacing w:before="0" w:after="283"/>
              <w:rPr>
                <w:sz w:val="4"/>
                <w:szCs w:val="4"/>
              </w:rPr>
            </w:pPr>
            <w:r>
              <w:rPr>
                <w:sz w:val="4"/>
                <w:szCs w:val="4"/>
              </w:rPr>
            </w:r>
          </w:p>
        </w:tc>
        <w:tc>
          <w:tcPr>
            <w:tcW w:w="3033" w:type="dxa"/>
            <w:gridSpan w:val="2"/>
            <w:tcBorders>
              <w:left w:val="single" w:sz="6" w:space="0" w:color="CCCCCC"/>
              <w:right w:val="single" w:sz="6" w:space="0" w:color="CCCCCC"/>
            </w:tcBorders>
            <w:shd w:fill="auto" w:val="clear"/>
            <w:tcMar>
              <w:left w:w="28" w:type="dxa"/>
              <w:right w:w="28" w:type="dxa"/>
            </w:tcMar>
            <w:vAlign w:val="center"/>
          </w:tcPr>
          <w:p>
            <w:pPr>
              <w:pStyle w:val="TableContents"/>
              <w:spacing w:before="0" w:after="283"/>
              <w:rPr/>
            </w:pPr>
            <w:r>
              <w:rPr/>
              <w:t> </w:t>
            </w:r>
          </w:p>
        </w:tc>
      </w:tr>
      <w:tr>
        <w:trPr/>
        <w:tc>
          <w:tcPr>
            <w:tcW w:w="1115" w:type="dxa"/>
            <w:tcBorders>
              <w:left w:val="single" w:sz="6" w:space="0" w:color="CCCCCC"/>
              <w:bottom w:val="single" w:sz="6" w:space="0" w:color="CCCCCC"/>
              <w:right w:val="single" w:sz="6" w:space="0" w:color="CCCCCC"/>
            </w:tcBorders>
            <w:shd w:fill="F2F8FB" w:val="clear"/>
            <w:tcMar>
              <w:left w:w="160" w:type="dxa"/>
              <w:bottom w:w="60" w:type="dxa"/>
              <w:right w:w="28" w:type="dxa"/>
            </w:tcMar>
            <w:vAlign w:val="center"/>
          </w:tcPr>
          <w:p>
            <w:pPr>
              <w:pStyle w:val="TableContents"/>
              <w:spacing w:before="0" w:after="283"/>
              <w:rPr>
                <w:b/>
                <w:color w:val="007CBA"/>
              </w:rPr>
            </w:pPr>
            <w:r>
              <w:rPr>
                <w:b/>
                <w:color w:val="007CBA"/>
              </w:rPr>
              <w:t>Proposal 2</w:t>
            </w:r>
          </w:p>
        </w:tc>
        <w:tc>
          <w:tcPr>
            <w:tcW w:w="60" w:type="dxa"/>
            <w:tcBorders>
              <w:bottom w:val="single" w:sz="6" w:space="0" w:color="CCCCCC"/>
            </w:tcBorders>
            <w:shd w:fill="auto" w:val="clear"/>
            <w:tcMar>
              <w:bottom w:w="28" w:type="dxa"/>
            </w:tcMar>
            <w:vAlign w:val="center"/>
          </w:tcPr>
          <w:p>
            <w:pPr>
              <w:pStyle w:val="TableContents"/>
              <w:spacing w:before="0" w:after="283"/>
              <w:rPr/>
            </w:pPr>
            <w:r>
              <w:rPr/>
              <w:t> </w:t>
            </w:r>
          </w:p>
        </w:tc>
        <w:tc>
          <w:tcPr>
            <w:tcW w:w="5997" w:type="dxa"/>
            <w:tcBorders>
              <w:bottom w:val="single" w:sz="6" w:space="0" w:color="CCCCCC"/>
            </w:tcBorders>
            <w:shd w:fill="auto" w:val="clear"/>
            <w:tcMar>
              <w:bottom w:w="60" w:type="dxa"/>
            </w:tcMar>
            <w:vAlign w:val="center"/>
          </w:tcPr>
          <w:p>
            <w:pPr>
              <w:pStyle w:val="TableContents"/>
              <w:spacing w:before="0" w:after="0"/>
              <w:rPr>
                <w:rFonts w:ascii="ARIAL" w:hAnsi="ARIAL"/>
                <w:b/>
                <w:color w:val="007CBA"/>
                <w:sz w:val="16"/>
              </w:rPr>
            </w:pPr>
            <w:r>
              <w:rPr>
                <w:rFonts w:ascii="ARIAL" w:hAnsi="ARIAL"/>
                <w:b/>
                <w:color w:val="007CBA"/>
                <w:sz w:val="16"/>
              </w:rPr>
              <w:t>Ratification of the Appointment of PricewaterhouseCoopers LLP as our Independent Auditors for 2023</w:t>
            </w:r>
          </w:p>
          <w:p>
            <w:pPr>
              <w:pStyle w:val="TableContents"/>
              <w:spacing w:before="0" w:after="20"/>
              <w:rPr>
                <w:rFonts w:ascii="ARIAL" w:hAnsi="ARIAL"/>
                <w:sz w:val="16"/>
              </w:rPr>
            </w:pPr>
            <w:r>
              <w:rPr>
                <w:rFonts w:ascii="ARIAL" w:hAnsi="ARIAL"/>
                <w:sz w:val="16"/>
              </w:rPr>
              <w:t xml:space="preserve">The Board recommends a vote </w:t>
            </w:r>
            <w:r>
              <w:rPr>
                <w:rFonts w:ascii="ARIAL" w:hAnsi="ARIAL"/>
                <w:b/>
                <w:sz w:val="16"/>
              </w:rPr>
              <w:t>FOR</w:t>
            </w:r>
            <w:r>
              <w:rPr>
                <w:rFonts w:ascii="ARIAL" w:hAnsi="ARIAL"/>
                <w:sz w:val="16"/>
              </w:rPr>
              <w:t xml:space="preserve"> ratification of PricewaterhouseCoopers for 2023</w:t>
            </w:r>
          </w:p>
        </w:tc>
        <w:tc>
          <w:tcPr>
            <w:tcW w:w="60" w:type="dxa"/>
            <w:tcBorders>
              <w:left w:val="single" w:sz="6" w:space="0" w:color="CCCCCC"/>
              <w:bottom w:val="single" w:sz="6" w:space="0" w:color="CCCCCC"/>
            </w:tcBorders>
            <w:shd w:fill="auto" w:val="clear"/>
            <w:tcMar>
              <w:left w:w="28" w:type="dxa"/>
              <w:bottom w:w="28" w:type="dxa"/>
            </w:tcMar>
            <w:vAlign w:val="center"/>
          </w:tcPr>
          <w:p>
            <w:pPr>
              <w:pStyle w:val="TableContents"/>
              <w:spacing w:before="0" w:after="283"/>
              <w:rPr/>
            </w:pPr>
            <w:r>
              <w:rPr/>
              <w:t> </w:t>
            </w:r>
          </w:p>
        </w:tc>
        <w:tc>
          <w:tcPr>
            <w:tcW w:w="2973" w:type="dxa"/>
            <w:tcBorders>
              <w:bottom w:val="single" w:sz="6" w:space="0" w:color="CCCCCC"/>
              <w:right w:val="single" w:sz="6" w:space="0" w:color="CCCCCC"/>
            </w:tcBorders>
            <w:shd w:fill="auto" w:val="clear"/>
            <w:tcMar>
              <w:bottom w:w="60" w:type="dxa"/>
              <w:right w:w="40" w:type="dxa"/>
            </w:tcMar>
            <w:vAlign w:val="center"/>
          </w:tcPr>
          <w:p>
            <w:pPr>
              <w:pStyle w:val="TableContents"/>
              <w:spacing w:before="0" w:after="283"/>
              <w:rPr>
                <w:b/>
                <w:color w:val="007CBA"/>
              </w:rPr>
            </w:pPr>
            <w:r>
              <w:rPr>
                <w:b/>
                <w:color w:val="007CBA"/>
              </w:rPr>
              <w:t>See pages 37-38 for more information</w:t>
            </w:r>
          </w:p>
        </w:tc>
      </w:tr>
      <w:tr>
        <w:trPr/>
        <w:tc>
          <w:tcPr>
            <w:tcW w:w="1115" w:type="dxa"/>
            <w:tcBorders>
              <w:left w:val="single" w:sz="6" w:space="0" w:color="CCCCCC"/>
              <w:right w:val="single" w:sz="6" w:space="0" w:color="CCCCCC"/>
            </w:tcBorders>
            <w:shd w:fill="F2F8FB" w:val="clear"/>
            <w:tcMar>
              <w:left w:w="160" w:type="dxa"/>
              <w:right w:w="28" w:type="dxa"/>
            </w:tcMar>
            <w:vAlign w:val="center"/>
          </w:tcPr>
          <w:p>
            <w:pPr>
              <w:pStyle w:val="TableContents"/>
              <w:spacing w:before="0" w:after="283"/>
              <w:rPr/>
            </w:pPr>
            <w:r>
              <w:rPr/>
              <w:t> </w:t>
            </w:r>
          </w:p>
        </w:tc>
        <w:tc>
          <w:tcPr>
            <w:tcW w:w="6057" w:type="dxa"/>
            <w:gridSpan w:val="2"/>
            <w:tcBorders/>
            <w:shd w:fill="auto" w:val="clear"/>
            <w:vAlign w:val="center"/>
          </w:tcPr>
          <w:p>
            <w:pPr>
              <w:pStyle w:val="TableContents"/>
              <w:spacing w:before="0" w:after="283"/>
              <w:rPr>
                <w:sz w:val="4"/>
                <w:szCs w:val="4"/>
              </w:rPr>
            </w:pPr>
            <w:r>
              <w:rPr>
                <w:sz w:val="4"/>
                <w:szCs w:val="4"/>
              </w:rPr>
            </w:r>
          </w:p>
        </w:tc>
        <w:tc>
          <w:tcPr>
            <w:tcW w:w="3033" w:type="dxa"/>
            <w:gridSpan w:val="2"/>
            <w:tcBorders>
              <w:left w:val="single" w:sz="6" w:space="0" w:color="CCCCCC"/>
              <w:right w:val="single" w:sz="6" w:space="0" w:color="CCCCCC"/>
            </w:tcBorders>
            <w:shd w:fill="auto" w:val="clear"/>
            <w:tcMar>
              <w:left w:w="28" w:type="dxa"/>
              <w:right w:w="28" w:type="dxa"/>
            </w:tcMar>
            <w:vAlign w:val="center"/>
          </w:tcPr>
          <w:p>
            <w:pPr>
              <w:pStyle w:val="TableContents"/>
              <w:spacing w:before="0" w:after="283"/>
              <w:rPr/>
            </w:pPr>
            <w:r>
              <w:rPr/>
              <w:t> </w:t>
            </w:r>
          </w:p>
        </w:tc>
      </w:tr>
      <w:tr>
        <w:trPr/>
        <w:tc>
          <w:tcPr>
            <w:tcW w:w="1115" w:type="dxa"/>
            <w:tcBorders>
              <w:left w:val="single" w:sz="6" w:space="0" w:color="CCCCCC"/>
              <w:bottom w:val="single" w:sz="6" w:space="0" w:color="CCCCCC"/>
              <w:right w:val="single" w:sz="6" w:space="0" w:color="CCCCCC"/>
            </w:tcBorders>
            <w:shd w:fill="F2F8FB" w:val="clear"/>
            <w:tcMar>
              <w:left w:w="160" w:type="dxa"/>
              <w:bottom w:w="60" w:type="dxa"/>
              <w:right w:w="28" w:type="dxa"/>
            </w:tcMar>
            <w:vAlign w:val="center"/>
          </w:tcPr>
          <w:p>
            <w:pPr>
              <w:pStyle w:val="TableContents"/>
              <w:spacing w:before="0" w:after="283"/>
              <w:rPr>
                <w:b/>
                <w:color w:val="007CBA"/>
              </w:rPr>
            </w:pPr>
            <w:r>
              <w:rPr>
                <w:b/>
                <w:color w:val="007CBA"/>
              </w:rPr>
              <w:t>Proposal 3</w:t>
            </w:r>
          </w:p>
        </w:tc>
        <w:tc>
          <w:tcPr>
            <w:tcW w:w="60" w:type="dxa"/>
            <w:tcBorders>
              <w:bottom w:val="single" w:sz="6" w:space="0" w:color="CCCCCC"/>
            </w:tcBorders>
            <w:shd w:fill="auto" w:val="clear"/>
            <w:tcMar>
              <w:bottom w:w="28" w:type="dxa"/>
            </w:tcMar>
            <w:vAlign w:val="center"/>
          </w:tcPr>
          <w:p>
            <w:pPr>
              <w:pStyle w:val="TableContents"/>
              <w:spacing w:before="0" w:after="283"/>
              <w:rPr/>
            </w:pPr>
            <w:r>
              <w:rPr/>
              <w:t> </w:t>
            </w:r>
          </w:p>
        </w:tc>
        <w:tc>
          <w:tcPr>
            <w:tcW w:w="5997" w:type="dxa"/>
            <w:tcBorders>
              <w:bottom w:val="single" w:sz="6" w:space="0" w:color="CCCCCC"/>
            </w:tcBorders>
            <w:shd w:fill="auto" w:val="clear"/>
            <w:tcMar>
              <w:bottom w:w="60" w:type="dxa"/>
            </w:tcMar>
            <w:vAlign w:val="center"/>
          </w:tcPr>
          <w:p>
            <w:pPr>
              <w:pStyle w:val="TableContents"/>
              <w:spacing w:before="0" w:after="0"/>
              <w:rPr>
                <w:rFonts w:ascii="ARIAL" w:hAnsi="ARIAL"/>
                <w:b/>
                <w:color w:val="007CBA"/>
                <w:sz w:val="16"/>
              </w:rPr>
            </w:pPr>
            <w:r>
              <w:rPr>
                <w:rFonts w:ascii="ARIAL" w:hAnsi="ARIAL"/>
                <w:b/>
                <w:color w:val="007CBA"/>
                <w:sz w:val="16"/>
              </w:rPr>
              <w:t>Advisory Vote to Approve the Compensation of our Named Executive Officers</w:t>
            </w:r>
          </w:p>
          <w:p>
            <w:pPr>
              <w:pStyle w:val="TableContents"/>
              <w:spacing w:before="0" w:after="20"/>
              <w:rPr>
                <w:rFonts w:ascii="ARIAL" w:hAnsi="ARIAL"/>
                <w:sz w:val="16"/>
              </w:rPr>
            </w:pPr>
            <w:r>
              <w:rPr>
                <w:rFonts w:ascii="ARIAL" w:hAnsi="ARIAL"/>
                <w:sz w:val="16"/>
              </w:rPr>
              <w:t xml:space="preserve">The Board recommends a vote </w:t>
            </w:r>
            <w:r>
              <w:rPr>
                <w:rFonts w:ascii="ARIAL" w:hAnsi="ARIAL"/>
                <w:b/>
                <w:sz w:val="16"/>
              </w:rPr>
              <w:t>FOR</w:t>
            </w:r>
            <w:r>
              <w:rPr>
                <w:rFonts w:ascii="ARIAL" w:hAnsi="ARIAL"/>
                <w:sz w:val="16"/>
              </w:rPr>
              <w:t xml:space="preserve"> our Say-On-Pay proposal</w:t>
            </w:r>
          </w:p>
        </w:tc>
        <w:tc>
          <w:tcPr>
            <w:tcW w:w="60" w:type="dxa"/>
            <w:tcBorders>
              <w:left w:val="single" w:sz="6" w:space="0" w:color="CCCCCC"/>
              <w:bottom w:val="single" w:sz="6" w:space="0" w:color="CCCCCC"/>
            </w:tcBorders>
            <w:shd w:fill="auto" w:val="clear"/>
            <w:tcMar>
              <w:left w:w="28" w:type="dxa"/>
              <w:bottom w:w="28" w:type="dxa"/>
            </w:tcMar>
            <w:vAlign w:val="center"/>
          </w:tcPr>
          <w:p>
            <w:pPr>
              <w:pStyle w:val="TableContents"/>
              <w:spacing w:before="0" w:after="283"/>
              <w:rPr/>
            </w:pPr>
            <w:r>
              <w:rPr/>
              <w:t> </w:t>
            </w:r>
          </w:p>
        </w:tc>
        <w:tc>
          <w:tcPr>
            <w:tcW w:w="2973" w:type="dxa"/>
            <w:tcBorders>
              <w:bottom w:val="single" w:sz="6" w:space="0" w:color="CCCCCC"/>
              <w:right w:val="single" w:sz="6" w:space="0" w:color="CCCCCC"/>
            </w:tcBorders>
            <w:shd w:fill="auto" w:val="clear"/>
            <w:tcMar>
              <w:bottom w:w="60" w:type="dxa"/>
              <w:right w:w="40" w:type="dxa"/>
            </w:tcMar>
            <w:vAlign w:val="center"/>
          </w:tcPr>
          <w:p>
            <w:pPr>
              <w:pStyle w:val="TableContents"/>
              <w:spacing w:before="0" w:after="283"/>
              <w:rPr>
                <w:b/>
                <w:color w:val="007CBA"/>
              </w:rPr>
            </w:pPr>
            <w:r>
              <w:rPr>
                <w:b/>
                <w:color w:val="007CBA"/>
              </w:rPr>
              <w:t>See page 88 for more information</w:t>
            </w:r>
          </w:p>
        </w:tc>
      </w:tr>
      <w:tr>
        <w:trPr/>
        <w:tc>
          <w:tcPr>
            <w:tcW w:w="1115" w:type="dxa"/>
            <w:tcBorders>
              <w:left w:val="single" w:sz="6" w:space="0" w:color="CCCCCC"/>
              <w:right w:val="single" w:sz="6" w:space="0" w:color="CCCCCC"/>
            </w:tcBorders>
            <w:shd w:fill="F2F8FB" w:val="clear"/>
            <w:tcMar>
              <w:left w:w="160" w:type="dxa"/>
              <w:right w:w="28" w:type="dxa"/>
            </w:tcMar>
            <w:vAlign w:val="center"/>
          </w:tcPr>
          <w:p>
            <w:pPr>
              <w:pStyle w:val="TableContents"/>
              <w:spacing w:before="0" w:after="283"/>
              <w:rPr/>
            </w:pPr>
            <w:r>
              <w:rPr/>
              <w:t> </w:t>
            </w:r>
          </w:p>
        </w:tc>
        <w:tc>
          <w:tcPr>
            <w:tcW w:w="6057" w:type="dxa"/>
            <w:gridSpan w:val="2"/>
            <w:tcBorders/>
            <w:shd w:fill="auto" w:val="clear"/>
            <w:vAlign w:val="center"/>
          </w:tcPr>
          <w:p>
            <w:pPr>
              <w:pStyle w:val="TableContents"/>
              <w:spacing w:before="0" w:after="283"/>
              <w:rPr>
                <w:sz w:val="4"/>
                <w:szCs w:val="4"/>
              </w:rPr>
            </w:pPr>
            <w:r>
              <w:rPr>
                <w:sz w:val="4"/>
                <w:szCs w:val="4"/>
              </w:rPr>
            </w:r>
          </w:p>
        </w:tc>
        <w:tc>
          <w:tcPr>
            <w:tcW w:w="3033" w:type="dxa"/>
            <w:gridSpan w:val="2"/>
            <w:tcBorders>
              <w:left w:val="single" w:sz="6" w:space="0" w:color="CCCCCC"/>
              <w:right w:val="single" w:sz="6" w:space="0" w:color="CCCCCC"/>
            </w:tcBorders>
            <w:shd w:fill="auto" w:val="clear"/>
            <w:tcMar>
              <w:left w:w="28" w:type="dxa"/>
              <w:right w:w="28" w:type="dxa"/>
            </w:tcMar>
            <w:vAlign w:val="center"/>
          </w:tcPr>
          <w:p>
            <w:pPr>
              <w:pStyle w:val="TableContents"/>
              <w:spacing w:before="0" w:after="283"/>
              <w:rPr/>
            </w:pPr>
            <w:r>
              <w:rPr/>
              <w:t> </w:t>
            </w:r>
          </w:p>
        </w:tc>
      </w:tr>
      <w:tr>
        <w:trPr/>
        <w:tc>
          <w:tcPr>
            <w:tcW w:w="1115" w:type="dxa"/>
            <w:tcBorders>
              <w:left w:val="single" w:sz="6" w:space="0" w:color="CCCCCC"/>
              <w:bottom w:val="single" w:sz="6" w:space="0" w:color="CCCCCC"/>
              <w:right w:val="single" w:sz="6" w:space="0" w:color="CCCCCC"/>
            </w:tcBorders>
            <w:shd w:fill="F2F8FB" w:val="clear"/>
            <w:tcMar>
              <w:left w:w="160" w:type="dxa"/>
              <w:bottom w:w="60" w:type="dxa"/>
              <w:right w:w="28" w:type="dxa"/>
            </w:tcMar>
            <w:vAlign w:val="center"/>
          </w:tcPr>
          <w:p>
            <w:pPr>
              <w:pStyle w:val="TableContents"/>
              <w:spacing w:before="0" w:after="283"/>
              <w:rPr>
                <w:b/>
                <w:color w:val="007CBA"/>
              </w:rPr>
            </w:pPr>
            <w:r>
              <w:rPr>
                <w:b/>
                <w:color w:val="007CBA"/>
              </w:rPr>
              <w:t>Proposal 4</w:t>
            </w:r>
          </w:p>
        </w:tc>
        <w:tc>
          <w:tcPr>
            <w:tcW w:w="60" w:type="dxa"/>
            <w:tcBorders>
              <w:bottom w:val="single" w:sz="6" w:space="0" w:color="CCCCCC"/>
            </w:tcBorders>
            <w:shd w:fill="auto" w:val="clear"/>
            <w:tcMar>
              <w:bottom w:w="28" w:type="dxa"/>
            </w:tcMar>
            <w:vAlign w:val="center"/>
          </w:tcPr>
          <w:p>
            <w:pPr>
              <w:pStyle w:val="TableContents"/>
              <w:spacing w:before="0" w:after="283"/>
              <w:rPr/>
            </w:pPr>
            <w:r>
              <w:rPr/>
              <w:t> </w:t>
            </w:r>
          </w:p>
        </w:tc>
        <w:tc>
          <w:tcPr>
            <w:tcW w:w="5997" w:type="dxa"/>
            <w:tcBorders>
              <w:bottom w:val="single" w:sz="6" w:space="0" w:color="CCCCCC"/>
            </w:tcBorders>
            <w:shd w:fill="auto" w:val="clear"/>
            <w:tcMar>
              <w:bottom w:w="60" w:type="dxa"/>
            </w:tcMar>
            <w:vAlign w:val="center"/>
          </w:tcPr>
          <w:p>
            <w:pPr>
              <w:pStyle w:val="TableContents"/>
              <w:spacing w:before="0" w:after="0"/>
              <w:rPr>
                <w:rFonts w:ascii="ARIAL" w:hAnsi="ARIAL"/>
                <w:b/>
                <w:color w:val="007CBA"/>
                <w:sz w:val="16"/>
              </w:rPr>
            </w:pPr>
            <w:r>
              <w:rPr>
                <w:rFonts w:ascii="ARIAL" w:hAnsi="ARIAL"/>
                <w:b/>
                <w:color w:val="007CBA"/>
                <w:sz w:val="16"/>
              </w:rPr>
              <w:t>Advisory Vote on the Frequency of Executive Compensation Vote</w:t>
            </w:r>
          </w:p>
          <w:p>
            <w:pPr>
              <w:pStyle w:val="TableContents"/>
              <w:spacing w:before="0" w:after="20"/>
              <w:rPr>
                <w:rFonts w:ascii="ARIAL" w:hAnsi="ARIAL"/>
                <w:sz w:val="16"/>
              </w:rPr>
            </w:pPr>
            <w:r>
              <w:rPr>
                <w:rFonts w:ascii="ARIAL" w:hAnsi="ARIAL"/>
                <w:sz w:val="16"/>
              </w:rPr>
              <w:t xml:space="preserve">The Board recommends EVERY </w:t>
            </w:r>
            <w:r>
              <w:rPr>
                <w:rFonts w:ascii="ARIAL" w:hAnsi="ARIAL"/>
                <w:b/>
                <w:sz w:val="16"/>
              </w:rPr>
              <w:t>1 YEAR</w:t>
            </w:r>
            <w:r>
              <w:rPr>
                <w:rFonts w:ascii="ARIAL" w:hAnsi="ARIAL"/>
                <w:sz w:val="16"/>
              </w:rPr>
              <w:t xml:space="preserve"> as the frequency of Executive Compensation Votes</w:t>
            </w:r>
          </w:p>
        </w:tc>
        <w:tc>
          <w:tcPr>
            <w:tcW w:w="60" w:type="dxa"/>
            <w:tcBorders>
              <w:left w:val="single" w:sz="6" w:space="0" w:color="CCCCCC"/>
              <w:bottom w:val="single" w:sz="6" w:space="0" w:color="CCCCCC"/>
            </w:tcBorders>
            <w:shd w:fill="auto" w:val="clear"/>
            <w:tcMar>
              <w:left w:w="28" w:type="dxa"/>
              <w:bottom w:w="28" w:type="dxa"/>
            </w:tcMar>
            <w:vAlign w:val="center"/>
          </w:tcPr>
          <w:p>
            <w:pPr>
              <w:pStyle w:val="TableContents"/>
              <w:spacing w:before="0" w:after="283"/>
              <w:rPr/>
            </w:pPr>
            <w:r>
              <w:rPr/>
              <w:t> </w:t>
            </w:r>
          </w:p>
        </w:tc>
        <w:tc>
          <w:tcPr>
            <w:tcW w:w="2973" w:type="dxa"/>
            <w:tcBorders>
              <w:bottom w:val="single" w:sz="6" w:space="0" w:color="CCCCCC"/>
              <w:right w:val="single" w:sz="6" w:space="0" w:color="CCCCCC"/>
            </w:tcBorders>
            <w:shd w:fill="auto" w:val="clear"/>
            <w:tcMar>
              <w:bottom w:w="60" w:type="dxa"/>
              <w:right w:w="40" w:type="dxa"/>
            </w:tcMar>
            <w:vAlign w:val="center"/>
          </w:tcPr>
          <w:p>
            <w:pPr>
              <w:pStyle w:val="TableContents"/>
              <w:spacing w:before="0" w:after="283"/>
              <w:rPr>
                <w:b/>
                <w:color w:val="007CBA"/>
              </w:rPr>
            </w:pPr>
            <w:r>
              <w:rPr>
                <w:b/>
                <w:color w:val="007CBA"/>
              </w:rPr>
              <w:t>See page 89 for more information</w:t>
            </w:r>
          </w:p>
        </w:tc>
      </w:tr>
      <w:tr>
        <w:trPr/>
        <w:tc>
          <w:tcPr>
            <w:tcW w:w="1115" w:type="dxa"/>
            <w:tcBorders>
              <w:left w:val="single" w:sz="6" w:space="0" w:color="CCCCCC"/>
              <w:right w:val="single" w:sz="6" w:space="0" w:color="CCCCCC"/>
            </w:tcBorders>
            <w:shd w:fill="F2F8FB" w:val="clear"/>
            <w:tcMar>
              <w:left w:w="160" w:type="dxa"/>
              <w:right w:w="28" w:type="dxa"/>
            </w:tcMar>
            <w:vAlign w:val="center"/>
          </w:tcPr>
          <w:p>
            <w:pPr>
              <w:pStyle w:val="TableContents"/>
              <w:spacing w:before="0" w:after="283"/>
              <w:rPr/>
            </w:pPr>
            <w:r>
              <w:rPr/>
              <w:t> </w:t>
            </w:r>
          </w:p>
        </w:tc>
        <w:tc>
          <w:tcPr>
            <w:tcW w:w="6057" w:type="dxa"/>
            <w:gridSpan w:val="2"/>
            <w:tcBorders/>
            <w:shd w:fill="auto" w:val="clear"/>
            <w:vAlign w:val="center"/>
          </w:tcPr>
          <w:p>
            <w:pPr>
              <w:pStyle w:val="TableContents"/>
              <w:spacing w:before="0" w:after="283"/>
              <w:rPr>
                <w:sz w:val="4"/>
                <w:szCs w:val="4"/>
              </w:rPr>
            </w:pPr>
            <w:r>
              <w:rPr>
                <w:sz w:val="4"/>
                <w:szCs w:val="4"/>
              </w:rPr>
            </w:r>
          </w:p>
        </w:tc>
        <w:tc>
          <w:tcPr>
            <w:tcW w:w="3033" w:type="dxa"/>
            <w:gridSpan w:val="2"/>
            <w:tcBorders>
              <w:left w:val="single" w:sz="6" w:space="0" w:color="CCCCCC"/>
              <w:right w:val="single" w:sz="6" w:space="0" w:color="CCCCCC"/>
            </w:tcBorders>
            <w:shd w:fill="auto" w:val="clear"/>
            <w:tcMar>
              <w:left w:w="28" w:type="dxa"/>
              <w:right w:w="28" w:type="dxa"/>
            </w:tcMar>
            <w:vAlign w:val="center"/>
          </w:tcPr>
          <w:p>
            <w:pPr>
              <w:pStyle w:val="TableContents"/>
              <w:spacing w:before="0" w:after="283"/>
              <w:rPr/>
            </w:pPr>
            <w:r>
              <w:rPr/>
              <w:t> </w:t>
            </w:r>
          </w:p>
        </w:tc>
      </w:tr>
      <w:tr>
        <w:trPr/>
        <w:tc>
          <w:tcPr>
            <w:tcW w:w="1115" w:type="dxa"/>
            <w:tcBorders>
              <w:left w:val="single" w:sz="6" w:space="0" w:color="CCCCCC"/>
              <w:bottom w:val="single" w:sz="6" w:space="0" w:color="CCCCCC"/>
              <w:right w:val="single" w:sz="6" w:space="0" w:color="CCCCCC"/>
            </w:tcBorders>
            <w:shd w:fill="F2F8FB" w:val="clear"/>
            <w:tcMar>
              <w:left w:w="160" w:type="dxa"/>
              <w:bottom w:w="60" w:type="dxa"/>
              <w:right w:w="28" w:type="dxa"/>
            </w:tcMar>
            <w:vAlign w:val="center"/>
          </w:tcPr>
          <w:p>
            <w:pPr>
              <w:pStyle w:val="TableContents"/>
              <w:spacing w:before="0" w:after="283"/>
              <w:rPr>
                <w:b/>
                <w:color w:val="007CBA"/>
              </w:rPr>
            </w:pPr>
            <w:r>
              <w:rPr>
                <w:b/>
                <w:color w:val="007CBA"/>
              </w:rPr>
              <w:t>Proposal 5</w:t>
            </w:r>
          </w:p>
        </w:tc>
        <w:tc>
          <w:tcPr>
            <w:tcW w:w="60" w:type="dxa"/>
            <w:tcBorders>
              <w:bottom w:val="single" w:sz="6" w:space="0" w:color="CCCCCC"/>
            </w:tcBorders>
            <w:shd w:fill="auto" w:val="clear"/>
            <w:tcMar>
              <w:bottom w:w="28" w:type="dxa"/>
            </w:tcMar>
            <w:vAlign w:val="center"/>
          </w:tcPr>
          <w:p>
            <w:pPr>
              <w:pStyle w:val="TableContents"/>
              <w:spacing w:before="0" w:after="283"/>
              <w:rPr/>
            </w:pPr>
            <w:r>
              <w:rPr/>
              <w:t> </w:t>
            </w:r>
          </w:p>
        </w:tc>
        <w:tc>
          <w:tcPr>
            <w:tcW w:w="5997" w:type="dxa"/>
            <w:tcBorders>
              <w:bottom w:val="single" w:sz="6" w:space="0" w:color="CCCCCC"/>
            </w:tcBorders>
            <w:shd w:fill="auto" w:val="clear"/>
            <w:tcMar>
              <w:bottom w:w="60" w:type="dxa"/>
            </w:tcMar>
            <w:vAlign w:val="center"/>
          </w:tcPr>
          <w:p>
            <w:pPr>
              <w:pStyle w:val="TableContents"/>
              <w:spacing w:before="0" w:after="0"/>
              <w:rPr>
                <w:rFonts w:ascii="ARIAL" w:hAnsi="ARIAL"/>
                <w:b/>
                <w:color w:val="007CBA"/>
                <w:sz w:val="16"/>
              </w:rPr>
            </w:pPr>
            <w:r>
              <w:rPr>
                <w:rFonts w:ascii="ARIAL" w:hAnsi="ARIAL"/>
                <w:b/>
                <w:color w:val="007CBA"/>
                <w:sz w:val="16"/>
              </w:rPr>
              <w:t>Vote on a Shareholder Proposal, if properly presented at the meeting</w:t>
            </w:r>
          </w:p>
          <w:p>
            <w:pPr>
              <w:pStyle w:val="TableContents"/>
              <w:spacing w:before="0" w:after="20"/>
              <w:rPr>
                <w:rFonts w:ascii="ARIAL" w:hAnsi="ARIAL"/>
                <w:sz w:val="16"/>
              </w:rPr>
            </w:pPr>
            <w:r>
              <w:rPr>
                <w:rFonts w:ascii="ARIAL" w:hAnsi="ARIAL"/>
                <w:sz w:val="16"/>
              </w:rPr>
              <w:t xml:space="preserve">The Board recommends </w:t>
            </w:r>
            <w:r>
              <w:rPr>
                <w:rFonts w:ascii="ARIAL" w:hAnsi="ARIAL"/>
                <w:b/>
                <w:sz w:val="16"/>
              </w:rPr>
              <w:t>AGAINST</w:t>
            </w:r>
          </w:p>
        </w:tc>
        <w:tc>
          <w:tcPr>
            <w:tcW w:w="60" w:type="dxa"/>
            <w:tcBorders>
              <w:left w:val="single" w:sz="6" w:space="0" w:color="CCCCCC"/>
              <w:bottom w:val="single" w:sz="6" w:space="0" w:color="CCCCCC"/>
            </w:tcBorders>
            <w:shd w:fill="auto" w:val="clear"/>
            <w:tcMar>
              <w:left w:w="28" w:type="dxa"/>
              <w:bottom w:w="28" w:type="dxa"/>
            </w:tcMar>
            <w:vAlign w:val="center"/>
          </w:tcPr>
          <w:p>
            <w:pPr>
              <w:pStyle w:val="TableContents"/>
              <w:spacing w:before="0" w:after="283"/>
              <w:rPr/>
            </w:pPr>
            <w:r>
              <w:rPr/>
              <w:t> </w:t>
            </w:r>
          </w:p>
        </w:tc>
        <w:tc>
          <w:tcPr>
            <w:tcW w:w="2973" w:type="dxa"/>
            <w:tcBorders>
              <w:bottom w:val="single" w:sz="6" w:space="0" w:color="CCCCCC"/>
              <w:right w:val="single" w:sz="6" w:space="0" w:color="CCCCCC"/>
            </w:tcBorders>
            <w:shd w:fill="auto" w:val="clear"/>
            <w:tcMar>
              <w:bottom w:w="60" w:type="dxa"/>
              <w:right w:w="40" w:type="dxa"/>
            </w:tcMar>
            <w:vAlign w:val="center"/>
          </w:tcPr>
          <w:p>
            <w:pPr>
              <w:pStyle w:val="TableContents"/>
              <w:spacing w:before="0" w:after="283"/>
              <w:rPr>
                <w:b/>
                <w:color w:val="007CBA"/>
              </w:rPr>
            </w:pPr>
            <w:r>
              <w:rPr>
                <w:b/>
                <w:color w:val="007CBA"/>
              </w:rPr>
              <w:t>See pages 90-95 for more information</w:t>
            </w:r>
          </w:p>
        </w:tc>
      </w:tr>
    </w:tbl>
    <w:p>
      <w:pPr>
        <w:pStyle w:val="TextBody"/>
        <w:spacing w:before="0" w:after="0"/>
        <w:jc w:val="left"/>
        <w:rPr/>
      </w:pPr>
      <w:r>
        <w:rPr/>
        <w:t> </w:t>
      </w:r>
    </w:p>
    <w:tbl>
      <w:tblPr>
        <w:tblW w:w="2965" w:type="dxa"/>
        <w:jc w:val="left"/>
        <w:tblInd w:w="0" w:type="dxa"/>
        <w:tblCellMar>
          <w:top w:w="0" w:type="dxa"/>
          <w:left w:w="0" w:type="dxa"/>
          <w:bottom w:w="0" w:type="dxa"/>
          <w:right w:w="0" w:type="dxa"/>
        </w:tblCellMar>
      </w:tblPr>
      <w:tblGrid>
        <w:gridCol w:w="38"/>
        <w:gridCol w:w="60"/>
        <w:gridCol w:w="132"/>
        <w:gridCol w:w="60"/>
        <w:gridCol w:w="26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pPr>
            <w:r>
              <w:rPr>
                <w:color w:val="007CBA"/>
              </w:rPr>
              <w:t>MARTIN MARIETTA    </w:t>
            </w:r>
            <w:r>
              <w:rPr>
                <w:b/>
              </w:rPr>
              <w:t>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color w:val="007CBA"/>
          <w:sz w:val="42"/>
        </w:rPr>
      </w:pPr>
      <w:r>
        <w:rPr>
          <w:rFonts w:ascii="ARIAL" w:hAnsi="ARIAL"/>
          <w:b/>
          <w:color w:val="007CBA"/>
          <w:sz w:val="42"/>
        </w:rPr>
        <w:t xml:space="preserve">Measuring our Performance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82"/>
        <w:gridCol w:w="60"/>
        <w:gridCol w:w="60"/>
        <w:gridCol w:w="9928"/>
      </w:tblGrid>
      <w:tr>
        <w:trPr/>
        <w:tc>
          <w:tcPr>
            <w:tcW w:w="7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28"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0"/>
              <w:rPr/>
            </w:pPr>
            <w:r>
              <w:rPr/>
              <w:t> </w:t>
            </w:r>
          </w:p>
          <w:p>
            <w:pPr>
              <w:pStyle w:val="TableContents"/>
              <w:spacing w:before="0" w:after="20"/>
              <w:rPr/>
            </w:pPr>
            <w:r>
              <w:rPr/>
              <w:t> </w:t>
            </w:r>
          </w:p>
        </w:tc>
        <w:tc>
          <w:tcPr>
            <w:tcW w:w="82" w:type="dxa"/>
            <w:tcBorders/>
            <w:shd w:fill="auto" w:val="clear"/>
            <w:vAlign w:val="center"/>
          </w:tcPr>
          <w:p>
            <w:pPr>
              <w:pStyle w:val="TableContents"/>
              <w:spacing w:before="0" w:after="0"/>
              <w:rPr/>
            </w:pPr>
            <w:r>
              <w:rPr/>
              <w:t> </w:t>
            </w:r>
          </w:p>
          <w:p>
            <w:pPr>
              <w:pStyle w:val="TableContents"/>
              <w:spacing w:before="0" w:after="20"/>
              <w:jc w:val="right"/>
              <w:rPr/>
            </w:pPr>
            <w:r>
              <w:rPr/>
              <w:drawing>
                <wp:inline distT="0" distB="0" distL="0" distR="0">
                  <wp:extent cx="38100" cy="3683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0"/>
              <w:rPr/>
            </w:pPr>
            <w:r>
              <w:rPr/>
              <w:t> </w:t>
            </w:r>
          </w:p>
          <w:p>
            <w:pPr>
              <w:pStyle w:val="TableContents"/>
              <w:spacing w:before="0" w:after="20"/>
              <w:rPr/>
            </w:pPr>
            <w:r>
              <w:rPr/>
              <w:t> </w:t>
            </w:r>
          </w:p>
        </w:tc>
        <w:tc>
          <w:tcPr>
            <w:tcW w:w="60" w:type="dxa"/>
            <w:tcBorders/>
            <w:shd w:fill="auto" w:val="clear"/>
            <w:vAlign w:val="center"/>
          </w:tcPr>
          <w:p>
            <w:pPr>
              <w:pStyle w:val="TableContents"/>
              <w:spacing w:before="0" w:after="283"/>
              <w:rPr/>
            </w:pPr>
            <w:r>
              <w:rPr/>
              <w:t> </w:t>
            </w:r>
          </w:p>
        </w:tc>
        <w:tc>
          <w:tcPr>
            <w:tcW w:w="9928" w:type="dxa"/>
            <w:tcBorders/>
            <w:shd w:fill="auto" w:val="clear"/>
            <w:vAlign w:val="center"/>
          </w:tcPr>
          <w:p>
            <w:pPr>
              <w:pStyle w:val="TableContents"/>
              <w:spacing w:before="0" w:after="0"/>
              <w:rPr>
                <w:rFonts w:ascii="ARIAL" w:hAnsi="ARIAL"/>
                <w:b/>
                <w:color w:val="71BE9A"/>
                <w:sz w:val="26"/>
              </w:rPr>
            </w:pPr>
            <w:r>
              <w:rPr>
                <w:rFonts w:ascii="ARIAL" w:hAnsi="ARIAL"/>
                <w:b/>
                <w:color w:val="71BE9A"/>
                <w:sz w:val="26"/>
              </w:rPr>
              <w:t>World-Class Safety</w:t>
            </w:r>
          </w:p>
          <w:p>
            <w:pPr>
              <w:pStyle w:val="TableContents"/>
              <w:spacing w:before="0" w:after="20"/>
              <w:rPr>
                <w:rFonts w:ascii="ARIAL" w:hAnsi="ARIAL"/>
                <w:sz w:val="20"/>
              </w:rPr>
            </w:pPr>
            <w:r>
              <w:rPr>
                <w:rFonts w:ascii="ARIAL" w:hAnsi="ARIAL"/>
                <w:sz w:val="20"/>
              </w:rPr>
              <w:t xml:space="preserve">We are committed to our Guardian Angel safety culture where </w:t>
            </w:r>
            <w:r>
              <w:rPr>
                <w:rFonts w:ascii="ARIAL" w:hAnsi="ARIAL"/>
                <w:b/>
                <w:sz w:val="20"/>
              </w:rPr>
              <w:t>Zero is Possible</w:t>
            </w:r>
            <w:r>
              <w:rPr>
                <w:rFonts w:ascii="ARIAL" w:hAnsi="ARIAL"/>
                <w:sz w:val="20"/>
              </w:rPr>
              <w:t xml:space="preserve">, and achieved a </w:t>
            </w:r>
            <w:r>
              <w:rPr>
                <w:rFonts w:ascii="ARIAL" w:hAnsi="ARIAL"/>
                <w:b/>
                <w:color w:val="007CBA"/>
                <w:sz w:val="20"/>
              </w:rPr>
              <w:t>world-class lost-time incident rate</w:t>
            </w:r>
            <w:r>
              <w:rPr>
                <w:rFonts w:ascii="ARIAL" w:hAnsi="ARIAL"/>
                <w:sz w:val="20"/>
              </w:rPr>
              <w:t xml:space="preserve"> (LTIR) for the </w:t>
            </w:r>
            <w:r>
              <w:rPr>
                <w:rFonts w:ascii="ARIAL" w:hAnsi="ARIAL"/>
                <w:b/>
                <w:color w:val="007CBA"/>
                <w:sz w:val="20"/>
              </w:rPr>
              <w:t>sixth consecutive year</w:t>
            </w:r>
            <w:r>
              <w:rPr>
                <w:rFonts w:ascii="ARIAL" w:hAnsi="ARIAL"/>
                <w:sz w:val="20"/>
              </w:rPr>
              <w:t>. With a company-wide Total Injury Incident Rate (TIIR) of 0.78, we exceeded the world-class rate of 0.90.</w:t>
            </w:r>
          </w:p>
        </w:tc>
      </w:tr>
    </w:tbl>
    <w:p>
      <w:pPr>
        <w:pStyle w:val="TextBody"/>
        <w:spacing w:before="0" w:after="0"/>
        <w:jc w:val="left"/>
        <w:rPr/>
      </w:pPr>
      <w:r>
        <w:rPr/>
        <w:t> </w:t>
      </w:r>
    </w:p>
    <w:p>
      <w:pPr>
        <w:pStyle w:val="TextBody"/>
        <w:spacing w:before="0" w:after="0"/>
        <w:jc w:val="center"/>
        <w:rPr/>
      </w:pPr>
      <w:r>
        <w:rPr/>
        <w:drawing>
          <wp:inline distT="0" distB="0" distL="0" distR="0">
            <wp:extent cx="577850" cy="1651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577850" cy="16510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pPr>
      <w:r>
        <w:rPr/>
        <w:drawing>
          <wp:inline distT="0" distB="0" distL="0" distR="0">
            <wp:extent cx="577850" cy="1365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577850" cy="136525"/>
                    </a:xfrm>
                    <a:prstGeom prst="rect">
                      <a:avLst/>
                    </a:prstGeom>
                  </pic:spPr>
                </pic:pic>
              </a:graphicData>
            </a:graphic>
          </wp:inline>
        </w:drawing>
      </w:r>
      <w:r>
        <w:rPr/>
        <w:t xml:space="preserve"> </w:t>
      </w:r>
    </w:p>
    <w:p>
      <w:pPr>
        <w:pStyle w:val="TextBody"/>
        <w:spacing w:before="0" w:after="0"/>
        <w:jc w:val="left"/>
        <w:rPr/>
      </w:pPr>
      <w:r>
        <w:rPr/>
        <w:t> </w:t>
      </w:r>
    </w:p>
    <w:tbl>
      <w:tblPr>
        <w:tblW w:w="4910" w:type="dxa"/>
        <w:jc w:val="left"/>
        <w:tblInd w:w="0" w:type="dxa"/>
        <w:tblCellMar>
          <w:top w:w="0" w:type="dxa"/>
          <w:left w:w="0" w:type="dxa"/>
          <w:bottom w:w="0" w:type="dxa"/>
          <w:right w:w="0" w:type="dxa"/>
        </w:tblCellMar>
      </w:tblPr>
      <w:tblGrid>
        <w:gridCol w:w="75"/>
        <w:gridCol w:w="120"/>
        <w:gridCol w:w="60"/>
        <w:gridCol w:w="60"/>
        <w:gridCol w:w="4595"/>
      </w:tblGrid>
      <w:tr>
        <w:trPr/>
        <w:tc>
          <w:tcPr>
            <w:tcW w:w="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0"/>
              <w:rPr/>
            </w:pPr>
            <w:r>
              <w:rPr/>
              <w:t> </w:t>
            </w:r>
          </w:p>
          <w:p>
            <w:pPr>
              <w:pStyle w:val="TableContents"/>
              <w:spacing w:before="0" w:after="20"/>
              <w:rPr/>
            </w:pPr>
            <w:r>
              <w:rPr/>
              <w:t> </w:t>
            </w:r>
          </w:p>
        </w:tc>
        <w:tc>
          <w:tcPr>
            <w:tcW w:w="120" w:type="dxa"/>
            <w:tcBorders/>
            <w:shd w:fill="auto" w:val="clear"/>
            <w:vAlign w:val="center"/>
          </w:tcPr>
          <w:p>
            <w:pPr>
              <w:pStyle w:val="TableContents"/>
              <w:spacing w:before="0" w:after="0"/>
              <w:rPr/>
            </w:pPr>
            <w:r>
              <w:rPr/>
              <w:t> </w:t>
            </w:r>
          </w:p>
          <w:p>
            <w:pPr>
              <w:pStyle w:val="TableContents"/>
              <w:spacing w:before="0" w:after="20"/>
              <w:jc w:val="right"/>
              <w:rPr/>
            </w:pPr>
            <w:r>
              <w:rPr/>
              <w:drawing>
                <wp:inline distT="0" distB="0" distL="0" distR="0">
                  <wp:extent cx="38100" cy="3683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0"/>
              <w:rPr/>
            </w:pPr>
            <w:r>
              <w:rPr/>
              <w:t> </w:t>
            </w:r>
          </w:p>
          <w:p>
            <w:pPr>
              <w:pStyle w:val="TableContents"/>
              <w:spacing w:before="0" w:after="20"/>
              <w:rPr/>
            </w:pPr>
            <w:r>
              <w:rPr/>
              <w:t> </w:t>
            </w:r>
          </w:p>
        </w:tc>
        <w:tc>
          <w:tcPr>
            <w:tcW w:w="6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rPr>
                <w:rFonts w:ascii="ARIAL" w:hAnsi="ARIAL"/>
                <w:b/>
                <w:color w:val="71BE9A"/>
                <w:sz w:val="26"/>
              </w:rPr>
            </w:pPr>
            <w:r>
              <w:rPr>
                <w:rFonts w:ascii="ARIAL" w:hAnsi="ARIAL"/>
                <w:b/>
                <w:color w:val="71BE9A"/>
                <w:sz w:val="26"/>
              </w:rPr>
              <w:t>Record Financial Performance</w:t>
            </w:r>
          </w:p>
          <w:p>
            <w:pPr>
              <w:pStyle w:val="TableContents"/>
              <w:spacing w:before="0" w:after="20"/>
              <w:rPr>
                <w:rFonts w:ascii="ARIAL" w:hAnsi="ARIAL"/>
                <w:sz w:val="20"/>
              </w:rPr>
            </w:pPr>
            <w:r>
              <w:rPr>
                <w:rFonts w:ascii="ARIAL" w:hAnsi="ARIAL"/>
                <w:sz w:val="20"/>
              </w:rPr>
              <w:t xml:space="preserve">We achieved </w:t>
            </w:r>
            <w:r>
              <w:rPr>
                <w:rFonts w:ascii="ARIAL" w:hAnsi="ARIAL"/>
                <w:b/>
                <w:sz w:val="20"/>
              </w:rPr>
              <w:t>record financial performance</w:t>
            </w:r>
            <w:r>
              <w:rPr>
                <w:rFonts w:ascii="ARIAL" w:hAnsi="ARIAL"/>
                <w:sz w:val="20"/>
              </w:rPr>
              <w:t xml:space="preserve"> in 2022</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49605" cy="28575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649605" cy="285750"/>
                    </a:xfrm>
                    <a:prstGeom prst="rect">
                      <a:avLst/>
                    </a:prstGeom>
                  </pic:spPr>
                </pic:pic>
              </a:graphicData>
            </a:graphic>
          </wp:inline>
        </w:drawing>
      </w:r>
      <w:r>
        <w:rPr/>
        <w:t xml:space="preserve"> </w:t>
      </w:r>
    </w:p>
    <w:p>
      <w:pPr>
        <w:pStyle w:val="TextBody"/>
        <w:spacing w:before="120" w:after="0"/>
        <w:jc w:val="left"/>
        <w:rPr>
          <w:rFonts w:ascii="ARIAL" w:hAnsi="ARIAL"/>
          <w:sz w:val="16"/>
        </w:rPr>
      </w:pPr>
      <w:r>
        <w:rPr>
          <w:rFonts w:ascii="ARIAL" w:hAnsi="ARIAL"/>
          <w:sz w:val="16"/>
        </w:rPr>
        <w:t xml:space="preserve">* Please see Appendix B for a reconciliation of non-GAAP measures to GAAP measures. </w:t>
      </w:r>
    </w:p>
    <w:p>
      <w:pPr>
        <w:pStyle w:val="TextBody"/>
        <w:spacing w:before="0" w:after="0"/>
        <w:jc w:val="left"/>
        <w:rPr/>
      </w:pPr>
      <w:r>
        <w:rPr/>
        <w:t> </w:t>
      </w:r>
    </w:p>
    <w:tbl>
      <w:tblPr>
        <w:tblW w:w="3580" w:type="dxa"/>
        <w:jc w:val="left"/>
        <w:tblInd w:w="0" w:type="dxa"/>
        <w:tblCellMar>
          <w:top w:w="0" w:type="dxa"/>
          <w:left w:w="0" w:type="dxa"/>
          <w:bottom w:w="0" w:type="dxa"/>
          <w:right w:w="0" w:type="dxa"/>
        </w:tblCellMar>
      </w:tblPr>
      <w:tblGrid>
        <w:gridCol w:w="3290"/>
        <w:gridCol w:w="60"/>
        <w:gridCol w:w="132"/>
        <w:gridCol w:w="60"/>
        <w:gridCol w:w="38"/>
      </w:tblGrid>
      <w:tr>
        <w:trPr/>
        <w:tc>
          <w:tcPr>
            <w:tcW w:w="3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spacing w:before="0" w:after="283"/>
              <w:rPr/>
            </w:pPr>
            <w:r>
              <w:rPr>
                <w:b/>
              </w:rPr>
              <w:t>2</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 xml:space="preserve">PROXY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80"/>
        <w:gridCol w:w="60"/>
        <w:gridCol w:w="60"/>
        <w:gridCol w:w="9930"/>
      </w:tblGrid>
      <w:tr>
        <w:trPr/>
        <w:tc>
          <w:tcPr>
            <w:tcW w:w="7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3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0"/>
              <w:rPr/>
            </w:pPr>
            <w:r>
              <w:rPr/>
              <w:t> </w:t>
            </w:r>
          </w:p>
          <w:p>
            <w:pPr>
              <w:pStyle w:val="TableContents"/>
              <w:spacing w:before="0" w:after="20"/>
              <w:rPr/>
            </w:pPr>
            <w:r>
              <w:rPr/>
              <w:t> </w:t>
            </w:r>
          </w:p>
        </w:tc>
        <w:tc>
          <w:tcPr>
            <w:tcW w:w="80" w:type="dxa"/>
            <w:tcBorders/>
            <w:shd w:fill="auto" w:val="clear"/>
            <w:vAlign w:val="center"/>
          </w:tcPr>
          <w:p>
            <w:pPr>
              <w:pStyle w:val="TableContents"/>
              <w:spacing w:before="0" w:after="0"/>
              <w:rPr/>
            </w:pPr>
            <w:r>
              <w:rPr/>
              <w:t> </w:t>
            </w:r>
          </w:p>
          <w:p>
            <w:pPr>
              <w:pStyle w:val="TableContents"/>
              <w:spacing w:before="0" w:after="20"/>
              <w:jc w:val="right"/>
              <w:rPr/>
            </w:pPr>
            <w:r>
              <w:rPr/>
              <w:drawing>
                <wp:inline distT="0" distB="0" distL="0" distR="0">
                  <wp:extent cx="38100" cy="3683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0"/>
              <w:rPr/>
            </w:pPr>
            <w:r>
              <w:rPr/>
              <w:t> </w:t>
            </w:r>
          </w:p>
          <w:p>
            <w:pPr>
              <w:pStyle w:val="TableContents"/>
              <w:spacing w:before="0" w:after="20"/>
              <w:rPr/>
            </w:pPr>
            <w:r>
              <w:rPr/>
              <w:t> </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rPr>
                <w:rFonts w:ascii="ARIAL" w:hAnsi="ARIAL"/>
                <w:b/>
                <w:color w:val="71BE9A"/>
                <w:sz w:val="26"/>
              </w:rPr>
            </w:pPr>
            <w:r>
              <w:rPr>
                <w:rFonts w:ascii="ARIAL" w:hAnsi="ARIAL"/>
                <w:b/>
                <w:color w:val="71BE9A"/>
                <w:sz w:val="26"/>
              </w:rPr>
              <w:t>Execution of Strategic Plan</w:t>
            </w:r>
          </w:p>
          <w:p>
            <w:pPr>
              <w:pStyle w:val="TableContents"/>
              <w:spacing w:before="0" w:after="20"/>
              <w:rPr>
                <w:rFonts w:ascii="ARIAL" w:hAnsi="ARIAL"/>
                <w:sz w:val="20"/>
              </w:rPr>
            </w:pPr>
            <w:r>
              <w:rPr>
                <w:rFonts w:ascii="ARIAL" w:hAnsi="ARIAL"/>
                <w:sz w:val="20"/>
              </w:rPr>
              <w:t>Our strategic plan inclusive of targeted platform and bolt-on acquisitions has resulted in best-in-class short- and long-term shareholder returns and has given us a meaningful presence in ten of the 11 U.S. megaregions, large networks of metropolitan population centers covering thousands of square miles.</w:t>
            </w:r>
          </w:p>
        </w:tc>
      </w:tr>
    </w:tbl>
    <w:p>
      <w:pPr>
        <w:pStyle w:val="TextBody"/>
        <w:spacing w:before="0" w:after="0"/>
        <w:jc w:val="left"/>
        <w:rPr/>
      </w:pPr>
      <w:r>
        <w:rPr/>
        <w:t> </w:t>
      </w:r>
    </w:p>
    <w:p>
      <w:pPr>
        <w:pStyle w:val="TextBody"/>
        <w:spacing w:before="0" w:after="0"/>
        <w:jc w:val="center"/>
        <w:rPr/>
      </w:pPr>
      <w:r>
        <w:rPr/>
        <w:drawing>
          <wp:inline distT="0" distB="0" distL="0" distR="0">
            <wp:extent cx="577850" cy="34798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577850" cy="347980"/>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87"/>
        <w:gridCol w:w="60"/>
        <w:gridCol w:w="60"/>
        <w:gridCol w:w="9923"/>
      </w:tblGrid>
      <w:tr>
        <w:trPr/>
        <w:tc>
          <w:tcPr>
            <w:tcW w:w="7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23"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0"/>
              <w:rPr/>
            </w:pPr>
            <w:r>
              <w:rPr/>
              <w:t> </w:t>
            </w:r>
          </w:p>
          <w:p>
            <w:pPr>
              <w:pStyle w:val="TableContents"/>
              <w:spacing w:before="0" w:after="20"/>
              <w:rPr/>
            </w:pPr>
            <w:r>
              <w:rPr/>
              <w:t> </w:t>
            </w:r>
          </w:p>
        </w:tc>
        <w:tc>
          <w:tcPr>
            <w:tcW w:w="87" w:type="dxa"/>
            <w:tcBorders/>
            <w:shd w:fill="auto" w:val="clear"/>
            <w:vAlign w:val="center"/>
          </w:tcPr>
          <w:p>
            <w:pPr>
              <w:pStyle w:val="TableContents"/>
              <w:spacing w:before="0" w:after="0"/>
              <w:rPr/>
            </w:pPr>
            <w:r>
              <w:rPr/>
              <w:t> </w:t>
            </w:r>
          </w:p>
          <w:p>
            <w:pPr>
              <w:pStyle w:val="TableContents"/>
              <w:spacing w:before="0" w:after="20"/>
              <w:jc w:val="right"/>
              <w:rPr/>
            </w:pPr>
            <w:r>
              <w:rPr/>
              <w:drawing>
                <wp:inline distT="0" distB="0" distL="0" distR="0">
                  <wp:extent cx="38100" cy="3683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0"/>
              <w:rPr/>
            </w:pPr>
            <w:r>
              <w:rPr/>
              <w:t> </w:t>
            </w:r>
          </w:p>
          <w:p>
            <w:pPr>
              <w:pStyle w:val="TableContents"/>
              <w:spacing w:before="0" w:after="20"/>
              <w:rPr/>
            </w:pPr>
            <w:r>
              <w:rPr/>
              <w:t> </w:t>
            </w:r>
          </w:p>
        </w:tc>
        <w:tc>
          <w:tcPr>
            <w:tcW w:w="60" w:type="dxa"/>
            <w:tcBorders/>
            <w:shd w:fill="auto" w:val="clear"/>
            <w:vAlign w:val="center"/>
          </w:tcPr>
          <w:p>
            <w:pPr>
              <w:pStyle w:val="TableContents"/>
              <w:spacing w:before="0" w:after="283"/>
              <w:rPr/>
            </w:pPr>
            <w:r>
              <w:rPr/>
              <w:t> </w:t>
            </w:r>
          </w:p>
        </w:tc>
        <w:tc>
          <w:tcPr>
            <w:tcW w:w="9923" w:type="dxa"/>
            <w:tcBorders/>
            <w:shd w:fill="auto" w:val="clear"/>
            <w:vAlign w:val="center"/>
          </w:tcPr>
          <w:p>
            <w:pPr>
              <w:pStyle w:val="TableContents"/>
              <w:spacing w:before="0" w:after="0"/>
              <w:rPr>
                <w:rFonts w:ascii="ARIAL" w:hAnsi="ARIAL"/>
                <w:b/>
                <w:color w:val="71BE9A"/>
                <w:sz w:val="26"/>
              </w:rPr>
            </w:pPr>
            <w:r>
              <w:rPr>
                <w:rFonts w:ascii="ARIAL" w:hAnsi="ARIAL"/>
                <w:b/>
                <w:color w:val="71BE9A"/>
                <w:sz w:val="26"/>
              </w:rPr>
              <w:t>Creation of Long-Term Value</w:t>
            </w:r>
          </w:p>
          <w:p>
            <w:pPr>
              <w:pStyle w:val="TableContents"/>
              <w:spacing w:before="0" w:after="20"/>
              <w:rPr>
                <w:rFonts w:ascii="ARIAL" w:hAnsi="ARIAL"/>
                <w:sz w:val="20"/>
              </w:rPr>
            </w:pPr>
            <w:r>
              <w:rPr>
                <w:rFonts w:ascii="ARIAL" w:hAnsi="ARIAL"/>
                <w:sz w:val="20"/>
              </w:rPr>
              <w:t>Our accomplishments in 2022 and execution of our strategic plan have helped position the Company for continued long-term success and are a testament to our team’s commitment to Martin Marietta’s vision and strategic priorities</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45795" cy="29146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645795" cy="291465"/>
                    </a:xfrm>
                    <a:prstGeom prst="rect">
                      <a:avLst/>
                    </a:prstGeom>
                  </pic:spPr>
                </pic:pic>
              </a:graphicData>
            </a:graphic>
          </wp:inline>
        </w:drawing>
      </w:r>
      <w:r>
        <w:rPr/>
        <w:t xml:space="preserve"> </w:t>
      </w:r>
    </w:p>
    <w:p>
      <w:pPr>
        <w:pStyle w:val="TextBody"/>
        <w:spacing w:before="120" w:after="0"/>
        <w:jc w:val="left"/>
        <w:rPr>
          <w:rFonts w:ascii="ARIAL" w:hAnsi="ARIAL"/>
          <w:sz w:val="16"/>
        </w:rPr>
      </w:pPr>
      <w:r>
        <w:rPr>
          <w:rFonts w:ascii="ARIAL" w:hAnsi="ARIAL"/>
          <w:sz w:val="16"/>
        </w:rPr>
        <w:t xml:space="preserve">* Leverage ratio includes the discharge of $700 million in notes due 2023. </w:t>
      </w:r>
    </w:p>
    <w:p>
      <w:pPr>
        <w:pStyle w:val="TextBody"/>
        <w:spacing w:before="0" w:after="0"/>
        <w:jc w:val="left"/>
        <w:rPr/>
      </w:pPr>
      <w:r>
        <w:rPr/>
        <w:t> </w:t>
      </w:r>
    </w:p>
    <w:tbl>
      <w:tblPr>
        <w:tblW w:w="2965" w:type="dxa"/>
        <w:jc w:val="left"/>
        <w:tblInd w:w="0" w:type="dxa"/>
        <w:tblCellMar>
          <w:top w:w="0" w:type="dxa"/>
          <w:left w:w="0" w:type="dxa"/>
          <w:bottom w:w="0" w:type="dxa"/>
          <w:right w:w="0" w:type="dxa"/>
        </w:tblCellMar>
      </w:tblPr>
      <w:tblGrid>
        <w:gridCol w:w="38"/>
        <w:gridCol w:w="60"/>
        <w:gridCol w:w="132"/>
        <w:gridCol w:w="60"/>
        <w:gridCol w:w="26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pPr>
            <w:r>
              <w:rPr>
                <w:color w:val="007CBA"/>
              </w:rPr>
              <w:t>MARTIN MARIETTA    </w:t>
            </w:r>
            <w:r>
              <w:rPr>
                <w:b/>
              </w:rPr>
              <w:t>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spacing w:before="0" w:after="0"/>
        <w:jc w:val="left"/>
        <w:rPr/>
      </w:pPr>
      <w:r>
        <w:rPr/>
        <w:t> </w:t>
      </w:r>
    </w:p>
    <w:p>
      <w:pPr>
        <w:pStyle w:val="TextBody"/>
        <w:spacing w:before="0" w:after="0"/>
        <w:jc w:val="left"/>
        <w:rPr/>
      </w:pPr>
      <w:r>
        <w:rPr/>
        <w:t> </w:t>
      </w:r>
    </w:p>
    <w:tbl>
      <w:tblPr>
        <w:tblW w:w="8930" w:type="dxa"/>
        <w:jc w:val="left"/>
        <w:tblInd w:w="0" w:type="dxa"/>
        <w:tblCellMar>
          <w:top w:w="0" w:type="dxa"/>
          <w:left w:w="0" w:type="dxa"/>
          <w:bottom w:w="0" w:type="dxa"/>
          <w:right w:w="0" w:type="dxa"/>
        </w:tblCellMar>
      </w:tblPr>
      <w:tblGrid>
        <w:gridCol w:w="135"/>
        <w:gridCol w:w="120"/>
        <w:gridCol w:w="8675"/>
      </w:tblGrid>
      <w:tr>
        <w:trPr/>
        <w:tc>
          <w:tcPr>
            <w:tcW w:w="1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75" w:type="dxa"/>
            <w:tcBorders/>
            <w:shd w:fill="auto" w:val="clear"/>
            <w:vAlign w:val="center"/>
          </w:tcPr>
          <w:p>
            <w:pPr>
              <w:pStyle w:val="TableContents"/>
              <w:spacing w:before="0" w:after="283"/>
              <w:rPr>
                <w:sz w:val="4"/>
                <w:szCs w:val="4"/>
              </w:rPr>
            </w:pPr>
            <w:r>
              <w:rPr>
                <w:sz w:val="4"/>
                <w:szCs w:val="4"/>
              </w:rPr>
            </w:r>
          </w:p>
        </w:tc>
      </w:tr>
      <w:tr>
        <w:trPr/>
        <w:tc>
          <w:tcPr>
            <w:tcW w:w="135" w:type="dxa"/>
            <w:tcBorders>
              <w:bottom w:val="single" w:sz="6" w:space="0" w:color="007CBA"/>
            </w:tcBorders>
            <w:shd w:fill="auto" w:val="clear"/>
            <w:tcMar>
              <w:bottom w:w="28" w:type="dxa"/>
            </w:tcMar>
            <w:vAlign w:val="center"/>
          </w:tcPr>
          <w:p>
            <w:pPr>
              <w:pStyle w:val="TableContents"/>
              <w:rPr/>
            </w:pPr>
            <w:r>
              <w:rPr/>
              <w:drawing>
                <wp:inline distT="0" distB="0" distL="0" distR="0">
                  <wp:extent cx="38100" cy="3683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38100" cy="36830"/>
                          </a:xfrm>
                          <a:prstGeom prst="rect">
                            <a:avLst/>
                          </a:prstGeom>
                        </pic:spPr>
                      </pic:pic>
                    </a:graphicData>
                  </a:graphic>
                </wp:inline>
              </w:drawing>
            </w:r>
            <w:r>
              <w:rPr/>
              <w:t xml:space="preserve"> </w:t>
            </w:r>
          </w:p>
          <w:p>
            <w:pPr>
              <w:pStyle w:val="TableContents"/>
              <w:spacing w:before="0" w:after="20"/>
              <w:rPr/>
            </w:pPr>
            <w:r>
              <w:rPr/>
              <w:t> </w:t>
            </w:r>
          </w:p>
        </w:tc>
        <w:tc>
          <w:tcPr>
            <w:tcW w:w="120" w:type="dxa"/>
            <w:tcBorders>
              <w:bottom w:val="single" w:sz="6" w:space="0" w:color="007CBA"/>
            </w:tcBorders>
            <w:shd w:fill="auto" w:val="clear"/>
            <w:tcMar>
              <w:bottom w:w="28" w:type="dxa"/>
            </w:tcMar>
            <w:vAlign w:val="center"/>
          </w:tcPr>
          <w:p>
            <w:pPr>
              <w:pStyle w:val="TableContents"/>
              <w:spacing w:before="0" w:after="283"/>
              <w:rPr/>
            </w:pPr>
            <w:r>
              <w:rPr/>
              <w:t>  </w:t>
            </w:r>
          </w:p>
        </w:tc>
        <w:tc>
          <w:tcPr>
            <w:tcW w:w="8675" w:type="dxa"/>
            <w:tcBorders>
              <w:bottom w:val="single" w:sz="6" w:space="0" w:color="007CBA"/>
            </w:tcBorders>
            <w:shd w:fill="auto" w:val="clear"/>
            <w:tcMar>
              <w:bottom w:w="28" w:type="dxa"/>
            </w:tcMar>
            <w:vAlign w:val="center"/>
          </w:tcPr>
          <w:p>
            <w:pPr>
              <w:pStyle w:val="TableContents"/>
              <w:spacing w:before="0" w:after="0"/>
              <w:rPr>
                <w:rFonts w:ascii="ARIAL" w:hAnsi="ARIAL"/>
                <w:b/>
                <w:color w:val="71BE9A"/>
                <w:sz w:val="26"/>
              </w:rPr>
            </w:pPr>
            <w:r>
              <w:rPr>
                <w:rFonts w:ascii="ARIAL" w:hAnsi="ARIAL"/>
                <w:b/>
                <w:color w:val="71BE9A"/>
                <w:sz w:val="26"/>
              </w:rPr>
              <w:t>Commitment to Sustainability</w:t>
            </w:r>
          </w:p>
          <w:p>
            <w:pPr>
              <w:pStyle w:val="TableContents"/>
              <w:spacing w:before="0" w:after="0"/>
              <w:rPr>
                <w:rFonts w:ascii="ARIAL" w:hAnsi="ARIAL"/>
                <w:sz w:val="20"/>
              </w:rPr>
            </w:pPr>
            <w:r>
              <w:rPr>
                <w:rFonts w:ascii="ARIAL" w:hAnsi="ARIAL"/>
                <w:b/>
                <w:sz w:val="20"/>
              </w:rPr>
              <w:t>Sustainability is part of our culture</w:t>
            </w:r>
            <w:r>
              <w:rPr>
                <w:rFonts w:ascii="ARIAL" w:hAnsi="ARIAL"/>
                <w:sz w:val="20"/>
              </w:rPr>
              <w:t>, including operating in an environmentally responsible manner</w:t>
            </w:r>
          </w:p>
          <w:p>
            <w:pPr>
              <w:pStyle w:val="TableContents"/>
              <w:spacing w:before="0" w:after="20"/>
              <w:rPr/>
            </w:pPr>
            <w:r>
              <w:rPr/>
              <w:t> </w:t>
            </w:r>
          </w:p>
        </w:tc>
      </w:tr>
    </w:tbl>
    <w:tbl>
      <w:tblPr>
        <w:tblW w:w="10205" w:type="dxa"/>
        <w:jc w:val="left"/>
        <w:tblInd w:w="0" w:type="dxa"/>
        <w:tblCellMar>
          <w:top w:w="0" w:type="dxa"/>
          <w:left w:w="0" w:type="dxa"/>
          <w:bottom w:w="0" w:type="dxa"/>
          <w:right w:w="0" w:type="dxa"/>
        </w:tblCellMar>
      </w:tblPr>
      <w:tblGrid>
        <w:gridCol w:w="176"/>
        <w:gridCol w:w="120"/>
        <w:gridCol w:w="9909"/>
      </w:tblGrid>
      <w:tr>
        <w:trPr/>
        <w:tc>
          <w:tcPr>
            <w:tcW w:w="17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09" w:type="dxa"/>
            <w:tcBorders/>
            <w:shd w:fill="auto" w:val="clear"/>
            <w:vAlign w:val="center"/>
          </w:tcPr>
          <w:p>
            <w:pPr>
              <w:pStyle w:val="TableContents"/>
              <w:spacing w:before="0" w:after="283"/>
              <w:rPr>
                <w:sz w:val="4"/>
                <w:szCs w:val="4"/>
              </w:rPr>
            </w:pPr>
            <w:r>
              <w:rPr>
                <w:sz w:val="4"/>
                <w:szCs w:val="4"/>
              </w:rPr>
            </w:r>
          </w:p>
        </w:tc>
      </w:tr>
      <w:tr>
        <w:trPr/>
        <w:tc>
          <w:tcPr>
            <w:tcW w:w="176" w:type="dxa"/>
            <w:tcBorders/>
            <w:shd w:fill="auto" w:val="clear"/>
            <w:vAlign w:val="center"/>
          </w:tcPr>
          <w:p>
            <w:pPr>
              <w:pStyle w:val="TableContents"/>
              <w:spacing w:before="0" w:after="283"/>
              <w:rPr>
                <w:sz w:val="4"/>
                <w:szCs w:val="4"/>
              </w:rPr>
            </w:pPr>
            <w:r>
              <w:rPr>
                <w:sz w:val="4"/>
                <w:szCs w:val="4"/>
              </w:rPr>
            </w:r>
          </w:p>
        </w:tc>
        <w:tc>
          <w:tcPr>
            <w:tcW w:w="10029" w:type="dxa"/>
            <w:gridSpan w:val="2"/>
            <w:tcBorders/>
            <w:shd w:fill="auto" w:val="clear"/>
            <w:vAlign w:val="center"/>
          </w:tcPr>
          <w:p>
            <w:pPr>
              <w:pStyle w:val="TableContents"/>
              <w:spacing w:before="0" w:after="283"/>
              <w:rPr>
                <w:sz w:val="4"/>
                <w:szCs w:val="4"/>
              </w:rPr>
            </w:pPr>
            <w:r>
              <w:rPr>
                <w:sz w:val="4"/>
                <w:szCs w:val="4"/>
              </w:rPr>
            </w:r>
          </w:p>
        </w:tc>
      </w:tr>
      <w:tr>
        <w:trPr/>
        <w:tc>
          <w:tcPr>
            <w:tcW w:w="176" w:type="dxa"/>
            <w:tcBorders>
              <w:bottom w:val="single" w:sz="6" w:space="0" w:color="000000"/>
            </w:tcBorders>
            <w:shd w:fill="auto" w:val="clear"/>
            <w:tcMar>
              <w:bottom w:w="120" w:type="dxa"/>
            </w:tcMar>
            <w:vAlign w:val="center"/>
          </w:tcPr>
          <w:p>
            <w:pPr>
              <w:pStyle w:val="TableContents"/>
              <w:spacing w:before="0" w:after="20"/>
              <w:jc w:val="right"/>
              <w:rPr/>
            </w:pPr>
            <w:r>
              <w:rPr/>
              <w:drawing>
                <wp:inline distT="0" distB="0" distL="0" distR="0">
                  <wp:extent cx="74295" cy="7429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74295" cy="74295"/>
                          </a:xfrm>
                          <a:prstGeom prst="rect">
                            <a:avLst/>
                          </a:prstGeom>
                        </pic:spPr>
                      </pic:pic>
                    </a:graphicData>
                  </a:graphic>
                </wp:inline>
              </w:drawing>
            </w:r>
            <w:r>
              <w:rPr/>
              <w:t xml:space="preserve">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9909"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2050 Net Zero ambition with strong 2030 commitments</w:t>
            </w:r>
          </w:p>
          <w:p>
            <w:pPr>
              <w:pStyle w:val="TableContents"/>
              <w:spacing w:before="0" w:after="20"/>
              <w:rPr>
                <w:rFonts w:ascii="ARIAL" w:hAnsi="ARIAL"/>
                <w:sz w:val="16"/>
              </w:rPr>
            </w:pPr>
            <w:r>
              <w:rPr>
                <w:rFonts w:ascii="ARIAL" w:hAnsi="ARIAL"/>
                <w:sz w:val="16"/>
              </w:rPr>
              <w:t xml:space="preserve">Martin Marietta has </w:t>
            </w:r>
            <w:r>
              <w:rPr>
                <w:rFonts w:ascii="ARIAL" w:hAnsi="ARIAL"/>
                <w:b/>
                <w:sz w:val="16"/>
              </w:rPr>
              <w:t>an ambition to be Net Zero by 2050 across our entire value chain</w:t>
            </w:r>
            <w:r>
              <w:rPr>
                <w:rFonts w:ascii="ARIAL" w:hAnsi="ARIAL"/>
                <w:sz w:val="16"/>
              </w:rPr>
              <w:t xml:space="preserve">. We have made </w:t>
            </w:r>
            <w:r>
              <w:rPr>
                <w:rFonts w:ascii="ARIAL" w:hAnsi="ARIAL"/>
                <w:b/>
                <w:sz w:val="16"/>
              </w:rPr>
              <w:t>a commitment</w:t>
            </w:r>
            <w:r>
              <w:rPr>
                <w:rFonts w:ascii="ARIAL" w:hAnsi="ARIAL"/>
                <w:sz w:val="16"/>
              </w:rPr>
              <w:t xml:space="preserve"> to </w:t>
            </w:r>
            <w:r>
              <w:rPr>
                <w:rFonts w:ascii="ARIAL" w:hAnsi="ARIAL"/>
                <w:b/>
                <w:sz w:val="16"/>
              </w:rPr>
              <w:t>reduce</w:t>
            </w:r>
            <w:r>
              <w:rPr>
                <w:rFonts w:ascii="ARIAL" w:hAnsi="ARIAL"/>
                <w:sz w:val="16"/>
              </w:rPr>
              <w:t xml:space="preserve"> the intensity of our </w:t>
            </w:r>
            <w:r>
              <w:rPr>
                <w:rFonts w:ascii="ARIAL" w:hAnsi="ARIAL"/>
                <w:b/>
                <w:sz w:val="16"/>
              </w:rPr>
              <w:t>Scope 1 CO2e</w:t>
            </w:r>
            <w:r>
              <w:rPr>
                <w:rFonts w:ascii="ARIAL" w:hAnsi="ARIAL"/>
                <w:sz w:val="16"/>
              </w:rPr>
              <w:t xml:space="preserve"> process emissions from our heritage cement operations as compared to 2010 levels by </w:t>
            </w:r>
            <w:r>
              <w:rPr>
                <w:rFonts w:ascii="ARIAL" w:hAnsi="ARIAL"/>
                <w:b/>
                <w:sz w:val="16"/>
              </w:rPr>
              <w:t>2030</w:t>
            </w:r>
            <w:r>
              <w:rPr>
                <w:rFonts w:ascii="ARIAL" w:hAnsi="ARIAL"/>
                <w:sz w:val="16"/>
              </w:rPr>
              <w:t xml:space="preserve">. We have made </w:t>
            </w:r>
            <w:r>
              <w:rPr>
                <w:rFonts w:ascii="ARIAL" w:hAnsi="ARIAL"/>
                <w:b/>
                <w:sz w:val="16"/>
              </w:rPr>
              <w:t>a commitment</w:t>
            </w:r>
            <w:r>
              <w:rPr>
                <w:rFonts w:ascii="ARIAL" w:hAnsi="ARIAL"/>
                <w:sz w:val="16"/>
              </w:rPr>
              <w:t xml:space="preserve"> to </w:t>
            </w:r>
            <w:r>
              <w:rPr>
                <w:rFonts w:ascii="ARIAL" w:hAnsi="ARIAL"/>
                <w:b/>
                <w:sz w:val="16"/>
              </w:rPr>
              <w:t>reduce</w:t>
            </w:r>
            <w:r>
              <w:rPr>
                <w:rFonts w:ascii="ARIAL" w:hAnsi="ARIAL"/>
                <w:sz w:val="16"/>
              </w:rPr>
              <w:t xml:space="preserve"> the intensity of our </w:t>
            </w:r>
            <w:r>
              <w:rPr>
                <w:rFonts w:ascii="ARIAL" w:hAnsi="ARIAL"/>
                <w:b/>
                <w:sz w:val="16"/>
              </w:rPr>
              <w:t>Scope 1 CO2e</w:t>
            </w:r>
            <w:r>
              <w:rPr>
                <w:rFonts w:ascii="ARIAL" w:hAnsi="ARIAL"/>
                <w:sz w:val="16"/>
              </w:rPr>
              <w:t xml:space="preserve"> process emissions from our magnesia specialties business as compared to 2010 levels by </w:t>
            </w:r>
            <w:r>
              <w:rPr>
                <w:rFonts w:ascii="ARIAL" w:hAnsi="ARIAL"/>
                <w:b/>
                <w:sz w:val="16"/>
              </w:rPr>
              <w:t>2030</w:t>
            </w:r>
            <w:r>
              <w:rPr>
                <w:rFonts w:ascii="ARIAL" w:hAnsi="ARIAL"/>
                <w:sz w:val="16"/>
              </w:rPr>
              <w:t xml:space="preserve">. We have made a </w:t>
            </w:r>
            <w:r>
              <w:rPr>
                <w:rFonts w:ascii="ARIAL" w:hAnsi="ARIAL"/>
                <w:b/>
                <w:sz w:val="16"/>
              </w:rPr>
              <w:t>commitment</w:t>
            </w:r>
            <w:r>
              <w:rPr>
                <w:rFonts w:ascii="ARIAL" w:hAnsi="ARIAL"/>
                <w:sz w:val="16"/>
              </w:rPr>
              <w:t xml:space="preserve"> to </w:t>
            </w:r>
            <w:r>
              <w:rPr>
                <w:rFonts w:ascii="ARIAL" w:hAnsi="ARIAL"/>
                <w:b/>
                <w:sz w:val="16"/>
              </w:rPr>
              <w:t>reduce or offset</w:t>
            </w:r>
            <w:r>
              <w:rPr>
                <w:rFonts w:ascii="ARIAL" w:hAnsi="ARIAL"/>
                <w:sz w:val="16"/>
              </w:rPr>
              <w:t xml:space="preserve"> </w:t>
            </w:r>
            <w:r>
              <w:rPr>
                <w:rFonts w:ascii="ARIAL" w:hAnsi="ARIAL"/>
                <w:b/>
                <w:sz w:val="16"/>
              </w:rPr>
              <w:t>30%</w:t>
            </w:r>
            <w:r>
              <w:rPr>
                <w:rFonts w:ascii="ARIAL" w:hAnsi="ARIAL"/>
                <w:sz w:val="16"/>
              </w:rPr>
              <w:t xml:space="preserve"> of our Scope 2 CO2e emissions by </w:t>
            </w:r>
            <w:r>
              <w:rPr>
                <w:rFonts w:ascii="ARIAL" w:hAnsi="ARIAL"/>
                <w:b/>
                <w:sz w:val="16"/>
              </w:rPr>
              <w:t>2030</w:t>
            </w:r>
            <w:r>
              <w:rPr>
                <w:rFonts w:ascii="ARIAL" w:hAnsi="ARIAL"/>
                <w:sz w:val="16"/>
              </w:rPr>
              <w:t xml:space="preserve"> with a baseline year of 2021 and a goal of </w:t>
            </w:r>
            <w:r>
              <w:rPr>
                <w:rFonts w:ascii="ARIAL" w:hAnsi="ARIAL"/>
                <w:b/>
                <w:sz w:val="16"/>
              </w:rPr>
              <w:t>Net Zero Scope 2 emissions by 2050</w:t>
            </w:r>
            <w:r>
              <w:rPr>
                <w:rFonts w:ascii="ARIAL" w:hAnsi="ARIAL"/>
                <w:sz w:val="16"/>
              </w:rPr>
              <w:t xml:space="preserve">.1 We are expanding our Net Zero goals to include a </w:t>
            </w:r>
            <w:r>
              <w:rPr>
                <w:rFonts w:ascii="ARIAL" w:hAnsi="ARIAL"/>
                <w:b/>
                <w:sz w:val="16"/>
              </w:rPr>
              <w:t>Net Zero by 2050</w:t>
            </w:r>
            <w:r>
              <w:rPr>
                <w:rFonts w:ascii="ARIAL" w:hAnsi="ARIAL"/>
                <w:sz w:val="16"/>
              </w:rPr>
              <w:t xml:space="preserve"> ambition for our </w:t>
            </w:r>
            <w:r>
              <w:rPr>
                <w:rFonts w:ascii="ARIAL" w:hAnsi="ARIAL"/>
                <w:b/>
                <w:sz w:val="16"/>
              </w:rPr>
              <w:t>Scope 1 emissions</w:t>
            </w:r>
            <w:r>
              <w:rPr>
                <w:rFonts w:ascii="ARIAL" w:hAnsi="ARIAL"/>
                <w:sz w:val="16"/>
              </w:rPr>
              <w:t>.</w:t>
            </w:r>
          </w:p>
        </w:tc>
      </w:tr>
      <w:tr>
        <w:trPr/>
        <w:tc>
          <w:tcPr>
            <w:tcW w:w="176" w:type="dxa"/>
            <w:tcBorders/>
            <w:shd w:fill="auto" w:val="clear"/>
            <w:vAlign w:val="center"/>
          </w:tcPr>
          <w:p>
            <w:pPr>
              <w:pStyle w:val="TableContents"/>
              <w:spacing w:before="0" w:after="283"/>
              <w:rPr>
                <w:sz w:val="4"/>
                <w:szCs w:val="4"/>
              </w:rPr>
            </w:pPr>
            <w:r>
              <w:rPr>
                <w:sz w:val="4"/>
                <w:szCs w:val="4"/>
              </w:rPr>
            </w:r>
          </w:p>
        </w:tc>
        <w:tc>
          <w:tcPr>
            <w:tcW w:w="10029" w:type="dxa"/>
            <w:gridSpan w:val="2"/>
            <w:tcBorders/>
            <w:shd w:fill="auto" w:val="clear"/>
            <w:vAlign w:val="center"/>
          </w:tcPr>
          <w:p>
            <w:pPr>
              <w:pStyle w:val="TableContents"/>
              <w:spacing w:before="0" w:after="283"/>
              <w:rPr>
                <w:sz w:val="4"/>
                <w:szCs w:val="4"/>
              </w:rPr>
            </w:pPr>
            <w:r>
              <w:rPr>
                <w:sz w:val="4"/>
                <w:szCs w:val="4"/>
              </w:rPr>
            </w:r>
          </w:p>
        </w:tc>
      </w:tr>
      <w:tr>
        <w:trPr/>
        <w:tc>
          <w:tcPr>
            <w:tcW w:w="176" w:type="dxa"/>
            <w:tcBorders>
              <w:bottom w:val="single" w:sz="6" w:space="0" w:color="000000"/>
            </w:tcBorders>
            <w:shd w:fill="auto" w:val="clear"/>
            <w:tcMar>
              <w:bottom w:w="120" w:type="dxa"/>
            </w:tcMar>
            <w:vAlign w:val="center"/>
          </w:tcPr>
          <w:p>
            <w:pPr>
              <w:pStyle w:val="TableContents"/>
              <w:spacing w:before="0" w:after="20"/>
              <w:jc w:val="right"/>
              <w:rPr/>
            </w:pPr>
            <w:r>
              <w:rPr/>
              <w:drawing>
                <wp:inline distT="0" distB="0" distL="0" distR="0">
                  <wp:extent cx="96520" cy="8191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6520" cy="81915"/>
                          </a:xfrm>
                          <a:prstGeom prst="rect">
                            <a:avLst/>
                          </a:prstGeom>
                        </pic:spPr>
                      </pic:pic>
                    </a:graphicData>
                  </a:graphic>
                </wp:inline>
              </w:drawing>
            </w:r>
            <w:r>
              <w:rPr/>
              <w:t xml:space="preserve">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9909"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Strategy</w:t>
            </w:r>
          </w:p>
          <w:p>
            <w:pPr>
              <w:pStyle w:val="TableContents"/>
              <w:spacing w:before="0" w:after="20"/>
              <w:rPr>
                <w:rFonts w:ascii="ARIAL" w:hAnsi="ARIAL"/>
                <w:sz w:val="16"/>
              </w:rPr>
            </w:pPr>
            <w:r>
              <w:rPr>
                <w:rFonts w:ascii="ARIAL" w:hAnsi="ARIAL"/>
                <w:sz w:val="16"/>
              </w:rPr>
              <w:t xml:space="preserve">As outlined in our Sustainability Report, Martin Marietta has a </w:t>
            </w:r>
            <w:r>
              <w:rPr>
                <w:rFonts w:ascii="ARIAL" w:hAnsi="ARIAL"/>
                <w:b/>
                <w:sz w:val="16"/>
              </w:rPr>
              <w:t>roadmap</w:t>
            </w:r>
            <w:r>
              <w:rPr>
                <w:rFonts w:ascii="ARIAL" w:hAnsi="ARIAL"/>
                <w:sz w:val="16"/>
              </w:rPr>
              <w:t xml:space="preserve"> for achieving its sustainability goals including our ambitions and commitments. We seek ways to create </w:t>
            </w:r>
            <w:r>
              <w:rPr>
                <w:rFonts w:ascii="ARIAL" w:hAnsi="ARIAL"/>
                <w:b/>
                <w:sz w:val="16"/>
              </w:rPr>
              <w:t>lower carbon products</w:t>
            </w:r>
            <w:r>
              <w:rPr>
                <w:rFonts w:ascii="ARIAL" w:hAnsi="ARIAL"/>
                <w:sz w:val="16"/>
              </w:rPr>
              <w:t xml:space="preserve">. We have a growing recycled aggregates business in Texas, Minnesota and California. We are invested in our Magnesia Specialties business which produces magnesia-based products that help our customers reduce their harmful air emissions and chemical usage, as well as help purify water and neutralize nuclear waste among other applications. Our Management Development and Compensation Committee reviews </w:t>
            </w:r>
            <w:r>
              <w:rPr>
                <w:rFonts w:ascii="ARIAL" w:hAnsi="ARIAL"/>
                <w:b/>
                <w:sz w:val="16"/>
              </w:rPr>
              <w:t>management’s performance with regard to its sustainability goals</w:t>
            </w:r>
            <w:r>
              <w:rPr>
                <w:rFonts w:ascii="ARIAL" w:hAnsi="ARIAL"/>
                <w:sz w:val="16"/>
              </w:rPr>
              <w:t xml:space="preserve"> and considers those achievements in determining incentive pay.</w:t>
            </w:r>
          </w:p>
        </w:tc>
      </w:tr>
      <w:tr>
        <w:trPr/>
        <w:tc>
          <w:tcPr>
            <w:tcW w:w="176" w:type="dxa"/>
            <w:tcBorders/>
            <w:shd w:fill="auto" w:val="clear"/>
            <w:vAlign w:val="center"/>
          </w:tcPr>
          <w:p>
            <w:pPr>
              <w:pStyle w:val="TableContents"/>
              <w:spacing w:before="0" w:after="283"/>
              <w:rPr>
                <w:sz w:val="4"/>
                <w:szCs w:val="4"/>
              </w:rPr>
            </w:pPr>
            <w:r>
              <w:rPr>
                <w:sz w:val="4"/>
                <w:szCs w:val="4"/>
              </w:rPr>
            </w:r>
          </w:p>
        </w:tc>
        <w:tc>
          <w:tcPr>
            <w:tcW w:w="10029" w:type="dxa"/>
            <w:gridSpan w:val="2"/>
            <w:tcBorders/>
            <w:shd w:fill="auto" w:val="clear"/>
            <w:vAlign w:val="center"/>
          </w:tcPr>
          <w:p>
            <w:pPr>
              <w:pStyle w:val="TableContents"/>
              <w:spacing w:before="0" w:after="283"/>
              <w:rPr>
                <w:sz w:val="4"/>
                <w:szCs w:val="4"/>
              </w:rPr>
            </w:pPr>
            <w:r>
              <w:rPr>
                <w:sz w:val="4"/>
                <w:szCs w:val="4"/>
              </w:rPr>
            </w:r>
          </w:p>
        </w:tc>
      </w:tr>
      <w:tr>
        <w:trPr/>
        <w:tc>
          <w:tcPr>
            <w:tcW w:w="176" w:type="dxa"/>
            <w:tcBorders>
              <w:bottom w:val="single" w:sz="6" w:space="0" w:color="000000"/>
            </w:tcBorders>
            <w:shd w:fill="auto" w:val="clear"/>
            <w:tcMar>
              <w:bottom w:w="120" w:type="dxa"/>
            </w:tcMar>
            <w:vAlign w:val="center"/>
          </w:tcPr>
          <w:p>
            <w:pPr>
              <w:pStyle w:val="TableContents"/>
              <w:spacing w:before="0" w:after="20"/>
              <w:jc w:val="right"/>
              <w:rPr/>
            </w:pPr>
            <w:r>
              <w:rPr/>
              <w:drawing>
                <wp:inline distT="0" distB="0" distL="0" distR="0">
                  <wp:extent cx="73660" cy="762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73660" cy="76200"/>
                          </a:xfrm>
                          <a:prstGeom prst="rect">
                            <a:avLst/>
                          </a:prstGeom>
                        </pic:spPr>
                      </pic:pic>
                    </a:graphicData>
                  </a:graphic>
                </wp:inline>
              </w:drawing>
            </w:r>
            <w:r>
              <w:rPr/>
              <w:t xml:space="preserve">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9909"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Resilience</w:t>
            </w:r>
          </w:p>
          <w:p>
            <w:pPr>
              <w:pStyle w:val="TableContents"/>
              <w:spacing w:before="0" w:after="20"/>
              <w:rPr>
                <w:rFonts w:ascii="ARIAL" w:hAnsi="ARIAL"/>
                <w:sz w:val="16"/>
              </w:rPr>
            </w:pPr>
            <w:r>
              <w:rPr>
                <w:rFonts w:ascii="ARIAL" w:hAnsi="ARIAL"/>
                <w:sz w:val="16"/>
              </w:rPr>
              <w:t xml:space="preserve">We review </w:t>
            </w:r>
            <w:r>
              <w:rPr>
                <w:rFonts w:ascii="ARIAL" w:hAnsi="ARIAL"/>
                <w:b/>
                <w:sz w:val="16"/>
              </w:rPr>
              <w:t>physical and transition climate risks</w:t>
            </w:r>
            <w:r>
              <w:rPr>
                <w:rFonts w:ascii="ARIAL" w:hAnsi="ARIAL"/>
                <w:sz w:val="16"/>
              </w:rPr>
              <w:t xml:space="preserve"> and the impact on the business of various </w:t>
            </w:r>
            <w:r>
              <w:rPr>
                <w:rFonts w:ascii="ARIAL" w:hAnsi="ARIAL"/>
                <w:b/>
                <w:sz w:val="16"/>
              </w:rPr>
              <w:t>climate scenarios and opportunities</w:t>
            </w:r>
            <w:r>
              <w:rPr>
                <w:rFonts w:ascii="ARIAL" w:hAnsi="ARIAL"/>
                <w:sz w:val="16"/>
              </w:rPr>
              <w:t xml:space="preserve">. We disclose those risks and the materiality of those potential impacts in our Annual Report. Our risk management process and sustainability oversight structure allow the Board and management to </w:t>
            </w:r>
            <w:r>
              <w:rPr>
                <w:rFonts w:ascii="ARIAL" w:hAnsi="ARIAL"/>
                <w:b/>
                <w:sz w:val="16"/>
              </w:rPr>
              <w:t>address and manage</w:t>
            </w:r>
            <w:r>
              <w:rPr>
                <w:rFonts w:ascii="ARIAL" w:hAnsi="ARIAL"/>
                <w:sz w:val="16"/>
              </w:rPr>
              <w:t xml:space="preserve"> climate risks in the same manner as other material risks to the Company.</w:t>
            </w:r>
          </w:p>
        </w:tc>
      </w:tr>
      <w:tr>
        <w:trPr/>
        <w:tc>
          <w:tcPr>
            <w:tcW w:w="176" w:type="dxa"/>
            <w:tcBorders/>
            <w:shd w:fill="auto" w:val="clear"/>
            <w:vAlign w:val="center"/>
          </w:tcPr>
          <w:p>
            <w:pPr>
              <w:pStyle w:val="TableContents"/>
              <w:spacing w:before="0" w:after="283"/>
              <w:rPr>
                <w:sz w:val="4"/>
                <w:szCs w:val="4"/>
              </w:rPr>
            </w:pPr>
            <w:r>
              <w:rPr>
                <w:sz w:val="4"/>
                <w:szCs w:val="4"/>
              </w:rPr>
            </w:r>
          </w:p>
        </w:tc>
        <w:tc>
          <w:tcPr>
            <w:tcW w:w="10029" w:type="dxa"/>
            <w:gridSpan w:val="2"/>
            <w:tcBorders/>
            <w:shd w:fill="auto" w:val="clear"/>
            <w:vAlign w:val="center"/>
          </w:tcPr>
          <w:p>
            <w:pPr>
              <w:pStyle w:val="TableContents"/>
              <w:spacing w:before="0" w:after="283"/>
              <w:rPr>
                <w:sz w:val="4"/>
                <w:szCs w:val="4"/>
              </w:rPr>
            </w:pPr>
            <w:r>
              <w:rPr>
                <w:sz w:val="4"/>
                <w:szCs w:val="4"/>
              </w:rPr>
            </w:r>
          </w:p>
        </w:tc>
      </w:tr>
      <w:tr>
        <w:trPr/>
        <w:tc>
          <w:tcPr>
            <w:tcW w:w="176" w:type="dxa"/>
            <w:tcBorders>
              <w:bottom w:val="single" w:sz="6" w:space="0" w:color="000000"/>
            </w:tcBorders>
            <w:shd w:fill="auto" w:val="clear"/>
            <w:tcMar>
              <w:bottom w:w="120" w:type="dxa"/>
            </w:tcMar>
            <w:vAlign w:val="center"/>
          </w:tcPr>
          <w:p>
            <w:pPr>
              <w:pStyle w:val="TableContents"/>
              <w:spacing w:before="0" w:after="20"/>
              <w:jc w:val="right"/>
              <w:rPr/>
            </w:pPr>
            <w:r>
              <w:rPr/>
              <w:drawing>
                <wp:inline distT="0" distB="0" distL="0" distR="0">
                  <wp:extent cx="81915" cy="4953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81915" cy="49530"/>
                          </a:xfrm>
                          <a:prstGeom prst="rect">
                            <a:avLst/>
                          </a:prstGeom>
                        </pic:spPr>
                      </pic:pic>
                    </a:graphicData>
                  </a:graphic>
                </wp:inline>
              </w:drawing>
            </w:r>
            <w:r>
              <w:rPr/>
              <w:t xml:space="preserve">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9909"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Collaboration</w:t>
            </w:r>
          </w:p>
          <w:p>
            <w:pPr>
              <w:pStyle w:val="TableContents"/>
              <w:spacing w:before="0" w:after="20"/>
              <w:rPr>
                <w:rFonts w:ascii="ARIAL" w:hAnsi="ARIAL"/>
                <w:sz w:val="16"/>
              </w:rPr>
            </w:pPr>
            <w:r>
              <w:rPr>
                <w:rFonts w:ascii="ARIAL" w:hAnsi="ARIAL"/>
                <w:sz w:val="16"/>
              </w:rPr>
              <w:t xml:space="preserve">We actively </w:t>
            </w:r>
            <w:r>
              <w:rPr>
                <w:rFonts w:ascii="ARIAL" w:hAnsi="ARIAL"/>
                <w:b/>
                <w:sz w:val="16"/>
              </w:rPr>
              <w:t>participate</w:t>
            </w:r>
            <w:r>
              <w:rPr>
                <w:rFonts w:ascii="ARIAL" w:hAnsi="ARIAL"/>
                <w:sz w:val="16"/>
              </w:rPr>
              <w:t xml:space="preserve"> in a dialogue to reduce emissions and the related impact on climate change. We participate in </w:t>
            </w:r>
            <w:r>
              <w:rPr>
                <w:rFonts w:ascii="ARIAL" w:hAnsi="ARIAL"/>
                <w:b/>
                <w:sz w:val="16"/>
              </w:rPr>
              <w:t>working groups</w:t>
            </w:r>
            <w:r>
              <w:rPr>
                <w:rFonts w:ascii="ARIAL" w:hAnsi="ARIAL"/>
                <w:sz w:val="16"/>
              </w:rPr>
              <w:t xml:space="preserve"> both at the Portland Cement Association (PCA) and National Ready Mixed Concrete Association to evaluate the feasibility and/or opportunity associated with PCA’s 2050 “Net Zero Roadmap,” along with other developments relevant to commercial-scale carbon capture and storage (CCS) technologies that we anticipate being considered by the industry in the coming years. We work with Fortera, a Silicon Valley-based materials technology company, that is permitting and constructing a pilot </w:t>
            </w:r>
            <w:r>
              <w:rPr>
                <w:rFonts w:ascii="ARIAL" w:hAnsi="ARIAL"/>
                <w:b/>
                <w:sz w:val="16"/>
              </w:rPr>
              <w:t>carbon capture</w:t>
            </w:r>
            <w:r>
              <w:rPr>
                <w:rFonts w:ascii="ARIAL" w:hAnsi="ARIAL"/>
                <w:sz w:val="16"/>
              </w:rPr>
              <w:t xml:space="preserve"> plant and determining the feasibility of this technology at other locations.</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jc w:val="left"/>
              <w:rPr/>
            </w:pPr>
            <w:r>
              <w:rPr/>
              <w:t>1 </w:t>
            </w:r>
          </w:p>
        </w:tc>
        <w:tc>
          <w:tcPr>
            <w:tcW w:w="9990" w:type="dxa"/>
            <w:tcBorders/>
            <w:shd w:fill="auto" w:val="clear"/>
            <w:vAlign w:val="center"/>
          </w:tcPr>
          <w:p>
            <w:pPr>
              <w:pStyle w:val="TableContents"/>
              <w:spacing w:before="0" w:after="0"/>
              <w:jc w:val="left"/>
              <w:rPr>
                <w:rFonts w:ascii="ARIAL" w:hAnsi="ARIAL"/>
                <w:sz w:val="16"/>
              </w:rPr>
            </w:pPr>
            <w:r>
              <w:rPr>
                <w:rFonts w:ascii="ARIAL" w:hAnsi="ARIAL"/>
                <w:sz w:val="16"/>
              </w:rPr>
              <w:t xml:space="preserve">Facilities in most source categories subject to the United States Environmental Protection Agency’s (USEPA’s) Greenhouse Gas Reporting Program (codified at 40 CFR Part 98), including cement production, began reporting emissions in 2010. Thus, we believe 2010 is a year with reliable and comparable data across a side range of facilities in the U.S. Our Scope 1 CO2e emissions intensity associated with our cement operations in 2010 was 0.836. Notably, when we announced our 2030 emissions reduction targets in 2019, as described above, we took into account that we have been investing heavily over the past decade to reduce our cement and magnesia emissions, which is reflected in our favorable CO2e intensity performance relative to the U.S. cement industry average. We also believe this has allowed us to achieve significant environmental benefits from reduced emissions well ahead of many other operators in the industry and will position us not only to achieve our targets but to be in a good position to evaluate additional actions in the future. </w:t>
            </w:r>
          </w:p>
        </w:tc>
      </w:tr>
    </w:tbl>
    <w:p>
      <w:pPr>
        <w:pStyle w:val="TextBody"/>
        <w:spacing w:before="0" w:after="0"/>
        <w:jc w:val="left"/>
        <w:rPr/>
      </w:pPr>
      <w:r>
        <w:rPr/>
        <w:t> </w:t>
      </w:r>
    </w:p>
    <w:tbl>
      <w:tblPr>
        <w:tblW w:w="3580" w:type="dxa"/>
        <w:jc w:val="left"/>
        <w:tblInd w:w="0" w:type="dxa"/>
        <w:tblCellMar>
          <w:top w:w="0" w:type="dxa"/>
          <w:left w:w="0" w:type="dxa"/>
          <w:bottom w:w="0" w:type="dxa"/>
          <w:right w:w="0" w:type="dxa"/>
        </w:tblCellMar>
      </w:tblPr>
      <w:tblGrid>
        <w:gridCol w:w="3290"/>
        <w:gridCol w:w="60"/>
        <w:gridCol w:w="132"/>
        <w:gridCol w:w="60"/>
        <w:gridCol w:w="38"/>
      </w:tblGrid>
      <w:tr>
        <w:trPr/>
        <w:tc>
          <w:tcPr>
            <w:tcW w:w="3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spacing w:before="0" w:after="283"/>
              <w:rPr/>
            </w:pPr>
            <w:r>
              <w:rPr>
                <w:b/>
              </w:rPr>
              <w:t>4</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 xml:space="preserve">PROXY </w:t>
      </w:r>
    </w:p>
    <w:p>
      <w:pPr>
        <w:pStyle w:val="TextBody"/>
        <w:spacing w:before="0" w:after="0"/>
        <w:jc w:val="left"/>
        <w:rPr/>
      </w:pPr>
      <w:r>
        <w:rPr/>
        <w:t> </w:t>
      </w:r>
    </w:p>
    <w:p>
      <w:pPr>
        <w:pStyle w:val="TextBody"/>
        <w:spacing w:before="0" w:after="0"/>
        <w:jc w:val="left"/>
        <w:rPr>
          <w:rFonts w:ascii="ARIAL" w:hAnsi="ARIAL"/>
          <w:b/>
          <w:color w:val="71BE9A"/>
          <w:sz w:val="26"/>
        </w:rPr>
      </w:pPr>
      <w:r>
        <w:rPr>
          <w:rFonts w:ascii="ARIAL" w:hAnsi="ARIAL"/>
          <w:b/>
          <w:color w:val="71BE9A"/>
          <w:sz w:val="26"/>
        </w:rPr>
        <w:t xml:space="preserve">Board Oversight of Risk Management </w:t>
      </w:r>
    </w:p>
    <w:p>
      <w:pPr>
        <w:pStyle w:val="TextBody"/>
        <w:spacing w:before="120" w:after="0"/>
        <w:jc w:val="left"/>
        <w:rPr>
          <w:rFonts w:ascii="ARIAL" w:hAnsi="ARIAL"/>
          <w:sz w:val="20"/>
        </w:rPr>
      </w:pPr>
      <w:r>
        <w:rPr>
          <w:rFonts w:ascii="ARIAL" w:hAnsi="ARIAL"/>
          <w:sz w:val="20"/>
        </w:rPr>
        <w:t xml:space="preserve">Our Board currently has ten independent members and only one non-independent member, Mr. Nye.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 </w:t>
      </w:r>
    </w:p>
    <w:p>
      <w:pPr>
        <w:pStyle w:val="TextBody"/>
        <w:spacing w:before="240" w:after="0"/>
        <w:jc w:val="left"/>
        <w:rPr>
          <w:rFonts w:ascii="ARIAL" w:hAnsi="ARIAL"/>
          <w:sz w:val="20"/>
        </w:rPr>
      </w:pPr>
      <w:r>
        <w:rPr>
          <w:rFonts w:ascii="ARIAL" w:hAnsi="ARIAL"/>
          <w:sz w:val="20"/>
        </w:rPr>
        <w:t xml:space="preserve">The Board has overall responsibility for oversight of risk management. The Board believes that an effective risk management system will accomplish the following goals: </w:t>
      </w:r>
    </w:p>
    <w:p>
      <w:pPr>
        <w:pStyle w:val="TextBody"/>
        <w:spacing w:before="0" w:after="0"/>
        <w:jc w:val="left"/>
        <w:rPr/>
      </w:pPr>
      <w:r>
        <w:rPr/>
        <w:t> </w:t>
      </w:r>
    </w:p>
    <w:p>
      <w:pPr>
        <w:pStyle w:val="TextBody"/>
        <w:spacing w:before="0" w:after="0"/>
        <w:jc w:val="center"/>
        <w:rPr/>
      </w:pPr>
      <w:r>
        <w:rPr/>
        <w:drawing>
          <wp:inline distT="0" distB="0" distL="0" distR="0">
            <wp:extent cx="549275" cy="50673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549275" cy="506730"/>
                    </a:xfrm>
                    <a:prstGeom prst="rect">
                      <a:avLst/>
                    </a:prstGeom>
                  </pic:spPr>
                </pic:pic>
              </a:graphicData>
            </a:graphic>
          </wp:inline>
        </w:drawing>
      </w:r>
      <w:r>
        <w:rPr/>
        <w:t xml:space="preserve"> </w:t>
      </w:r>
    </w:p>
    <w:p>
      <w:pPr>
        <w:pStyle w:val="TextBody"/>
        <w:spacing w:before="240" w:after="0"/>
        <w:jc w:val="left"/>
        <w:rPr>
          <w:rFonts w:ascii="ARIAL" w:hAnsi="ARIAL"/>
          <w:sz w:val="20"/>
        </w:rPr>
      </w:pPr>
      <w:r>
        <w:rPr>
          <w:rFonts w:ascii="ARIAL" w:hAnsi="ARIAL"/>
          <w:sz w:val="20"/>
        </w:rPr>
        <w:t xml:space="preserve">The Board delegates certain responsibilities to the Committees to assist in fulfilling its risk oversight responsibilities. Each of the Committees reports regularly to the full Board of Directors as to actions taken and topics discussed. In addition, the Board regularly reviews with management the most significant risks facing Martin Marietta, the probabilities of those risks occurring, the steps taken to mitigate any impact of risks, and management’s general risk management strategy. This risk management approach includes consideration of risks and opportunities relating to climate change, sustainability and other ESG matters. In addition, the Board encourages management to promote a corporate culture that incorporates risk management into Martin Marietta’s day-to-day operations. </w:t>
      </w:r>
    </w:p>
    <w:p>
      <w:pPr>
        <w:pStyle w:val="TextBody"/>
        <w:spacing w:before="0" w:after="0"/>
        <w:jc w:val="left"/>
        <w:rPr/>
      </w:pPr>
      <w:r>
        <w:rPr/>
        <w:t> </w:t>
      </w:r>
    </w:p>
    <w:tbl>
      <w:tblPr>
        <w:tblW w:w="2965" w:type="dxa"/>
        <w:jc w:val="left"/>
        <w:tblInd w:w="0" w:type="dxa"/>
        <w:tblCellMar>
          <w:top w:w="0" w:type="dxa"/>
          <w:left w:w="0" w:type="dxa"/>
          <w:bottom w:w="0" w:type="dxa"/>
          <w:right w:w="0" w:type="dxa"/>
        </w:tblCellMar>
      </w:tblPr>
      <w:tblGrid>
        <w:gridCol w:w="38"/>
        <w:gridCol w:w="60"/>
        <w:gridCol w:w="132"/>
        <w:gridCol w:w="60"/>
        <w:gridCol w:w="26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pPr>
            <w:r>
              <w:rPr>
                <w:color w:val="007CBA"/>
              </w:rPr>
              <w:t>MARTIN MARIETTA    </w:t>
            </w:r>
            <w:r>
              <w:rPr>
                <w:b/>
              </w:rPr>
              <w:t>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spacing w:before="0" w:after="0"/>
        <w:jc w:val="left"/>
        <w:rPr/>
      </w:pPr>
      <w:r>
        <w:rPr/>
        <w:t> </w:t>
      </w:r>
    </w:p>
    <w:p>
      <w:pPr>
        <w:pStyle w:val="TextBody"/>
        <w:spacing w:before="0" w:after="0"/>
        <w:jc w:val="center"/>
        <w:rPr/>
      </w:pPr>
      <w:r>
        <w:rPr/>
        <w:drawing>
          <wp:inline distT="0" distB="0" distL="0" distR="0">
            <wp:extent cx="578485" cy="61468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578485" cy="614680"/>
                    </a:xfrm>
                    <a:prstGeom prst="rect">
                      <a:avLst/>
                    </a:prstGeom>
                  </pic:spPr>
                </pic:pic>
              </a:graphicData>
            </a:graphic>
          </wp:inline>
        </w:drawing>
      </w:r>
      <w:r>
        <w:rPr/>
        <w:t xml:space="preserve"> </w:t>
      </w:r>
    </w:p>
    <w:p>
      <w:pPr>
        <w:pStyle w:val="TextBody"/>
        <w:spacing w:before="240" w:after="0"/>
        <w:jc w:val="left"/>
        <w:rPr>
          <w:rFonts w:ascii="ARIAL" w:hAnsi="ARIAL"/>
          <w:b/>
          <w:color w:val="71BE9A"/>
          <w:sz w:val="26"/>
        </w:rPr>
      </w:pPr>
      <w:r>
        <w:rPr>
          <w:rFonts w:ascii="ARIAL" w:hAnsi="ARIAL"/>
          <w:b/>
          <w:color w:val="71BE9A"/>
          <w:sz w:val="26"/>
        </w:rPr>
        <w:t xml:space="preserve">Cybersecurity Risk Management </w:t>
      </w:r>
    </w:p>
    <w:p>
      <w:pPr>
        <w:pStyle w:val="TextBody"/>
        <w:spacing w:before="240" w:after="0"/>
        <w:jc w:val="left"/>
        <w:rPr>
          <w:rFonts w:ascii="ARIAL" w:hAnsi="ARIAL"/>
          <w:sz w:val="20"/>
        </w:rPr>
      </w:pPr>
      <w:r>
        <w:rPr>
          <w:rFonts w:ascii="ARIAL" w:hAnsi="ARIAL"/>
          <w:sz w:val="20"/>
        </w:rPr>
        <w:t xml:space="preserve">Our Cybersecurity strategy is overseen by the Audit Committee of our Board of Directors and directed by our Chief Information Officer. Senior management briefs the Audit Committee regarding cybersecurity at least four times per year, and reports to the Board on a regular basis. We provide cybersecurity training to employees on a regular basis; starting in 2023, we will do so on at least an annual basis. Our auditors perform IT general controls testing in connection with their audit compliance work, and we commission recognized external partners in top information security standards to perform penetration testing at least every two years. We believe these audits are an important part of our cybersecurity risk management program. </w:t>
      </w:r>
    </w:p>
    <w:p>
      <w:pPr>
        <w:pStyle w:val="TextBody"/>
        <w:spacing w:before="0" w:after="0"/>
        <w:jc w:val="left"/>
        <w:rPr/>
      </w:pPr>
      <w:r>
        <w:rPr/>
        <w:t> </w:t>
      </w:r>
    </w:p>
    <w:tbl>
      <w:tblPr>
        <w:tblW w:w="3580" w:type="dxa"/>
        <w:jc w:val="left"/>
        <w:tblInd w:w="0" w:type="dxa"/>
        <w:tblCellMar>
          <w:top w:w="0" w:type="dxa"/>
          <w:left w:w="0" w:type="dxa"/>
          <w:bottom w:w="0" w:type="dxa"/>
          <w:right w:w="0" w:type="dxa"/>
        </w:tblCellMar>
      </w:tblPr>
      <w:tblGrid>
        <w:gridCol w:w="3290"/>
        <w:gridCol w:w="60"/>
        <w:gridCol w:w="132"/>
        <w:gridCol w:w="60"/>
        <w:gridCol w:w="38"/>
      </w:tblGrid>
      <w:tr>
        <w:trPr/>
        <w:tc>
          <w:tcPr>
            <w:tcW w:w="3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spacing w:before="0" w:after="283"/>
              <w:rPr/>
            </w:pPr>
            <w:r>
              <w:rPr>
                <w:b/>
              </w:rPr>
              <w:t>6</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 xml:space="preserve">PROXY </w:t>
      </w:r>
    </w:p>
    <w:p>
      <w:pPr>
        <w:pStyle w:val="TextBody"/>
        <w:spacing w:before="0" w:after="0"/>
        <w:jc w:val="left"/>
        <w:rPr/>
      </w:pPr>
      <w:r>
        <w:rPr/>
        <w:t> </w:t>
      </w:r>
    </w:p>
    <w:p>
      <w:pPr>
        <w:pStyle w:val="TextBody"/>
        <w:spacing w:before="0" w:after="0"/>
        <w:jc w:val="left"/>
        <w:rPr>
          <w:rFonts w:ascii="ARIAL" w:hAnsi="ARIAL"/>
          <w:b/>
          <w:color w:val="71BE9A"/>
          <w:sz w:val="26"/>
        </w:rPr>
      </w:pPr>
      <w:r>
        <w:rPr>
          <w:rFonts w:ascii="ARIAL" w:hAnsi="ARIAL"/>
          <w:b/>
          <w:color w:val="71BE9A"/>
          <w:sz w:val="26"/>
        </w:rPr>
        <w:t xml:space="preserve">Our Sustainability Governance </w:t>
      </w:r>
    </w:p>
    <w:p>
      <w:pPr>
        <w:pStyle w:val="TextBody"/>
        <w:spacing w:before="120" w:after="0"/>
        <w:jc w:val="left"/>
        <w:rPr>
          <w:rFonts w:ascii="ARIAL" w:hAnsi="ARIAL"/>
          <w:sz w:val="20"/>
        </w:rPr>
      </w:pPr>
      <w:r>
        <w:rPr>
          <w:rFonts w:ascii="ARIAL" w:hAnsi="ARIAL"/>
          <w:sz w:val="20"/>
        </w:rPr>
        <w:t xml:space="preserve">Our Board plays an essential role in determining strategic priorities and considers sustainability issues an integral part of its business oversight. Our </w:t>
      </w:r>
      <w:r>
        <w:rPr>
          <w:rFonts w:ascii="ARIAL" w:hAnsi="ARIAL"/>
          <w:i/>
          <w:sz w:val="20"/>
        </w:rPr>
        <w:t>Corporate Governance Guidelines</w:t>
      </w:r>
      <w:r>
        <w:rPr>
          <w:rFonts w:ascii="ARIAL" w:hAnsi="ARIAL"/>
          <w:sz w:val="20"/>
        </w:rPr>
        <w:t xml:space="preserve">, set forth a flexible framework within which the Board, assisted by its Committees, directs the affairs of Martin Marietta. </w:t>
      </w:r>
    </w:p>
    <w:p>
      <w:pPr>
        <w:pStyle w:val="TextBody"/>
        <w:spacing w:before="0" w:after="0"/>
        <w:jc w:val="left"/>
        <w:rPr/>
      </w:pPr>
      <w:r>
        <w:rPr/>
        <w:t> </w:t>
      </w:r>
    </w:p>
    <w:tbl>
      <w:tblPr>
        <w:tblW w:w="2075" w:type="dxa"/>
        <w:jc w:val="left"/>
        <w:tblInd w:w="0" w:type="dxa"/>
        <w:tblCellMar>
          <w:top w:w="0" w:type="dxa"/>
          <w:left w:w="0" w:type="dxa"/>
          <w:bottom w:w="0" w:type="dxa"/>
          <w:right w:w="0" w:type="dxa"/>
        </w:tblCellMar>
      </w:tblPr>
      <w:tblGrid>
        <w:gridCol w:w="150"/>
        <w:gridCol w:w="120"/>
        <w:gridCol w:w="1805"/>
      </w:tblGrid>
      <w:tr>
        <w:trPr/>
        <w:tc>
          <w:tcPr>
            <w:tcW w:w="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jc w:val="center"/>
              <w:rPr/>
            </w:pPr>
            <w:r>
              <w:rPr/>
              <w:drawing>
                <wp:inline distT="0" distB="0" distL="0" distR="0">
                  <wp:extent cx="47625" cy="3683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47625" cy="3683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color w:val="007CBA"/>
              </w:rPr>
            </w:pPr>
            <w:r>
              <w:rPr>
                <w:color w:val="007CBA"/>
              </w:rPr>
              <w:t>Board of Directors</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
        <w:gridCol w:w="120"/>
        <w:gridCol w:w="10047"/>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0167" w:type="dxa"/>
            <w:gridSpan w:val="2"/>
            <w:tcBorders/>
            <w:shd w:fill="D8EBF4"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D8EBF4" w:val="clear"/>
            <w:vAlign w:val="center"/>
          </w:tcPr>
          <w:p>
            <w:pPr>
              <w:pStyle w:val="TableContents"/>
              <w:spacing w:before="0" w:after="283"/>
              <w:rPr/>
            </w:pPr>
            <w:r>
              <w:rPr/>
              <w:t>  </w:t>
            </w:r>
          </w:p>
        </w:tc>
        <w:tc>
          <w:tcPr>
            <w:tcW w:w="10047" w:type="dxa"/>
            <w:tcBorders/>
            <w:shd w:fill="D8EBF4" w:val="clear"/>
            <w:vAlign w:val="center"/>
          </w:tcPr>
          <w:p>
            <w:pPr>
              <w:pStyle w:val="TableContents"/>
              <w:spacing w:before="0" w:after="0"/>
              <w:rPr/>
            </w:pPr>
            <w:r>
              <w:rPr>
                <w:color w:val="007CBA"/>
              </w:rPr>
              <w:t>•</w:t>
            </w:r>
            <w:r>
              <w:rPr/>
              <w:t>  </w:t>
            </w:r>
            <w:r>
              <w:rPr>
                <w:rFonts w:ascii="ARIAL" w:hAnsi="ARIAL"/>
                <w:sz w:val="20"/>
              </w:rPr>
              <w:t>Provides oversight of sustainability issues for the Company.</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Receives a report from each of the Committees on its work relating to sustainability matters.</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Engages in strategic review and risk assessments which also includes management’s sustainability goals, our performance relating to sustainability and our engagement with investors with regard to sustainability matters.</w:t>
            </w:r>
          </w:p>
        </w:tc>
      </w:tr>
    </w:tbl>
    <w:p>
      <w:pPr>
        <w:pStyle w:val="TextBody"/>
        <w:spacing w:before="0" w:after="0"/>
        <w:jc w:val="left"/>
        <w:rPr/>
      </w:pPr>
      <w:r>
        <w:rPr/>
        <w:t> </w:t>
      </w:r>
    </w:p>
    <w:tbl>
      <w:tblPr>
        <w:tblW w:w="5149" w:type="dxa"/>
        <w:jc w:val="left"/>
        <w:tblInd w:w="0" w:type="dxa"/>
        <w:tblCellMar>
          <w:top w:w="0" w:type="dxa"/>
          <w:left w:w="0" w:type="dxa"/>
          <w:bottom w:w="0" w:type="dxa"/>
          <w:right w:w="0" w:type="dxa"/>
        </w:tblCellMar>
      </w:tblPr>
      <w:tblGrid>
        <w:gridCol w:w="149"/>
        <w:gridCol w:w="120"/>
        <w:gridCol w:w="4880"/>
      </w:tblGrid>
      <w:tr>
        <w:trPr/>
        <w:tc>
          <w:tcPr>
            <w:tcW w:w="1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80" w:type="dxa"/>
            <w:tcBorders/>
            <w:shd w:fill="auto" w:val="clear"/>
            <w:vAlign w:val="center"/>
          </w:tcPr>
          <w:p>
            <w:pPr>
              <w:pStyle w:val="TableContents"/>
              <w:spacing w:before="0" w:after="283"/>
              <w:rPr>
                <w:sz w:val="4"/>
                <w:szCs w:val="4"/>
              </w:rPr>
            </w:pPr>
            <w:r>
              <w:rPr>
                <w:sz w:val="4"/>
                <w:szCs w:val="4"/>
              </w:rPr>
            </w:r>
          </w:p>
        </w:tc>
      </w:tr>
      <w:tr>
        <w:trPr/>
        <w:tc>
          <w:tcPr>
            <w:tcW w:w="149" w:type="dxa"/>
            <w:tcBorders/>
            <w:shd w:fill="auto" w:val="clear"/>
            <w:vAlign w:val="center"/>
          </w:tcPr>
          <w:p>
            <w:pPr>
              <w:pStyle w:val="TableContents"/>
              <w:spacing w:before="0" w:after="283"/>
              <w:jc w:val="center"/>
              <w:rPr/>
            </w:pPr>
            <w:r>
              <w:rPr/>
              <w:drawing>
                <wp:inline distT="0" distB="0" distL="0" distR="0">
                  <wp:extent cx="46990" cy="47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46990" cy="4762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880" w:type="dxa"/>
            <w:tcBorders/>
            <w:shd w:fill="auto" w:val="clear"/>
            <w:vAlign w:val="center"/>
          </w:tcPr>
          <w:p>
            <w:pPr>
              <w:pStyle w:val="TableContents"/>
              <w:spacing w:before="0" w:after="283"/>
              <w:rPr>
                <w:color w:val="007CBA"/>
              </w:rPr>
            </w:pPr>
            <w:r>
              <w:rPr>
                <w:color w:val="007CBA"/>
              </w:rPr>
              <w:t>Ethics, Environment, Safety and Health Committee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
        <w:gridCol w:w="120"/>
        <w:gridCol w:w="10047"/>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0167" w:type="dxa"/>
            <w:gridSpan w:val="2"/>
            <w:tcBorders/>
            <w:shd w:fill="D8EBF4"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D8EBF4" w:val="clear"/>
            <w:vAlign w:val="center"/>
          </w:tcPr>
          <w:p>
            <w:pPr>
              <w:pStyle w:val="TableContents"/>
              <w:spacing w:before="0" w:after="283"/>
              <w:rPr/>
            </w:pPr>
            <w:r>
              <w:rPr/>
              <w:t>  </w:t>
            </w:r>
          </w:p>
        </w:tc>
        <w:tc>
          <w:tcPr>
            <w:tcW w:w="10047" w:type="dxa"/>
            <w:tcBorders/>
            <w:shd w:fill="D8EBF4" w:val="clear"/>
            <w:vAlign w:val="center"/>
          </w:tcPr>
          <w:p>
            <w:pPr>
              <w:pStyle w:val="TableContents"/>
              <w:spacing w:before="0" w:after="0"/>
              <w:rPr/>
            </w:pPr>
            <w:r>
              <w:rPr>
                <w:color w:val="007CBA"/>
              </w:rPr>
              <w:t>•</w:t>
            </w:r>
            <w:r>
              <w:rPr/>
              <w:t>  </w:t>
            </w:r>
            <w:r>
              <w:rPr>
                <w:rFonts w:ascii="ARIAL" w:hAnsi="ARIAL"/>
                <w:sz w:val="20"/>
              </w:rPr>
              <w:t>Established in 1994 and meets at least four times annually.</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Comprised wholly of independent directors, whose members are diverse and have relevant expertise to provide appropriate oversight in helping us achieve sustainable growth and reduce our risks.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Reviews our Sustainability Report and our sustainability performance commitments and goals, including those relating to climate change, as well as capital investments and improved practices that reduce greenhouse gas (GHG) and other emissions.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Reviews the input we have received from, and our engagement with, investors on climate, sustainability and other ESG matters.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Monitors our safety performance, Ethics Office activity and compliance with environmental, health and safety laws and regulations, as well as our public reporting and disclosure with respect to climate change-related risks and opportunities and other environmental issues.</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Has the authority to investigate any matter falling within its purview.</w:t>
            </w:r>
          </w:p>
        </w:tc>
      </w:tr>
    </w:tbl>
    <w:p>
      <w:pPr>
        <w:pStyle w:val="TextBody"/>
        <w:spacing w:before="0" w:after="0"/>
        <w:jc w:val="left"/>
        <w:rPr/>
      </w:pPr>
      <w:r>
        <w:rPr/>
        <w:t> </w:t>
      </w:r>
    </w:p>
    <w:tbl>
      <w:tblPr>
        <w:tblW w:w="5804" w:type="dxa"/>
        <w:jc w:val="left"/>
        <w:tblInd w:w="0" w:type="dxa"/>
        <w:tblCellMar>
          <w:top w:w="0" w:type="dxa"/>
          <w:left w:w="0" w:type="dxa"/>
          <w:bottom w:w="0" w:type="dxa"/>
          <w:right w:w="0" w:type="dxa"/>
        </w:tblCellMar>
      </w:tblPr>
      <w:tblGrid>
        <w:gridCol w:w="159"/>
        <w:gridCol w:w="120"/>
        <w:gridCol w:w="5525"/>
      </w:tblGrid>
      <w:tr>
        <w:trPr/>
        <w:tc>
          <w:tcPr>
            <w:tcW w:w="1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525" w:type="dxa"/>
            <w:tcBorders/>
            <w:shd w:fill="auto" w:val="clear"/>
            <w:vAlign w:val="center"/>
          </w:tcPr>
          <w:p>
            <w:pPr>
              <w:pStyle w:val="TableContents"/>
              <w:spacing w:before="0" w:after="283"/>
              <w:rPr>
                <w:sz w:val="4"/>
                <w:szCs w:val="4"/>
              </w:rPr>
            </w:pPr>
            <w:r>
              <w:rPr>
                <w:sz w:val="4"/>
                <w:szCs w:val="4"/>
              </w:rPr>
            </w:r>
          </w:p>
        </w:tc>
      </w:tr>
      <w:tr>
        <w:trPr/>
        <w:tc>
          <w:tcPr>
            <w:tcW w:w="159" w:type="dxa"/>
            <w:tcBorders/>
            <w:shd w:fill="auto" w:val="clear"/>
            <w:vAlign w:val="center"/>
          </w:tcPr>
          <w:p>
            <w:pPr>
              <w:pStyle w:val="TableContents"/>
              <w:spacing w:before="0" w:after="283"/>
              <w:jc w:val="center"/>
              <w:rPr/>
            </w:pPr>
            <w:r>
              <w:rPr/>
              <w:drawing>
                <wp:inline distT="0" distB="0" distL="0" distR="0">
                  <wp:extent cx="53340" cy="47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53340" cy="4762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283"/>
              <w:rPr>
                <w:color w:val="007CBA"/>
              </w:rPr>
            </w:pPr>
            <w:r>
              <w:rPr>
                <w:color w:val="007CBA"/>
              </w:rPr>
              <w:t>Management Development and Compensation Committee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
        <w:gridCol w:w="120"/>
        <w:gridCol w:w="10047"/>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0167" w:type="dxa"/>
            <w:gridSpan w:val="2"/>
            <w:tcBorders/>
            <w:shd w:fill="D8EBF4"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D8EBF4" w:val="clear"/>
            <w:vAlign w:val="center"/>
          </w:tcPr>
          <w:p>
            <w:pPr>
              <w:pStyle w:val="TableContents"/>
              <w:spacing w:before="0" w:after="283"/>
              <w:rPr/>
            </w:pPr>
            <w:r>
              <w:rPr/>
              <w:t>  </w:t>
            </w:r>
          </w:p>
        </w:tc>
        <w:tc>
          <w:tcPr>
            <w:tcW w:w="10047" w:type="dxa"/>
            <w:tcBorders/>
            <w:shd w:fill="D8EBF4" w:val="clear"/>
            <w:vAlign w:val="center"/>
          </w:tcPr>
          <w:p>
            <w:pPr>
              <w:pStyle w:val="TableContents"/>
              <w:spacing w:before="0" w:after="0"/>
              <w:rPr/>
            </w:pPr>
            <w:r>
              <w:rPr>
                <w:color w:val="007CBA"/>
              </w:rPr>
              <w:t>•</w:t>
            </w:r>
            <w:r>
              <w:rPr/>
              <w:t>  </w:t>
            </w:r>
            <w:r>
              <w:rPr>
                <w:rFonts w:ascii="ARIAL" w:hAnsi="ARIAL"/>
                <w:sz w:val="20"/>
              </w:rPr>
              <w:t>Reviews matters relating to human capital management, diversity, equity and inclusion (DEI), talent acquisition and retention, and compensation matters related thereto.</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Reviews management’s performance with regard to its sustainability goals and considers those achievements in determining incentive pay.</w:t>
            </w:r>
          </w:p>
        </w:tc>
      </w:tr>
    </w:tbl>
    <w:p>
      <w:pPr>
        <w:pStyle w:val="TextBody"/>
        <w:spacing w:before="0" w:after="0"/>
        <w:jc w:val="left"/>
        <w:rPr/>
      </w:pPr>
      <w:r>
        <w:rPr/>
        <w:t> </w:t>
      </w:r>
    </w:p>
    <w:tbl>
      <w:tblPr>
        <w:tblW w:w="1937" w:type="dxa"/>
        <w:jc w:val="left"/>
        <w:tblInd w:w="0" w:type="dxa"/>
        <w:tblCellMar>
          <w:top w:w="0" w:type="dxa"/>
          <w:left w:w="0" w:type="dxa"/>
          <w:bottom w:w="0" w:type="dxa"/>
          <w:right w:w="0" w:type="dxa"/>
        </w:tblCellMar>
      </w:tblPr>
      <w:tblGrid>
        <w:gridCol w:w="147"/>
        <w:gridCol w:w="120"/>
        <w:gridCol w:w="1670"/>
      </w:tblGrid>
      <w:tr>
        <w:trPr/>
        <w:tc>
          <w:tcPr>
            <w:tcW w:w="1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r>
      <w:tr>
        <w:trPr/>
        <w:tc>
          <w:tcPr>
            <w:tcW w:w="147" w:type="dxa"/>
            <w:tcBorders/>
            <w:shd w:fill="auto" w:val="clear"/>
            <w:vAlign w:val="center"/>
          </w:tcPr>
          <w:p>
            <w:pPr>
              <w:pStyle w:val="TableContents"/>
              <w:spacing w:before="0" w:after="283"/>
              <w:jc w:val="center"/>
              <w:rPr/>
            </w:pPr>
            <w:r>
              <w:rPr/>
              <w:drawing>
                <wp:inline distT="0" distB="0" distL="0" distR="0">
                  <wp:extent cx="45720" cy="47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45720" cy="4762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670" w:type="dxa"/>
            <w:tcBorders/>
            <w:shd w:fill="auto" w:val="clear"/>
            <w:vAlign w:val="center"/>
          </w:tcPr>
          <w:p>
            <w:pPr>
              <w:pStyle w:val="TableContents"/>
              <w:spacing w:before="0" w:after="283"/>
              <w:rPr>
                <w:color w:val="007CBA"/>
              </w:rPr>
            </w:pPr>
            <w:r>
              <w:rPr>
                <w:color w:val="007CBA"/>
              </w:rPr>
              <w:t>Audit Committee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
        <w:gridCol w:w="120"/>
        <w:gridCol w:w="10047"/>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0167" w:type="dxa"/>
            <w:gridSpan w:val="2"/>
            <w:tcBorders/>
            <w:shd w:fill="D8EBF4"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D8EBF4" w:val="clear"/>
            <w:vAlign w:val="center"/>
          </w:tcPr>
          <w:p>
            <w:pPr>
              <w:pStyle w:val="TableContents"/>
              <w:spacing w:before="0" w:after="283"/>
              <w:rPr/>
            </w:pPr>
            <w:r>
              <w:rPr/>
              <w:t>  </w:t>
            </w:r>
          </w:p>
        </w:tc>
        <w:tc>
          <w:tcPr>
            <w:tcW w:w="10047" w:type="dxa"/>
            <w:tcBorders/>
            <w:shd w:fill="D8EBF4" w:val="clear"/>
            <w:vAlign w:val="center"/>
          </w:tcPr>
          <w:p>
            <w:pPr>
              <w:pStyle w:val="TableContents"/>
              <w:spacing w:before="0" w:after="0"/>
              <w:rPr/>
            </w:pPr>
            <w:r>
              <w:rPr>
                <w:color w:val="007CBA"/>
              </w:rPr>
              <w:t>•</w:t>
            </w:r>
            <w:r>
              <w:rPr/>
              <w:t>  </w:t>
            </w:r>
            <w:r>
              <w:rPr>
                <w:rFonts w:ascii="ARIAL" w:hAnsi="ARIAL"/>
                <w:sz w:val="20"/>
              </w:rPr>
              <w:t>Reviews our significant environmental matters and assesses the potential risks and liabilities they may pose to our business.</w:t>
            </w:r>
          </w:p>
        </w:tc>
      </w:tr>
    </w:tbl>
    <w:p>
      <w:pPr>
        <w:pStyle w:val="TextBody"/>
        <w:spacing w:before="0" w:after="0"/>
        <w:jc w:val="left"/>
        <w:rPr/>
      </w:pPr>
      <w:r>
        <w:rPr/>
        <w:t> </w:t>
      </w:r>
    </w:p>
    <w:tbl>
      <w:tblPr>
        <w:tblW w:w="2965" w:type="dxa"/>
        <w:jc w:val="left"/>
        <w:tblInd w:w="0" w:type="dxa"/>
        <w:tblCellMar>
          <w:top w:w="0" w:type="dxa"/>
          <w:left w:w="0" w:type="dxa"/>
          <w:bottom w:w="0" w:type="dxa"/>
          <w:right w:w="0" w:type="dxa"/>
        </w:tblCellMar>
      </w:tblPr>
      <w:tblGrid>
        <w:gridCol w:w="38"/>
        <w:gridCol w:w="60"/>
        <w:gridCol w:w="132"/>
        <w:gridCol w:w="60"/>
        <w:gridCol w:w="26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pPr>
            <w:r>
              <w:rPr>
                <w:color w:val="007CBA"/>
              </w:rPr>
              <w:t>MARTIN MARIETTA    </w:t>
            </w:r>
            <w:r>
              <w:rPr>
                <w:b/>
              </w:rPr>
              <w:t>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spacing w:before="0" w:after="0"/>
        <w:jc w:val="left"/>
        <w:rPr/>
      </w:pPr>
      <w:r>
        <w:rPr/>
        <w:t> </w:t>
      </w:r>
    </w:p>
    <w:p>
      <w:pPr>
        <w:pStyle w:val="TextBody"/>
        <w:spacing w:before="0" w:after="0"/>
        <w:jc w:val="left"/>
        <w:rPr/>
      </w:pPr>
      <w:r>
        <w:rPr/>
        <w:t> </w:t>
      </w:r>
    </w:p>
    <w:tbl>
      <w:tblPr>
        <w:tblW w:w="2135" w:type="dxa"/>
        <w:jc w:val="left"/>
        <w:tblInd w:w="0" w:type="dxa"/>
        <w:tblCellMar>
          <w:top w:w="0" w:type="dxa"/>
          <w:left w:w="0" w:type="dxa"/>
          <w:bottom w:w="0" w:type="dxa"/>
          <w:right w:w="0" w:type="dxa"/>
        </w:tblCellMar>
      </w:tblPr>
      <w:tblGrid>
        <w:gridCol w:w="135"/>
        <w:gridCol w:w="120"/>
        <w:gridCol w:w="1880"/>
      </w:tblGrid>
      <w:tr>
        <w:trPr/>
        <w:tc>
          <w:tcPr>
            <w:tcW w:w="1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auto" w:val="clear"/>
            <w:vAlign w:val="center"/>
          </w:tcPr>
          <w:p>
            <w:pPr>
              <w:pStyle w:val="TableContents"/>
              <w:spacing w:before="0" w:after="283"/>
              <w:jc w:val="center"/>
              <w:rPr/>
            </w:pPr>
            <w:r>
              <w:rPr/>
              <w:drawing>
                <wp:inline distT="0" distB="0" distL="0" distR="0">
                  <wp:extent cx="38100" cy="6667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38100" cy="6667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283"/>
              <w:rPr>
                <w:color w:val="007CBA"/>
              </w:rPr>
            </w:pPr>
            <w:r>
              <w:rPr>
                <w:color w:val="007CBA"/>
              </w:rPr>
              <w:t>Finance Committee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
        <w:gridCol w:w="120"/>
        <w:gridCol w:w="10047"/>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0167" w:type="dxa"/>
            <w:gridSpan w:val="2"/>
            <w:tcBorders/>
            <w:shd w:fill="D8EBF4"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D8EBF4" w:val="clear"/>
            <w:vAlign w:val="center"/>
          </w:tcPr>
          <w:p>
            <w:pPr>
              <w:pStyle w:val="TableContents"/>
              <w:spacing w:before="0" w:after="283"/>
              <w:rPr/>
            </w:pPr>
            <w:r>
              <w:rPr/>
              <w:t>  </w:t>
            </w:r>
          </w:p>
        </w:tc>
        <w:tc>
          <w:tcPr>
            <w:tcW w:w="10047" w:type="dxa"/>
            <w:tcBorders/>
            <w:shd w:fill="D8EBF4" w:val="clear"/>
            <w:vAlign w:val="center"/>
          </w:tcPr>
          <w:p>
            <w:pPr>
              <w:pStyle w:val="TableContents"/>
              <w:spacing w:before="0" w:after="0"/>
              <w:rPr/>
            </w:pPr>
            <w:r>
              <w:rPr>
                <w:color w:val="007CBA"/>
              </w:rPr>
              <w:t>•</w:t>
            </w:r>
            <w:r>
              <w:rPr/>
              <w:t>  </w:t>
            </w:r>
            <w:r>
              <w:rPr>
                <w:rFonts w:ascii="ARIAL" w:hAnsi="ARIAL"/>
                <w:sz w:val="20"/>
              </w:rPr>
              <w:t>Reviews large capital projects relating to sustainability and growth.</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Oversees our policies and practices relating to political contributions and political activities, including lobbying and/or trade associations of which we are a member, and expenditures.</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Reviews and approves charitable contributions and community support budgets.</w:t>
            </w:r>
          </w:p>
        </w:tc>
      </w:tr>
    </w:tbl>
    <w:p>
      <w:pPr>
        <w:pStyle w:val="TextBody"/>
        <w:spacing w:before="0" w:after="0"/>
        <w:jc w:val="left"/>
        <w:rPr/>
      </w:pPr>
      <w:r>
        <w:rPr/>
        <w:t> </w:t>
      </w:r>
    </w:p>
    <w:tbl>
      <w:tblPr>
        <w:tblW w:w="5174" w:type="dxa"/>
        <w:jc w:val="left"/>
        <w:tblInd w:w="0" w:type="dxa"/>
        <w:tblCellMar>
          <w:top w:w="0" w:type="dxa"/>
          <w:left w:w="0" w:type="dxa"/>
          <w:bottom w:w="0" w:type="dxa"/>
          <w:right w:w="0" w:type="dxa"/>
        </w:tblCellMar>
      </w:tblPr>
      <w:tblGrid>
        <w:gridCol w:w="174"/>
        <w:gridCol w:w="120"/>
        <w:gridCol w:w="4880"/>
      </w:tblGrid>
      <w:tr>
        <w:trPr/>
        <w:tc>
          <w:tcPr>
            <w:tcW w:w="1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80" w:type="dxa"/>
            <w:tcBorders/>
            <w:shd w:fill="auto" w:val="clear"/>
            <w:vAlign w:val="center"/>
          </w:tcPr>
          <w:p>
            <w:pPr>
              <w:pStyle w:val="TableContents"/>
              <w:spacing w:before="0" w:after="283"/>
              <w:rPr>
                <w:sz w:val="4"/>
                <w:szCs w:val="4"/>
              </w:rPr>
            </w:pPr>
            <w:r>
              <w:rPr>
                <w:sz w:val="4"/>
                <w:szCs w:val="4"/>
              </w:rPr>
            </w:r>
          </w:p>
        </w:tc>
      </w:tr>
      <w:tr>
        <w:trPr/>
        <w:tc>
          <w:tcPr>
            <w:tcW w:w="174" w:type="dxa"/>
            <w:tcBorders/>
            <w:shd w:fill="auto" w:val="clear"/>
            <w:vAlign w:val="center"/>
          </w:tcPr>
          <w:p>
            <w:pPr>
              <w:pStyle w:val="TableContents"/>
              <w:spacing w:before="0" w:after="283"/>
              <w:jc w:val="center"/>
              <w:rPr/>
            </w:pPr>
            <w:r>
              <w:rPr/>
              <w:drawing>
                <wp:inline distT="0" distB="0" distL="0" distR="0">
                  <wp:extent cx="62865" cy="4889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62865" cy="4889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880" w:type="dxa"/>
            <w:tcBorders/>
            <w:shd w:fill="auto" w:val="clear"/>
            <w:vAlign w:val="center"/>
          </w:tcPr>
          <w:p>
            <w:pPr>
              <w:pStyle w:val="TableContents"/>
              <w:spacing w:before="0" w:after="283"/>
              <w:rPr>
                <w:color w:val="007CBA"/>
              </w:rPr>
            </w:pPr>
            <w:r>
              <w:rPr>
                <w:color w:val="007CBA"/>
              </w:rPr>
              <w:t>Nominating and Corporate Governance Committee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
        <w:gridCol w:w="120"/>
        <w:gridCol w:w="10047"/>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0167" w:type="dxa"/>
            <w:gridSpan w:val="2"/>
            <w:tcBorders/>
            <w:shd w:fill="D8EBF4"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D8EBF4" w:val="clear"/>
            <w:vAlign w:val="center"/>
          </w:tcPr>
          <w:p>
            <w:pPr>
              <w:pStyle w:val="TableContents"/>
              <w:spacing w:before="0" w:after="283"/>
              <w:rPr/>
            </w:pPr>
            <w:r>
              <w:rPr/>
              <w:t>  </w:t>
            </w:r>
          </w:p>
        </w:tc>
        <w:tc>
          <w:tcPr>
            <w:tcW w:w="10047" w:type="dxa"/>
            <w:tcBorders/>
            <w:shd w:fill="D8EBF4" w:val="clear"/>
            <w:vAlign w:val="center"/>
          </w:tcPr>
          <w:p>
            <w:pPr>
              <w:pStyle w:val="TableContents"/>
              <w:spacing w:before="0" w:after="0"/>
              <w:rPr/>
            </w:pPr>
            <w:r>
              <w:rPr>
                <w:color w:val="007CBA"/>
              </w:rPr>
              <w:t>•</w:t>
            </w:r>
            <w:r>
              <w:rPr/>
              <w:t>  </w:t>
            </w:r>
            <w:r>
              <w:rPr>
                <w:rFonts w:ascii="ARIAL" w:hAnsi="ARIAL"/>
                <w:sz w:val="20"/>
              </w:rPr>
              <w:t>Oversees the development and implementation of a set of corporate governance principles applicable to Martin Marietta</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Oversees the review and implementation of best practices in corporate governance matters affecting the Board, its Committees and the Company.</w:t>
            </w:r>
          </w:p>
        </w:tc>
      </w:tr>
    </w:tbl>
    <w:p>
      <w:pPr>
        <w:pStyle w:val="TextBody"/>
        <w:spacing w:before="0" w:after="0"/>
        <w:jc w:val="left"/>
        <w:rPr/>
      </w:pPr>
      <w:r>
        <w:rPr/>
        <w:t> </w:t>
      </w:r>
    </w:p>
    <w:tbl>
      <w:tblPr>
        <w:tblW w:w="1526" w:type="dxa"/>
        <w:jc w:val="left"/>
        <w:tblInd w:w="0" w:type="dxa"/>
        <w:tblCellMar>
          <w:top w:w="0" w:type="dxa"/>
          <w:left w:w="0" w:type="dxa"/>
          <w:bottom w:w="0" w:type="dxa"/>
          <w:right w:w="0" w:type="dxa"/>
        </w:tblCellMar>
      </w:tblPr>
      <w:tblGrid>
        <w:gridCol w:w="141"/>
        <w:gridCol w:w="120"/>
        <w:gridCol w:w="1265"/>
      </w:tblGrid>
      <w:tr>
        <w:trPr/>
        <w:tc>
          <w:tcPr>
            <w:tcW w:w="14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141" w:type="dxa"/>
            <w:tcBorders/>
            <w:shd w:fill="auto" w:val="clear"/>
            <w:vAlign w:val="center"/>
          </w:tcPr>
          <w:p>
            <w:pPr>
              <w:pStyle w:val="TableContents"/>
              <w:spacing w:before="0" w:after="283"/>
              <w:jc w:val="center"/>
              <w:rPr/>
            </w:pPr>
            <w:r>
              <w:rPr/>
              <w:drawing>
                <wp:inline distT="0" distB="0" distL="0" distR="0">
                  <wp:extent cx="41910" cy="35560"/>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41910" cy="3556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283"/>
              <w:rPr>
                <w:color w:val="007CBA"/>
              </w:rPr>
            </w:pPr>
            <w:r>
              <w:rPr>
                <w:color w:val="007CBA"/>
              </w:rPr>
              <w:t>Management</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
        <w:gridCol w:w="120"/>
        <w:gridCol w:w="10047"/>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0167" w:type="dxa"/>
            <w:gridSpan w:val="2"/>
            <w:tcBorders/>
            <w:shd w:fill="D8EBF4"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D8EBF4" w:val="clear"/>
            <w:vAlign w:val="center"/>
          </w:tcPr>
          <w:p>
            <w:pPr>
              <w:pStyle w:val="TableContents"/>
              <w:spacing w:before="0" w:after="283"/>
              <w:rPr/>
            </w:pPr>
            <w:r>
              <w:rPr/>
              <w:t>  </w:t>
            </w:r>
          </w:p>
        </w:tc>
        <w:tc>
          <w:tcPr>
            <w:tcW w:w="10047" w:type="dxa"/>
            <w:tcBorders/>
            <w:shd w:fill="D8EBF4" w:val="clear"/>
            <w:vAlign w:val="center"/>
          </w:tcPr>
          <w:p>
            <w:pPr>
              <w:pStyle w:val="TableContents"/>
              <w:spacing w:before="0" w:after="0"/>
              <w:rPr/>
            </w:pPr>
            <w:r>
              <w:rPr>
                <w:color w:val="007CBA"/>
              </w:rPr>
              <w:t>•</w:t>
            </w:r>
            <w:r>
              <w:rPr/>
              <w:t>  </w:t>
            </w:r>
            <w:r>
              <w:rPr>
                <w:rFonts w:ascii="ARIAL" w:hAnsi="ARIAL"/>
                <w:sz w:val="20"/>
              </w:rPr>
              <w:t>The Chairman and CEO, as well as the executive leadership team, guides and governs corporate-wide sustainability objectives and initiatives.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Our dedicated employees help drive performance of our sustainability agenda, including:</w:t>
            </w:r>
          </w:p>
          <w:p>
            <w:pPr>
              <w:pStyle w:val="TableContents"/>
              <w:spacing w:before="0" w:after="0"/>
              <w:rPr/>
            </w:pPr>
            <w:r>
              <w:rPr/>
              <w:t> </w:t>
            </w:r>
          </w:p>
          <w:p>
            <w:pPr>
              <w:pStyle w:val="TableContents"/>
              <w:spacing w:before="0" w:after="0"/>
              <w:rPr/>
            </w:pPr>
            <w:r>
              <w:rPr/>
              <w:t>○  </w:t>
            </w:r>
            <w:r>
              <w:rPr>
                <w:rFonts w:ascii="ARIAL" w:hAnsi="ARIAL"/>
                <w:sz w:val="20"/>
              </w:rPr>
              <w:t>Chief Ethics Officer</w:t>
            </w:r>
          </w:p>
          <w:p>
            <w:pPr>
              <w:pStyle w:val="TableContents"/>
              <w:spacing w:before="0" w:after="0"/>
              <w:rPr/>
            </w:pPr>
            <w:r>
              <w:rPr/>
              <w:t> </w:t>
            </w:r>
          </w:p>
          <w:p>
            <w:pPr>
              <w:pStyle w:val="TableContents"/>
              <w:spacing w:before="0" w:after="0"/>
              <w:rPr/>
            </w:pPr>
            <w:r>
              <w:rPr/>
              <w:t>○  </w:t>
            </w:r>
            <w:r>
              <w:rPr>
                <w:rFonts w:ascii="ARIAL" w:hAnsi="ARIAL"/>
                <w:sz w:val="20"/>
              </w:rPr>
              <w:t>Head of Sustainability</w:t>
            </w:r>
          </w:p>
          <w:p>
            <w:pPr>
              <w:pStyle w:val="TableContents"/>
              <w:spacing w:before="0" w:after="0"/>
              <w:rPr/>
            </w:pPr>
            <w:r>
              <w:rPr/>
              <w:t> </w:t>
            </w:r>
          </w:p>
          <w:p>
            <w:pPr>
              <w:pStyle w:val="TableContents"/>
              <w:spacing w:before="0" w:after="0"/>
              <w:rPr/>
            </w:pPr>
            <w:r>
              <w:rPr/>
              <w:t>○  </w:t>
            </w:r>
            <w:r>
              <w:rPr>
                <w:rFonts w:ascii="ARIAL" w:hAnsi="ARIAL"/>
                <w:sz w:val="20"/>
              </w:rPr>
              <w:t>Inclusion and Engagement Task Force</w:t>
            </w:r>
          </w:p>
          <w:p>
            <w:pPr>
              <w:pStyle w:val="TableContents"/>
              <w:spacing w:before="0" w:after="0"/>
              <w:rPr/>
            </w:pPr>
            <w:r>
              <w:rPr/>
              <w:t> </w:t>
            </w:r>
          </w:p>
          <w:p>
            <w:pPr>
              <w:pStyle w:val="TableContents"/>
              <w:spacing w:before="0" w:after="0"/>
              <w:rPr/>
            </w:pPr>
            <w:r>
              <w:rPr/>
              <w:t>○  </w:t>
            </w:r>
            <w:r>
              <w:rPr>
                <w:rFonts w:ascii="ARIAL" w:hAnsi="ARIAL"/>
                <w:sz w:val="20"/>
              </w:rPr>
              <w:t xml:space="preserve">Head of Inclusion and Engagement </w:t>
            </w:r>
          </w:p>
          <w:p>
            <w:pPr>
              <w:pStyle w:val="TableContents"/>
              <w:spacing w:before="0" w:after="0"/>
              <w:rPr/>
            </w:pPr>
            <w:r>
              <w:rPr/>
              <w:t> </w:t>
            </w:r>
          </w:p>
          <w:p>
            <w:pPr>
              <w:pStyle w:val="TableContents"/>
              <w:spacing w:before="0" w:after="0"/>
              <w:rPr/>
            </w:pPr>
            <w:r>
              <w:rPr/>
              <w:t>○  </w:t>
            </w:r>
            <w:r>
              <w:rPr>
                <w:rFonts w:ascii="ARIAL" w:hAnsi="ARIAL"/>
                <w:sz w:val="20"/>
              </w:rPr>
              <w:t>Safety teams</w:t>
            </w:r>
          </w:p>
          <w:p>
            <w:pPr>
              <w:pStyle w:val="TableContents"/>
              <w:spacing w:before="0" w:after="0"/>
              <w:rPr/>
            </w:pPr>
            <w:r>
              <w:rPr/>
              <w:t> </w:t>
            </w:r>
          </w:p>
          <w:p>
            <w:pPr>
              <w:pStyle w:val="TableContents"/>
              <w:spacing w:before="0" w:after="20"/>
              <w:rPr/>
            </w:pPr>
            <w:r>
              <w:rPr/>
              <w:t>○  </w:t>
            </w:r>
            <w:r>
              <w:rPr>
                <w:rFonts w:ascii="ARIAL" w:hAnsi="ARIAL"/>
                <w:sz w:val="20"/>
              </w:rPr>
              <w:t>Environmental managers</w:t>
            </w:r>
          </w:p>
        </w:tc>
      </w:tr>
    </w:tbl>
    <w:p>
      <w:pPr>
        <w:pStyle w:val="TextBody"/>
        <w:spacing w:before="0" w:after="0"/>
        <w:jc w:val="left"/>
        <w:rPr/>
      </w:pPr>
      <w:r>
        <w:rPr/>
        <w:t> </w:t>
      </w:r>
    </w:p>
    <w:tbl>
      <w:tblPr>
        <w:tblW w:w="3580" w:type="dxa"/>
        <w:jc w:val="left"/>
        <w:tblInd w:w="0" w:type="dxa"/>
        <w:tblCellMar>
          <w:top w:w="0" w:type="dxa"/>
          <w:left w:w="0" w:type="dxa"/>
          <w:bottom w:w="0" w:type="dxa"/>
          <w:right w:w="0" w:type="dxa"/>
        </w:tblCellMar>
      </w:tblPr>
      <w:tblGrid>
        <w:gridCol w:w="3290"/>
        <w:gridCol w:w="60"/>
        <w:gridCol w:w="132"/>
        <w:gridCol w:w="60"/>
        <w:gridCol w:w="38"/>
      </w:tblGrid>
      <w:tr>
        <w:trPr/>
        <w:tc>
          <w:tcPr>
            <w:tcW w:w="3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spacing w:before="0" w:after="283"/>
              <w:rPr/>
            </w:pPr>
            <w:r>
              <w:rPr>
                <w:b/>
              </w:rPr>
              <w:t>8</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 xml:space="preserve">PROXY </w:t>
      </w:r>
    </w:p>
    <w:p>
      <w:pPr>
        <w:pStyle w:val="TextBody"/>
        <w:spacing w:before="0" w:after="0"/>
        <w:jc w:val="left"/>
        <w:rPr/>
      </w:pPr>
      <w:r>
        <w:rPr/>
        <w:t> </w:t>
      </w:r>
    </w:p>
    <w:p>
      <w:pPr>
        <w:pStyle w:val="TextBody"/>
        <w:spacing w:before="0" w:after="0"/>
        <w:jc w:val="left"/>
        <w:rPr>
          <w:rFonts w:ascii="ARIAL" w:hAnsi="ARIAL"/>
          <w:b/>
          <w:color w:val="71BE9A"/>
          <w:sz w:val="26"/>
        </w:rPr>
      </w:pPr>
      <w:r>
        <w:rPr>
          <w:rFonts w:ascii="ARIAL" w:hAnsi="ARIAL"/>
          <w:b/>
          <w:color w:val="71BE9A"/>
          <w:sz w:val="26"/>
        </w:rPr>
        <w:t xml:space="preserve">Our Board Practices Promote Sustainable Long-Term Shareholder Value </w:t>
      </w:r>
    </w:p>
    <w:p>
      <w:pPr>
        <w:pStyle w:val="TextBody"/>
        <w:spacing w:before="240" w:after="0"/>
        <w:jc w:val="left"/>
        <w:rPr>
          <w:rFonts w:ascii="ARIAL" w:hAnsi="ARIAL"/>
          <w:color w:val="007CBA"/>
          <w:sz w:val="26"/>
        </w:rPr>
      </w:pPr>
      <w:r>
        <w:rPr>
          <w:rFonts w:ascii="ARIAL" w:hAnsi="ARIAL"/>
          <w:color w:val="007CBA"/>
          <w:sz w:val="26"/>
        </w:rPr>
        <w:t xml:space="preserve">Corporate Governance Highlights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992"/>
        <w:gridCol w:w="120"/>
        <w:gridCol w:w="5093"/>
      </w:tblGrid>
      <w:tr>
        <w:trPr/>
        <w:tc>
          <w:tcPr>
            <w:tcW w:w="49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093" w:type="dxa"/>
            <w:tcBorders/>
            <w:shd w:fill="auto" w:val="clear"/>
            <w:vAlign w:val="center"/>
          </w:tcPr>
          <w:p>
            <w:pPr>
              <w:pStyle w:val="TableContents"/>
              <w:spacing w:before="0" w:after="283"/>
              <w:rPr>
                <w:sz w:val="4"/>
                <w:szCs w:val="4"/>
              </w:rPr>
            </w:pPr>
            <w:r>
              <w:rPr>
                <w:sz w:val="4"/>
                <w:szCs w:val="4"/>
              </w:rPr>
            </w:r>
          </w:p>
        </w:tc>
      </w:tr>
      <w:tr>
        <w:trPr/>
        <w:tc>
          <w:tcPr>
            <w:tcW w:w="4992" w:type="dxa"/>
            <w:vMerge w:val="restart"/>
            <w:tcBorders/>
            <w:shd w:fill="auto" w:val="clear"/>
            <w:vAlign w:val="center"/>
          </w:tcPr>
          <w:p>
            <w:pPr>
              <w:pStyle w:val="TableContents"/>
              <w:spacing w:before="0" w:after="0"/>
              <w:rPr>
                <w:rFonts w:ascii="ARIAL" w:hAnsi="ARIAL"/>
                <w:b/>
                <w:color w:val="007CBA"/>
                <w:sz w:val="20"/>
              </w:rPr>
            </w:pPr>
            <w:r>
              <w:rPr>
                <w:rFonts w:ascii="ARIAL" w:hAnsi="ARIAL"/>
                <w:b/>
                <w:color w:val="007CBA"/>
                <w:sz w:val="20"/>
              </w:rPr>
              <w:t>Our Board is accountable to our shareholders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Annual election of Directors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Majority voting for uncontested Director elections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Proxy access right for shareholders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No poison pill</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Disclosure of governance processes implemented by the Board and its committees</w:t>
            </w:r>
          </w:p>
          <w:p>
            <w:pPr>
              <w:pStyle w:val="TableContents"/>
              <w:spacing w:before="0" w:after="0"/>
              <w:rPr/>
            </w:pPr>
            <w:r>
              <w:rPr/>
              <w:t> </w:t>
            </w:r>
          </w:p>
          <w:p>
            <w:pPr>
              <w:pStyle w:val="TableContents"/>
              <w:spacing w:before="0" w:after="0"/>
              <w:rPr>
                <w:rFonts w:ascii="ARIAL" w:hAnsi="ARIAL"/>
                <w:b/>
                <w:color w:val="007CBA"/>
                <w:sz w:val="20"/>
              </w:rPr>
            </w:pPr>
            <w:r>
              <w:rPr>
                <w:rFonts w:ascii="ARIAL" w:hAnsi="ARIAL"/>
                <w:b/>
                <w:color w:val="007CBA"/>
                <w:sz w:val="20"/>
              </w:rPr>
              <w:t>Our Board is responsive to our shareholders and is proactive to understand their perspectives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Proactive, year-round engagement with shareholders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Engagement topics include Board refreshment, environmental, social and governance (ESG) matters, management compensation, and Board and management diversity</w:t>
            </w:r>
          </w:p>
          <w:p>
            <w:pPr>
              <w:pStyle w:val="TableContents"/>
              <w:spacing w:before="0" w:after="0"/>
              <w:rPr/>
            </w:pPr>
            <w:r>
              <w:rPr/>
              <w:t> </w:t>
            </w:r>
          </w:p>
          <w:p>
            <w:pPr>
              <w:pStyle w:val="TableContents"/>
              <w:spacing w:before="0" w:after="0"/>
              <w:rPr>
                <w:rFonts w:ascii="ARIAL" w:hAnsi="ARIAL"/>
                <w:b/>
                <w:color w:val="007CBA"/>
                <w:sz w:val="20"/>
              </w:rPr>
            </w:pPr>
            <w:r>
              <w:rPr>
                <w:rFonts w:ascii="ARIAL" w:hAnsi="ARIAL"/>
                <w:b/>
                <w:color w:val="007CBA"/>
                <w:sz w:val="20"/>
              </w:rPr>
              <w:t>Our shareholders are entitled to voting rights in proportion to their economic interest</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One class of voting stock</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One share, one vote standard</w:t>
            </w:r>
          </w:p>
        </w:tc>
        <w:tc>
          <w:tcPr>
            <w:tcW w:w="120" w:type="dxa"/>
            <w:tcBorders/>
            <w:shd w:fill="auto" w:val="clear"/>
            <w:vAlign w:val="center"/>
          </w:tcPr>
          <w:p>
            <w:pPr>
              <w:pStyle w:val="TableContents"/>
              <w:spacing w:before="0" w:after="283"/>
              <w:rPr/>
            </w:pPr>
            <w:r>
              <w:rPr/>
              <w:t>  </w:t>
            </w:r>
          </w:p>
        </w:tc>
        <w:tc>
          <w:tcPr>
            <w:tcW w:w="5093" w:type="dxa"/>
            <w:tcBorders/>
            <w:shd w:fill="auto" w:val="clear"/>
            <w:vAlign w:val="center"/>
          </w:tcPr>
          <w:p>
            <w:pPr>
              <w:pStyle w:val="TableContents"/>
              <w:spacing w:before="0" w:after="0"/>
              <w:rPr>
                <w:rFonts w:ascii="ARIAL" w:hAnsi="ARIAL"/>
                <w:b/>
                <w:color w:val="007CBA"/>
                <w:sz w:val="20"/>
              </w:rPr>
            </w:pPr>
            <w:r>
              <w:rPr>
                <w:rFonts w:ascii="ARIAL" w:hAnsi="ARIAL"/>
                <w:b/>
                <w:color w:val="007CBA"/>
                <w:sz w:val="20"/>
              </w:rPr>
              <w:t>Our Board adopted practices that enhance its effectiveness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10 of 11 Directors are independent</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3 of our Directors are women comprising 30% of our independent directors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3 of our Directors are ethnically diverse</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Significant Board refreshment with 7 new directors in the past 7 years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Directors reflect a diverse mix of skills and experience</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Annual Board, committee and individual self-assessments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Board access to management and employees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 xml:space="preserve">Overboarding, anti-hedging and stock ownership policies </w:t>
            </w:r>
          </w:p>
          <w:p>
            <w:pPr>
              <w:pStyle w:val="TableContents"/>
              <w:spacing w:before="0" w:after="20"/>
              <w:rPr/>
            </w:pPr>
            <w:r>
              <w:rPr/>
              <w:t> </w:t>
            </w:r>
          </w:p>
        </w:tc>
      </w:tr>
      <w:tr>
        <w:trPr/>
        <w:tc>
          <w:tcPr>
            <w:tcW w:w="4992"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5093" w:type="dxa"/>
            <w:tcBorders/>
            <w:shd w:fill="auto" w:val="clear"/>
            <w:vAlign w:val="center"/>
          </w:tcPr>
          <w:p>
            <w:pPr>
              <w:pStyle w:val="TableContents"/>
              <w:spacing w:before="0" w:after="0"/>
              <w:rPr>
                <w:rFonts w:ascii="ARIAL" w:hAnsi="ARIAL"/>
                <w:b/>
                <w:color w:val="007CBA"/>
                <w:sz w:val="20"/>
              </w:rPr>
            </w:pPr>
            <w:r>
              <w:rPr>
                <w:rFonts w:ascii="ARIAL" w:hAnsi="ARIAL"/>
                <w:b/>
                <w:color w:val="007CBA"/>
                <w:sz w:val="20"/>
              </w:rPr>
              <w:t>Our Board has strong, independent leadership</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Independent Lead Director</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Annual review of Board leadership structure</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Independent chairs of Board committees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Only one Director is a Company employee</w:t>
            </w:r>
          </w:p>
          <w:p>
            <w:pPr>
              <w:pStyle w:val="TableContents"/>
              <w:spacing w:before="0" w:after="0"/>
              <w:rPr/>
            </w:pPr>
            <w:r>
              <w:rPr/>
              <w:t> </w:t>
            </w:r>
          </w:p>
          <w:p>
            <w:pPr>
              <w:pStyle w:val="TableContents"/>
              <w:spacing w:before="0" w:after="0"/>
              <w:rPr>
                <w:rFonts w:ascii="ARIAL" w:hAnsi="ARIAL"/>
                <w:b/>
                <w:color w:val="007CBA"/>
                <w:sz w:val="20"/>
              </w:rPr>
            </w:pPr>
            <w:r>
              <w:rPr>
                <w:rFonts w:ascii="ARIAL" w:hAnsi="ARIAL"/>
                <w:b/>
                <w:color w:val="007CBA"/>
                <w:sz w:val="20"/>
              </w:rPr>
              <w:t>Our Board has developed a management compensation structure that is aligned with the long-term strategy of the company</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Compensation programs reviewed to include short-and long-term goals tied to the long-range plan and to attract, retain, incentivize and reward excellent performance</w:t>
            </w:r>
          </w:p>
        </w:tc>
      </w:tr>
    </w:tbl>
    <w:p>
      <w:pPr>
        <w:pStyle w:val="TextBody"/>
        <w:spacing w:before="240" w:after="0"/>
        <w:jc w:val="left"/>
        <w:rPr>
          <w:rFonts w:ascii="ARIAL" w:hAnsi="ARIAL"/>
          <w:color w:val="007CBA"/>
          <w:sz w:val="20"/>
        </w:rPr>
      </w:pPr>
      <w:r>
        <w:rPr>
          <w:rFonts w:ascii="ARIAL" w:hAnsi="ARIAL"/>
          <w:color w:val="007CBA"/>
          <w:sz w:val="20"/>
        </w:rPr>
        <w:t xml:space="preserve">Board Composition and Effectiveness </w:t>
      </w:r>
    </w:p>
    <w:p>
      <w:pPr>
        <w:pStyle w:val="TextBody"/>
        <w:spacing w:before="120" w:after="0"/>
        <w:jc w:val="left"/>
        <w:rPr>
          <w:rFonts w:ascii="ARIAL" w:hAnsi="ARIAL"/>
          <w:sz w:val="20"/>
        </w:rPr>
      </w:pPr>
      <w:r>
        <w:rPr>
          <w:rFonts w:ascii="ARIAL" w:hAnsi="ARIAL"/>
          <w:sz w:val="20"/>
        </w:rPr>
        <w:t xml:space="preserve">We seek to include a diverse group of Directors on our Board to provide different perspectives to the Board’s oversight responsibilities. Our Directors demonstrate diversity in the form of experience, geography, gender, ethnicity, age and tenure. We were recognized in 2021, 2019, 2017 and 2015 at the </w:t>
      </w:r>
      <w:r>
        <w:rPr>
          <w:rFonts w:ascii="ARIAL" w:hAnsi="ARIAL"/>
          <w:b/>
          <w:color w:val="007CBA"/>
          <w:sz w:val="20"/>
        </w:rPr>
        <w:t>Women’s Forum of New York</w:t>
      </w:r>
      <w:r>
        <w:rPr>
          <w:rFonts w:ascii="ARIAL" w:hAnsi="ARIAL"/>
          <w:sz w:val="20"/>
        </w:rPr>
        <w:t xml:space="preserve"> at its Biennial </w:t>
      </w:r>
      <w:r>
        <w:rPr>
          <w:rFonts w:ascii="ARIAL" w:hAnsi="ARIAL"/>
          <w:b/>
          <w:color w:val="007CBA"/>
          <w:sz w:val="20"/>
        </w:rPr>
        <w:t>Breakfast of Corporate Champions</w:t>
      </w:r>
      <w:r>
        <w:rPr>
          <w:rFonts w:ascii="ARIAL" w:hAnsi="ARIAL"/>
          <w:sz w:val="20"/>
        </w:rPr>
        <w:t xml:space="preserve"> for our Board diversity. We were also recognized by </w:t>
      </w:r>
      <w:r>
        <w:rPr>
          <w:rFonts w:ascii="ARIAL" w:hAnsi="ARIAL"/>
          <w:b/>
          <w:color w:val="007CBA"/>
          <w:sz w:val="20"/>
        </w:rPr>
        <w:t>2020 Women on Boards</w:t>
      </w:r>
      <w:r>
        <w:rPr>
          <w:rFonts w:ascii="ARIAL" w:hAnsi="ARIAL"/>
          <w:sz w:val="20"/>
        </w:rPr>
        <w:t xml:space="preserve"> as a </w:t>
      </w:r>
      <w:r>
        <w:rPr>
          <w:rFonts w:ascii="ARIAL" w:hAnsi="ARIAL"/>
          <w:b/>
          <w:color w:val="007CBA"/>
          <w:sz w:val="20"/>
        </w:rPr>
        <w:t>Winning ‘W’ Company</w:t>
      </w:r>
      <w:r>
        <w:rPr>
          <w:rFonts w:ascii="ARIAL" w:hAnsi="ARIAL"/>
          <w:sz w:val="20"/>
        </w:rPr>
        <w:t xml:space="preserve"> for eight consecutive years for championing Board diversity. </w:t>
      </w:r>
    </w:p>
    <w:p>
      <w:pPr>
        <w:pStyle w:val="TextBody"/>
        <w:spacing w:before="0" w:after="0"/>
        <w:jc w:val="left"/>
        <w:rPr/>
      </w:pPr>
      <w:r>
        <w:rPr/>
        <w:t> </w:t>
      </w:r>
    </w:p>
    <w:tbl>
      <w:tblPr>
        <w:tblW w:w="10205" w:type="dxa"/>
        <w:jc w:val="left"/>
        <w:tblInd w:w="0" w:type="dxa"/>
        <w:shd w:fill="FFFFFF" w:val="clear"/>
        <w:tblCellMar>
          <w:top w:w="0" w:type="dxa"/>
          <w:left w:w="0" w:type="dxa"/>
          <w:bottom w:w="0" w:type="dxa"/>
          <w:right w:w="0" w:type="dxa"/>
        </w:tblCellMar>
      </w:tblPr>
      <w:tblGrid>
        <w:gridCol w:w="38"/>
        <w:gridCol w:w="60"/>
        <w:gridCol w:w="1865"/>
        <w:gridCol w:w="60"/>
        <w:gridCol w:w="8084"/>
        <w:gridCol w:w="60"/>
        <w:gridCol w:w="38"/>
      </w:tblGrid>
      <w:tr>
        <w:trPr/>
        <w:tc>
          <w:tcPr>
            <w:tcW w:w="38"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1865"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8084"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38" w:type="dxa"/>
            <w:tcBorders/>
            <w:shd w:fill="FFFFFF" w:val="clear"/>
            <w:vAlign w:val="center"/>
          </w:tcPr>
          <w:p>
            <w:pPr>
              <w:pStyle w:val="TableContents"/>
              <w:spacing w:before="0" w:after="283"/>
              <w:rPr>
                <w:sz w:val="4"/>
                <w:szCs w:val="4"/>
              </w:rPr>
            </w:pPr>
            <w:r>
              <w:rPr>
                <w:sz w:val="4"/>
                <w:szCs w:val="4"/>
              </w:rPr>
            </w:r>
          </w:p>
        </w:tc>
      </w:tr>
      <w:tr>
        <w:trPr/>
        <w:tc>
          <w:tcPr>
            <w:tcW w:w="38" w:type="dxa"/>
            <w:tcBorders/>
            <w:shd w:fill="FFFFFF" w:val="clear"/>
            <w:vAlign w:val="center"/>
          </w:tcPr>
          <w:p>
            <w:pPr>
              <w:pStyle w:val="TableContents"/>
              <w:spacing w:before="0" w:after="283"/>
              <w:rPr>
                <w:sz w:val="4"/>
                <w:szCs w:val="4"/>
              </w:rPr>
            </w:pPr>
            <w:r>
              <w:rPr>
                <w:sz w:val="4"/>
                <w:szCs w:val="4"/>
              </w:rPr>
            </w:r>
          </w:p>
        </w:tc>
        <w:tc>
          <w:tcPr>
            <w:tcW w:w="1925" w:type="dxa"/>
            <w:gridSpan w:val="2"/>
            <w:tcBorders/>
            <w:shd w:fill="FFFFFF" w:val="clear"/>
            <w:vAlign w:val="center"/>
          </w:tcPr>
          <w:p>
            <w:pPr>
              <w:pStyle w:val="TableContents"/>
              <w:spacing w:before="0" w:after="283"/>
              <w:rPr>
                <w:sz w:val="4"/>
                <w:szCs w:val="4"/>
              </w:rPr>
            </w:pPr>
            <w:r>
              <w:rPr>
                <w:sz w:val="4"/>
                <w:szCs w:val="4"/>
              </w:rPr>
            </w:r>
          </w:p>
        </w:tc>
        <w:tc>
          <w:tcPr>
            <w:tcW w:w="8144" w:type="dxa"/>
            <w:gridSpan w:val="2"/>
            <w:tcBorders/>
            <w:shd w:fill="FFFFFF" w:val="clear"/>
            <w:vAlign w:val="center"/>
          </w:tcPr>
          <w:p>
            <w:pPr>
              <w:pStyle w:val="TableContents"/>
              <w:spacing w:before="0" w:after="283"/>
              <w:rPr>
                <w:sz w:val="4"/>
                <w:szCs w:val="4"/>
              </w:rPr>
            </w:pPr>
            <w:r>
              <w:rPr>
                <w:sz w:val="4"/>
                <w:szCs w:val="4"/>
              </w:rPr>
            </w:r>
          </w:p>
        </w:tc>
        <w:tc>
          <w:tcPr>
            <w:tcW w:w="98" w:type="dxa"/>
            <w:gridSpan w:val="2"/>
            <w:tcBorders/>
            <w:shd w:fill="FFFFFF" w:val="clear"/>
            <w:vAlign w:val="center"/>
          </w:tcPr>
          <w:p>
            <w:pPr>
              <w:pStyle w:val="TableContents"/>
              <w:spacing w:before="0" w:after="283"/>
              <w:rPr>
                <w:sz w:val="4"/>
                <w:szCs w:val="4"/>
              </w:rPr>
            </w:pPr>
            <w:r>
              <w:rPr>
                <w:sz w:val="4"/>
                <w:szCs w:val="4"/>
              </w:rPr>
            </w:r>
          </w:p>
        </w:tc>
      </w:tr>
      <w:tr>
        <w:trPr/>
        <w:tc>
          <w:tcPr>
            <w:tcW w:w="38"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1865" w:type="dxa"/>
            <w:tcBorders/>
            <w:shd w:fill="FFFFFF" w:val="clear"/>
            <w:vAlign w:val="center"/>
          </w:tcPr>
          <w:p>
            <w:pPr>
              <w:pStyle w:val="TableContents"/>
              <w:spacing w:before="0" w:after="283"/>
              <w:jc w:val="center"/>
              <w:rPr>
                <w:b/>
                <w:color w:val="007CBA"/>
                <w:sz w:val="44"/>
              </w:rPr>
            </w:pPr>
            <w:r>
              <w:rPr>
                <w:b/>
                <w:color w:val="007CBA"/>
                <w:sz w:val="44"/>
              </w:rPr>
              <w:t>3</w:t>
            </w:r>
          </w:p>
        </w:tc>
        <w:tc>
          <w:tcPr>
            <w:tcW w:w="60" w:type="dxa"/>
            <w:tcBorders/>
            <w:shd w:fill="FFFFFF" w:val="clear"/>
            <w:vAlign w:val="center"/>
          </w:tcPr>
          <w:p>
            <w:pPr>
              <w:pStyle w:val="TableContents"/>
              <w:spacing w:before="0" w:after="283"/>
              <w:rPr/>
            </w:pPr>
            <w:r>
              <w:rPr/>
              <w:t> </w:t>
            </w:r>
          </w:p>
        </w:tc>
        <w:tc>
          <w:tcPr>
            <w:tcW w:w="8084" w:type="dxa"/>
            <w:tcBorders/>
            <w:shd w:fill="FFFFFF" w:val="clear"/>
            <w:vAlign w:val="center"/>
          </w:tcPr>
          <w:p>
            <w:pPr>
              <w:pStyle w:val="TableContents"/>
              <w:spacing w:before="0" w:after="20"/>
              <w:rPr>
                <w:rFonts w:ascii="ARIAL" w:hAnsi="ARIAL"/>
                <w:sz w:val="20"/>
              </w:rPr>
            </w:pPr>
            <w:r>
              <w:rPr>
                <w:rFonts w:ascii="ARIAL" w:hAnsi="ARIAL"/>
                <w:sz w:val="20"/>
              </w:rPr>
              <w:t>Women represent 3 of our Directors comprising 30% of our current independent directors and 33% of our independent director nominees</w:t>
            </w:r>
          </w:p>
        </w:tc>
        <w:tc>
          <w:tcPr>
            <w:tcW w:w="60" w:type="dxa"/>
            <w:tcBorders/>
            <w:shd w:fill="FFFFFF" w:val="clear"/>
            <w:vAlign w:val="center"/>
          </w:tcPr>
          <w:p>
            <w:pPr>
              <w:pStyle w:val="TableContents"/>
              <w:spacing w:before="0" w:after="283"/>
              <w:rPr/>
            </w:pPr>
            <w:r>
              <w:rPr/>
              <w:t> </w:t>
            </w:r>
          </w:p>
        </w:tc>
        <w:tc>
          <w:tcPr>
            <w:tcW w:w="38" w:type="dxa"/>
            <w:tcBorders/>
            <w:shd w:fill="FFFFFF" w:val="clear"/>
            <w:vAlign w:val="center"/>
          </w:tcPr>
          <w:p>
            <w:pPr>
              <w:pStyle w:val="TableContents"/>
              <w:spacing w:before="0" w:after="283"/>
              <w:rPr>
                <w:sz w:val="4"/>
                <w:szCs w:val="4"/>
              </w:rPr>
            </w:pPr>
            <w:r>
              <w:rPr>
                <w:sz w:val="4"/>
                <w:szCs w:val="4"/>
              </w:rPr>
            </w:r>
          </w:p>
        </w:tc>
      </w:tr>
      <w:tr>
        <w:trPr/>
        <w:tc>
          <w:tcPr>
            <w:tcW w:w="38" w:type="dxa"/>
            <w:tcBorders/>
            <w:shd w:fill="FFFFFF" w:val="clear"/>
            <w:vAlign w:val="center"/>
          </w:tcPr>
          <w:p>
            <w:pPr>
              <w:pStyle w:val="TableContents"/>
              <w:spacing w:before="0" w:after="283"/>
              <w:rPr>
                <w:sz w:val="4"/>
                <w:szCs w:val="4"/>
              </w:rPr>
            </w:pPr>
            <w:r>
              <w:rPr>
                <w:sz w:val="4"/>
                <w:szCs w:val="4"/>
              </w:rPr>
            </w:r>
          </w:p>
        </w:tc>
        <w:tc>
          <w:tcPr>
            <w:tcW w:w="1925" w:type="dxa"/>
            <w:gridSpan w:val="2"/>
            <w:tcBorders/>
            <w:shd w:fill="FFFFFF" w:val="clear"/>
            <w:vAlign w:val="center"/>
          </w:tcPr>
          <w:p>
            <w:pPr>
              <w:pStyle w:val="TableContents"/>
              <w:spacing w:before="0" w:after="283"/>
              <w:rPr>
                <w:sz w:val="4"/>
                <w:szCs w:val="4"/>
              </w:rPr>
            </w:pPr>
            <w:r>
              <w:rPr>
                <w:sz w:val="4"/>
                <w:szCs w:val="4"/>
              </w:rPr>
            </w:r>
          </w:p>
        </w:tc>
        <w:tc>
          <w:tcPr>
            <w:tcW w:w="8144" w:type="dxa"/>
            <w:gridSpan w:val="2"/>
            <w:tcBorders/>
            <w:shd w:fill="FFFFFF" w:val="clear"/>
            <w:vAlign w:val="center"/>
          </w:tcPr>
          <w:p>
            <w:pPr>
              <w:pStyle w:val="TableContents"/>
              <w:spacing w:before="0" w:after="283"/>
              <w:rPr>
                <w:sz w:val="4"/>
                <w:szCs w:val="4"/>
              </w:rPr>
            </w:pPr>
            <w:r>
              <w:rPr>
                <w:sz w:val="4"/>
                <w:szCs w:val="4"/>
              </w:rPr>
            </w:r>
          </w:p>
        </w:tc>
        <w:tc>
          <w:tcPr>
            <w:tcW w:w="98" w:type="dxa"/>
            <w:gridSpan w:val="2"/>
            <w:tcBorders/>
            <w:shd w:fill="FFFFFF" w:val="clear"/>
            <w:vAlign w:val="center"/>
          </w:tcPr>
          <w:p>
            <w:pPr>
              <w:pStyle w:val="TableContents"/>
              <w:spacing w:before="0" w:after="283"/>
              <w:rPr>
                <w:sz w:val="4"/>
                <w:szCs w:val="4"/>
              </w:rPr>
            </w:pPr>
            <w:r>
              <w:rPr>
                <w:sz w:val="4"/>
                <w:szCs w:val="4"/>
              </w:rPr>
            </w:r>
          </w:p>
        </w:tc>
      </w:tr>
      <w:tr>
        <w:trPr/>
        <w:tc>
          <w:tcPr>
            <w:tcW w:w="38"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1865" w:type="dxa"/>
            <w:tcBorders/>
            <w:shd w:fill="FFFFFF" w:val="clear"/>
            <w:vAlign w:val="center"/>
          </w:tcPr>
          <w:p>
            <w:pPr>
              <w:pStyle w:val="TableContents"/>
              <w:spacing w:before="0" w:after="283"/>
              <w:jc w:val="center"/>
              <w:rPr>
                <w:b/>
                <w:color w:val="007CBA"/>
                <w:sz w:val="44"/>
              </w:rPr>
            </w:pPr>
            <w:r>
              <w:rPr>
                <w:b/>
                <w:color w:val="007CBA"/>
                <w:sz w:val="44"/>
              </w:rPr>
              <w:t>3</w:t>
            </w:r>
          </w:p>
        </w:tc>
        <w:tc>
          <w:tcPr>
            <w:tcW w:w="60" w:type="dxa"/>
            <w:tcBorders/>
            <w:shd w:fill="FFFFFF" w:val="clear"/>
            <w:vAlign w:val="center"/>
          </w:tcPr>
          <w:p>
            <w:pPr>
              <w:pStyle w:val="TableContents"/>
              <w:spacing w:before="0" w:after="283"/>
              <w:rPr/>
            </w:pPr>
            <w:r>
              <w:rPr/>
              <w:t> </w:t>
            </w:r>
          </w:p>
        </w:tc>
        <w:tc>
          <w:tcPr>
            <w:tcW w:w="8084" w:type="dxa"/>
            <w:tcBorders/>
            <w:shd w:fill="FFFFFF" w:val="clear"/>
            <w:vAlign w:val="center"/>
          </w:tcPr>
          <w:p>
            <w:pPr>
              <w:pStyle w:val="TableContents"/>
              <w:spacing w:before="0" w:after="20"/>
              <w:rPr>
                <w:rFonts w:ascii="ARIAL" w:hAnsi="ARIAL"/>
                <w:sz w:val="20"/>
              </w:rPr>
            </w:pPr>
            <w:r>
              <w:rPr>
                <w:rFonts w:ascii="ARIAL" w:hAnsi="ARIAL"/>
                <w:sz w:val="20"/>
              </w:rPr>
              <w:t>Racially and ethnically diverse – 2 Board members are African American and 1 Board member is Hispanic</w:t>
            </w:r>
          </w:p>
        </w:tc>
        <w:tc>
          <w:tcPr>
            <w:tcW w:w="60" w:type="dxa"/>
            <w:tcBorders/>
            <w:shd w:fill="FFFFFF" w:val="clear"/>
            <w:vAlign w:val="center"/>
          </w:tcPr>
          <w:p>
            <w:pPr>
              <w:pStyle w:val="TableContents"/>
              <w:spacing w:before="0" w:after="283"/>
              <w:rPr/>
            </w:pPr>
            <w:r>
              <w:rPr/>
              <w:t> </w:t>
            </w:r>
          </w:p>
        </w:tc>
        <w:tc>
          <w:tcPr>
            <w:tcW w:w="38" w:type="dxa"/>
            <w:tcBorders/>
            <w:shd w:fill="FFFFFF" w:val="clear"/>
            <w:vAlign w:val="center"/>
          </w:tcPr>
          <w:p>
            <w:pPr>
              <w:pStyle w:val="TableContents"/>
              <w:spacing w:before="0" w:after="283"/>
              <w:rPr>
                <w:sz w:val="4"/>
                <w:szCs w:val="4"/>
              </w:rPr>
            </w:pPr>
            <w:r>
              <w:rPr>
                <w:sz w:val="4"/>
                <w:szCs w:val="4"/>
              </w:rPr>
            </w:r>
          </w:p>
        </w:tc>
      </w:tr>
      <w:tr>
        <w:trPr/>
        <w:tc>
          <w:tcPr>
            <w:tcW w:w="38" w:type="dxa"/>
            <w:tcBorders/>
            <w:shd w:fill="FFFFFF" w:val="clear"/>
            <w:vAlign w:val="center"/>
          </w:tcPr>
          <w:p>
            <w:pPr>
              <w:pStyle w:val="TableContents"/>
              <w:spacing w:before="0" w:after="283"/>
              <w:rPr>
                <w:sz w:val="4"/>
                <w:szCs w:val="4"/>
              </w:rPr>
            </w:pPr>
            <w:r>
              <w:rPr>
                <w:sz w:val="4"/>
                <w:szCs w:val="4"/>
              </w:rPr>
            </w:r>
          </w:p>
        </w:tc>
        <w:tc>
          <w:tcPr>
            <w:tcW w:w="1925" w:type="dxa"/>
            <w:gridSpan w:val="2"/>
            <w:tcBorders/>
            <w:shd w:fill="FFFFFF" w:val="clear"/>
            <w:vAlign w:val="center"/>
          </w:tcPr>
          <w:p>
            <w:pPr>
              <w:pStyle w:val="TableContents"/>
              <w:spacing w:before="0" w:after="283"/>
              <w:rPr>
                <w:sz w:val="4"/>
                <w:szCs w:val="4"/>
              </w:rPr>
            </w:pPr>
            <w:r>
              <w:rPr>
                <w:sz w:val="4"/>
                <w:szCs w:val="4"/>
              </w:rPr>
            </w:r>
          </w:p>
        </w:tc>
        <w:tc>
          <w:tcPr>
            <w:tcW w:w="8144" w:type="dxa"/>
            <w:gridSpan w:val="2"/>
            <w:tcBorders/>
            <w:shd w:fill="FFFFFF" w:val="clear"/>
            <w:vAlign w:val="center"/>
          </w:tcPr>
          <w:p>
            <w:pPr>
              <w:pStyle w:val="TableContents"/>
              <w:spacing w:before="0" w:after="283"/>
              <w:rPr>
                <w:sz w:val="4"/>
                <w:szCs w:val="4"/>
              </w:rPr>
            </w:pPr>
            <w:r>
              <w:rPr>
                <w:sz w:val="4"/>
                <w:szCs w:val="4"/>
              </w:rPr>
            </w:r>
          </w:p>
        </w:tc>
        <w:tc>
          <w:tcPr>
            <w:tcW w:w="98" w:type="dxa"/>
            <w:gridSpan w:val="2"/>
            <w:tcBorders/>
            <w:shd w:fill="FFFFFF" w:val="clear"/>
            <w:vAlign w:val="center"/>
          </w:tcPr>
          <w:p>
            <w:pPr>
              <w:pStyle w:val="TableContents"/>
              <w:spacing w:before="0" w:after="283"/>
              <w:rPr>
                <w:sz w:val="4"/>
                <w:szCs w:val="4"/>
              </w:rPr>
            </w:pPr>
            <w:r>
              <w:rPr>
                <w:sz w:val="4"/>
                <w:szCs w:val="4"/>
              </w:rPr>
            </w:r>
          </w:p>
        </w:tc>
      </w:tr>
      <w:tr>
        <w:trPr/>
        <w:tc>
          <w:tcPr>
            <w:tcW w:w="38"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1865" w:type="dxa"/>
            <w:tcBorders/>
            <w:shd w:fill="FFFFFF" w:val="clear"/>
            <w:vAlign w:val="center"/>
          </w:tcPr>
          <w:p>
            <w:pPr>
              <w:pStyle w:val="TableContents"/>
              <w:spacing w:before="0" w:after="283"/>
              <w:jc w:val="center"/>
              <w:rPr>
                <w:b/>
                <w:color w:val="007CBA"/>
              </w:rPr>
            </w:pPr>
            <w:r>
              <w:rPr>
                <w:b/>
                <w:color w:val="007CBA"/>
              </w:rPr>
              <w:t>45%</w:t>
            </w:r>
          </w:p>
        </w:tc>
        <w:tc>
          <w:tcPr>
            <w:tcW w:w="60" w:type="dxa"/>
            <w:tcBorders/>
            <w:shd w:fill="FFFFFF" w:val="clear"/>
            <w:vAlign w:val="center"/>
          </w:tcPr>
          <w:p>
            <w:pPr>
              <w:pStyle w:val="TableContents"/>
              <w:spacing w:before="0" w:after="283"/>
              <w:rPr/>
            </w:pPr>
            <w:r>
              <w:rPr/>
              <w:t> </w:t>
            </w:r>
          </w:p>
        </w:tc>
        <w:tc>
          <w:tcPr>
            <w:tcW w:w="8084" w:type="dxa"/>
            <w:tcBorders/>
            <w:shd w:fill="FFFFFF" w:val="clear"/>
            <w:vAlign w:val="center"/>
          </w:tcPr>
          <w:p>
            <w:pPr>
              <w:pStyle w:val="TableContents"/>
              <w:spacing w:before="0" w:after="0"/>
              <w:rPr/>
            </w:pPr>
            <w:r>
              <w:rPr/>
              <w:t> </w:t>
            </w:r>
          </w:p>
          <w:p>
            <w:pPr>
              <w:pStyle w:val="TableContents"/>
              <w:spacing w:before="0" w:after="20"/>
              <w:rPr>
                <w:rFonts w:ascii="ARIAL" w:hAnsi="ARIAL"/>
                <w:sz w:val="20"/>
              </w:rPr>
            </w:pPr>
            <w:r>
              <w:rPr>
                <w:rFonts w:ascii="ARIAL" w:hAnsi="ARIAL"/>
                <w:sz w:val="20"/>
              </w:rPr>
              <w:t>45% of our Directors bring diversity in gender or ethnicity</w:t>
            </w:r>
          </w:p>
        </w:tc>
        <w:tc>
          <w:tcPr>
            <w:tcW w:w="60" w:type="dxa"/>
            <w:tcBorders/>
            <w:shd w:fill="FFFFFF" w:val="clear"/>
            <w:vAlign w:val="center"/>
          </w:tcPr>
          <w:p>
            <w:pPr>
              <w:pStyle w:val="TableContents"/>
              <w:spacing w:before="0" w:after="283"/>
              <w:rPr/>
            </w:pPr>
            <w:r>
              <w:rPr/>
              <w:t> </w:t>
            </w:r>
          </w:p>
        </w:tc>
        <w:tc>
          <w:tcPr>
            <w:tcW w:w="38" w:type="dxa"/>
            <w:tcBorders/>
            <w:shd w:fill="FFFFFF" w:val="clear"/>
            <w:vAlign w:val="center"/>
          </w:tcPr>
          <w:p>
            <w:pPr>
              <w:pStyle w:val="TableContents"/>
              <w:spacing w:before="0" w:after="283"/>
              <w:rPr>
                <w:sz w:val="4"/>
                <w:szCs w:val="4"/>
              </w:rPr>
            </w:pPr>
            <w:r>
              <w:rPr>
                <w:sz w:val="4"/>
                <w:szCs w:val="4"/>
              </w:rPr>
            </w:r>
          </w:p>
        </w:tc>
      </w:tr>
      <w:tr>
        <w:trPr/>
        <w:tc>
          <w:tcPr>
            <w:tcW w:w="38" w:type="dxa"/>
            <w:tcBorders/>
            <w:shd w:fill="FFFFFF" w:val="clear"/>
            <w:vAlign w:val="center"/>
          </w:tcPr>
          <w:p>
            <w:pPr>
              <w:pStyle w:val="TableContents"/>
              <w:spacing w:before="0" w:after="283"/>
              <w:rPr>
                <w:sz w:val="4"/>
                <w:szCs w:val="4"/>
              </w:rPr>
            </w:pPr>
            <w:r>
              <w:rPr>
                <w:sz w:val="4"/>
                <w:szCs w:val="4"/>
              </w:rPr>
            </w:r>
          </w:p>
        </w:tc>
        <w:tc>
          <w:tcPr>
            <w:tcW w:w="1925" w:type="dxa"/>
            <w:gridSpan w:val="2"/>
            <w:tcBorders/>
            <w:shd w:fill="FFFFFF" w:val="clear"/>
            <w:vAlign w:val="center"/>
          </w:tcPr>
          <w:p>
            <w:pPr>
              <w:pStyle w:val="TableContents"/>
              <w:spacing w:before="0" w:after="283"/>
              <w:rPr>
                <w:sz w:val="4"/>
                <w:szCs w:val="4"/>
              </w:rPr>
            </w:pPr>
            <w:r>
              <w:rPr>
                <w:sz w:val="4"/>
                <w:szCs w:val="4"/>
              </w:rPr>
            </w:r>
          </w:p>
        </w:tc>
        <w:tc>
          <w:tcPr>
            <w:tcW w:w="8144" w:type="dxa"/>
            <w:gridSpan w:val="2"/>
            <w:tcBorders/>
            <w:shd w:fill="FFFFFF" w:val="clear"/>
            <w:vAlign w:val="center"/>
          </w:tcPr>
          <w:p>
            <w:pPr>
              <w:pStyle w:val="TableContents"/>
              <w:spacing w:before="0" w:after="283"/>
              <w:rPr>
                <w:sz w:val="4"/>
                <w:szCs w:val="4"/>
              </w:rPr>
            </w:pPr>
            <w:r>
              <w:rPr>
                <w:sz w:val="4"/>
                <w:szCs w:val="4"/>
              </w:rPr>
            </w:r>
          </w:p>
        </w:tc>
        <w:tc>
          <w:tcPr>
            <w:tcW w:w="98" w:type="dxa"/>
            <w:gridSpan w:val="2"/>
            <w:tcBorders/>
            <w:shd w:fill="FFFFFF" w:val="clear"/>
            <w:vAlign w:val="center"/>
          </w:tcPr>
          <w:p>
            <w:pPr>
              <w:pStyle w:val="TableContents"/>
              <w:spacing w:before="0" w:after="283"/>
              <w:rPr>
                <w:sz w:val="4"/>
                <w:szCs w:val="4"/>
              </w:rPr>
            </w:pPr>
            <w:r>
              <w:rPr>
                <w:sz w:val="4"/>
                <w:szCs w:val="4"/>
              </w:rPr>
            </w:r>
          </w:p>
        </w:tc>
      </w:tr>
      <w:tr>
        <w:trPr/>
        <w:tc>
          <w:tcPr>
            <w:tcW w:w="38"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1865" w:type="dxa"/>
            <w:tcBorders/>
            <w:shd w:fill="FFFFFF" w:val="clear"/>
            <w:vAlign w:val="center"/>
          </w:tcPr>
          <w:p>
            <w:pPr>
              <w:pStyle w:val="TableContents"/>
              <w:spacing w:before="0" w:after="0"/>
              <w:jc w:val="center"/>
              <w:rPr>
                <w:rFonts w:ascii="ARIAL" w:hAnsi="ARIAL"/>
                <w:b/>
                <w:color w:val="007CBA"/>
                <w:sz w:val="44"/>
              </w:rPr>
            </w:pPr>
            <w:r>
              <w:rPr>
                <w:rFonts w:ascii="ARIAL" w:hAnsi="ARIAL"/>
                <w:b/>
                <w:color w:val="007CBA"/>
                <w:sz w:val="44"/>
              </w:rPr>
              <w:t>8.5 years</w:t>
            </w:r>
          </w:p>
          <w:p>
            <w:pPr>
              <w:pStyle w:val="TableContents"/>
              <w:spacing w:before="0" w:after="20"/>
              <w:jc w:val="left"/>
              <w:rPr/>
            </w:pPr>
            <w:r>
              <w:rPr/>
              <w:t> </w:t>
            </w:r>
          </w:p>
        </w:tc>
        <w:tc>
          <w:tcPr>
            <w:tcW w:w="60" w:type="dxa"/>
            <w:tcBorders/>
            <w:shd w:fill="FFFFFF" w:val="clear"/>
            <w:vAlign w:val="center"/>
          </w:tcPr>
          <w:p>
            <w:pPr>
              <w:pStyle w:val="TableContents"/>
              <w:spacing w:before="0" w:after="283"/>
              <w:rPr/>
            </w:pPr>
            <w:r>
              <w:rPr/>
              <w:t> </w:t>
            </w:r>
          </w:p>
        </w:tc>
        <w:tc>
          <w:tcPr>
            <w:tcW w:w="8084" w:type="dxa"/>
            <w:tcBorders/>
            <w:shd w:fill="FFFFFF" w:val="clear"/>
            <w:vAlign w:val="center"/>
          </w:tcPr>
          <w:p>
            <w:pPr>
              <w:pStyle w:val="TableContents"/>
              <w:spacing w:before="0" w:after="20"/>
              <w:rPr>
                <w:rFonts w:ascii="ARIAL" w:hAnsi="ARIAL"/>
                <w:sz w:val="20"/>
              </w:rPr>
            </w:pPr>
            <w:r>
              <w:rPr>
                <w:rFonts w:ascii="ARIAL" w:hAnsi="ARIAL"/>
                <w:sz w:val="20"/>
              </w:rPr>
              <w:t>The average tenure of our current Directors is 8.5 years</w:t>
            </w:r>
          </w:p>
        </w:tc>
        <w:tc>
          <w:tcPr>
            <w:tcW w:w="60" w:type="dxa"/>
            <w:tcBorders/>
            <w:shd w:fill="FFFFFF" w:val="clear"/>
            <w:vAlign w:val="center"/>
          </w:tcPr>
          <w:p>
            <w:pPr>
              <w:pStyle w:val="TableContents"/>
              <w:spacing w:before="0" w:after="283"/>
              <w:rPr/>
            </w:pPr>
            <w:r>
              <w:rPr/>
              <w:t> </w:t>
            </w:r>
          </w:p>
        </w:tc>
        <w:tc>
          <w:tcPr>
            <w:tcW w:w="38" w:type="dxa"/>
            <w:tcBorders/>
            <w:shd w:fill="FFFFFF"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965" w:type="dxa"/>
        <w:jc w:val="left"/>
        <w:tblInd w:w="0" w:type="dxa"/>
        <w:tblCellMar>
          <w:top w:w="0" w:type="dxa"/>
          <w:left w:w="0" w:type="dxa"/>
          <w:bottom w:w="0" w:type="dxa"/>
          <w:right w:w="0" w:type="dxa"/>
        </w:tblCellMar>
      </w:tblPr>
      <w:tblGrid>
        <w:gridCol w:w="38"/>
        <w:gridCol w:w="60"/>
        <w:gridCol w:w="132"/>
        <w:gridCol w:w="60"/>
        <w:gridCol w:w="26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pPr>
            <w:r>
              <w:rPr>
                <w:color w:val="007CBA"/>
              </w:rPr>
              <w:t>MARTIN MARIETTA    </w:t>
            </w:r>
            <w:r>
              <w:rPr>
                <w:b/>
              </w:rPr>
              <w:t>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color w:val="007CBA"/>
          <w:sz w:val="26"/>
        </w:rPr>
      </w:pPr>
      <w:r>
        <w:rPr>
          <w:rFonts w:ascii="ARIAL" w:hAnsi="ARIAL"/>
          <w:color w:val="007CBA"/>
          <w:sz w:val="26"/>
        </w:rPr>
        <w:t xml:space="preserve">Practices Contributing to Board Effectiveness </w:t>
      </w:r>
    </w:p>
    <w:p>
      <w:pPr>
        <w:pStyle w:val="TextBody"/>
        <w:spacing w:before="0" w:after="0"/>
        <w:jc w:val="left"/>
        <w:rPr/>
      </w:pPr>
      <w:r>
        <w:rPr/>
        <w:t> </w:t>
      </w:r>
    </w:p>
    <w:tbl>
      <w:tblPr>
        <w:tblW w:w="3880" w:type="dxa"/>
        <w:jc w:val="left"/>
        <w:tblInd w:w="0" w:type="dxa"/>
        <w:tblCellMar>
          <w:top w:w="0" w:type="dxa"/>
          <w:left w:w="0" w:type="dxa"/>
          <w:bottom w:w="0" w:type="dxa"/>
          <w:right w:w="0" w:type="dxa"/>
        </w:tblCellMar>
      </w:tblPr>
      <w:tblGrid>
        <w:gridCol w:w="125"/>
        <w:gridCol w:w="60"/>
        <w:gridCol w:w="3695"/>
      </w:tblGrid>
      <w:tr>
        <w:trPr/>
        <w:tc>
          <w:tcPr>
            <w:tcW w:w="125" w:type="dxa"/>
            <w:tcBorders/>
            <w:shd w:fill="auto" w:val="clear"/>
            <w:vAlign w:val="center"/>
          </w:tcPr>
          <w:p>
            <w:pPr>
              <w:pStyle w:val="TableContents"/>
              <w:spacing w:before="0" w:after="283"/>
              <w:jc w:val="left"/>
              <w:rPr>
                <w:color w:val="71BE9A"/>
              </w:rPr>
            </w:pPr>
            <w:r>
              <w:rPr>
                <w:color w:val="71BE9A"/>
              </w:rPr>
              <w:t>•</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0"/>
              <w:jc w:val="left"/>
              <w:rPr>
                <w:rFonts w:ascii="ARIAL" w:hAnsi="ARIAL"/>
                <w:sz w:val="20"/>
              </w:rPr>
            </w:pPr>
            <w:r>
              <w:rPr>
                <w:rFonts w:ascii="ARIAL" w:hAnsi="ARIAL"/>
                <w:sz w:val="20"/>
              </w:rPr>
              <w:t xml:space="preserve">Identification of diverse Board candidates </w:t>
            </w:r>
          </w:p>
        </w:tc>
      </w:tr>
    </w:tbl>
    <w:p>
      <w:pPr>
        <w:pStyle w:val="TextBody"/>
        <w:spacing w:before="0" w:after="0"/>
        <w:jc w:val="left"/>
        <w:rPr/>
      </w:pPr>
      <w:r>
        <w:rPr/>
        <w:t> </w:t>
      </w:r>
    </w:p>
    <w:tbl>
      <w:tblPr>
        <w:tblW w:w="2320" w:type="dxa"/>
        <w:jc w:val="left"/>
        <w:tblInd w:w="0" w:type="dxa"/>
        <w:tblCellMar>
          <w:top w:w="0" w:type="dxa"/>
          <w:left w:w="0" w:type="dxa"/>
          <w:bottom w:w="0" w:type="dxa"/>
          <w:right w:w="0" w:type="dxa"/>
        </w:tblCellMar>
      </w:tblPr>
      <w:tblGrid>
        <w:gridCol w:w="125"/>
        <w:gridCol w:w="60"/>
        <w:gridCol w:w="2135"/>
      </w:tblGrid>
      <w:tr>
        <w:trPr/>
        <w:tc>
          <w:tcPr>
            <w:tcW w:w="125" w:type="dxa"/>
            <w:tcBorders/>
            <w:shd w:fill="auto" w:val="clear"/>
            <w:vAlign w:val="center"/>
          </w:tcPr>
          <w:p>
            <w:pPr>
              <w:pStyle w:val="TableContents"/>
              <w:spacing w:before="0" w:after="283"/>
              <w:jc w:val="left"/>
              <w:rPr>
                <w:color w:val="71BE9A"/>
              </w:rPr>
            </w:pPr>
            <w:r>
              <w:rPr>
                <w:color w:val="71BE9A"/>
              </w:rPr>
              <w:t>•</w:t>
            </w:r>
          </w:p>
        </w:tc>
        <w:tc>
          <w:tcPr>
            <w:tcW w:w="60" w:type="dxa"/>
            <w:tcBorders/>
            <w:shd w:fill="auto" w:val="clear"/>
            <w:vAlign w:val="center"/>
          </w:tcPr>
          <w:p>
            <w:pPr>
              <w:pStyle w:val="TableContents"/>
              <w:spacing w:before="0" w:after="283"/>
              <w:rPr/>
            </w:pPr>
            <w:r>
              <w:rPr/>
              <w:t> </w:t>
            </w:r>
          </w:p>
        </w:tc>
        <w:tc>
          <w:tcPr>
            <w:tcW w:w="2135" w:type="dxa"/>
            <w:tcBorders/>
            <w:shd w:fill="auto" w:val="clear"/>
            <w:vAlign w:val="center"/>
          </w:tcPr>
          <w:p>
            <w:pPr>
              <w:pStyle w:val="TableContents"/>
              <w:spacing w:before="0" w:after="0"/>
              <w:jc w:val="left"/>
              <w:rPr>
                <w:rFonts w:ascii="ARIAL" w:hAnsi="ARIAL"/>
                <w:sz w:val="20"/>
              </w:rPr>
            </w:pPr>
            <w:r>
              <w:rPr>
                <w:rFonts w:ascii="ARIAL" w:hAnsi="ARIAL"/>
                <w:sz w:val="20"/>
              </w:rPr>
              <w:t xml:space="preserve">Meaningful refreshment </w:t>
            </w:r>
          </w:p>
        </w:tc>
      </w:tr>
    </w:tbl>
    <w:p>
      <w:pPr>
        <w:pStyle w:val="TextBody"/>
        <w:spacing w:before="0" w:after="0"/>
        <w:jc w:val="left"/>
        <w:rPr/>
      </w:pPr>
      <w:r>
        <w:rPr/>
        <w:t> </w:t>
      </w:r>
    </w:p>
    <w:tbl>
      <w:tblPr>
        <w:tblW w:w="7030" w:type="dxa"/>
        <w:jc w:val="left"/>
        <w:tblInd w:w="0" w:type="dxa"/>
        <w:tblCellMar>
          <w:top w:w="0" w:type="dxa"/>
          <w:left w:w="0" w:type="dxa"/>
          <w:bottom w:w="0" w:type="dxa"/>
          <w:right w:w="0" w:type="dxa"/>
        </w:tblCellMar>
      </w:tblPr>
      <w:tblGrid>
        <w:gridCol w:w="125"/>
        <w:gridCol w:w="60"/>
        <w:gridCol w:w="6845"/>
      </w:tblGrid>
      <w:tr>
        <w:trPr/>
        <w:tc>
          <w:tcPr>
            <w:tcW w:w="125" w:type="dxa"/>
            <w:tcBorders/>
            <w:shd w:fill="auto" w:val="clear"/>
            <w:vAlign w:val="center"/>
          </w:tcPr>
          <w:p>
            <w:pPr>
              <w:pStyle w:val="TableContents"/>
              <w:spacing w:before="0" w:after="283"/>
              <w:jc w:val="left"/>
              <w:rPr>
                <w:color w:val="71BE9A"/>
              </w:rPr>
            </w:pPr>
            <w:r>
              <w:rPr>
                <w:color w:val="71BE9A"/>
              </w:rPr>
              <w:t>•</w:t>
            </w:r>
          </w:p>
        </w:tc>
        <w:tc>
          <w:tcPr>
            <w:tcW w:w="60" w:type="dxa"/>
            <w:tcBorders/>
            <w:shd w:fill="auto" w:val="clear"/>
            <w:vAlign w:val="center"/>
          </w:tcPr>
          <w:p>
            <w:pPr>
              <w:pStyle w:val="TableContents"/>
              <w:spacing w:before="0" w:after="283"/>
              <w:rPr/>
            </w:pPr>
            <w:r>
              <w:rPr/>
              <w:t> </w:t>
            </w:r>
          </w:p>
        </w:tc>
        <w:tc>
          <w:tcPr>
            <w:tcW w:w="6845" w:type="dxa"/>
            <w:tcBorders/>
            <w:shd w:fill="auto" w:val="clear"/>
            <w:vAlign w:val="center"/>
          </w:tcPr>
          <w:p>
            <w:pPr>
              <w:pStyle w:val="TableContents"/>
              <w:spacing w:before="0" w:after="0"/>
              <w:jc w:val="left"/>
              <w:rPr>
                <w:rFonts w:ascii="ARIAL" w:hAnsi="ARIAL"/>
                <w:sz w:val="20"/>
              </w:rPr>
            </w:pPr>
            <w:r>
              <w:rPr>
                <w:rFonts w:ascii="ARIAL" w:hAnsi="ARIAL"/>
                <w:sz w:val="20"/>
              </w:rPr>
              <w:t xml:space="preserve">Rotation of Board committee assignments based on experience and expertise </w:t>
            </w:r>
          </w:p>
        </w:tc>
      </w:tr>
    </w:tbl>
    <w:p>
      <w:pPr>
        <w:pStyle w:val="TextBody"/>
        <w:spacing w:before="0" w:after="0"/>
        <w:jc w:val="left"/>
        <w:rPr/>
      </w:pPr>
      <w:r>
        <w:rPr/>
        <w:t> </w:t>
      </w:r>
    </w:p>
    <w:tbl>
      <w:tblPr>
        <w:tblW w:w="1900" w:type="dxa"/>
        <w:jc w:val="left"/>
        <w:tblInd w:w="0" w:type="dxa"/>
        <w:tblCellMar>
          <w:top w:w="0" w:type="dxa"/>
          <w:left w:w="0" w:type="dxa"/>
          <w:bottom w:w="0" w:type="dxa"/>
          <w:right w:w="0" w:type="dxa"/>
        </w:tblCellMar>
      </w:tblPr>
      <w:tblGrid>
        <w:gridCol w:w="125"/>
        <w:gridCol w:w="60"/>
        <w:gridCol w:w="1715"/>
      </w:tblGrid>
      <w:tr>
        <w:trPr/>
        <w:tc>
          <w:tcPr>
            <w:tcW w:w="125" w:type="dxa"/>
            <w:tcBorders/>
            <w:shd w:fill="auto" w:val="clear"/>
            <w:vAlign w:val="center"/>
          </w:tcPr>
          <w:p>
            <w:pPr>
              <w:pStyle w:val="TableContents"/>
              <w:spacing w:before="0" w:after="283"/>
              <w:jc w:val="left"/>
              <w:rPr>
                <w:color w:val="71BE9A"/>
              </w:rPr>
            </w:pPr>
            <w:r>
              <w:rPr>
                <w:color w:val="71BE9A"/>
              </w:rPr>
              <w:t>•</w:t>
            </w:r>
          </w:p>
        </w:tc>
        <w:tc>
          <w:tcPr>
            <w:tcW w:w="6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0"/>
              <w:jc w:val="left"/>
              <w:rPr>
                <w:rFonts w:ascii="ARIAL" w:hAnsi="ARIAL"/>
                <w:sz w:val="20"/>
              </w:rPr>
            </w:pPr>
            <w:r>
              <w:rPr>
                <w:rFonts w:ascii="ARIAL" w:hAnsi="ARIAL"/>
                <w:sz w:val="20"/>
              </w:rPr>
              <w:t xml:space="preserve">Robust onboarding </w:t>
            </w:r>
          </w:p>
        </w:tc>
      </w:tr>
    </w:tbl>
    <w:p>
      <w:pPr>
        <w:pStyle w:val="TextBody"/>
        <w:spacing w:before="0" w:after="0"/>
        <w:jc w:val="left"/>
        <w:rPr/>
      </w:pPr>
      <w:r>
        <w:rPr/>
        <w:t> </w:t>
      </w:r>
    </w:p>
    <w:tbl>
      <w:tblPr>
        <w:tblW w:w="3355" w:type="dxa"/>
        <w:jc w:val="left"/>
        <w:tblInd w:w="0" w:type="dxa"/>
        <w:tblCellMar>
          <w:top w:w="0" w:type="dxa"/>
          <w:left w:w="0" w:type="dxa"/>
          <w:bottom w:w="0" w:type="dxa"/>
          <w:right w:w="0" w:type="dxa"/>
        </w:tblCellMar>
      </w:tblPr>
      <w:tblGrid>
        <w:gridCol w:w="125"/>
        <w:gridCol w:w="60"/>
        <w:gridCol w:w="3170"/>
      </w:tblGrid>
      <w:tr>
        <w:trPr/>
        <w:tc>
          <w:tcPr>
            <w:tcW w:w="125" w:type="dxa"/>
            <w:tcBorders/>
            <w:shd w:fill="auto" w:val="clear"/>
            <w:vAlign w:val="center"/>
          </w:tcPr>
          <w:p>
            <w:pPr>
              <w:pStyle w:val="TableContents"/>
              <w:spacing w:before="0" w:after="283"/>
              <w:jc w:val="left"/>
              <w:rPr>
                <w:color w:val="71BE9A"/>
              </w:rPr>
            </w:pPr>
            <w:r>
              <w:rPr>
                <w:color w:val="71BE9A"/>
              </w:rPr>
              <w:t>•</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before="0" w:after="0"/>
              <w:jc w:val="left"/>
              <w:rPr>
                <w:rFonts w:ascii="ARIAL" w:hAnsi="ARIAL"/>
                <w:sz w:val="20"/>
              </w:rPr>
            </w:pPr>
            <w:r>
              <w:rPr>
                <w:rFonts w:ascii="ARIAL" w:hAnsi="ARIAL"/>
                <w:sz w:val="20"/>
              </w:rPr>
              <w:t xml:space="preserve">Tenure and overboarding guidelines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71BE9A"/>
              </w:rPr>
            </w:pPr>
            <w:r>
              <w:rPr>
                <w:color w:val="71BE9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Our Board refreshment has resulted in a decrease of the Board’s average tenure, with a greater mix of Directors with long-term knowledge of the Company, its strategy, opportunities and challenges, and those with new perspectives </w:t>
            </w:r>
          </w:p>
        </w:tc>
      </w:tr>
    </w:tbl>
    <w:p>
      <w:pPr>
        <w:pStyle w:val="TextBody"/>
        <w:spacing w:before="240" w:after="0"/>
        <w:jc w:val="left"/>
        <w:rPr>
          <w:rFonts w:ascii="ARIAL" w:hAnsi="ARIAL"/>
          <w:color w:val="007CBA"/>
          <w:sz w:val="26"/>
        </w:rPr>
      </w:pPr>
      <w:r>
        <w:rPr>
          <w:rFonts w:ascii="ARIAL" w:hAnsi="ARIAL"/>
          <w:color w:val="007CBA"/>
          <w:sz w:val="26"/>
        </w:rPr>
        <w:t xml:space="preserve">Director Nominees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49605" cy="18986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649605" cy="18986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pPr>
      <w:r>
        <w:rPr/>
        <w:drawing>
          <wp:inline distT="0" distB="0" distL="0" distR="0">
            <wp:extent cx="649605" cy="213360"/>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649605" cy="213360"/>
                    </a:xfrm>
                    <a:prstGeom prst="rect">
                      <a:avLst/>
                    </a:prstGeom>
                  </pic:spPr>
                </pic:pic>
              </a:graphicData>
            </a:graphic>
          </wp:inline>
        </w:drawing>
      </w:r>
      <w:r>
        <w:rPr/>
        <w:t xml:space="preserve"> </w:t>
      </w:r>
    </w:p>
    <w:p>
      <w:pPr>
        <w:pStyle w:val="TextBody"/>
        <w:spacing w:before="240" w:after="0"/>
        <w:jc w:val="left"/>
        <w:rPr>
          <w:rFonts w:ascii="ARIAL" w:hAnsi="ARIAL"/>
          <w:color w:val="007CBA"/>
          <w:sz w:val="26"/>
        </w:rPr>
      </w:pPr>
      <w:r>
        <w:rPr>
          <w:rFonts w:ascii="ARIAL" w:hAnsi="ARIAL"/>
          <w:color w:val="007CBA"/>
          <w:sz w:val="26"/>
        </w:rPr>
        <w:t xml:space="preserve">Board Attendance </w:t>
      </w:r>
    </w:p>
    <w:p>
      <w:pPr>
        <w:pStyle w:val="TextBody"/>
        <w:spacing w:before="120" w:after="0"/>
        <w:jc w:val="left"/>
        <w:rPr>
          <w:rFonts w:ascii="ARIAL" w:hAnsi="ARIAL"/>
          <w:sz w:val="20"/>
        </w:rPr>
      </w:pPr>
      <w:r>
        <w:rPr>
          <w:rFonts w:ascii="ARIAL" w:hAnsi="ARIAL"/>
          <w:sz w:val="20"/>
        </w:rPr>
        <w:t xml:space="preserve">In 2022, during their terms of service, all directors attended 100% of the Board meetings and all directors attended at least 75% of the committee meetings to which they were assigned. All directors then in office attended the May 2022 Annual Meeting.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10</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 xml:space="preserve">PROXY </w:t>
      </w:r>
    </w:p>
    <w:p>
      <w:pPr>
        <w:pStyle w:val="TextBody"/>
        <w:spacing w:before="0" w:after="0"/>
        <w:jc w:val="left"/>
        <w:rPr/>
      </w:pPr>
      <w:r>
        <w:rPr/>
        <w:t> </w:t>
      </w:r>
    </w:p>
    <w:p>
      <w:pPr>
        <w:pStyle w:val="TextBody"/>
        <w:spacing w:before="0" w:after="0"/>
        <w:jc w:val="left"/>
        <w:rPr>
          <w:rFonts w:ascii="ARIAL" w:hAnsi="ARIAL"/>
          <w:b/>
          <w:color w:val="71BE9A"/>
          <w:sz w:val="26"/>
        </w:rPr>
      </w:pPr>
      <w:r>
        <w:rPr>
          <w:rFonts w:ascii="ARIAL" w:hAnsi="ARIAL"/>
          <w:b/>
          <w:color w:val="71BE9A"/>
          <w:sz w:val="26"/>
        </w:rPr>
        <w:t xml:space="preserve">Effective Shareholder Engagement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622"/>
        <w:gridCol w:w="60"/>
        <w:gridCol w:w="1523"/>
      </w:tblGrid>
      <w:tr>
        <w:trPr/>
        <w:tc>
          <w:tcPr>
            <w:tcW w:w="86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r>
      <w:tr>
        <w:trPr/>
        <w:tc>
          <w:tcPr>
            <w:tcW w:w="8622" w:type="dxa"/>
            <w:vMerge w:val="restart"/>
            <w:tcBorders/>
            <w:shd w:fill="auto" w:val="clear"/>
            <w:vAlign w:val="center"/>
          </w:tcPr>
          <w:p>
            <w:pPr>
              <w:pStyle w:val="TableContents"/>
              <w:spacing w:before="0" w:after="0"/>
              <w:rPr>
                <w:rFonts w:ascii="ARIAL" w:hAnsi="ARIAL"/>
                <w:sz w:val="20"/>
              </w:rPr>
            </w:pPr>
            <w:r>
              <w:rPr>
                <w:rFonts w:ascii="ARIAL" w:hAnsi="ARIAL"/>
                <w:sz w:val="20"/>
              </w:rPr>
              <w:t>Accountability to our shareholders is an important component of the Company’s success. We recognize the value of building informed relationships with our investors that promote further transparency and accountability. While proxy voting is one direct way to influence corporate behavior, proactive engagement with our investors can be effective and impactful. Investor views are communicated to the Board and are instrumental in the development of our governance, compensation and sustainability policies and inform our business strategy.</w:t>
            </w:r>
          </w:p>
          <w:p>
            <w:pPr>
              <w:pStyle w:val="TableContents"/>
              <w:spacing w:before="0" w:after="0"/>
              <w:rPr/>
            </w:pPr>
            <w:r>
              <w:rPr/>
              <w:t> </w:t>
            </w:r>
          </w:p>
          <w:p>
            <w:pPr>
              <w:pStyle w:val="TableContents"/>
              <w:spacing w:before="0" w:after="20"/>
              <w:rPr>
                <w:rFonts w:ascii="ARIAL" w:hAnsi="ARIAL"/>
                <w:sz w:val="20"/>
              </w:rPr>
            </w:pPr>
            <w:r>
              <w:rPr>
                <w:rFonts w:ascii="ARIAL" w:hAnsi="ARIAL"/>
                <w:sz w:val="20"/>
              </w:rPr>
              <w:t>During 2022, we engaged in person, through virtual meetings, by telephone, and/or written correspondence with our largest institutional investors and other significant shareholders on an array of governance topics, including our executive compensation programs. We also engaged by telephone conference or written correspondence with stakeholders or other parties on various topics including board composition, executive compensation, human capital management, and ESG matters, as well as other topics of interest.</w:t>
            </w:r>
          </w:p>
        </w:tc>
        <w:tc>
          <w:tcPr>
            <w:tcW w:w="60" w:type="dxa"/>
            <w:tcBorders/>
            <w:shd w:fill="007CBA" w:val="clear"/>
            <w:vAlign w:val="center"/>
          </w:tcPr>
          <w:p>
            <w:pPr>
              <w:pStyle w:val="TableContents"/>
              <w:spacing w:before="0" w:after="283"/>
              <w:rPr/>
            </w:pPr>
            <w:r>
              <w:rPr/>
              <w:t> </w:t>
            </w:r>
          </w:p>
        </w:tc>
        <w:tc>
          <w:tcPr>
            <w:tcW w:w="1523" w:type="dxa"/>
            <w:tcBorders/>
            <w:shd w:fill="007CBA" w:val="clear"/>
            <w:vAlign w:val="center"/>
          </w:tcPr>
          <w:p>
            <w:pPr>
              <w:pStyle w:val="TableContents"/>
              <w:spacing w:before="0" w:after="283"/>
              <w:rPr>
                <w:sz w:val="4"/>
                <w:szCs w:val="4"/>
              </w:rPr>
            </w:pPr>
            <w:r>
              <w:rPr>
                <w:sz w:val="4"/>
                <w:szCs w:val="4"/>
              </w:rPr>
            </w:r>
          </w:p>
        </w:tc>
      </w:tr>
      <w:tr>
        <w:trPr/>
        <w:tc>
          <w:tcPr>
            <w:tcW w:w="8622" w:type="dxa"/>
            <w:vMerge w:val="continue"/>
            <w:tcBorders/>
            <w:shd w:fill="auto" w:val="clear"/>
            <w:vAlign w:val="center"/>
          </w:tcPr>
          <w:p>
            <w:pPr>
              <w:pStyle w:val="Normal"/>
              <w:rPr/>
            </w:pPr>
            <w:r>
              <w:rPr/>
            </w:r>
          </w:p>
        </w:tc>
        <w:tc>
          <w:tcPr>
            <w:tcW w:w="60" w:type="dxa"/>
            <w:tcBorders>
              <w:top w:val="single" w:sz="6" w:space="0" w:color="7F7F7F"/>
              <w:left w:val="single" w:sz="6" w:space="0" w:color="7F7F7F"/>
            </w:tcBorders>
            <w:shd w:fill="auto" w:val="clear"/>
            <w:tcMar>
              <w:top w:w="28" w:type="dxa"/>
              <w:left w:w="28" w:type="dxa"/>
            </w:tcMar>
            <w:vAlign w:val="center"/>
          </w:tcPr>
          <w:p>
            <w:pPr>
              <w:pStyle w:val="TableContents"/>
              <w:spacing w:before="0" w:after="283"/>
              <w:rPr/>
            </w:pPr>
            <w:r>
              <w:rPr/>
              <w:t> </w:t>
            </w:r>
          </w:p>
        </w:tc>
        <w:tc>
          <w:tcPr>
            <w:tcW w:w="1523" w:type="dxa"/>
            <w:tcBorders>
              <w:top w:val="single" w:sz="6" w:space="0" w:color="7F7F7F"/>
              <w:right w:val="single" w:sz="6" w:space="0" w:color="7F7F7F"/>
            </w:tcBorders>
            <w:shd w:fill="auto" w:val="clear"/>
            <w:tcMar>
              <w:top w:w="28" w:type="dxa"/>
              <w:right w:w="40" w:type="dxa"/>
            </w:tcMar>
            <w:vAlign w:val="center"/>
          </w:tcPr>
          <w:p>
            <w:pPr>
              <w:pStyle w:val="TableContents"/>
              <w:spacing w:before="0" w:after="0"/>
              <w:rPr/>
            </w:pPr>
            <w:r>
              <w:rPr/>
              <w:t> </w:t>
            </w:r>
          </w:p>
          <w:p>
            <w:pPr>
              <w:pStyle w:val="TableContents"/>
              <w:spacing w:before="0" w:after="0"/>
              <w:jc w:val="center"/>
              <w:rPr>
                <w:rFonts w:ascii="ARIAL" w:hAnsi="ARIAL"/>
                <w:b/>
                <w:color w:val="007CBA"/>
                <w:sz w:val="20"/>
              </w:rPr>
            </w:pPr>
            <w:r>
              <w:rPr>
                <w:rFonts w:ascii="ARIAL" w:hAnsi="ARIAL"/>
                <w:b/>
                <w:color w:val="007CBA"/>
                <w:sz w:val="20"/>
              </w:rPr>
              <w:t>2022 INVESTOR OUTREACH</w:t>
            </w:r>
          </w:p>
          <w:p>
            <w:pPr>
              <w:pStyle w:val="TableContents"/>
              <w:spacing w:before="0" w:after="0"/>
              <w:jc w:val="left"/>
              <w:rPr/>
            </w:pPr>
            <w:r>
              <w:rPr/>
              <w:t> </w:t>
            </w:r>
          </w:p>
          <w:p>
            <w:pPr>
              <w:pStyle w:val="TableContents"/>
              <w:spacing w:before="0" w:after="0"/>
              <w:jc w:val="center"/>
              <w:rPr>
                <w:rFonts w:ascii="ARIAL" w:hAnsi="ARIAL"/>
                <w:b/>
                <w:color w:val="007CBA"/>
                <w:sz w:val="32"/>
              </w:rPr>
            </w:pPr>
            <w:r>
              <w:rPr>
                <w:rFonts w:ascii="ARIAL" w:hAnsi="ARIAL"/>
                <w:b/>
                <w:color w:val="007CBA"/>
                <w:sz w:val="32"/>
              </w:rPr>
              <w:t>~ 200</w:t>
            </w:r>
          </w:p>
          <w:p>
            <w:pPr>
              <w:pStyle w:val="TableContents"/>
              <w:spacing w:before="0" w:after="0"/>
              <w:jc w:val="center"/>
              <w:rPr>
                <w:rFonts w:ascii="ARIAL" w:hAnsi="ARIAL"/>
                <w:color w:val="007CBA"/>
                <w:sz w:val="20"/>
              </w:rPr>
            </w:pPr>
            <w:r>
              <w:rPr>
                <w:rFonts w:ascii="ARIAL" w:hAnsi="ARIAL"/>
                <w:color w:val="007CBA"/>
                <w:sz w:val="20"/>
              </w:rPr>
              <w:t>INVESTMENT GROUPS</w:t>
            </w:r>
          </w:p>
          <w:p>
            <w:pPr>
              <w:pStyle w:val="TableContents"/>
              <w:spacing w:before="0" w:after="20"/>
              <w:jc w:val="left"/>
              <w:rPr/>
            </w:pPr>
            <w:r>
              <w:rPr/>
              <w:t> </w:t>
            </w:r>
          </w:p>
        </w:tc>
      </w:tr>
      <w:tr>
        <w:trPr/>
        <w:tc>
          <w:tcPr>
            <w:tcW w:w="8622" w:type="dxa"/>
            <w:vMerge w:val="continue"/>
            <w:tcBorders/>
            <w:shd w:fill="auto" w:val="clear"/>
            <w:vAlign w:val="center"/>
          </w:tcPr>
          <w:p>
            <w:pPr>
              <w:pStyle w:val="Normal"/>
              <w:rPr/>
            </w:pPr>
            <w:r>
              <w:rPr/>
            </w:r>
          </w:p>
        </w:tc>
        <w:tc>
          <w:tcPr>
            <w:tcW w:w="60" w:type="dxa"/>
            <w:tcBorders>
              <w:left w:val="single" w:sz="6" w:space="0" w:color="7F7F7F"/>
            </w:tcBorders>
            <w:shd w:fill="auto" w:val="clear"/>
            <w:tcMar>
              <w:left w:w="28" w:type="dxa"/>
            </w:tcMar>
            <w:vAlign w:val="center"/>
          </w:tcPr>
          <w:p>
            <w:pPr>
              <w:pStyle w:val="TableContents"/>
              <w:spacing w:before="0" w:after="283"/>
              <w:rPr/>
            </w:pPr>
            <w:r>
              <w:rPr/>
              <w:t> </w:t>
            </w:r>
          </w:p>
        </w:tc>
        <w:tc>
          <w:tcPr>
            <w:tcW w:w="1523" w:type="dxa"/>
            <w:tcBorders>
              <w:right w:val="single" w:sz="6" w:space="0" w:color="7F7F7F"/>
            </w:tcBorders>
            <w:shd w:fill="auto" w:val="clear"/>
            <w:tcMar>
              <w:right w:w="40" w:type="dxa"/>
            </w:tcMar>
            <w:vAlign w:val="center"/>
          </w:tcPr>
          <w:p>
            <w:pPr>
              <w:pStyle w:val="TableContents"/>
              <w:spacing w:before="0" w:after="283"/>
              <w:rPr/>
            </w:pPr>
            <w:r>
              <w:rPr/>
              <w:t> </w:t>
            </w:r>
          </w:p>
        </w:tc>
      </w:tr>
      <w:tr>
        <w:trPr/>
        <w:tc>
          <w:tcPr>
            <w:tcW w:w="8622" w:type="dxa"/>
            <w:vMerge w:val="continue"/>
            <w:tcBorders/>
            <w:shd w:fill="auto" w:val="clear"/>
            <w:vAlign w:val="center"/>
          </w:tcPr>
          <w:p>
            <w:pPr>
              <w:pStyle w:val="Normal"/>
              <w:rPr/>
            </w:pPr>
            <w:r>
              <w:rPr/>
            </w:r>
          </w:p>
        </w:tc>
        <w:tc>
          <w:tcPr>
            <w:tcW w:w="6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1523" w:type="dxa"/>
            <w:tcBorders>
              <w:bottom w:val="single" w:sz="6" w:space="0" w:color="7F7F7F"/>
              <w:right w:val="single" w:sz="6" w:space="0" w:color="7F7F7F"/>
            </w:tcBorders>
            <w:shd w:fill="auto" w:val="clear"/>
            <w:tcMar>
              <w:bottom w:w="28" w:type="dxa"/>
              <w:right w:w="40" w:type="dxa"/>
            </w:tcM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At our 2022 Annual Meeting of Shareholders, 94% of the shares cast voted in favor of the advisory vote on executive compensation, or Say On Pay. We have made meaningful changes to our compensation program in recent years based on feedback from shareholders consisting of: </w:t>
      </w:r>
    </w:p>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125"/>
        <w:gridCol w:w="60"/>
        <w:gridCol w:w="906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0"/>
              <w:jc w:val="left"/>
              <w:rPr>
                <w:rFonts w:ascii="ARIAL" w:hAnsi="ARIAL"/>
                <w:sz w:val="20"/>
              </w:rPr>
            </w:pPr>
            <w:r>
              <w:rPr>
                <w:rFonts w:ascii="ARIAL" w:hAnsi="ARIAL"/>
                <w:b/>
                <w:color w:val="007CBA"/>
                <w:sz w:val="20"/>
              </w:rPr>
              <w:t>The elimination of the excise tax gross-up</w:t>
            </w:r>
            <w:r>
              <w:rPr>
                <w:rFonts w:ascii="ARIAL" w:hAnsi="ARIAL"/>
                <w:sz w:val="20"/>
              </w:rPr>
              <w:t xml:space="preserve"> in executive officers’ Employment Protection Agreements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b/>
                <w:color w:val="007CBA"/>
                <w:sz w:val="20"/>
              </w:rPr>
              <w:t>The elimination of the walk-right and value of perks</w:t>
            </w:r>
            <w:r>
              <w:rPr>
                <w:rFonts w:ascii="ARIAL" w:hAnsi="ARIAL"/>
                <w:sz w:val="20"/>
              </w:rPr>
              <w:t xml:space="preserve"> in the severance calculation in executive officers’ Employment Protection Agreements </w:t>
            </w:r>
          </w:p>
        </w:tc>
      </w:tr>
    </w:tbl>
    <w:p>
      <w:pPr>
        <w:pStyle w:val="TextBody"/>
        <w:spacing w:before="0" w:after="0"/>
        <w:jc w:val="left"/>
        <w:rPr/>
      </w:pPr>
      <w:r>
        <w:rPr/>
        <w:t> </w:t>
      </w:r>
    </w:p>
    <w:tbl>
      <w:tblPr>
        <w:tblW w:w="8410" w:type="dxa"/>
        <w:jc w:val="left"/>
        <w:tblInd w:w="0" w:type="dxa"/>
        <w:tblCellMar>
          <w:top w:w="0" w:type="dxa"/>
          <w:left w:w="0" w:type="dxa"/>
          <w:bottom w:w="0" w:type="dxa"/>
          <w:right w:w="0" w:type="dxa"/>
        </w:tblCellMar>
      </w:tblPr>
      <w:tblGrid>
        <w:gridCol w:w="125"/>
        <w:gridCol w:w="60"/>
        <w:gridCol w:w="822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225" w:type="dxa"/>
            <w:tcBorders/>
            <w:shd w:fill="auto" w:val="clear"/>
            <w:vAlign w:val="center"/>
          </w:tcPr>
          <w:p>
            <w:pPr>
              <w:pStyle w:val="TableContents"/>
              <w:spacing w:before="0" w:after="0"/>
              <w:jc w:val="left"/>
              <w:rPr>
                <w:rFonts w:ascii="ARIAL" w:hAnsi="ARIAL"/>
                <w:sz w:val="20"/>
              </w:rPr>
            </w:pPr>
            <w:r>
              <w:rPr>
                <w:rFonts w:ascii="ARIAL" w:hAnsi="ARIAL"/>
                <w:b/>
                <w:color w:val="007CBA"/>
                <w:sz w:val="20"/>
              </w:rPr>
              <w:t>The decision to not include these provisions</w:t>
            </w:r>
            <w:r>
              <w:rPr>
                <w:rFonts w:ascii="ARIAL" w:hAnsi="ARIAL"/>
                <w:sz w:val="20"/>
              </w:rPr>
              <w:t xml:space="preserve"> in future Employment Protection Agreements </w:t>
            </w:r>
          </w:p>
        </w:tc>
      </w:tr>
    </w:tbl>
    <w:p>
      <w:pPr>
        <w:pStyle w:val="TextBody"/>
        <w:spacing w:before="0" w:after="0"/>
        <w:jc w:val="left"/>
        <w:rPr/>
      </w:pPr>
      <w:r>
        <w:rPr/>
        <w:t> </w:t>
      </w:r>
    </w:p>
    <w:tbl>
      <w:tblPr>
        <w:tblW w:w="7480" w:type="dxa"/>
        <w:jc w:val="left"/>
        <w:tblInd w:w="0" w:type="dxa"/>
        <w:tblCellMar>
          <w:top w:w="0" w:type="dxa"/>
          <w:left w:w="0" w:type="dxa"/>
          <w:bottom w:w="0" w:type="dxa"/>
          <w:right w:w="0" w:type="dxa"/>
        </w:tblCellMar>
      </w:tblPr>
      <w:tblGrid>
        <w:gridCol w:w="125"/>
        <w:gridCol w:w="60"/>
        <w:gridCol w:w="729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295" w:type="dxa"/>
            <w:tcBorders/>
            <w:shd w:fill="auto" w:val="clear"/>
            <w:vAlign w:val="center"/>
          </w:tcPr>
          <w:p>
            <w:pPr>
              <w:pStyle w:val="TableContents"/>
              <w:spacing w:before="0" w:after="0"/>
              <w:jc w:val="left"/>
              <w:rPr>
                <w:rFonts w:ascii="ARIAL" w:hAnsi="ARIAL"/>
                <w:sz w:val="20"/>
              </w:rPr>
            </w:pPr>
            <w:r>
              <w:rPr>
                <w:rFonts w:ascii="ARIAL" w:hAnsi="ARIAL"/>
                <w:b/>
                <w:color w:val="007CBA"/>
                <w:sz w:val="20"/>
              </w:rPr>
              <w:t>The elimination of the single-trigger vesting</w:t>
            </w:r>
            <w:r>
              <w:rPr>
                <w:rFonts w:ascii="ARIAL" w:hAnsi="ARIAL"/>
                <w:sz w:val="20"/>
              </w:rPr>
              <w:t xml:space="preserve"> for equity awards beginning in 2019 </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11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spacing w:before="0" w:after="0"/>
        <w:jc w:val="left"/>
        <w:rPr/>
      </w:pPr>
      <w:r>
        <w:rPr/>
        <w:t> </w:t>
      </w:r>
    </w:p>
    <w:p>
      <w:pPr>
        <w:pStyle w:val="TextBody"/>
        <w:spacing w:before="0" w:after="0"/>
        <w:jc w:val="left"/>
        <w:rPr/>
      </w:pPr>
      <w:r>
        <w:rPr/>
        <w:t> </w:t>
      </w:r>
    </w:p>
    <w:p>
      <w:pPr>
        <w:pStyle w:val="TextBody"/>
        <w:spacing w:before="360" w:after="0"/>
        <w:jc w:val="left"/>
        <w:rPr>
          <w:rFonts w:ascii="ARIAL" w:hAnsi="ARIAL"/>
          <w:color w:val="007CBA"/>
          <w:sz w:val="26"/>
        </w:rPr>
      </w:pPr>
      <w:r>
        <w:rPr>
          <w:rFonts w:ascii="ARIAL" w:hAnsi="ARIAL"/>
          <w:color w:val="007CBA"/>
          <w:sz w:val="26"/>
        </w:rPr>
        <w:t xml:space="preserve">Proactively Engaging and Responding to Shareholders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06730" cy="481330"/>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506730" cy="481330"/>
                    </a:xfrm>
                    <a:prstGeom prst="rect">
                      <a:avLst/>
                    </a:prstGeom>
                  </pic:spPr>
                </pic:pic>
              </a:graphicData>
            </a:graphic>
          </wp:inline>
        </w:drawing>
      </w:r>
      <w:r>
        <w:rPr/>
        <w:t xml:space="preserve"> </w:t>
      </w:r>
    </w:p>
    <w:p>
      <w:pPr>
        <w:pStyle w:val="TextBody"/>
        <w:spacing w:before="360" w:after="0"/>
        <w:jc w:val="left"/>
        <w:rPr>
          <w:rFonts w:ascii="ARIAL" w:hAnsi="ARIAL"/>
          <w:color w:val="007CBA"/>
          <w:sz w:val="26"/>
        </w:rPr>
      </w:pPr>
      <w:r>
        <w:rPr>
          <w:rFonts w:ascii="ARIAL" w:hAnsi="ARIAL"/>
          <w:color w:val="007CBA"/>
          <w:sz w:val="26"/>
        </w:rPr>
        <w:t xml:space="preserve">Shareholder Governance Highlights: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3"/>
        <w:gridCol w:w="120"/>
        <w:gridCol w:w="3166"/>
        <w:gridCol w:w="240"/>
        <w:gridCol w:w="23"/>
        <w:gridCol w:w="60"/>
        <w:gridCol w:w="88"/>
        <w:gridCol w:w="120"/>
        <w:gridCol w:w="6285"/>
      </w:tblGrid>
      <w:tr>
        <w:trPr/>
        <w:tc>
          <w:tcPr>
            <w:tcW w:w="1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6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85" w:type="dxa"/>
            <w:tcBorders/>
            <w:shd w:fill="auto" w:val="clear"/>
            <w:vAlign w:val="center"/>
          </w:tcPr>
          <w:p>
            <w:pPr>
              <w:pStyle w:val="TableContents"/>
              <w:spacing w:before="0" w:after="283"/>
              <w:rPr>
                <w:sz w:val="4"/>
                <w:szCs w:val="4"/>
              </w:rPr>
            </w:pPr>
            <w:r>
              <w:rPr>
                <w:sz w:val="4"/>
                <w:szCs w:val="4"/>
              </w:rPr>
            </w:r>
          </w:p>
        </w:tc>
      </w:tr>
      <w:tr>
        <w:trPr/>
        <w:tc>
          <w:tcPr>
            <w:tcW w:w="103" w:type="dxa"/>
            <w:tcBorders/>
            <w:shd w:fill="auto" w:val="clear"/>
            <w:vAlign w:val="center"/>
          </w:tcPr>
          <w:p>
            <w:pPr>
              <w:pStyle w:val="TableContents"/>
              <w:spacing w:before="0" w:after="283"/>
              <w:rPr/>
            </w:pPr>
            <w:r>
              <w:rPr/>
              <w:drawing>
                <wp:inline distT="0" distB="0" distL="0" distR="0">
                  <wp:extent cx="38100" cy="36830"/>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0"/>
              <w:rPr>
                <w:rFonts w:ascii="ARIAL" w:hAnsi="ARIAL"/>
                <w:sz w:val="20"/>
              </w:rPr>
            </w:pPr>
            <w:r>
              <w:rPr>
                <w:rFonts w:ascii="ARIAL" w:hAnsi="ARIAL"/>
                <w:b/>
                <w:color w:val="007CBA"/>
                <w:sz w:val="20"/>
              </w:rPr>
              <w:t>Majority voting standard</w:t>
            </w:r>
            <w:r>
              <w:rPr>
                <w:rFonts w:ascii="ARIAL" w:hAnsi="ARIAL"/>
                <w:sz w:val="20"/>
              </w:rPr>
              <w:t xml:space="preserve"> for uncontested Director elections</w:t>
            </w:r>
          </w:p>
          <w:p>
            <w:pPr>
              <w:pStyle w:val="TableContents"/>
              <w:spacing w:before="0" w:after="20"/>
              <w:rPr/>
            </w:pPr>
            <w:r>
              <w:rPr/>
              <w:t> </w:t>
            </w:r>
          </w:p>
        </w:tc>
        <w:tc>
          <w:tcPr>
            <w:tcW w:w="24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drawing>
                <wp:inline distT="0" distB="0" distL="0" distR="0">
                  <wp:extent cx="38100" cy="36830"/>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6285" w:type="dxa"/>
            <w:tcBorders/>
            <w:shd w:fill="auto" w:val="clear"/>
            <w:vAlign w:val="center"/>
          </w:tcPr>
          <w:p>
            <w:pPr>
              <w:pStyle w:val="TableContents"/>
              <w:spacing w:before="0" w:after="283"/>
              <w:rPr/>
            </w:pPr>
            <w:r>
              <w:rPr>
                <w:b/>
                <w:color w:val="007CBA"/>
              </w:rPr>
              <w:t>Annual advisory vote</w:t>
            </w:r>
            <w:r>
              <w:rPr/>
              <w:t xml:space="preserve"> to approve executive compensation</w:t>
            </w:r>
          </w:p>
        </w:tc>
      </w:tr>
      <w:tr>
        <w:trPr/>
        <w:tc>
          <w:tcPr>
            <w:tcW w:w="103" w:type="dxa"/>
            <w:tcBorders>
              <w:top w:val="dotted" w:sz="8" w:space="0" w:color="000000"/>
            </w:tcBorders>
            <w:shd w:fill="auto" w:val="clear"/>
            <w:tcMar>
              <w:top w:w="28" w:type="dxa"/>
            </w:tcMar>
            <w:vAlign w:val="center"/>
          </w:tcPr>
          <w:p>
            <w:pPr>
              <w:pStyle w:val="TableContents"/>
              <w:spacing w:before="0" w:after="283"/>
              <w:rPr/>
            </w:pPr>
            <w:r>
              <w:rPr/>
              <w:t> </w:t>
            </w:r>
          </w:p>
        </w:tc>
        <w:tc>
          <w:tcPr>
            <w:tcW w:w="3286" w:type="dxa"/>
            <w:gridSpan w:val="2"/>
            <w:tcBorders>
              <w:top w:val="dotted" w:sz="8" w:space="0" w:color="000000"/>
            </w:tcBorders>
            <w:shd w:fill="auto" w:val="clear"/>
            <w:tcMar>
              <w:top w:w="28" w:type="dxa"/>
            </w:tcMar>
            <w:vAlign w:val="center"/>
          </w:tcPr>
          <w:p>
            <w:pPr>
              <w:pStyle w:val="TableContents"/>
              <w:spacing w:before="0" w:after="283"/>
              <w:rPr/>
            </w:pPr>
            <w:r>
              <w:rPr/>
              <w:t> </w:t>
            </w:r>
          </w:p>
        </w:tc>
        <w:tc>
          <w:tcPr>
            <w:tcW w:w="263" w:type="dxa"/>
            <w:gridSpan w:val="2"/>
            <w:tcBorders/>
            <w:shd w:fill="auto" w:val="clear"/>
            <w:vAlign w:val="center"/>
          </w:tcPr>
          <w:p>
            <w:pPr>
              <w:pStyle w:val="TableContents"/>
              <w:spacing w:before="0" w:after="283"/>
              <w:rPr>
                <w:sz w:val="4"/>
                <w:szCs w:val="4"/>
              </w:rPr>
            </w:pPr>
            <w:r>
              <w:rPr>
                <w:sz w:val="4"/>
                <w:szCs w:val="4"/>
              </w:rPr>
            </w:r>
          </w:p>
        </w:tc>
        <w:tc>
          <w:tcPr>
            <w:tcW w:w="148" w:type="dxa"/>
            <w:gridSpan w:val="2"/>
            <w:tcBorders>
              <w:top w:val="dotted" w:sz="8" w:space="0" w:color="000000"/>
            </w:tcBorders>
            <w:shd w:fill="auto" w:val="clear"/>
            <w:tcMar>
              <w:top w:w="28" w:type="dxa"/>
            </w:tcMar>
            <w:vAlign w:val="center"/>
          </w:tcPr>
          <w:p>
            <w:pPr>
              <w:pStyle w:val="TableContents"/>
              <w:spacing w:before="0" w:after="283"/>
              <w:rPr/>
            </w:pPr>
            <w:r>
              <w:rPr/>
              <w:t> </w:t>
            </w:r>
          </w:p>
        </w:tc>
        <w:tc>
          <w:tcPr>
            <w:tcW w:w="6405" w:type="dxa"/>
            <w:gridSpan w:val="2"/>
            <w:tcBorders>
              <w:top w:val="dotted" w:sz="8" w:space="0" w:color="000000"/>
            </w:tcBorders>
            <w:shd w:fill="auto" w:val="clear"/>
            <w:tcMar>
              <w:top w:w="28" w:type="dxa"/>
            </w:tcMar>
            <w:vAlign w:val="center"/>
          </w:tcPr>
          <w:p>
            <w:pPr>
              <w:pStyle w:val="TableContents"/>
              <w:spacing w:before="0" w:after="283"/>
              <w:rPr/>
            </w:pPr>
            <w:r>
              <w:rPr/>
              <w:t> </w:t>
            </w:r>
          </w:p>
        </w:tc>
      </w:tr>
      <w:tr>
        <w:trPr/>
        <w:tc>
          <w:tcPr>
            <w:tcW w:w="103" w:type="dxa"/>
            <w:tcBorders/>
            <w:shd w:fill="auto" w:val="clear"/>
            <w:vAlign w:val="center"/>
          </w:tcPr>
          <w:p>
            <w:pPr>
              <w:pStyle w:val="TableContents"/>
              <w:spacing w:before="0" w:after="283"/>
              <w:rPr/>
            </w:pPr>
            <w:r>
              <w:rPr/>
              <w:drawing>
                <wp:inline distT="0" distB="0" distL="0" distR="0">
                  <wp:extent cx="38100" cy="36830"/>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0"/>
              <w:rPr>
                <w:rFonts w:ascii="ARIAL" w:hAnsi="ARIAL"/>
                <w:sz w:val="20"/>
              </w:rPr>
            </w:pPr>
            <w:r>
              <w:rPr>
                <w:rFonts w:ascii="ARIAL" w:hAnsi="ARIAL"/>
                <w:b/>
                <w:color w:val="007CBA"/>
                <w:sz w:val="20"/>
              </w:rPr>
              <w:t>Longstanding active</w:t>
            </w:r>
            <w:r>
              <w:rPr>
                <w:rFonts w:ascii="ARIAL" w:hAnsi="ARIAL"/>
                <w:sz w:val="20"/>
              </w:rPr>
              <w:t xml:space="preserve"> shareholder engagement</w:t>
            </w:r>
          </w:p>
          <w:p>
            <w:pPr>
              <w:pStyle w:val="TableContents"/>
              <w:spacing w:before="0" w:after="20"/>
              <w:rPr/>
            </w:pPr>
            <w:r>
              <w:rPr/>
              <w:t> </w:t>
            </w:r>
          </w:p>
        </w:tc>
        <w:tc>
          <w:tcPr>
            <w:tcW w:w="24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drawing>
                <wp:inline distT="0" distB="0" distL="0" distR="0">
                  <wp:extent cx="38100" cy="36830"/>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38100" cy="36830"/>
                          </a:xfrm>
                          <a:prstGeom prst="rect">
                            <a:avLst/>
                          </a:prstGeom>
                        </pic:spPr>
                      </pic:pic>
                    </a:graphicData>
                  </a:graphic>
                </wp:inline>
              </w:drawing>
            </w:r>
            <w:r>
              <w:rPr/>
              <w:t xml:space="preserve"> </w:t>
            </w:r>
          </w:p>
        </w:tc>
        <w:tc>
          <w:tcPr>
            <w:tcW w:w="120" w:type="dxa"/>
            <w:vMerge w:val="restart"/>
            <w:tcBorders/>
            <w:shd w:fill="auto" w:val="clear"/>
            <w:vAlign w:val="center"/>
          </w:tcPr>
          <w:p>
            <w:pPr>
              <w:pStyle w:val="TableContents"/>
              <w:spacing w:before="0" w:after="283"/>
              <w:rPr/>
            </w:pPr>
            <w:r>
              <w:rPr/>
              <w:t>  </w:t>
            </w:r>
          </w:p>
        </w:tc>
        <w:tc>
          <w:tcPr>
            <w:tcW w:w="6285" w:type="dxa"/>
            <w:vMerge w:val="restart"/>
            <w:tcBorders/>
            <w:shd w:fill="auto" w:val="clear"/>
            <w:vAlign w:val="center"/>
          </w:tcPr>
          <w:p>
            <w:pPr>
              <w:pStyle w:val="TableContents"/>
              <w:spacing w:before="0" w:after="0"/>
              <w:rPr>
                <w:rFonts w:ascii="ARIAL" w:hAnsi="ARIAL"/>
                <w:sz w:val="20"/>
              </w:rPr>
            </w:pPr>
            <w:r>
              <w:rPr>
                <w:rFonts w:ascii="ARIAL" w:hAnsi="ARIAL"/>
                <w:b/>
                <w:color w:val="007CBA"/>
                <w:sz w:val="20"/>
              </w:rPr>
              <w:t xml:space="preserve">Annual Sustainability Report </w:t>
            </w:r>
            <w:r>
              <w:rPr>
                <w:rFonts w:ascii="ARIAL" w:hAnsi="ARIAL"/>
                <w:sz w:val="20"/>
              </w:rPr>
              <w:t>that provides information on our environmental footprint, safety record and community engagement</w:t>
            </w:r>
          </w:p>
          <w:p>
            <w:pPr>
              <w:pStyle w:val="TableContents"/>
              <w:spacing w:before="0" w:after="0"/>
              <w:rPr/>
            </w:pPr>
            <w:r>
              <w:rPr/>
              <w:t>•  </w:t>
            </w:r>
            <w:r>
              <w:rPr>
                <w:rFonts w:ascii="ARIAL" w:hAnsi="ARIAL"/>
                <w:sz w:val="20"/>
              </w:rPr>
              <w:t>Created a new position to better focus on these important issues</w:t>
            </w:r>
          </w:p>
          <w:p>
            <w:pPr>
              <w:pStyle w:val="TableContents"/>
              <w:spacing w:before="0" w:after="0"/>
              <w:rPr/>
            </w:pPr>
            <w:r>
              <w:rPr/>
              <w:t>•  </w:t>
            </w:r>
            <w:r>
              <w:rPr>
                <w:rFonts w:ascii="ARIAL" w:hAnsi="ARIAL"/>
                <w:sz w:val="20"/>
              </w:rPr>
              <w:t>Our Board committees review the Company’s goals and accomplishments with regard to sustainability</w:t>
            </w:r>
          </w:p>
          <w:p>
            <w:pPr>
              <w:pStyle w:val="TableContents"/>
              <w:spacing w:before="0" w:after="20"/>
              <w:rPr/>
            </w:pPr>
            <w:r>
              <w:rPr/>
              <w:t> </w:t>
            </w:r>
          </w:p>
        </w:tc>
      </w:tr>
      <w:tr>
        <w:trPr/>
        <w:tc>
          <w:tcPr>
            <w:tcW w:w="103" w:type="dxa"/>
            <w:tcBorders>
              <w:top w:val="dotted" w:sz="8" w:space="0" w:color="000000"/>
            </w:tcBorders>
            <w:shd w:fill="auto" w:val="clear"/>
            <w:tcMar>
              <w:top w:w="28" w:type="dxa"/>
            </w:tcMar>
            <w:vAlign w:val="center"/>
          </w:tcPr>
          <w:p>
            <w:pPr>
              <w:pStyle w:val="TableContents"/>
              <w:spacing w:before="0" w:after="283"/>
              <w:rPr/>
            </w:pPr>
            <w:r>
              <w:rPr/>
              <w:drawing>
                <wp:inline distT="0" distB="0" distL="0" distR="0">
                  <wp:extent cx="38100" cy="36830"/>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top w:val="dotted" w:sz="8" w:space="0" w:color="000000"/>
            </w:tcBorders>
            <w:shd w:fill="auto" w:val="clear"/>
            <w:tcMar>
              <w:top w:w="28" w:type="dxa"/>
            </w:tcMar>
            <w:vAlign w:val="center"/>
          </w:tcPr>
          <w:p>
            <w:pPr>
              <w:pStyle w:val="TableContents"/>
              <w:spacing w:before="0" w:after="283"/>
              <w:rPr/>
            </w:pPr>
            <w:r>
              <w:rPr/>
              <w:t>  </w:t>
            </w:r>
          </w:p>
        </w:tc>
        <w:tc>
          <w:tcPr>
            <w:tcW w:w="3166" w:type="dxa"/>
            <w:tcBorders>
              <w:top w:val="dotted" w:sz="8" w:space="0" w:color="000000"/>
            </w:tcBorders>
            <w:shd w:fill="auto" w:val="clear"/>
            <w:tcMar>
              <w:top w:w="28" w:type="dxa"/>
            </w:tcMar>
            <w:vAlign w:val="center"/>
          </w:tcPr>
          <w:p>
            <w:pPr>
              <w:pStyle w:val="TableContents"/>
              <w:spacing w:before="0" w:after="0"/>
              <w:rPr>
                <w:rFonts w:ascii="ARIAL" w:hAnsi="ARIAL"/>
                <w:sz w:val="20"/>
              </w:rPr>
            </w:pPr>
            <w:r>
              <w:rPr>
                <w:rFonts w:ascii="ARIAL" w:hAnsi="ARIAL"/>
                <w:sz w:val="20"/>
              </w:rPr>
              <w:br/>
            </w:r>
            <w:r>
              <w:rPr>
                <w:rFonts w:ascii="ARIAL" w:hAnsi="ARIAL"/>
                <w:b/>
                <w:color w:val="007CBA"/>
                <w:sz w:val="20"/>
              </w:rPr>
              <w:t>Annual advisory vote</w:t>
            </w:r>
            <w:r>
              <w:rPr>
                <w:rFonts w:ascii="ARIAL" w:hAnsi="ARIAL"/>
                <w:sz w:val="20"/>
              </w:rPr>
              <w:t xml:space="preserve"> to ratify independent auditor</w:t>
            </w:r>
          </w:p>
          <w:p>
            <w:pPr>
              <w:pStyle w:val="TableContents"/>
              <w:spacing w:before="0" w:after="20"/>
              <w:rPr/>
            </w:pPr>
            <w:r>
              <w:rPr/>
              <w:t> </w:t>
            </w:r>
          </w:p>
        </w:tc>
        <w:tc>
          <w:tcPr>
            <w:tcW w:w="24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sz w:val="4"/>
                <w:szCs w:val="4"/>
              </w:rPr>
            </w:pPr>
            <w:r>
              <w:rPr>
                <w:sz w:val="4"/>
                <w:szCs w:val="4"/>
              </w:rPr>
            </w:r>
          </w:p>
        </w:tc>
        <w:tc>
          <w:tcPr>
            <w:tcW w:w="120" w:type="dxa"/>
            <w:vMerge w:val="continue"/>
            <w:tcBorders/>
            <w:shd w:fill="auto" w:val="clear"/>
            <w:vAlign w:val="center"/>
          </w:tcPr>
          <w:p>
            <w:pPr>
              <w:pStyle w:val="Normal"/>
              <w:rPr/>
            </w:pPr>
            <w:r>
              <w:rPr/>
            </w:r>
          </w:p>
        </w:tc>
        <w:tc>
          <w:tcPr>
            <w:tcW w:w="6285" w:type="dxa"/>
            <w:vMerge w:val="continue"/>
            <w:tcBorders/>
            <w:shd w:fill="auto" w:val="clear"/>
            <w:vAlign w:val="center"/>
          </w:tcPr>
          <w:p>
            <w:pPr>
              <w:pStyle w:val="Normal"/>
              <w:rPr/>
            </w:pPr>
            <w:r>
              <w:rPr/>
            </w:r>
          </w:p>
        </w:tc>
      </w:tr>
      <w:tr>
        <w:trPr/>
        <w:tc>
          <w:tcPr>
            <w:tcW w:w="103" w:type="dxa"/>
            <w:tcBorders>
              <w:top w:val="dotted" w:sz="8" w:space="0" w:color="000000"/>
            </w:tcBorders>
            <w:shd w:fill="auto" w:val="clear"/>
            <w:tcMar>
              <w:top w:w="28" w:type="dxa"/>
            </w:tcMar>
            <w:vAlign w:val="center"/>
          </w:tcPr>
          <w:p>
            <w:pPr>
              <w:pStyle w:val="TableContents"/>
              <w:spacing w:before="0" w:after="283"/>
              <w:rPr/>
            </w:pPr>
            <w:r>
              <w:rPr/>
              <w:t> </w:t>
            </w:r>
          </w:p>
        </w:tc>
        <w:tc>
          <w:tcPr>
            <w:tcW w:w="3286" w:type="dxa"/>
            <w:gridSpan w:val="2"/>
            <w:tcBorders>
              <w:top w:val="dotted" w:sz="8" w:space="0" w:color="000000"/>
            </w:tcBorders>
            <w:shd w:fill="auto" w:val="clear"/>
            <w:tcMar>
              <w:top w:w="28" w:type="dxa"/>
            </w:tcMar>
            <w:vAlign w:val="center"/>
          </w:tcPr>
          <w:p>
            <w:pPr>
              <w:pStyle w:val="TableContents"/>
              <w:spacing w:before="0" w:after="283"/>
              <w:rPr/>
            </w:pPr>
            <w:r>
              <w:rPr/>
              <w:t> </w:t>
            </w:r>
          </w:p>
        </w:tc>
        <w:tc>
          <w:tcPr>
            <w:tcW w:w="263" w:type="dxa"/>
            <w:gridSpan w:val="2"/>
            <w:tcBorders/>
            <w:shd w:fill="auto" w:val="clear"/>
            <w:vAlign w:val="center"/>
          </w:tcPr>
          <w:p>
            <w:pPr>
              <w:pStyle w:val="TableContents"/>
              <w:spacing w:before="0" w:after="283"/>
              <w:rPr>
                <w:sz w:val="4"/>
                <w:szCs w:val="4"/>
              </w:rPr>
            </w:pPr>
            <w:r>
              <w:rPr>
                <w:sz w:val="4"/>
                <w:szCs w:val="4"/>
              </w:rPr>
            </w:r>
          </w:p>
        </w:tc>
        <w:tc>
          <w:tcPr>
            <w:tcW w:w="148" w:type="dxa"/>
            <w:gridSpan w:val="2"/>
            <w:tcBorders/>
            <w:shd w:fill="auto" w:val="clear"/>
            <w:vAlign w:val="center"/>
          </w:tcPr>
          <w:p>
            <w:pPr>
              <w:pStyle w:val="TableContents"/>
              <w:spacing w:before="0" w:after="283"/>
              <w:rPr>
                <w:sz w:val="4"/>
                <w:szCs w:val="4"/>
              </w:rPr>
            </w:pPr>
            <w:r>
              <w:rPr>
                <w:sz w:val="4"/>
                <w:szCs w:val="4"/>
              </w:rPr>
            </w:r>
          </w:p>
        </w:tc>
        <w:tc>
          <w:tcPr>
            <w:tcW w:w="6405" w:type="dxa"/>
            <w:gridSpan w:val="2"/>
            <w:tcBorders>
              <w:top w:val="dotted" w:sz="8" w:space="0" w:color="000000"/>
            </w:tcBorders>
            <w:shd w:fill="auto" w:val="clear"/>
            <w:tcMar>
              <w:top w:w="28" w:type="dxa"/>
            </w:tcMar>
            <w:vAlign w:val="center"/>
          </w:tcPr>
          <w:p>
            <w:pPr>
              <w:pStyle w:val="TableContents"/>
              <w:spacing w:before="0" w:after="283"/>
              <w:rPr/>
            </w:pPr>
            <w:r>
              <w:rPr/>
              <w:t> </w:t>
            </w:r>
          </w:p>
        </w:tc>
      </w:tr>
      <w:tr>
        <w:trPr/>
        <w:tc>
          <w:tcPr>
            <w:tcW w:w="103" w:type="dxa"/>
            <w:tcBorders/>
            <w:shd w:fill="auto" w:val="clear"/>
            <w:vAlign w:val="center"/>
          </w:tcPr>
          <w:p>
            <w:pPr>
              <w:pStyle w:val="TableContents"/>
              <w:spacing w:before="0" w:after="0"/>
              <w:rPr/>
            </w:pPr>
            <w:r>
              <w:rPr/>
              <w:t> </w:t>
            </w:r>
          </w:p>
          <w:p>
            <w:pPr>
              <w:pStyle w:val="TableContents"/>
              <w:spacing w:before="0" w:after="20"/>
              <w:rPr/>
            </w:pPr>
            <w:r>
              <w:rPr/>
              <w:drawing>
                <wp:inline distT="0" distB="0" distL="0" distR="0">
                  <wp:extent cx="38100" cy="36830"/>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br/>
            </w:r>
            <w:r>
              <w:rPr>
                <w:b/>
                <w:color w:val="007CBA"/>
              </w:rPr>
              <w:t>No shares</w:t>
            </w:r>
            <w:r>
              <w:rPr/>
              <w:t xml:space="preserve"> with enhanced voting rights</w:t>
            </w:r>
          </w:p>
        </w:tc>
        <w:tc>
          <w:tcPr>
            <w:tcW w:w="24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drawing>
                <wp:inline distT="0" distB="0" distL="0" distR="0">
                  <wp:extent cx="38100" cy="36830"/>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6285" w:type="dxa"/>
            <w:tcBorders/>
            <w:shd w:fill="auto" w:val="clear"/>
            <w:vAlign w:val="center"/>
          </w:tcPr>
          <w:p>
            <w:pPr>
              <w:pStyle w:val="TableContents"/>
              <w:spacing w:before="0" w:after="283"/>
              <w:rPr/>
            </w:pPr>
            <w:r>
              <w:rPr>
                <w:b/>
                <w:color w:val="007CBA"/>
              </w:rPr>
              <w:t>Updated Board Committee Charters</w:t>
            </w:r>
            <w:r>
              <w:rPr/>
              <w:t xml:space="preserve"> for ESG matters, Diversity, Engagement and Inclusion, and Political Contributions</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12</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 xml:space="preserve">PROXY </w:t>
      </w:r>
    </w:p>
    <w:p>
      <w:pPr>
        <w:pStyle w:val="TextBody"/>
        <w:spacing w:before="0" w:after="0"/>
        <w:jc w:val="left"/>
        <w:rPr/>
      </w:pPr>
      <w:r>
        <w:rPr/>
        <w:t> </w:t>
      </w:r>
    </w:p>
    <w:p>
      <w:pPr>
        <w:pStyle w:val="TextBody"/>
        <w:spacing w:before="0" w:after="0"/>
        <w:jc w:val="left"/>
        <w:rPr>
          <w:rFonts w:ascii="ARIAL" w:hAnsi="ARIAL"/>
          <w:b/>
          <w:color w:val="71BE9A"/>
          <w:sz w:val="26"/>
        </w:rPr>
      </w:pPr>
      <w:r>
        <w:rPr>
          <w:rFonts w:ascii="ARIAL" w:hAnsi="ARIAL"/>
          <w:b/>
          <w:color w:val="71BE9A"/>
          <w:sz w:val="26"/>
        </w:rPr>
        <w:t xml:space="preserve">Our Commitment to Our People and Pay-for-Performance </w:t>
      </w:r>
    </w:p>
    <w:p>
      <w:pPr>
        <w:pStyle w:val="TextBody"/>
        <w:spacing w:before="300" w:after="0"/>
        <w:jc w:val="left"/>
        <w:rPr>
          <w:rFonts w:ascii="ARIAL" w:hAnsi="ARIAL"/>
          <w:color w:val="007CBA"/>
          <w:sz w:val="26"/>
        </w:rPr>
      </w:pPr>
      <w:r>
        <w:rPr>
          <w:rFonts w:ascii="ARIAL" w:hAnsi="ARIAL"/>
          <w:color w:val="007CBA"/>
          <w:sz w:val="26"/>
        </w:rPr>
        <w:t xml:space="preserve">In 2022, we advanced our initiatives relating to employee engagement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5"/>
        <w:gridCol w:w="60"/>
        <w:gridCol w:w="9900"/>
      </w:tblGrid>
      <w:tr>
        <w:trPr/>
        <w:tc>
          <w:tcPr>
            <w:tcW w:w="24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00" w:type="dxa"/>
            <w:tcBorders/>
            <w:shd w:fill="auto" w:val="clear"/>
            <w:vAlign w:val="center"/>
          </w:tcPr>
          <w:p>
            <w:pPr>
              <w:pStyle w:val="TableContents"/>
              <w:spacing w:before="0" w:after="0"/>
              <w:jc w:val="left"/>
              <w:rPr>
                <w:rFonts w:ascii="ARIAL" w:hAnsi="ARIAL"/>
                <w:sz w:val="20"/>
              </w:rPr>
            </w:pPr>
            <w:r>
              <w:rPr>
                <w:rFonts w:ascii="ARIAL" w:hAnsi="ARIAL"/>
                <w:sz w:val="20"/>
              </w:rPr>
              <w:t xml:space="preserve">Developed and launched an inclusion and engagement awareness communications campaign to help managers and employees better understand why inclusion and engagement matters and how inclusion and engagement are already ingrained in Martin Marietta’s culture and values. The campaign highlights that ensuring we maintain an inclusive and engaging culture will help create a competitive advantage for the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5"/>
        <w:gridCol w:w="60"/>
        <w:gridCol w:w="9900"/>
      </w:tblGrid>
      <w:tr>
        <w:trPr/>
        <w:tc>
          <w:tcPr>
            <w:tcW w:w="24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00" w:type="dxa"/>
            <w:tcBorders/>
            <w:shd w:fill="auto" w:val="clear"/>
            <w:vAlign w:val="center"/>
          </w:tcPr>
          <w:p>
            <w:pPr>
              <w:pStyle w:val="TableContents"/>
              <w:spacing w:before="0" w:after="0"/>
              <w:jc w:val="left"/>
              <w:rPr>
                <w:rFonts w:ascii="ARIAL" w:hAnsi="ARIAL"/>
                <w:sz w:val="20"/>
              </w:rPr>
            </w:pPr>
            <w:r>
              <w:rPr>
                <w:rFonts w:ascii="ARIAL" w:hAnsi="ARIAL"/>
                <w:sz w:val="20"/>
              </w:rPr>
              <w:t xml:space="preserve">Launched a dedicated section on our Company’s external website to highlight Inclusion, Engagement and Diversity at Martin Marietta.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5"/>
        <w:gridCol w:w="60"/>
        <w:gridCol w:w="9900"/>
      </w:tblGrid>
      <w:tr>
        <w:trPr/>
        <w:tc>
          <w:tcPr>
            <w:tcW w:w="24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00" w:type="dxa"/>
            <w:tcBorders/>
            <w:shd w:fill="auto" w:val="clear"/>
            <w:vAlign w:val="center"/>
          </w:tcPr>
          <w:p>
            <w:pPr>
              <w:pStyle w:val="TableContents"/>
              <w:spacing w:before="0" w:after="0"/>
              <w:jc w:val="left"/>
              <w:rPr>
                <w:rFonts w:ascii="ARIAL" w:hAnsi="ARIAL"/>
                <w:sz w:val="20"/>
              </w:rPr>
            </w:pPr>
            <w:r>
              <w:rPr>
                <w:rFonts w:ascii="ARIAL" w:hAnsi="ARIAL"/>
                <w:sz w:val="20"/>
              </w:rPr>
              <w:t xml:space="preserve">Developed guidelines and strategies to launch Martin Marietta’s first three Employee Resource Groups, supporting veterans, women and diverse cultures, in early 2023. </w:t>
            </w:r>
          </w:p>
        </w:tc>
      </w:tr>
    </w:tbl>
    <w:p>
      <w:pPr>
        <w:pStyle w:val="TextBody"/>
        <w:spacing w:before="0" w:after="0"/>
        <w:jc w:val="left"/>
        <w:rPr/>
      </w:pPr>
      <w:r>
        <w:rPr/>
        <w:t> </w:t>
      </w:r>
    </w:p>
    <w:tbl>
      <w:tblPr>
        <w:tblW w:w="5380" w:type="dxa"/>
        <w:jc w:val="left"/>
        <w:tblInd w:w="0" w:type="dxa"/>
        <w:tblCellMar>
          <w:top w:w="0" w:type="dxa"/>
          <w:left w:w="0" w:type="dxa"/>
          <w:bottom w:w="0" w:type="dxa"/>
          <w:right w:w="0" w:type="dxa"/>
        </w:tblCellMar>
      </w:tblPr>
      <w:tblGrid>
        <w:gridCol w:w="245"/>
        <w:gridCol w:w="60"/>
        <w:gridCol w:w="5075"/>
      </w:tblGrid>
      <w:tr>
        <w:trPr/>
        <w:tc>
          <w:tcPr>
            <w:tcW w:w="24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ARIAL" w:hAnsi="ARIAL"/>
                <w:sz w:val="20"/>
              </w:rPr>
            </w:pPr>
            <w:r>
              <w:rPr>
                <w:rFonts w:ascii="ARIAL" w:hAnsi="ARIAL"/>
                <w:sz w:val="20"/>
              </w:rPr>
              <w:t xml:space="preserve">Joined the CEO Action for Diversity &amp; Inclusion coalition. </w:t>
            </w:r>
          </w:p>
        </w:tc>
      </w:tr>
    </w:tbl>
    <w:p>
      <w:pPr>
        <w:pStyle w:val="TextBody"/>
        <w:spacing w:before="0" w:after="0"/>
        <w:jc w:val="left"/>
        <w:rPr/>
      </w:pPr>
      <w:r>
        <w:rPr/>
        <w:t> </w:t>
      </w:r>
    </w:p>
    <w:tbl>
      <w:tblPr>
        <w:tblW w:w="7585" w:type="dxa"/>
        <w:jc w:val="left"/>
        <w:tblInd w:w="0" w:type="dxa"/>
        <w:tblCellMar>
          <w:top w:w="0" w:type="dxa"/>
          <w:left w:w="0" w:type="dxa"/>
          <w:bottom w:w="0" w:type="dxa"/>
          <w:right w:w="0" w:type="dxa"/>
        </w:tblCellMar>
      </w:tblPr>
      <w:tblGrid>
        <w:gridCol w:w="245"/>
        <w:gridCol w:w="60"/>
        <w:gridCol w:w="7280"/>
      </w:tblGrid>
      <w:tr>
        <w:trPr/>
        <w:tc>
          <w:tcPr>
            <w:tcW w:w="24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jc w:val="left"/>
              <w:rPr>
                <w:rFonts w:ascii="ARIAL" w:hAnsi="ARIAL"/>
                <w:sz w:val="20"/>
              </w:rPr>
            </w:pPr>
            <w:r>
              <w:rPr>
                <w:rFonts w:ascii="ARIAL" w:hAnsi="ARIAL"/>
                <w:sz w:val="20"/>
              </w:rPr>
              <w:t xml:space="preserve">Elevated the Head of Inclusion and Engagement position to a Vice President level. </w:t>
            </w:r>
          </w:p>
        </w:tc>
      </w:tr>
    </w:tbl>
    <w:p>
      <w:pPr>
        <w:pStyle w:val="TextBody"/>
        <w:spacing w:before="360" w:after="0"/>
        <w:jc w:val="left"/>
        <w:rPr>
          <w:rFonts w:ascii="ARIAL" w:hAnsi="ARIAL"/>
          <w:color w:val="007CBA"/>
          <w:sz w:val="26"/>
        </w:rPr>
      </w:pPr>
      <w:r>
        <w:rPr>
          <w:rFonts w:ascii="ARIAL" w:hAnsi="ARIAL"/>
          <w:color w:val="007CBA"/>
          <w:sz w:val="26"/>
        </w:rPr>
        <w:t xml:space="preserve">Our Compensation Approach and Highlights </w:t>
      </w:r>
    </w:p>
    <w:p>
      <w:pPr>
        <w:pStyle w:val="TextBody"/>
        <w:spacing w:before="120" w:after="0"/>
        <w:jc w:val="left"/>
        <w:rPr>
          <w:rFonts w:ascii="ARIAL" w:hAnsi="ARIAL"/>
          <w:sz w:val="20"/>
        </w:rPr>
      </w:pPr>
      <w:r>
        <w:rPr>
          <w:rFonts w:ascii="ARIAL" w:hAnsi="ARIAL"/>
          <w:sz w:val="20"/>
        </w:rPr>
        <w:t xml:space="preserve">A substantial portion of compensation paid to our named executive officers (NEOs) is variable and performance-based. We use the 50th percentile of our peer group as a reference point when determining target compensation, but target pay is set based on a variety of factors and actual pay realized by our NEOs is dependent on our financial, operational and other related performance. Based on our record levels of performance in 2022, variable compensation payable under both our short-term and long-term incentive plans exceeded the target amounts established for each NEO, which is consistent with our pay-for-performance philosophy. All compensation paid to our CEO and other NEOs for 2022 was performance-based other than base salary; approximately 88% of our CEO’s compensation was performance-based and 75% of our other NEOs’ actual compensation was performance based.*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03250" cy="20129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603250" cy="201295"/>
                    </a:xfrm>
                    <a:prstGeom prst="rect">
                      <a:avLst/>
                    </a:prstGeom>
                  </pic:spPr>
                </pic:pic>
              </a:graphicData>
            </a:graphic>
          </wp:inline>
        </w:drawing>
      </w:r>
      <w:r>
        <w:rPr/>
        <w:t xml:space="preserve"> </w:t>
      </w:r>
    </w:p>
    <w:p>
      <w:pPr>
        <w:pStyle w:val="TextBody"/>
        <w:spacing w:before="240" w:after="0"/>
        <w:jc w:val="left"/>
        <w:rPr>
          <w:rFonts w:ascii="ARIAL" w:hAnsi="ARIAL"/>
          <w:sz w:val="16"/>
        </w:rPr>
      </w:pPr>
      <w:r>
        <w:rPr>
          <w:rFonts w:ascii="ARIAL" w:hAnsi="ARIAL"/>
          <w:sz w:val="16"/>
        </w:rPr>
        <w:t xml:space="preserve">* Based on grant date value of Performance Share Units (PSUs) and Restricted Stock Units (RSUs).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13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7CBA"/>
          <w:sz w:val="42"/>
        </w:rPr>
      </w:pPr>
      <w:bookmarkStart w:id="5" w:name="toc390557_2"/>
      <w:bookmarkEnd w:id="5"/>
      <w:r>
        <w:rPr>
          <w:rFonts w:ascii="ARIAL" w:hAnsi="ARIAL"/>
          <w:b/>
          <w:color w:val="007CBA"/>
          <w:sz w:val="42"/>
        </w:rPr>
        <w:t xml:space="preserve">The Board of Directors </w:t>
      </w:r>
    </w:p>
    <w:p>
      <w:pPr>
        <w:pStyle w:val="TextBody"/>
        <w:spacing w:before="240" w:after="0"/>
        <w:jc w:val="left"/>
        <w:rPr>
          <w:rFonts w:ascii="ARIAL" w:hAnsi="ARIAL"/>
          <w:sz w:val="20"/>
        </w:rPr>
      </w:pPr>
      <w:r>
        <w:rPr>
          <w:rFonts w:ascii="ARIAL" w:hAnsi="ARIAL"/>
          <w:sz w:val="20"/>
        </w:rPr>
        <w:t xml:space="preserve">The Board of Directors currently consists of eleven members, ten of whom are non-employee Directors. Under our Bylaws, nominations of persons for election to the Board may be made at an Annual Meeting of Shareholders by the Board and by any shareholder who complies with the notice procedures set forth in the Bylaws. As described in the Proxy Statement for our 2022 Annual Meeting, for a nomination to be properly made by a shareholder at the 2023 Annual Meeting, the shareholder’s notice must have been sent to, and received by, our Secretary at our principal executive offices between January 13, 2023 and February 12, 2023. No such notice was received during this period. </w:t>
      </w:r>
    </w:p>
    <w:p>
      <w:pPr>
        <w:pStyle w:val="TextBody"/>
        <w:spacing w:before="240" w:after="0"/>
        <w:jc w:val="left"/>
        <w:rPr>
          <w:rFonts w:ascii="ARIAL" w:hAnsi="ARIAL"/>
          <w:sz w:val="20"/>
        </w:rPr>
      </w:pPr>
      <w:r>
        <w:rPr>
          <w:rFonts w:ascii="ARIAL" w:hAnsi="ARIAL"/>
          <w:sz w:val="20"/>
        </w:rPr>
        <w:t xml:space="preserve">The Bylaws of the Company provide that a Director will retire at the Annual Meeting of Shareholders following the Director’s 75th birthday. One of our current Directors, Smith W. Davis, reached this mandatory retirement age this year and is not eligible for election at the Annual Meeting for a new term. Mr. Davis has stated that he intends to serve as a Director through the commencement of the 2023 Annual Meeting of shareholders, after which he will retire from the Board. The Board extends its sincere appreciation to Mr. Davis for his years of service and thoughtful Board leadership. Mr. Davis gave generously of his time and consistently provided the Board with independent insight and advice, which have been invaluable to the Board and to Martin Marietta. In light of the retirement of Mr. Davis, the Board of Directors has set the size of the Board at ten effective upon the commencement of the 2023 Annual Meeting. </w:t>
      </w:r>
    </w:p>
    <w:p>
      <w:pPr>
        <w:pStyle w:val="TextBody"/>
        <w:spacing w:before="240" w:after="0"/>
        <w:jc w:val="left"/>
        <w:rPr>
          <w:rFonts w:ascii="ARIAL" w:hAnsi="ARIAL"/>
          <w:sz w:val="20"/>
        </w:rPr>
      </w:pPr>
      <w:r>
        <w:rPr>
          <w:rFonts w:ascii="ARIAL" w:hAnsi="ARIAL"/>
          <w:sz w:val="20"/>
        </w:rPr>
        <w:t xml:space="preserve">The Nominating and Corporate Governance Committee from time to time retains a search firm to help identify director prospects, perform candidate outreach, assist in reference checks, and provide other related services. The recruiting process typically involves either the Chairman, President and CEO, the search firm or a member of the Nominating and Corporate Governance Committee contacting a prospect to gauge their interest and availability. A candidate will then meet with several members of the Nominating and Corporate Governance Committee and sometimes the Board. At the same time, the Nominating and Corporate Governance Committee and the search firm will contact references for the prospect. A background check is completed before a final recommendation is made to the Board to appoint a candidate to the Board. </w:t>
      </w:r>
    </w:p>
    <w:p>
      <w:pPr>
        <w:pStyle w:val="TextBody"/>
        <w:spacing w:before="240" w:after="0"/>
        <w:jc w:val="left"/>
        <w:rPr>
          <w:rFonts w:ascii="ARIAL" w:hAnsi="ARIAL"/>
          <w:sz w:val="20"/>
        </w:rPr>
      </w:pPr>
      <w:r>
        <w:rPr>
          <w:rFonts w:ascii="ARIAL" w:hAnsi="ARIAL"/>
          <w:sz w:val="20"/>
        </w:rPr>
        <w:t xml:space="preserve">The Board has nominated ten persons for election as Directors to serve a one-year term expiring in 2024.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 Proxies cannot be voted for a greater number of persons than the number of nominees named. Should any of the listed nominees be unavailable for election by reason of death or other unexpected occurrence, the proxy, to the extent permitted by applicable law, may be voted with discretionary authority in connection with the nomination by the Board and the election of any substitute nominee. </w:t>
      </w:r>
    </w:p>
    <w:p>
      <w:pPr>
        <w:pStyle w:val="TextBody"/>
        <w:spacing w:before="240" w:after="0"/>
        <w:jc w:val="left"/>
        <w:rPr>
          <w:rFonts w:ascii="ARIAL" w:hAnsi="ARIAL"/>
          <w:b/>
          <w:color w:val="71BE9A"/>
          <w:sz w:val="26"/>
        </w:rPr>
      </w:pPr>
      <w:bookmarkStart w:id="6" w:name="toc390557_3"/>
      <w:bookmarkEnd w:id="6"/>
      <w:r>
        <w:rPr>
          <w:rFonts w:ascii="ARIAL" w:hAnsi="ARIAL"/>
          <w:b/>
          <w:color w:val="71BE9A"/>
          <w:sz w:val="26"/>
        </w:rPr>
        <w:t xml:space="preserve">Board Effectiveness and Refreshment </w:t>
      </w:r>
    </w:p>
    <w:p>
      <w:pPr>
        <w:pStyle w:val="TextBody"/>
        <w:spacing w:before="240" w:after="0"/>
        <w:jc w:val="left"/>
        <w:rPr>
          <w:rFonts w:ascii="ARIAL" w:hAnsi="ARIAL"/>
          <w:sz w:val="20"/>
        </w:rPr>
      </w:pPr>
      <w:r>
        <w:rPr>
          <w:rFonts w:ascii="ARIAL" w:hAnsi="ARIAL"/>
          <w:sz w:val="20"/>
        </w:rPr>
        <w:t xml:space="preserve">Board composition is one of the most critical areas of focus for the Board of Directors. Having the right mix of people who bring diverse perspectives, business and professional experiences, and skills provides a foundation for robust dialogue, informed advice and collaboration in the boardroom. The Nominating and Corporate Governance Committee develops criteria for open Board positions, taking into account a variety of factors, which may include current Board member skills, composition, age, tenure, other diversity factors, the range of talents and experience that would best complement those already represented on the Board, the need for specialized expertise, and anticipated retirements to define gaps that may need to be filled through the Board refreshment process. The Board strives to ensure an environment that encourages diverse critical thinking and values innovative, strategic discussions to achieve a higher level of success for the Company. </w:t>
      </w:r>
    </w:p>
    <w:p>
      <w:pPr>
        <w:pStyle w:val="TextBody"/>
        <w:spacing w:before="240" w:after="0"/>
        <w:jc w:val="left"/>
        <w:rPr>
          <w:rFonts w:ascii="ARIAL" w:hAnsi="ARIAL"/>
          <w:sz w:val="20"/>
        </w:rPr>
      </w:pPr>
      <w:r>
        <w:rPr>
          <w:rFonts w:ascii="ARIAL" w:hAnsi="ARIAL"/>
          <w:sz w:val="20"/>
        </w:rPr>
        <w:t xml:space="preserve">The Nominating and Corporate Governance Committee screens and recommends candidates for nomination by the full Board. It uses a variety of methods to help identify potential Board candidates with the desired skills and background needed for the Company’s business, including from time to time informal networks, third-party search firms and other channels. When the Committee is assisted from time to time with its recruitment efforts by an outside search firm, the firm recommends candidates that satisfy the criteria defined by the Board, and provides background research and pertinent information regarding prospective candidates.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14</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BOARD EFFECTIVENESS AND REFRESHMENT   </w:t>
      </w:r>
      <w:r>
        <w:rPr>
          <w:rFonts w:ascii="ARIAL" w:hAnsi="ARIAL"/>
          <w:color w:val="007CBA"/>
          <w:sz w:val="16"/>
        </w:rPr>
        <w:t xml:space="preserve">◆  THE BOARD OF DIRECTORS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Once the Committee has identified a prospective nominee, it makes an initial determination as to whether to conduct a full evaluation. In making this determination, the Committee takes into account various information, including information provided at the time of the candidate recommendation, the Committee’s own knowledge, and information obtained through inquiries to third parties to the extent the Committee deems appropriate. The preliminary determination is based primarily on the need for additional Board members and the likelihood that the prospective nominee can satisfy the criteria that the Committee has established. If the Committee determines, in consultation with the Chairman, President and CEO and other Directors as appropriate, that additional consideration is warranted, it may request management or a third-party search firm to gather additional information about the prospective nominee’s background and experience and to report its findings to the Committee. The Committee then evaluates the prospective nominee against the specific criteria that it has established for the position, as well as the standards and qualifications set out in the Company’s Corporate Governance Guidelines, including: </w:t>
      </w:r>
    </w:p>
    <w:p>
      <w:pPr>
        <w:pStyle w:val="TextBody"/>
        <w:spacing w:before="0" w:after="0"/>
        <w:jc w:val="left"/>
        <w:rPr/>
      </w:pPr>
      <w:r>
        <w:rPr/>
        <w:t> </w:t>
      </w:r>
    </w:p>
    <w:tbl>
      <w:tblPr>
        <w:tblW w:w="8995" w:type="dxa"/>
        <w:jc w:val="left"/>
        <w:tblInd w:w="0" w:type="dxa"/>
        <w:tblCellMar>
          <w:top w:w="0" w:type="dxa"/>
          <w:left w:w="0" w:type="dxa"/>
          <w:bottom w:w="0" w:type="dxa"/>
          <w:right w:w="0" w:type="dxa"/>
        </w:tblCellMar>
      </w:tblPr>
      <w:tblGrid>
        <w:gridCol w:w="125"/>
        <w:gridCol w:w="60"/>
        <w:gridCol w:w="881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81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ability of the prospective nominee to represent the interests of the shareholders of the Company; </w:t>
            </w:r>
          </w:p>
        </w:tc>
      </w:tr>
    </w:tbl>
    <w:p>
      <w:pPr>
        <w:pStyle w:val="TextBody"/>
        <w:spacing w:before="0" w:after="0"/>
        <w:jc w:val="left"/>
        <w:rPr/>
      </w:pPr>
      <w:r>
        <w:rPr/>
        <w:t> </w:t>
      </w:r>
    </w:p>
    <w:tbl>
      <w:tblPr>
        <w:tblW w:w="9505" w:type="dxa"/>
        <w:jc w:val="left"/>
        <w:tblInd w:w="0" w:type="dxa"/>
        <w:tblCellMar>
          <w:top w:w="0" w:type="dxa"/>
          <w:left w:w="0" w:type="dxa"/>
          <w:bottom w:w="0" w:type="dxa"/>
          <w:right w:w="0" w:type="dxa"/>
        </w:tblCellMar>
      </w:tblPr>
      <w:tblGrid>
        <w:gridCol w:w="125"/>
        <w:gridCol w:w="60"/>
        <w:gridCol w:w="93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prospective nominee’s standards of integrity, commitment and independence of thought and judgment;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prospective nominee’s ability to dedicate sufficient time, energy and attention to the diligent performance of their duties, including the prospective nominee’s service on other public company boards, as specifically set out in the Company’s Corporate Governance Guidelines;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extent to which the prospective nominee contributes to the range of talent, skill and expertise appropriate for the Board;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extent to which the prospective nominee helps the Board reflect the diversity of the Company’s shareholders, employees, customers and the communities in which it operates. </w:t>
            </w:r>
          </w:p>
        </w:tc>
      </w:tr>
    </w:tbl>
    <w:p>
      <w:pPr>
        <w:pStyle w:val="TextBody"/>
        <w:spacing w:before="240" w:after="0"/>
        <w:jc w:val="left"/>
        <w:rPr>
          <w:rFonts w:ascii="ARIAL" w:hAnsi="ARIAL"/>
          <w:sz w:val="20"/>
        </w:rPr>
      </w:pPr>
      <w:r>
        <w:rPr>
          <w:rFonts w:ascii="ARIAL" w:hAnsi="ARIAL"/>
          <w:sz w:val="20"/>
        </w:rPr>
        <w:t xml:space="preserve">If the Committee decides, on the basis of its preliminary review, to proceed with further consideration, members of the Committee, the Chairman, President and CEO, as well as other members of the Board as appropriate, interview the nominee. After completing this evaluation and interview, the Committee makes a recommendation to the full Board, which makes the final determination whether to nominate or appoint the new Director after considering the Committee’s report. A background check is completed before a final recommendation is made to the Board to appoint a candidate to the Board. </w:t>
      </w:r>
    </w:p>
    <w:p>
      <w:pPr>
        <w:pStyle w:val="TextBody"/>
        <w:spacing w:before="240" w:after="0"/>
        <w:jc w:val="left"/>
        <w:rPr>
          <w:rFonts w:ascii="ARIAL" w:hAnsi="ARIAL"/>
          <w:sz w:val="20"/>
        </w:rPr>
      </w:pPr>
      <w:r>
        <w:rPr>
          <w:rFonts w:ascii="ARIAL" w:hAnsi="ARIAL"/>
          <w:sz w:val="20"/>
        </w:rPr>
        <w:t xml:space="preserve">In selecting nominees for the Board, the Board seeks to achieve a mix of members who together bring experience and personal backgrounds relevant to the Company’s strategic priorities and the scope and complexity of the Company’s business. The Board also seeks a demonstrated ability to manage complex issues that involve a balance of risk and reward. The background information on current nominees beginning on page 23 and the skills matrix on page 16 set out how each of the current nominees contributes to the mix of experience and qualifications the Board seeks. In making its recommendations with respect to the nomination for re-election of existing Directors at the annual shareholders meeting, the Committee assesses the composition of the Board at the time and considers the extent to which the Board continues to reflect the criteria set forth above.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15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THE BOARD OF DIRECTORS   ◆</w:t>
      </w:r>
      <w:r>
        <w:rPr>
          <w:rFonts w:ascii="ARIAL" w:hAnsi="ARIAL"/>
          <w:sz w:val="16"/>
        </w:rPr>
        <w:t xml:space="preserve">  BOARD QUALIFICATIONS, GENDER AND DIVERSITY </w:t>
      </w:r>
    </w:p>
    <w:p>
      <w:pPr>
        <w:pStyle w:val="TextBody"/>
        <w:spacing w:before="0" w:after="0"/>
        <w:jc w:val="left"/>
        <w:rPr/>
      </w:pPr>
      <w:r>
        <w:rPr/>
        <w:t> </w:t>
      </w:r>
    </w:p>
    <w:p>
      <w:pPr>
        <w:pStyle w:val="TextBody"/>
        <w:spacing w:before="0" w:after="0"/>
        <w:jc w:val="left"/>
        <w:rPr>
          <w:rFonts w:ascii="ARIAL" w:hAnsi="ARIAL"/>
          <w:b/>
          <w:color w:val="71BE9A"/>
          <w:sz w:val="26"/>
        </w:rPr>
      </w:pPr>
      <w:bookmarkStart w:id="7" w:name="toc390557_4"/>
      <w:bookmarkEnd w:id="7"/>
      <w:r>
        <w:rPr>
          <w:rFonts w:ascii="ARIAL" w:hAnsi="ARIAL"/>
          <w:b/>
          <w:color w:val="71BE9A"/>
          <w:sz w:val="26"/>
        </w:rPr>
        <w:t xml:space="preserve">Board Qualifications, Gender and Diversity </w:t>
      </w:r>
    </w:p>
    <w:p>
      <w:pPr>
        <w:pStyle w:val="TextBody"/>
        <w:spacing w:before="240" w:after="0"/>
        <w:jc w:val="left"/>
        <w:rPr>
          <w:rFonts w:ascii="ARIAL" w:hAnsi="ARIAL"/>
          <w:sz w:val="20"/>
        </w:rPr>
      </w:pPr>
      <w:r>
        <w:rPr>
          <w:rFonts w:ascii="ARIAL" w:hAnsi="ARIAL"/>
          <w:sz w:val="20"/>
        </w:rPr>
        <w:t xml:space="preserve">The following sets forth certain information for each nominee for election regarding age, gender, diversity, tenure and skills that are important to the Board of Directors.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170"/>
        <w:gridCol w:w="60"/>
        <w:gridCol w:w="230"/>
        <w:gridCol w:w="60"/>
        <w:gridCol w:w="260"/>
        <w:gridCol w:w="60"/>
        <w:gridCol w:w="230"/>
        <w:gridCol w:w="60"/>
        <w:gridCol w:w="230"/>
        <w:gridCol w:w="60"/>
        <w:gridCol w:w="260"/>
        <w:gridCol w:w="60"/>
        <w:gridCol w:w="260"/>
        <w:gridCol w:w="60"/>
        <w:gridCol w:w="230"/>
        <w:gridCol w:w="60"/>
        <w:gridCol w:w="260"/>
        <w:gridCol w:w="60"/>
        <w:gridCol w:w="230"/>
        <w:gridCol w:w="60"/>
        <w:gridCol w:w="245"/>
      </w:tblGrid>
      <w:tr>
        <w:trPr/>
        <w:tc>
          <w:tcPr>
            <w:tcW w:w="7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8" w:space="0" w:color="007CBA"/>
            </w:tcBorders>
            <w:shd w:fill="auto" w:val="clear"/>
            <w:tcMar>
              <w:bottom w:w="160" w:type="dxa"/>
            </w:tcMar>
            <w:vAlign w:val="center"/>
          </w:tcPr>
          <w:p>
            <w:pPr>
              <w:pStyle w:val="TableContents"/>
              <w:spacing w:before="0" w:after="0"/>
              <w:rPr/>
            </w:pPr>
            <w:r>
              <w:rPr/>
              <w:t> </w:t>
            </w:r>
          </w:p>
          <w:p>
            <w:pPr>
              <w:pStyle w:val="TableContents"/>
              <w:spacing w:before="0" w:after="0"/>
              <w:rPr>
                <w:rFonts w:ascii="ARIAL" w:hAnsi="ARIAL"/>
                <w:b/>
                <w:sz w:val="20"/>
              </w:rPr>
            </w:pPr>
            <w:r>
              <w:rPr>
                <w:rFonts w:ascii="ARIAL" w:hAnsi="ARIAL"/>
                <w:b/>
                <w:sz w:val="20"/>
              </w:rPr>
              <w:t>Demographics and Background</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230" w:type="dxa"/>
            <w:tcBorders>
              <w:bottom w:val="single" w:sz="8" w:space="0" w:color="007CBA"/>
            </w:tcBorders>
            <w:shd w:fill="auto" w:val="clear"/>
            <w:tcMar>
              <w:bottom w:w="160" w:type="dxa"/>
            </w:tcMar>
            <w:vAlign w:val="center"/>
          </w:tcPr>
          <w:p>
            <w:pPr>
              <w:pStyle w:val="TableContents"/>
              <w:spacing w:before="0" w:after="283"/>
              <w:rPr/>
            </w:pPr>
            <w:r>
              <w:rPr/>
              <w:drawing>
                <wp:inline distT="0" distB="0" distL="0" distR="0">
                  <wp:extent cx="26670" cy="26670"/>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260" w:type="dxa"/>
            <w:tcBorders>
              <w:bottom w:val="single" w:sz="8" w:space="0" w:color="007CBA"/>
            </w:tcBorders>
            <w:shd w:fill="auto" w:val="clear"/>
            <w:tcMar>
              <w:bottom w:w="160" w:type="dxa"/>
            </w:tcMar>
            <w:vAlign w:val="center"/>
          </w:tcPr>
          <w:p>
            <w:pPr>
              <w:pStyle w:val="TableContents"/>
              <w:spacing w:before="0" w:after="283"/>
              <w:rPr/>
            </w:pPr>
            <w:r>
              <w:rPr/>
              <w:drawing>
                <wp:inline distT="0" distB="0" distL="0" distR="0">
                  <wp:extent cx="22860" cy="22860"/>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22860" cy="22860"/>
                          </a:xfrm>
                          <a:prstGeom prst="rect">
                            <a:avLst/>
                          </a:prstGeom>
                        </pic:spPr>
                      </pic:pic>
                    </a:graphicData>
                  </a:graphic>
                </wp:inline>
              </w:drawing>
            </w:r>
            <w:r>
              <w:rPr/>
              <w:t xml:space="preserve"> </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230" w:type="dxa"/>
            <w:tcBorders>
              <w:bottom w:val="single" w:sz="8" w:space="0" w:color="007CBA"/>
            </w:tcBorders>
            <w:shd w:fill="auto" w:val="clear"/>
            <w:tcMar>
              <w:bottom w:w="160" w:type="dxa"/>
            </w:tcMar>
            <w:vAlign w:val="center"/>
          </w:tcPr>
          <w:p>
            <w:pPr>
              <w:pStyle w:val="TableContents"/>
              <w:spacing w:before="0" w:after="283"/>
              <w:rPr/>
            </w:pPr>
            <w:r>
              <w:rPr/>
              <w:drawing>
                <wp:inline distT="0" distB="0" distL="0" distR="0">
                  <wp:extent cx="23495" cy="2349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23495" cy="23495"/>
                          </a:xfrm>
                          <a:prstGeom prst="rect">
                            <a:avLst/>
                          </a:prstGeom>
                        </pic:spPr>
                      </pic:pic>
                    </a:graphicData>
                  </a:graphic>
                </wp:inline>
              </w:drawing>
            </w:r>
            <w:r>
              <w:rPr/>
              <w:t xml:space="preserve"> </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230" w:type="dxa"/>
            <w:tcBorders>
              <w:bottom w:val="single" w:sz="8" w:space="0" w:color="007CBA"/>
            </w:tcBorders>
            <w:shd w:fill="auto" w:val="clear"/>
            <w:tcMar>
              <w:bottom w:w="160" w:type="dxa"/>
            </w:tcMar>
            <w:vAlign w:val="center"/>
          </w:tcPr>
          <w:p>
            <w:pPr>
              <w:pStyle w:val="TableContents"/>
              <w:spacing w:before="0" w:after="283"/>
              <w:rPr/>
            </w:pPr>
            <w:r>
              <w:rPr/>
              <w:drawing>
                <wp:inline distT="0" distB="0" distL="0" distR="0">
                  <wp:extent cx="39370" cy="39370"/>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39370" cy="39370"/>
                          </a:xfrm>
                          <a:prstGeom prst="rect">
                            <a:avLst/>
                          </a:prstGeom>
                        </pic:spPr>
                      </pic:pic>
                    </a:graphicData>
                  </a:graphic>
                </wp:inline>
              </w:drawing>
            </w:r>
            <w:r>
              <w:rPr/>
              <w:t xml:space="preserve"> </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260" w:type="dxa"/>
            <w:tcBorders>
              <w:bottom w:val="single" w:sz="8" w:space="0" w:color="007CBA"/>
            </w:tcBorders>
            <w:shd w:fill="auto" w:val="clear"/>
            <w:tcMar>
              <w:bottom w:w="160" w:type="dxa"/>
            </w:tcMar>
            <w:vAlign w:val="center"/>
          </w:tcPr>
          <w:p>
            <w:pPr>
              <w:pStyle w:val="TableContents"/>
              <w:spacing w:before="0" w:after="283"/>
              <w:rPr/>
            </w:pPr>
            <w:r>
              <w:rPr/>
              <w:drawing>
                <wp:inline distT="0" distB="0" distL="0" distR="0">
                  <wp:extent cx="20955" cy="2095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20955" cy="20955"/>
                          </a:xfrm>
                          <a:prstGeom prst="rect">
                            <a:avLst/>
                          </a:prstGeom>
                        </pic:spPr>
                      </pic:pic>
                    </a:graphicData>
                  </a:graphic>
                </wp:inline>
              </w:drawing>
            </w:r>
            <w:r>
              <w:rPr/>
              <w:t xml:space="preserve"> </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260" w:type="dxa"/>
            <w:tcBorders>
              <w:bottom w:val="single" w:sz="8" w:space="0" w:color="007CBA"/>
            </w:tcBorders>
            <w:shd w:fill="auto" w:val="clear"/>
            <w:tcMar>
              <w:bottom w:w="160" w:type="dxa"/>
            </w:tcMar>
            <w:vAlign w:val="center"/>
          </w:tcPr>
          <w:p>
            <w:pPr>
              <w:pStyle w:val="TableContents"/>
              <w:spacing w:before="0" w:after="283"/>
              <w:rPr/>
            </w:pPr>
            <w:r>
              <w:rPr/>
              <w:drawing>
                <wp:inline distT="0" distB="0" distL="0" distR="0">
                  <wp:extent cx="26670" cy="26670"/>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230" w:type="dxa"/>
            <w:tcBorders>
              <w:bottom w:val="single" w:sz="8" w:space="0" w:color="007CBA"/>
            </w:tcBorders>
            <w:shd w:fill="auto" w:val="clear"/>
            <w:tcMar>
              <w:bottom w:w="160" w:type="dxa"/>
            </w:tcMar>
            <w:vAlign w:val="center"/>
          </w:tcPr>
          <w:p>
            <w:pPr>
              <w:pStyle w:val="TableContents"/>
              <w:spacing w:before="0" w:after="283"/>
              <w:rPr/>
            </w:pPr>
            <w:r>
              <w:rPr/>
              <w:drawing>
                <wp:inline distT="0" distB="0" distL="0" distR="0">
                  <wp:extent cx="22225" cy="222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22225" cy="22225"/>
                          </a:xfrm>
                          <a:prstGeom prst="rect">
                            <a:avLst/>
                          </a:prstGeom>
                        </pic:spPr>
                      </pic:pic>
                    </a:graphicData>
                  </a:graphic>
                </wp:inline>
              </w:drawing>
            </w:r>
            <w:r>
              <w:rPr/>
              <w:t xml:space="preserve"> </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260" w:type="dxa"/>
            <w:tcBorders>
              <w:bottom w:val="single" w:sz="8" w:space="0" w:color="007CBA"/>
            </w:tcBorders>
            <w:shd w:fill="auto" w:val="clear"/>
            <w:tcMar>
              <w:bottom w:w="160" w:type="dxa"/>
            </w:tcMar>
            <w:vAlign w:val="center"/>
          </w:tcPr>
          <w:p>
            <w:pPr>
              <w:pStyle w:val="TableContents"/>
              <w:spacing w:before="0" w:after="283"/>
              <w:rPr/>
            </w:pPr>
            <w:r>
              <w:rPr/>
              <w:drawing>
                <wp:inline distT="0" distB="0" distL="0" distR="0">
                  <wp:extent cx="32385" cy="3238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32385" cy="32385"/>
                          </a:xfrm>
                          <a:prstGeom prst="rect">
                            <a:avLst/>
                          </a:prstGeom>
                        </pic:spPr>
                      </pic:pic>
                    </a:graphicData>
                  </a:graphic>
                </wp:inline>
              </w:drawing>
            </w:r>
            <w:r>
              <w:rPr/>
              <w:t xml:space="preserve"> </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230" w:type="dxa"/>
            <w:tcBorders>
              <w:bottom w:val="single" w:sz="8" w:space="0" w:color="007CBA"/>
            </w:tcBorders>
            <w:shd w:fill="auto" w:val="clear"/>
            <w:tcMar>
              <w:bottom w:w="160" w:type="dxa"/>
            </w:tcMar>
            <w:vAlign w:val="center"/>
          </w:tcPr>
          <w:p>
            <w:pPr>
              <w:pStyle w:val="TableContents"/>
              <w:spacing w:before="0" w:after="283"/>
              <w:rPr/>
            </w:pPr>
            <w:r>
              <w:rPr/>
              <w:drawing>
                <wp:inline distT="0" distB="0" distL="0" distR="0">
                  <wp:extent cx="29210" cy="29210"/>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29210" cy="29210"/>
                          </a:xfrm>
                          <a:prstGeom prst="rect">
                            <a:avLst/>
                          </a:prstGeom>
                        </pic:spPr>
                      </pic:pic>
                    </a:graphicData>
                  </a:graphic>
                </wp:inline>
              </w:drawing>
            </w:r>
            <w:r>
              <w:rPr/>
              <w:t xml:space="preserve"> </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245" w:type="dxa"/>
            <w:tcBorders>
              <w:bottom w:val="single" w:sz="8" w:space="0" w:color="007CBA"/>
            </w:tcBorders>
            <w:shd w:fill="auto" w:val="clear"/>
            <w:tcMar>
              <w:bottom w:w="160" w:type="dxa"/>
            </w:tcMar>
            <w:vAlign w:val="center"/>
          </w:tcPr>
          <w:p>
            <w:pPr>
              <w:pStyle w:val="TableContents"/>
              <w:spacing w:before="0" w:after="283"/>
              <w:rPr/>
            </w:pPr>
            <w:r>
              <w:rPr/>
              <w:drawing>
                <wp:inline distT="0" distB="0" distL="0" distR="0">
                  <wp:extent cx="39370" cy="39370"/>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39370" cy="39370"/>
                          </a:xfrm>
                          <a:prstGeom prst="rect">
                            <a:avLst/>
                          </a:prstGeom>
                        </pic:spPr>
                      </pic:pic>
                    </a:graphicData>
                  </a:graphic>
                </wp:inline>
              </w:drawing>
            </w:r>
            <w:r>
              <w:rPr/>
              <w:t xml:space="preserve"> </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Age</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0"/>
              <w:jc w:val="center"/>
              <w:rPr>
                <w:rFonts w:ascii="ARIAL" w:hAnsi="ARIAL"/>
                <w:sz w:val="18"/>
              </w:rPr>
            </w:pPr>
            <w:r>
              <w:rPr>
                <w:rFonts w:ascii="ARIAL" w:hAnsi="ARIAL"/>
                <w:sz w:val="18"/>
              </w:rPr>
              <w:t>65</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0"/>
              <w:jc w:val="center"/>
              <w:rPr>
                <w:rFonts w:ascii="ARIAL" w:hAnsi="ARIAL"/>
                <w:sz w:val="18"/>
              </w:rPr>
            </w:pPr>
            <w:r>
              <w:rPr>
                <w:rFonts w:ascii="ARIAL" w:hAnsi="ARIAL"/>
                <w:sz w:val="18"/>
              </w:rPr>
              <w:t>72</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0"/>
              <w:jc w:val="center"/>
              <w:rPr>
                <w:rFonts w:ascii="ARIAL" w:hAnsi="ARIAL"/>
                <w:sz w:val="18"/>
              </w:rPr>
            </w:pPr>
            <w:r>
              <w:rPr>
                <w:rFonts w:ascii="ARIAL" w:hAnsi="ARIAL"/>
                <w:sz w:val="18"/>
              </w:rPr>
              <w:t>51</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120" w:type="dxa"/>
            </w:tcMar>
            <w:vAlign w:val="center"/>
          </w:tcPr>
          <w:p>
            <w:pPr>
              <w:pStyle w:val="TableContents"/>
              <w:spacing w:before="0" w:after="20"/>
              <w:jc w:val="center"/>
              <w:rPr>
                <w:rFonts w:ascii="ARIAL" w:hAnsi="ARIAL"/>
                <w:sz w:val="18"/>
              </w:rPr>
            </w:pPr>
            <w:r>
              <w:rPr>
                <w:rFonts w:ascii="ARIAL" w:hAnsi="ARIAL"/>
                <w:sz w:val="18"/>
              </w:rPr>
              <w:t>72</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120" w:type="dxa"/>
            </w:tcMar>
            <w:vAlign w:val="center"/>
          </w:tcPr>
          <w:p>
            <w:pPr>
              <w:pStyle w:val="TableContents"/>
              <w:spacing w:before="0" w:after="20"/>
              <w:jc w:val="center"/>
              <w:rPr>
                <w:rFonts w:ascii="ARIAL" w:hAnsi="ARIAL"/>
                <w:sz w:val="18"/>
              </w:rPr>
            </w:pPr>
            <w:r>
              <w:rPr>
                <w:rFonts w:ascii="ARIAL" w:hAnsi="ARIAL"/>
                <w:sz w:val="18"/>
              </w:rPr>
              <w:t>60</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0"/>
              <w:jc w:val="center"/>
              <w:rPr>
                <w:rFonts w:ascii="ARIAL" w:hAnsi="ARIAL"/>
                <w:sz w:val="18"/>
              </w:rPr>
            </w:pPr>
            <w:r>
              <w:rPr>
                <w:rFonts w:ascii="ARIAL" w:hAnsi="ARIAL"/>
                <w:sz w:val="18"/>
              </w:rPr>
              <w:t>69</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0"/>
              <w:jc w:val="center"/>
              <w:rPr>
                <w:rFonts w:ascii="ARIAL" w:hAnsi="ARIAL"/>
                <w:sz w:val="18"/>
              </w:rPr>
            </w:pPr>
            <w:r>
              <w:rPr>
                <w:rFonts w:ascii="ARIAL" w:hAnsi="ARIAL"/>
                <w:sz w:val="18"/>
              </w:rPr>
              <w:t>63</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0"/>
              <w:jc w:val="center"/>
              <w:rPr>
                <w:rFonts w:ascii="ARIAL" w:hAnsi="ARIAL"/>
                <w:sz w:val="18"/>
              </w:rPr>
            </w:pPr>
            <w:r>
              <w:rPr>
                <w:rFonts w:ascii="ARIAL" w:hAnsi="ARIAL"/>
                <w:sz w:val="18"/>
              </w:rPr>
              <w:t>74</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0"/>
              <w:jc w:val="center"/>
              <w:rPr>
                <w:rFonts w:ascii="ARIAL" w:hAnsi="ARIAL"/>
                <w:sz w:val="18"/>
              </w:rPr>
            </w:pPr>
            <w:r>
              <w:rPr>
                <w:rFonts w:ascii="ARIAL" w:hAnsi="ARIAL"/>
                <w:sz w:val="18"/>
              </w:rPr>
              <w:t>61</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120" w:type="dxa"/>
            </w:tcMar>
            <w:vAlign w:val="center"/>
          </w:tcPr>
          <w:p>
            <w:pPr>
              <w:pStyle w:val="TableContents"/>
              <w:spacing w:before="0" w:after="20"/>
              <w:jc w:val="center"/>
              <w:rPr>
                <w:rFonts w:ascii="ARIAL" w:hAnsi="ARIAL"/>
                <w:sz w:val="18"/>
              </w:rPr>
            </w:pPr>
            <w:r>
              <w:rPr>
                <w:rFonts w:ascii="ARIAL" w:hAnsi="ARIAL"/>
                <w:sz w:val="18"/>
              </w:rPr>
              <w:t>63</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Gender</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pPr>
            <w:r>
              <w:rPr/>
              <w:t>F</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pPr>
            <w:r>
              <w:rPr/>
              <w:t>F</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pPr>
            <w:r>
              <w:rPr/>
              <w:t>M</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120" w:type="dxa"/>
            </w:tcMar>
            <w:vAlign w:val="center"/>
          </w:tcPr>
          <w:p>
            <w:pPr>
              <w:pStyle w:val="TableContents"/>
              <w:spacing w:before="0" w:after="283"/>
              <w:jc w:val="center"/>
              <w:rPr/>
            </w:pPr>
            <w:r>
              <w:rPr/>
              <w:t>M</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120" w:type="dxa"/>
            </w:tcMar>
            <w:vAlign w:val="center"/>
          </w:tcPr>
          <w:p>
            <w:pPr>
              <w:pStyle w:val="TableContents"/>
              <w:spacing w:before="0" w:after="283"/>
              <w:jc w:val="center"/>
              <w:rPr/>
            </w:pPr>
            <w:r>
              <w:rPr/>
              <w:t>M</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pPr>
            <w:r>
              <w:rPr/>
              <w:t>F</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pPr>
            <w:r>
              <w:rPr/>
              <w:t>M</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pPr>
            <w:r>
              <w:rPr/>
              <w:t>M</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pPr>
            <w:r>
              <w:rPr/>
              <w:t>M</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120" w:type="dxa"/>
            </w:tcMar>
            <w:vAlign w:val="center"/>
          </w:tcPr>
          <w:p>
            <w:pPr>
              <w:pStyle w:val="TableContents"/>
              <w:spacing w:before="0" w:after="283"/>
              <w:jc w:val="center"/>
              <w:rPr/>
            </w:pPr>
            <w:r>
              <w:rPr/>
              <w:t>M</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African American/Black</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28" w:type="dxa"/>
            </w:tcMar>
            <w:vAlign w:val="center"/>
          </w:tcPr>
          <w:p>
            <w:pPr>
              <w:pStyle w:val="TableContents"/>
              <w:spacing w:before="0" w:after="283"/>
              <w:rPr/>
            </w:pPr>
            <w:r>
              <w:rPr/>
              <w:t> </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Hispanic</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28" w:type="dxa"/>
            </w:tcMar>
            <w:vAlign w:val="center"/>
          </w:tcPr>
          <w:p>
            <w:pPr>
              <w:pStyle w:val="TableContents"/>
              <w:spacing w:before="0" w:after="283"/>
              <w:rPr/>
            </w:pPr>
            <w:r>
              <w:rPr/>
              <w:t> </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White</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7CBA"/>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Tenure</w:t>
            </w:r>
          </w:p>
        </w:tc>
        <w:tc>
          <w:tcPr>
            <w:tcW w:w="60" w:type="dxa"/>
            <w:tcBorders>
              <w:bottom w:val="single" w:sz="6" w:space="0" w:color="007CBA"/>
            </w:tcBorders>
            <w:shd w:fill="F2F8FB" w:val="clear"/>
            <w:tcMar>
              <w:bottom w:w="28" w:type="dxa"/>
            </w:tcMar>
            <w:vAlign w:val="center"/>
          </w:tcPr>
          <w:p>
            <w:pPr>
              <w:pStyle w:val="TableContents"/>
              <w:spacing w:before="0" w:after="283"/>
              <w:rPr/>
            </w:pPr>
            <w:r>
              <w:rPr/>
              <w:t> </w:t>
            </w:r>
          </w:p>
        </w:tc>
        <w:tc>
          <w:tcPr>
            <w:tcW w:w="230" w:type="dxa"/>
            <w:tcBorders>
              <w:bottom w:val="single" w:sz="6" w:space="0" w:color="007CBA"/>
            </w:tcBorders>
            <w:shd w:fill="F2F8FB" w:val="clear"/>
            <w:tcMar>
              <w:bottom w:w="120" w:type="dxa"/>
            </w:tcMar>
            <w:vAlign w:val="center"/>
          </w:tcPr>
          <w:p>
            <w:pPr>
              <w:pStyle w:val="TableContents"/>
              <w:spacing w:before="0" w:after="283"/>
              <w:jc w:val="center"/>
              <w:rPr/>
            </w:pPr>
            <w:r>
              <w:rPr/>
              <w:t>4</w:t>
            </w:r>
          </w:p>
        </w:tc>
        <w:tc>
          <w:tcPr>
            <w:tcW w:w="60" w:type="dxa"/>
            <w:tcBorders>
              <w:bottom w:val="single" w:sz="6" w:space="0" w:color="007CBA"/>
            </w:tcBorders>
            <w:shd w:fill="auto" w:val="clear"/>
            <w:tcMar>
              <w:bottom w:w="28" w:type="dxa"/>
            </w:tcMar>
            <w:vAlign w:val="center"/>
          </w:tcPr>
          <w:p>
            <w:pPr>
              <w:pStyle w:val="TableContents"/>
              <w:spacing w:before="0" w:after="283"/>
              <w:rPr/>
            </w:pPr>
            <w:r>
              <w:rPr/>
              <w:t> </w:t>
            </w:r>
          </w:p>
        </w:tc>
        <w:tc>
          <w:tcPr>
            <w:tcW w:w="260" w:type="dxa"/>
            <w:tcBorders>
              <w:bottom w:val="single" w:sz="6" w:space="0" w:color="007CBA"/>
            </w:tcBorders>
            <w:shd w:fill="auto" w:val="clear"/>
            <w:tcMar>
              <w:bottom w:w="120" w:type="dxa"/>
            </w:tcMar>
            <w:vAlign w:val="center"/>
          </w:tcPr>
          <w:p>
            <w:pPr>
              <w:pStyle w:val="TableContents"/>
              <w:spacing w:before="0" w:after="283"/>
              <w:jc w:val="center"/>
              <w:rPr/>
            </w:pPr>
            <w:r>
              <w:rPr/>
              <w:t>21</w:t>
            </w:r>
          </w:p>
        </w:tc>
        <w:tc>
          <w:tcPr>
            <w:tcW w:w="60" w:type="dxa"/>
            <w:tcBorders>
              <w:bottom w:val="single" w:sz="6" w:space="0" w:color="007CBA"/>
            </w:tcBorders>
            <w:shd w:fill="F2F8FB" w:val="clear"/>
            <w:tcMar>
              <w:bottom w:w="28" w:type="dxa"/>
            </w:tcMar>
            <w:vAlign w:val="center"/>
          </w:tcPr>
          <w:p>
            <w:pPr>
              <w:pStyle w:val="TableContents"/>
              <w:spacing w:before="0" w:after="283"/>
              <w:rPr/>
            </w:pPr>
            <w:r>
              <w:rPr/>
              <w:t> </w:t>
            </w:r>
          </w:p>
        </w:tc>
        <w:tc>
          <w:tcPr>
            <w:tcW w:w="230" w:type="dxa"/>
            <w:tcBorders>
              <w:bottom w:val="single" w:sz="6" w:space="0" w:color="007CBA"/>
            </w:tcBorders>
            <w:shd w:fill="F2F8FB" w:val="clear"/>
            <w:tcMar>
              <w:bottom w:w="120" w:type="dxa"/>
            </w:tcMar>
            <w:vAlign w:val="center"/>
          </w:tcPr>
          <w:p>
            <w:pPr>
              <w:pStyle w:val="TableContents"/>
              <w:spacing w:before="0" w:after="283"/>
              <w:jc w:val="center"/>
              <w:rPr/>
            </w:pPr>
            <w:r>
              <w:rPr/>
              <w:t>2</w:t>
            </w:r>
          </w:p>
        </w:tc>
        <w:tc>
          <w:tcPr>
            <w:tcW w:w="60" w:type="dxa"/>
            <w:tcBorders>
              <w:bottom w:val="single" w:sz="6" w:space="0" w:color="007CBA"/>
            </w:tcBorders>
            <w:shd w:fill="auto" w:val="clear"/>
            <w:tcMar>
              <w:bottom w:w="28" w:type="dxa"/>
            </w:tcMar>
            <w:vAlign w:val="center"/>
          </w:tcPr>
          <w:p>
            <w:pPr>
              <w:pStyle w:val="TableContents"/>
              <w:spacing w:before="0" w:after="283"/>
              <w:rPr/>
            </w:pPr>
            <w:r>
              <w:rPr/>
              <w:t> </w:t>
            </w:r>
          </w:p>
        </w:tc>
        <w:tc>
          <w:tcPr>
            <w:tcW w:w="230" w:type="dxa"/>
            <w:tcBorders>
              <w:bottom w:val="single" w:sz="6" w:space="0" w:color="007CBA"/>
            </w:tcBorders>
            <w:shd w:fill="auto" w:val="clear"/>
            <w:tcMar>
              <w:bottom w:w="120" w:type="dxa"/>
            </w:tcMar>
            <w:vAlign w:val="center"/>
          </w:tcPr>
          <w:p>
            <w:pPr>
              <w:pStyle w:val="TableContents"/>
              <w:spacing w:before="0" w:after="283"/>
              <w:jc w:val="center"/>
              <w:rPr/>
            </w:pPr>
            <w:r>
              <w:rPr/>
              <w:t>6</w:t>
            </w:r>
          </w:p>
        </w:tc>
        <w:tc>
          <w:tcPr>
            <w:tcW w:w="60" w:type="dxa"/>
            <w:tcBorders>
              <w:bottom w:val="single" w:sz="6" w:space="0" w:color="007CBA"/>
            </w:tcBorders>
            <w:shd w:fill="F2F8FB" w:val="clear"/>
            <w:tcMar>
              <w:bottom w:w="28" w:type="dxa"/>
            </w:tcMar>
            <w:vAlign w:val="center"/>
          </w:tcPr>
          <w:p>
            <w:pPr>
              <w:pStyle w:val="TableContents"/>
              <w:spacing w:before="0" w:after="283"/>
              <w:rPr/>
            </w:pPr>
            <w:r>
              <w:rPr/>
              <w:t> </w:t>
            </w:r>
          </w:p>
        </w:tc>
        <w:tc>
          <w:tcPr>
            <w:tcW w:w="260" w:type="dxa"/>
            <w:tcBorders>
              <w:bottom w:val="single" w:sz="6" w:space="0" w:color="007CBA"/>
            </w:tcBorders>
            <w:shd w:fill="F2F8FB" w:val="clear"/>
            <w:tcMar>
              <w:bottom w:w="120" w:type="dxa"/>
            </w:tcMar>
            <w:vAlign w:val="center"/>
          </w:tcPr>
          <w:p>
            <w:pPr>
              <w:pStyle w:val="TableContents"/>
              <w:spacing w:before="0" w:after="283"/>
              <w:jc w:val="center"/>
              <w:rPr/>
            </w:pPr>
            <w:r>
              <w:rPr/>
              <w:t>13</w:t>
            </w:r>
          </w:p>
        </w:tc>
        <w:tc>
          <w:tcPr>
            <w:tcW w:w="60" w:type="dxa"/>
            <w:tcBorders>
              <w:bottom w:val="single" w:sz="6" w:space="0" w:color="007CBA"/>
            </w:tcBorders>
            <w:shd w:fill="auto" w:val="clear"/>
            <w:tcMar>
              <w:bottom w:w="28" w:type="dxa"/>
            </w:tcMar>
            <w:vAlign w:val="center"/>
          </w:tcPr>
          <w:p>
            <w:pPr>
              <w:pStyle w:val="TableContents"/>
              <w:spacing w:before="0" w:after="283"/>
              <w:rPr/>
            </w:pPr>
            <w:r>
              <w:rPr/>
              <w:t> </w:t>
            </w:r>
          </w:p>
        </w:tc>
        <w:tc>
          <w:tcPr>
            <w:tcW w:w="260" w:type="dxa"/>
            <w:tcBorders>
              <w:bottom w:val="single" w:sz="6" w:space="0" w:color="007CBA"/>
            </w:tcBorders>
            <w:shd w:fill="auto" w:val="clear"/>
            <w:tcMar>
              <w:bottom w:w="120" w:type="dxa"/>
            </w:tcMar>
            <w:vAlign w:val="center"/>
          </w:tcPr>
          <w:p>
            <w:pPr>
              <w:pStyle w:val="TableContents"/>
              <w:spacing w:before="0" w:after="283"/>
              <w:jc w:val="center"/>
              <w:rPr/>
            </w:pPr>
            <w:r>
              <w:rPr/>
              <w:t>18</w:t>
            </w:r>
          </w:p>
        </w:tc>
        <w:tc>
          <w:tcPr>
            <w:tcW w:w="60" w:type="dxa"/>
            <w:tcBorders>
              <w:bottom w:val="single" w:sz="6" w:space="0" w:color="007CBA"/>
            </w:tcBorders>
            <w:shd w:fill="F2F8FB" w:val="clear"/>
            <w:tcMar>
              <w:bottom w:w="28" w:type="dxa"/>
            </w:tcMar>
            <w:vAlign w:val="center"/>
          </w:tcPr>
          <w:p>
            <w:pPr>
              <w:pStyle w:val="TableContents"/>
              <w:spacing w:before="0" w:after="283"/>
              <w:rPr/>
            </w:pPr>
            <w:r>
              <w:rPr/>
              <w:t> </w:t>
            </w:r>
          </w:p>
        </w:tc>
        <w:tc>
          <w:tcPr>
            <w:tcW w:w="230" w:type="dxa"/>
            <w:tcBorders>
              <w:bottom w:val="single" w:sz="6" w:space="0" w:color="007CBA"/>
            </w:tcBorders>
            <w:shd w:fill="F2F8FB" w:val="clear"/>
            <w:tcMar>
              <w:bottom w:w="120" w:type="dxa"/>
            </w:tcMar>
            <w:vAlign w:val="center"/>
          </w:tcPr>
          <w:p>
            <w:pPr>
              <w:pStyle w:val="TableContents"/>
              <w:spacing w:before="0" w:after="283"/>
              <w:jc w:val="center"/>
              <w:rPr/>
            </w:pPr>
            <w:r>
              <w:rPr/>
              <w:t>3</w:t>
            </w:r>
          </w:p>
        </w:tc>
        <w:tc>
          <w:tcPr>
            <w:tcW w:w="60" w:type="dxa"/>
            <w:tcBorders>
              <w:bottom w:val="single" w:sz="6" w:space="0" w:color="007CBA"/>
            </w:tcBorders>
            <w:shd w:fill="auto" w:val="clear"/>
            <w:tcMar>
              <w:bottom w:w="28" w:type="dxa"/>
            </w:tcMar>
            <w:vAlign w:val="center"/>
          </w:tcPr>
          <w:p>
            <w:pPr>
              <w:pStyle w:val="TableContents"/>
              <w:spacing w:before="0" w:after="283"/>
              <w:rPr/>
            </w:pPr>
            <w:r>
              <w:rPr/>
              <w:t> </w:t>
            </w:r>
          </w:p>
        </w:tc>
        <w:tc>
          <w:tcPr>
            <w:tcW w:w="260" w:type="dxa"/>
            <w:tcBorders>
              <w:bottom w:val="single" w:sz="6" w:space="0" w:color="007CBA"/>
            </w:tcBorders>
            <w:shd w:fill="auto" w:val="clear"/>
            <w:tcMar>
              <w:bottom w:w="120" w:type="dxa"/>
            </w:tcMar>
            <w:vAlign w:val="center"/>
          </w:tcPr>
          <w:p>
            <w:pPr>
              <w:pStyle w:val="TableContents"/>
              <w:spacing w:before="0" w:after="283"/>
              <w:jc w:val="center"/>
              <w:rPr/>
            </w:pPr>
            <w:r>
              <w:rPr/>
              <w:t>15</w:t>
            </w:r>
          </w:p>
        </w:tc>
        <w:tc>
          <w:tcPr>
            <w:tcW w:w="60" w:type="dxa"/>
            <w:tcBorders>
              <w:bottom w:val="single" w:sz="6" w:space="0" w:color="007CBA"/>
            </w:tcBorders>
            <w:shd w:fill="F2F8FB" w:val="clear"/>
            <w:tcMar>
              <w:bottom w:w="28" w:type="dxa"/>
            </w:tcMar>
            <w:vAlign w:val="center"/>
          </w:tcPr>
          <w:p>
            <w:pPr>
              <w:pStyle w:val="TableContents"/>
              <w:spacing w:before="0" w:after="283"/>
              <w:rPr/>
            </w:pPr>
            <w:r>
              <w:rPr/>
              <w:t> </w:t>
            </w:r>
          </w:p>
        </w:tc>
        <w:tc>
          <w:tcPr>
            <w:tcW w:w="230" w:type="dxa"/>
            <w:tcBorders>
              <w:bottom w:val="single" w:sz="6" w:space="0" w:color="007CBA"/>
            </w:tcBorders>
            <w:shd w:fill="F2F8FB" w:val="clear"/>
            <w:tcMar>
              <w:bottom w:w="120" w:type="dxa"/>
            </w:tcMar>
            <w:vAlign w:val="center"/>
          </w:tcPr>
          <w:p>
            <w:pPr>
              <w:pStyle w:val="TableContents"/>
              <w:spacing w:before="0" w:after="283"/>
              <w:jc w:val="center"/>
              <w:rPr/>
            </w:pPr>
            <w:r>
              <w:rPr/>
              <w:t>6</w:t>
            </w:r>
          </w:p>
        </w:tc>
        <w:tc>
          <w:tcPr>
            <w:tcW w:w="60" w:type="dxa"/>
            <w:tcBorders>
              <w:bottom w:val="single" w:sz="6" w:space="0" w:color="007CBA"/>
            </w:tcBorders>
            <w:shd w:fill="auto" w:val="clear"/>
            <w:tcMar>
              <w:bottom w:w="28" w:type="dxa"/>
            </w:tcMar>
            <w:vAlign w:val="center"/>
          </w:tcPr>
          <w:p>
            <w:pPr>
              <w:pStyle w:val="TableContents"/>
              <w:spacing w:before="0" w:after="283"/>
              <w:rPr/>
            </w:pPr>
            <w:r>
              <w:rPr/>
              <w:t> </w:t>
            </w:r>
          </w:p>
        </w:tc>
        <w:tc>
          <w:tcPr>
            <w:tcW w:w="245" w:type="dxa"/>
            <w:tcBorders>
              <w:bottom w:val="single" w:sz="6" w:space="0" w:color="007CBA"/>
            </w:tcBorders>
            <w:shd w:fill="auto" w:val="clear"/>
            <w:tcMar>
              <w:bottom w:w="120" w:type="dxa"/>
            </w:tcMar>
            <w:vAlign w:val="center"/>
          </w:tcPr>
          <w:p>
            <w:pPr>
              <w:pStyle w:val="TableContents"/>
              <w:spacing w:before="0" w:after="283"/>
              <w:jc w:val="center"/>
              <w:rPr/>
            </w:pPr>
            <w:r>
              <w:rPr/>
              <w:t>2</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7CBA"/>
            </w:tcBorders>
            <w:shd w:fill="auto" w:val="clear"/>
            <w:tcMar>
              <w:bottom w:w="120" w:type="dxa"/>
            </w:tcMar>
            <w:vAlign w:val="center"/>
          </w:tcPr>
          <w:p>
            <w:pPr>
              <w:pStyle w:val="TableContents"/>
              <w:spacing w:before="0" w:after="0"/>
              <w:rPr>
                <w:rFonts w:ascii="ARIAL" w:hAnsi="ARIAL"/>
                <w:b/>
                <w:sz w:val="20"/>
              </w:rPr>
            </w:pPr>
            <w:r>
              <w:rPr>
                <w:rFonts w:ascii="ARIAL" w:hAnsi="ARIAL"/>
                <w:b/>
                <w:sz w:val="20"/>
              </w:rPr>
              <w:t>Qualification &amp; Experience</w:t>
            </w:r>
          </w:p>
        </w:tc>
        <w:tc>
          <w:tcPr>
            <w:tcW w:w="60" w:type="dxa"/>
            <w:tcBorders>
              <w:bottom w:val="single" w:sz="6" w:space="0" w:color="007CBA"/>
            </w:tcBorders>
            <w:shd w:fill="F2F8FB" w:val="clear"/>
            <w:tcMar>
              <w:bottom w:w="28" w:type="dxa"/>
            </w:tcMar>
            <w:vAlign w:val="center"/>
          </w:tcPr>
          <w:p>
            <w:pPr>
              <w:pStyle w:val="TableContents"/>
              <w:spacing w:before="0" w:after="283"/>
              <w:rPr/>
            </w:pPr>
            <w:r>
              <w:rPr/>
              <w:t> </w:t>
            </w:r>
          </w:p>
        </w:tc>
        <w:tc>
          <w:tcPr>
            <w:tcW w:w="230" w:type="dxa"/>
            <w:tcBorders>
              <w:bottom w:val="single" w:sz="6" w:space="0" w:color="007CBA"/>
            </w:tcBorders>
            <w:shd w:fill="F2F8FB" w:val="clear"/>
            <w:tcMar>
              <w:bottom w:w="28" w:type="dxa"/>
            </w:tcMar>
            <w:vAlign w:val="center"/>
          </w:tcPr>
          <w:p>
            <w:pPr>
              <w:pStyle w:val="TableContents"/>
              <w:spacing w:before="0" w:after="283"/>
              <w:rPr/>
            </w:pPr>
            <w:r>
              <w:rPr/>
              <w:t> </w:t>
            </w:r>
          </w:p>
        </w:tc>
        <w:tc>
          <w:tcPr>
            <w:tcW w:w="60" w:type="dxa"/>
            <w:tcBorders>
              <w:bottom w:val="single" w:sz="6" w:space="0" w:color="007CBA"/>
            </w:tcBorders>
            <w:shd w:fill="auto" w:val="clear"/>
            <w:tcMar>
              <w:bottom w:w="28" w:type="dxa"/>
            </w:tcMar>
            <w:vAlign w:val="center"/>
          </w:tcPr>
          <w:p>
            <w:pPr>
              <w:pStyle w:val="TableContents"/>
              <w:spacing w:before="0" w:after="283"/>
              <w:rPr/>
            </w:pPr>
            <w:r>
              <w:rPr/>
              <w:t> </w:t>
            </w:r>
          </w:p>
        </w:tc>
        <w:tc>
          <w:tcPr>
            <w:tcW w:w="260" w:type="dxa"/>
            <w:tcBorders>
              <w:bottom w:val="single" w:sz="6" w:space="0" w:color="007CBA"/>
            </w:tcBorders>
            <w:shd w:fill="auto" w:val="clear"/>
            <w:tcMar>
              <w:bottom w:w="28" w:type="dxa"/>
            </w:tcMar>
            <w:vAlign w:val="center"/>
          </w:tcPr>
          <w:p>
            <w:pPr>
              <w:pStyle w:val="TableContents"/>
              <w:spacing w:before="0" w:after="283"/>
              <w:rPr/>
            </w:pPr>
            <w:r>
              <w:rPr/>
              <w:t> </w:t>
            </w:r>
          </w:p>
        </w:tc>
        <w:tc>
          <w:tcPr>
            <w:tcW w:w="60" w:type="dxa"/>
            <w:tcBorders>
              <w:bottom w:val="single" w:sz="6" w:space="0" w:color="007CBA"/>
            </w:tcBorders>
            <w:shd w:fill="F2F8FB" w:val="clear"/>
            <w:tcMar>
              <w:bottom w:w="28" w:type="dxa"/>
            </w:tcMar>
            <w:vAlign w:val="center"/>
          </w:tcPr>
          <w:p>
            <w:pPr>
              <w:pStyle w:val="TableContents"/>
              <w:spacing w:before="0" w:after="283"/>
              <w:rPr/>
            </w:pPr>
            <w:r>
              <w:rPr/>
              <w:t> </w:t>
            </w:r>
          </w:p>
        </w:tc>
        <w:tc>
          <w:tcPr>
            <w:tcW w:w="230" w:type="dxa"/>
            <w:tcBorders>
              <w:bottom w:val="single" w:sz="6" w:space="0" w:color="007CBA"/>
            </w:tcBorders>
            <w:shd w:fill="F2F8FB" w:val="clear"/>
            <w:tcMar>
              <w:bottom w:w="28" w:type="dxa"/>
            </w:tcMar>
            <w:vAlign w:val="center"/>
          </w:tcPr>
          <w:p>
            <w:pPr>
              <w:pStyle w:val="TableContents"/>
              <w:spacing w:before="0" w:after="283"/>
              <w:rPr/>
            </w:pPr>
            <w:r>
              <w:rPr/>
              <w:t> </w:t>
            </w:r>
          </w:p>
        </w:tc>
        <w:tc>
          <w:tcPr>
            <w:tcW w:w="60" w:type="dxa"/>
            <w:tcBorders>
              <w:bottom w:val="single" w:sz="6" w:space="0" w:color="007CBA"/>
            </w:tcBorders>
            <w:shd w:fill="auto" w:val="clear"/>
            <w:tcMar>
              <w:bottom w:w="28" w:type="dxa"/>
            </w:tcMar>
            <w:vAlign w:val="center"/>
          </w:tcPr>
          <w:p>
            <w:pPr>
              <w:pStyle w:val="TableContents"/>
              <w:spacing w:before="0" w:after="283"/>
              <w:rPr/>
            </w:pPr>
            <w:r>
              <w:rPr/>
              <w:t> </w:t>
            </w:r>
          </w:p>
        </w:tc>
        <w:tc>
          <w:tcPr>
            <w:tcW w:w="230" w:type="dxa"/>
            <w:tcBorders>
              <w:bottom w:val="single" w:sz="6" w:space="0" w:color="007CBA"/>
            </w:tcBorders>
            <w:shd w:fill="auto" w:val="clear"/>
            <w:tcMar>
              <w:bottom w:w="28" w:type="dxa"/>
            </w:tcMar>
            <w:vAlign w:val="center"/>
          </w:tcPr>
          <w:p>
            <w:pPr>
              <w:pStyle w:val="TableContents"/>
              <w:spacing w:before="0" w:after="283"/>
              <w:rPr/>
            </w:pPr>
            <w:r>
              <w:rPr/>
              <w:t> </w:t>
            </w:r>
          </w:p>
        </w:tc>
        <w:tc>
          <w:tcPr>
            <w:tcW w:w="60" w:type="dxa"/>
            <w:tcBorders>
              <w:bottom w:val="single" w:sz="6" w:space="0" w:color="007CBA"/>
            </w:tcBorders>
            <w:shd w:fill="F2F8FB" w:val="clear"/>
            <w:tcMar>
              <w:bottom w:w="28" w:type="dxa"/>
            </w:tcMar>
            <w:vAlign w:val="center"/>
          </w:tcPr>
          <w:p>
            <w:pPr>
              <w:pStyle w:val="TableContents"/>
              <w:spacing w:before="0" w:after="283"/>
              <w:rPr/>
            </w:pPr>
            <w:r>
              <w:rPr/>
              <w:t> </w:t>
            </w:r>
          </w:p>
        </w:tc>
        <w:tc>
          <w:tcPr>
            <w:tcW w:w="260" w:type="dxa"/>
            <w:tcBorders>
              <w:bottom w:val="single" w:sz="6" w:space="0" w:color="007CBA"/>
            </w:tcBorders>
            <w:shd w:fill="F2F8FB" w:val="clear"/>
            <w:tcMar>
              <w:bottom w:w="28" w:type="dxa"/>
            </w:tcMar>
            <w:vAlign w:val="center"/>
          </w:tcPr>
          <w:p>
            <w:pPr>
              <w:pStyle w:val="TableContents"/>
              <w:spacing w:before="0" w:after="283"/>
              <w:rPr/>
            </w:pPr>
            <w:r>
              <w:rPr/>
              <w:t> </w:t>
            </w:r>
          </w:p>
        </w:tc>
        <w:tc>
          <w:tcPr>
            <w:tcW w:w="60" w:type="dxa"/>
            <w:tcBorders>
              <w:bottom w:val="single" w:sz="6" w:space="0" w:color="007CBA"/>
            </w:tcBorders>
            <w:shd w:fill="auto" w:val="clear"/>
            <w:tcMar>
              <w:bottom w:w="28" w:type="dxa"/>
            </w:tcMar>
            <w:vAlign w:val="center"/>
          </w:tcPr>
          <w:p>
            <w:pPr>
              <w:pStyle w:val="TableContents"/>
              <w:spacing w:before="0" w:after="283"/>
              <w:rPr/>
            </w:pPr>
            <w:r>
              <w:rPr/>
              <w:t> </w:t>
            </w:r>
          </w:p>
        </w:tc>
        <w:tc>
          <w:tcPr>
            <w:tcW w:w="260" w:type="dxa"/>
            <w:tcBorders>
              <w:bottom w:val="single" w:sz="6" w:space="0" w:color="007CBA"/>
            </w:tcBorders>
            <w:shd w:fill="auto" w:val="clear"/>
            <w:tcMar>
              <w:bottom w:w="28" w:type="dxa"/>
            </w:tcMar>
            <w:vAlign w:val="center"/>
          </w:tcPr>
          <w:p>
            <w:pPr>
              <w:pStyle w:val="TableContents"/>
              <w:spacing w:before="0" w:after="283"/>
              <w:rPr/>
            </w:pPr>
            <w:r>
              <w:rPr/>
              <w:t> </w:t>
            </w:r>
          </w:p>
        </w:tc>
        <w:tc>
          <w:tcPr>
            <w:tcW w:w="60" w:type="dxa"/>
            <w:tcBorders>
              <w:bottom w:val="single" w:sz="6" w:space="0" w:color="007CBA"/>
            </w:tcBorders>
            <w:shd w:fill="F2F8FB" w:val="clear"/>
            <w:tcMar>
              <w:bottom w:w="28" w:type="dxa"/>
            </w:tcMar>
            <w:vAlign w:val="center"/>
          </w:tcPr>
          <w:p>
            <w:pPr>
              <w:pStyle w:val="TableContents"/>
              <w:spacing w:before="0" w:after="283"/>
              <w:rPr/>
            </w:pPr>
            <w:r>
              <w:rPr/>
              <w:t> </w:t>
            </w:r>
          </w:p>
        </w:tc>
        <w:tc>
          <w:tcPr>
            <w:tcW w:w="230" w:type="dxa"/>
            <w:tcBorders>
              <w:bottom w:val="single" w:sz="6" w:space="0" w:color="007CBA"/>
            </w:tcBorders>
            <w:shd w:fill="F2F8FB" w:val="clear"/>
            <w:tcMar>
              <w:bottom w:w="28" w:type="dxa"/>
            </w:tcMar>
            <w:vAlign w:val="center"/>
          </w:tcPr>
          <w:p>
            <w:pPr>
              <w:pStyle w:val="TableContents"/>
              <w:spacing w:before="0" w:after="283"/>
              <w:rPr/>
            </w:pPr>
            <w:r>
              <w:rPr/>
              <w:t> </w:t>
            </w:r>
          </w:p>
        </w:tc>
        <w:tc>
          <w:tcPr>
            <w:tcW w:w="60" w:type="dxa"/>
            <w:tcBorders>
              <w:bottom w:val="single" w:sz="6" w:space="0" w:color="007CBA"/>
            </w:tcBorders>
            <w:shd w:fill="auto" w:val="clear"/>
            <w:tcMar>
              <w:bottom w:w="28" w:type="dxa"/>
            </w:tcMar>
            <w:vAlign w:val="center"/>
          </w:tcPr>
          <w:p>
            <w:pPr>
              <w:pStyle w:val="TableContents"/>
              <w:spacing w:before="0" w:after="283"/>
              <w:rPr/>
            </w:pPr>
            <w:r>
              <w:rPr/>
              <w:t> </w:t>
            </w:r>
          </w:p>
        </w:tc>
        <w:tc>
          <w:tcPr>
            <w:tcW w:w="260" w:type="dxa"/>
            <w:tcBorders>
              <w:bottom w:val="single" w:sz="6" w:space="0" w:color="007CBA"/>
            </w:tcBorders>
            <w:shd w:fill="auto" w:val="clear"/>
            <w:tcMar>
              <w:bottom w:w="28" w:type="dxa"/>
            </w:tcMar>
            <w:vAlign w:val="center"/>
          </w:tcPr>
          <w:p>
            <w:pPr>
              <w:pStyle w:val="TableContents"/>
              <w:spacing w:before="0" w:after="283"/>
              <w:rPr/>
            </w:pPr>
            <w:r>
              <w:rPr/>
              <w:t> </w:t>
            </w:r>
          </w:p>
        </w:tc>
        <w:tc>
          <w:tcPr>
            <w:tcW w:w="60" w:type="dxa"/>
            <w:tcBorders>
              <w:bottom w:val="single" w:sz="6" w:space="0" w:color="007CBA"/>
            </w:tcBorders>
            <w:shd w:fill="F2F8FB" w:val="clear"/>
            <w:tcMar>
              <w:bottom w:w="28" w:type="dxa"/>
            </w:tcMar>
            <w:vAlign w:val="center"/>
          </w:tcPr>
          <w:p>
            <w:pPr>
              <w:pStyle w:val="TableContents"/>
              <w:spacing w:before="0" w:after="283"/>
              <w:rPr/>
            </w:pPr>
            <w:r>
              <w:rPr/>
              <w:t> </w:t>
            </w:r>
          </w:p>
        </w:tc>
        <w:tc>
          <w:tcPr>
            <w:tcW w:w="230" w:type="dxa"/>
            <w:tcBorders>
              <w:bottom w:val="single" w:sz="6" w:space="0" w:color="007CBA"/>
            </w:tcBorders>
            <w:shd w:fill="F2F8FB" w:val="clear"/>
            <w:tcMar>
              <w:bottom w:w="28" w:type="dxa"/>
            </w:tcMar>
            <w:vAlign w:val="center"/>
          </w:tcPr>
          <w:p>
            <w:pPr>
              <w:pStyle w:val="TableContents"/>
              <w:spacing w:before="0" w:after="283"/>
              <w:rPr/>
            </w:pPr>
            <w:r>
              <w:rPr/>
              <w:t> </w:t>
            </w:r>
          </w:p>
        </w:tc>
        <w:tc>
          <w:tcPr>
            <w:tcW w:w="60" w:type="dxa"/>
            <w:tcBorders>
              <w:bottom w:val="single" w:sz="6" w:space="0" w:color="007CBA"/>
            </w:tcBorders>
            <w:shd w:fill="auto" w:val="clear"/>
            <w:tcMar>
              <w:bottom w:w="28" w:type="dxa"/>
            </w:tcMar>
            <w:vAlign w:val="center"/>
          </w:tcPr>
          <w:p>
            <w:pPr>
              <w:pStyle w:val="TableContents"/>
              <w:spacing w:before="0" w:after="283"/>
              <w:rPr/>
            </w:pPr>
            <w:r>
              <w:rPr/>
              <w:t> </w:t>
            </w:r>
          </w:p>
        </w:tc>
        <w:tc>
          <w:tcPr>
            <w:tcW w:w="245" w:type="dxa"/>
            <w:tcBorders>
              <w:bottom w:val="single" w:sz="6" w:space="0" w:color="007CBA"/>
            </w:tcBorders>
            <w:shd w:fill="auto" w:val="clear"/>
            <w:tcMar>
              <w:bottom w:w="28" w:type="dxa"/>
            </w:tcMar>
            <w:vAlign w:val="center"/>
          </w:tcPr>
          <w:p>
            <w:pPr>
              <w:pStyle w:val="TableContents"/>
              <w:spacing w:before="0" w:after="283"/>
              <w:rPr/>
            </w:pPr>
            <w:r>
              <w:rPr/>
              <w:t> </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Corporate Governance/Legal</w:t>
            </w:r>
          </w:p>
          <w:p>
            <w:pPr>
              <w:pStyle w:val="TableContents"/>
              <w:spacing w:before="0" w:after="20"/>
              <w:rPr>
                <w:rFonts w:ascii="ARIAL" w:hAnsi="ARIAL"/>
                <w:sz w:val="16"/>
              </w:rPr>
            </w:pPr>
            <w:r>
              <w:rPr>
                <w:rFonts w:ascii="ARIAL" w:hAnsi="ARIAL"/>
                <w:sz w:val="16"/>
              </w:rPr>
              <w:t>Ensures background and knowledge necessary to provide effective oversight and governance</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Current or Former CEO of Public Company</w:t>
            </w:r>
          </w:p>
          <w:p>
            <w:pPr>
              <w:pStyle w:val="TableContents"/>
              <w:spacing w:before="0" w:after="20"/>
              <w:rPr>
                <w:rFonts w:ascii="ARIAL" w:hAnsi="ARIAL"/>
                <w:sz w:val="16"/>
              </w:rPr>
            </w:pPr>
            <w:r>
              <w:rPr>
                <w:rFonts w:ascii="ARIAL" w:hAnsi="ARIAL"/>
                <w:sz w:val="16"/>
              </w:rPr>
              <w:t>Strong leadership skills and critical experience with demands and challenges of managing a large public organization</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28" w:type="dxa"/>
            </w:tcMar>
            <w:vAlign w:val="center"/>
          </w:tcPr>
          <w:p>
            <w:pPr>
              <w:pStyle w:val="TableContents"/>
              <w:spacing w:before="0" w:after="283"/>
              <w:rPr/>
            </w:pPr>
            <w:r>
              <w:rPr/>
              <w:t> </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Financial or Accounting</w:t>
            </w:r>
          </w:p>
          <w:p>
            <w:pPr>
              <w:pStyle w:val="TableContents"/>
              <w:spacing w:before="0" w:after="20"/>
              <w:rPr>
                <w:rFonts w:ascii="ARIAL" w:hAnsi="ARIAL"/>
                <w:sz w:val="16"/>
              </w:rPr>
            </w:pPr>
            <w:r>
              <w:rPr>
                <w:rFonts w:ascii="ARIAL" w:hAnsi="ARIAL"/>
                <w:sz w:val="16"/>
              </w:rPr>
              <w:t>Enables in-depth analysis of our financial statements, capital structure, financial transactions, and financial reporting process</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Government Relations/Regulatory/Sustainability</w:t>
            </w:r>
          </w:p>
          <w:p>
            <w:pPr>
              <w:pStyle w:val="TableContents"/>
              <w:spacing w:before="0" w:after="20"/>
              <w:rPr>
                <w:rFonts w:ascii="ARIAL" w:hAnsi="ARIAL"/>
                <w:sz w:val="16"/>
              </w:rPr>
            </w:pPr>
            <w:r>
              <w:rPr>
                <w:rFonts w:ascii="ARIAL" w:hAnsi="ARIAL"/>
                <w:sz w:val="16"/>
              </w:rPr>
              <w:t>Critical for understanding complex regulatory and governmental environment that impacts our business and our strategic goals relating to sustainability</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Logistics/Operations</w:t>
            </w:r>
          </w:p>
          <w:p>
            <w:pPr>
              <w:pStyle w:val="TableContents"/>
              <w:spacing w:before="0" w:after="20"/>
              <w:rPr>
                <w:rFonts w:ascii="ARIAL" w:hAnsi="ARIAL"/>
                <w:sz w:val="16"/>
              </w:rPr>
            </w:pPr>
            <w:r>
              <w:rPr>
                <w:rFonts w:ascii="ARIAL" w:hAnsi="ARIAL"/>
                <w:sz w:val="16"/>
              </w:rPr>
              <w:t>Necessary in overseeing a sustainable company that relies heavily on logistics</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Other Public Boards</w:t>
            </w:r>
          </w:p>
          <w:p>
            <w:pPr>
              <w:pStyle w:val="TableContents"/>
              <w:spacing w:before="0" w:after="20"/>
              <w:rPr>
                <w:rFonts w:ascii="ARIAL" w:hAnsi="ARIAL"/>
                <w:sz w:val="16"/>
              </w:rPr>
            </w:pPr>
            <w:r>
              <w:rPr>
                <w:rFonts w:ascii="ARIAL" w:hAnsi="ARIAL"/>
                <w:sz w:val="16"/>
              </w:rPr>
              <w:t>Adds perspective important to shareholders and public company governance</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Risk Management</w:t>
            </w:r>
          </w:p>
          <w:p>
            <w:pPr>
              <w:pStyle w:val="TableContents"/>
              <w:spacing w:before="0" w:after="20"/>
              <w:rPr>
                <w:rFonts w:ascii="ARIAL" w:hAnsi="ARIAL"/>
                <w:sz w:val="16"/>
              </w:rPr>
            </w:pPr>
            <w:r>
              <w:rPr>
                <w:rFonts w:ascii="ARIAL" w:hAnsi="ARIAL"/>
                <w:sz w:val="16"/>
              </w:rPr>
              <w:t>Facilitates understanding of the risks facing the Company and appropriate process and procedures for managing them</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Strategy/M&amp;A</w:t>
            </w:r>
          </w:p>
          <w:p>
            <w:pPr>
              <w:pStyle w:val="TableContents"/>
              <w:spacing w:before="0" w:after="20"/>
              <w:rPr>
                <w:rFonts w:ascii="ARIAL" w:hAnsi="ARIAL"/>
                <w:sz w:val="16"/>
              </w:rPr>
            </w:pPr>
            <w:r>
              <w:rPr>
                <w:rFonts w:ascii="ARIAL" w:hAnsi="ARIAL"/>
                <w:sz w:val="16"/>
              </w:rPr>
              <w:t>Supports setting of long-term corporate vision, disciplined strategic development and integration to facilitate the Company’s growth</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3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6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60"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230" w:type="dxa"/>
            <w:tcBorders>
              <w:bottom w:val="single" w:sz="6" w:space="0" w:color="000000"/>
            </w:tcBorders>
            <w:shd w:fill="F2F8FB" w:val="clear"/>
            <w:tcMar>
              <w:bottom w:w="120" w:type="dxa"/>
            </w:tcMar>
            <w:vAlign w:val="center"/>
          </w:tcPr>
          <w:p>
            <w:pPr>
              <w:pStyle w:val="TableContents"/>
              <w:spacing w:before="0" w:after="283"/>
              <w:jc w:val="center"/>
              <w:rPr>
                <w:color w:val="007CBA"/>
              </w:rPr>
            </w:pPr>
            <w:r>
              <w:rPr>
                <w:color w:val="007CBA"/>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45" w:type="dxa"/>
            <w:tcBorders>
              <w:bottom w:val="single" w:sz="6" w:space="0" w:color="000000"/>
            </w:tcBorders>
            <w:shd w:fill="auto" w:val="clear"/>
            <w:tcMar>
              <w:bottom w:w="120" w:type="dxa"/>
            </w:tcMar>
            <w:vAlign w:val="center"/>
          </w:tcPr>
          <w:p>
            <w:pPr>
              <w:pStyle w:val="TableContents"/>
              <w:spacing w:before="0" w:after="283"/>
              <w:jc w:val="center"/>
              <w:rPr>
                <w:color w:val="007CBA"/>
              </w:rPr>
            </w:pPr>
            <w:r>
              <w:rPr>
                <w:color w:val="007CBA"/>
              </w:rPr>
              <w:t>●</w:t>
            </w:r>
          </w:p>
        </w:tc>
      </w:tr>
      <w:tr>
        <w:trPr/>
        <w:tc>
          <w:tcPr>
            <w:tcW w:w="717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2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2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F2F8FB"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7170" w:type="dxa"/>
            <w:tcBorders/>
            <w:shd w:fill="auto" w:val="clear"/>
            <w:vAlign w:val="center"/>
          </w:tcPr>
          <w:p>
            <w:pPr>
              <w:pStyle w:val="TableContents"/>
              <w:spacing w:before="0" w:after="0"/>
              <w:rPr>
                <w:rFonts w:ascii="ARIAL" w:hAnsi="ARIAL"/>
                <w:b/>
                <w:color w:val="007CBA"/>
                <w:sz w:val="18"/>
              </w:rPr>
            </w:pPr>
            <w:r>
              <w:rPr>
                <w:rFonts w:ascii="ARIAL" w:hAnsi="ARIAL"/>
                <w:b/>
                <w:color w:val="007CBA"/>
                <w:sz w:val="18"/>
              </w:rPr>
              <w:t>Technology</w:t>
            </w:r>
          </w:p>
          <w:p>
            <w:pPr>
              <w:pStyle w:val="TableContents"/>
              <w:spacing w:before="0" w:after="20"/>
              <w:rPr>
                <w:rFonts w:ascii="ARIAL" w:hAnsi="ARIAL"/>
                <w:sz w:val="16"/>
              </w:rPr>
            </w:pPr>
            <w:r>
              <w:rPr>
                <w:rFonts w:ascii="ARIAL" w:hAnsi="ARIAL"/>
                <w:sz w:val="16"/>
              </w:rPr>
              <w:t>Facilitates business objectives and security of the Company’s proprietary and confidential data</w:t>
            </w:r>
          </w:p>
        </w:tc>
        <w:tc>
          <w:tcPr>
            <w:tcW w:w="60" w:type="dxa"/>
            <w:tcBorders/>
            <w:shd w:fill="F2F8FB" w:val="clear"/>
            <w:vAlign w:val="center"/>
          </w:tcPr>
          <w:p>
            <w:pPr>
              <w:pStyle w:val="TableContents"/>
              <w:spacing w:before="0" w:after="283"/>
              <w:rPr/>
            </w:pPr>
            <w:r>
              <w:rPr/>
              <w:t> </w:t>
            </w:r>
          </w:p>
        </w:tc>
        <w:tc>
          <w:tcPr>
            <w:tcW w:w="230" w:type="dxa"/>
            <w:tcBorders/>
            <w:shd w:fill="F2F8FB" w:val="clear"/>
            <w:vAlign w:val="center"/>
          </w:tcPr>
          <w:p>
            <w:pPr>
              <w:pStyle w:val="TableContents"/>
              <w:spacing w:before="0" w:after="283"/>
              <w:jc w:val="center"/>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230" w:type="dxa"/>
            <w:tcBorders/>
            <w:shd w:fill="F2F8FB" w:val="clear"/>
            <w:vAlign w:val="center"/>
          </w:tcPr>
          <w:p>
            <w:pPr>
              <w:pStyle w:val="TableContents"/>
              <w:spacing w:before="0" w:after="283"/>
              <w:jc w:val="center"/>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color w:val="007CBA"/>
              </w:rPr>
            </w:pPr>
            <w:r>
              <w:rPr>
                <w:color w:val="007CBA"/>
              </w:rPr>
              <w:t>●</w:t>
            </w:r>
          </w:p>
        </w:tc>
        <w:tc>
          <w:tcPr>
            <w:tcW w:w="60" w:type="dxa"/>
            <w:tcBorders/>
            <w:shd w:fill="F2F8FB" w:val="clear"/>
            <w:vAlign w:val="center"/>
          </w:tcPr>
          <w:p>
            <w:pPr>
              <w:pStyle w:val="TableContents"/>
              <w:spacing w:before="0" w:after="283"/>
              <w:rPr/>
            </w:pPr>
            <w:r>
              <w:rPr/>
              <w:t> </w:t>
            </w:r>
          </w:p>
        </w:tc>
        <w:tc>
          <w:tcPr>
            <w:tcW w:w="260" w:type="dxa"/>
            <w:tcBorders/>
            <w:shd w:fill="F2F8F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230" w:type="dxa"/>
            <w:tcBorders/>
            <w:shd w:fill="F2F8FB" w:val="clear"/>
            <w:vAlign w:val="center"/>
          </w:tcPr>
          <w:p>
            <w:pPr>
              <w:pStyle w:val="TableContents"/>
              <w:spacing w:before="0" w:after="283"/>
              <w:jc w:val="center"/>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230" w:type="dxa"/>
            <w:tcBorders/>
            <w:shd w:fill="F2F8F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center"/>
              <w:rPr>
                <w:color w:val="007CBA"/>
              </w:rPr>
            </w:pPr>
            <w:r>
              <w:rPr>
                <w:color w:val="007CBA"/>
              </w:rPr>
              <w:t>●</w:t>
            </w:r>
          </w:p>
        </w:tc>
      </w:tr>
    </w:tbl>
    <w:p>
      <w:pPr>
        <w:pStyle w:val="TextBody"/>
        <w:spacing w:before="360" w:after="0"/>
        <w:jc w:val="left"/>
        <w:rPr>
          <w:rFonts w:ascii="ARIAL" w:hAnsi="ARIAL"/>
          <w:sz w:val="20"/>
        </w:rPr>
      </w:pPr>
      <w:r>
        <w:rPr>
          <w:rFonts w:ascii="ARIAL" w:hAnsi="ARIAL"/>
          <w:sz w:val="20"/>
        </w:rPr>
        <w:t xml:space="preserve">The Board has implemented a number of processes to assist it in refreshing the Board in an appropriate manner that helps create shareholder value.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16</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BOARD QUALIFICATIONS, GENDER AND DIVERSITY  </w:t>
      </w:r>
      <w:r>
        <w:rPr>
          <w:rFonts w:ascii="ARIAL" w:hAnsi="ARIAL"/>
          <w:color w:val="007CBA"/>
          <w:sz w:val="16"/>
        </w:rPr>
        <w:t xml:space="preserve">◆  THE BOARD OF DIRECTORS </w:t>
      </w:r>
    </w:p>
    <w:p>
      <w:pPr>
        <w:pStyle w:val="TextBody"/>
        <w:spacing w:before="0" w:after="0"/>
        <w:jc w:val="left"/>
        <w:rPr/>
      </w:pPr>
      <w:r>
        <w:rPr/>
        <w:t> </w:t>
      </w:r>
    </w:p>
    <w:tbl>
      <w:tblPr>
        <w:tblW w:w="3815" w:type="dxa"/>
        <w:jc w:val="left"/>
        <w:tblInd w:w="0" w:type="dxa"/>
        <w:tblCellMar>
          <w:top w:w="0" w:type="dxa"/>
          <w:left w:w="0" w:type="dxa"/>
          <w:bottom w:w="0" w:type="dxa"/>
          <w:right w:w="0" w:type="dxa"/>
        </w:tblCellMar>
      </w:tblPr>
      <w:tblGrid>
        <w:gridCol w:w="150"/>
        <w:gridCol w:w="120"/>
        <w:gridCol w:w="3545"/>
      </w:tblGrid>
      <w:tr>
        <w:trPr/>
        <w:tc>
          <w:tcPr>
            <w:tcW w:w="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45" w:type="dxa"/>
            <w:tcBorders/>
            <w:shd w:fill="auto" w:val="clear"/>
            <w:vAlign w:val="center"/>
          </w:tcPr>
          <w:p>
            <w:pPr>
              <w:pStyle w:val="TableContents"/>
              <w:spacing w:before="0" w:after="283"/>
              <w:rPr>
                <w:sz w:val="4"/>
                <w:szCs w:val="4"/>
              </w:rPr>
            </w:pPr>
            <w:r>
              <w:rPr>
                <w:sz w:val="4"/>
                <w:szCs w:val="4"/>
              </w:rPr>
            </w:r>
          </w:p>
        </w:tc>
      </w:tr>
      <w:tr>
        <w:trPr/>
        <w:tc>
          <w:tcPr>
            <w:tcW w:w="150" w:type="dxa"/>
            <w:tcBorders>
              <w:bottom w:val="single" w:sz="6" w:space="0" w:color="007CBA"/>
            </w:tcBorders>
            <w:shd w:fill="auto" w:val="clear"/>
            <w:tcMar>
              <w:bottom w:w="28" w:type="dxa"/>
            </w:tcMar>
            <w:vAlign w:val="center"/>
          </w:tcPr>
          <w:p>
            <w:pPr>
              <w:pStyle w:val="TableContents"/>
              <w:rPr/>
            </w:pPr>
            <w:r>
              <w:rPr/>
              <w:drawing>
                <wp:inline distT="0" distB="0" distL="0" distR="0">
                  <wp:extent cx="47625" cy="36830"/>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47625" cy="36830"/>
                          </a:xfrm>
                          <a:prstGeom prst="rect">
                            <a:avLst/>
                          </a:prstGeom>
                        </pic:spPr>
                      </pic:pic>
                    </a:graphicData>
                  </a:graphic>
                </wp:inline>
              </w:drawing>
            </w:r>
            <w:r>
              <w:rPr/>
              <w:t xml:space="preserve"> </w:t>
            </w:r>
          </w:p>
          <w:p>
            <w:pPr>
              <w:pStyle w:val="TableContents"/>
              <w:spacing w:before="0" w:after="20"/>
              <w:rPr/>
            </w:pPr>
            <w:r>
              <w:rPr/>
              <w:t> </w:t>
            </w:r>
          </w:p>
        </w:tc>
        <w:tc>
          <w:tcPr>
            <w:tcW w:w="120" w:type="dxa"/>
            <w:tcBorders>
              <w:bottom w:val="single" w:sz="6" w:space="0" w:color="007CBA"/>
            </w:tcBorders>
            <w:shd w:fill="auto" w:val="clear"/>
            <w:tcMar>
              <w:bottom w:w="28" w:type="dxa"/>
            </w:tcMar>
            <w:vAlign w:val="center"/>
          </w:tcPr>
          <w:p>
            <w:pPr>
              <w:pStyle w:val="TableContents"/>
              <w:spacing w:before="0" w:after="283"/>
              <w:rPr/>
            </w:pPr>
            <w:r>
              <w:rPr/>
              <w:t>  </w:t>
            </w:r>
          </w:p>
        </w:tc>
        <w:tc>
          <w:tcPr>
            <w:tcW w:w="3545" w:type="dxa"/>
            <w:tcBorders>
              <w:bottom w:val="single" w:sz="6" w:space="0" w:color="007CBA"/>
            </w:tcBorders>
            <w:shd w:fill="auto" w:val="clear"/>
            <w:tcMar>
              <w:bottom w:w="28" w:type="dxa"/>
            </w:tcMar>
            <w:vAlign w:val="center"/>
          </w:tcPr>
          <w:p>
            <w:pPr>
              <w:pStyle w:val="TableContents"/>
              <w:spacing w:before="0" w:after="0"/>
              <w:rPr>
                <w:rFonts w:ascii="ARIAL" w:hAnsi="ARIAL"/>
                <w:b/>
                <w:color w:val="71BE9A"/>
                <w:sz w:val="26"/>
              </w:rPr>
            </w:pPr>
            <w:bookmarkStart w:id="8" w:name="toc390557_4a"/>
            <w:bookmarkEnd w:id="8"/>
            <w:r>
              <w:rPr>
                <w:rFonts w:ascii="ARIAL" w:hAnsi="ARIAL"/>
                <w:b/>
                <w:color w:val="71BE9A"/>
                <w:sz w:val="26"/>
              </w:rPr>
              <w:t>Board Refreshment Elements</w:t>
            </w:r>
          </w:p>
          <w:p>
            <w:pPr>
              <w:pStyle w:val="TableContents"/>
              <w:spacing w:before="0" w:after="20"/>
              <w:rPr/>
            </w:pPr>
            <w:r>
              <w:rPr/>
              <w:t> </w:t>
            </w:r>
          </w:p>
        </w:tc>
      </w:tr>
    </w:tbl>
    <w:tbl>
      <w:tblPr>
        <w:tblW w:w="10205" w:type="dxa"/>
        <w:jc w:val="left"/>
        <w:tblInd w:w="0" w:type="dxa"/>
        <w:tblCellMar>
          <w:top w:w="0" w:type="dxa"/>
          <w:left w:w="0" w:type="dxa"/>
          <w:bottom w:w="0" w:type="dxa"/>
          <w:right w:w="0" w:type="dxa"/>
        </w:tblCellMar>
      </w:tblPr>
      <w:tblGrid>
        <w:gridCol w:w="1297"/>
        <w:gridCol w:w="120"/>
        <w:gridCol w:w="8788"/>
      </w:tblGrid>
      <w:tr>
        <w:trPr/>
        <w:tc>
          <w:tcPr>
            <w:tcW w:w="12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788" w:type="dxa"/>
            <w:tcBorders/>
            <w:shd w:fill="auto" w:val="clear"/>
            <w:vAlign w:val="center"/>
          </w:tcPr>
          <w:p>
            <w:pPr>
              <w:pStyle w:val="TableContents"/>
              <w:spacing w:before="0" w:after="283"/>
              <w:rPr>
                <w:sz w:val="4"/>
                <w:szCs w:val="4"/>
              </w:rPr>
            </w:pPr>
            <w:r>
              <w:rPr>
                <w:sz w:val="4"/>
                <w:szCs w:val="4"/>
              </w:rPr>
            </w:r>
          </w:p>
        </w:tc>
      </w:tr>
      <w:tr>
        <w:trPr/>
        <w:tc>
          <w:tcPr>
            <w:tcW w:w="1297" w:type="dxa"/>
            <w:tcBorders/>
            <w:shd w:fill="auto" w:val="clear"/>
            <w:vAlign w:val="center"/>
          </w:tcPr>
          <w:p>
            <w:pPr>
              <w:pStyle w:val="TableContents"/>
              <w:spacing w:before="0" w:after="283"/>
              <w:rPr>
                <w:sz w:val="4"/>
                <w:szCs w:val="4"/>
              </w:rPr>
            </w:pPr>
            <w:r>
              <w:rPr>
                <w:sz w:val="4"/>
                <w:szCs w:val="4"/>
              </w:rPr>
            </w:r>
          </w:p>
        </w:tc>
        <w:tc>
          <w:tcPr>
            <w:tcW w:w="8908" w:type="dxa"/>
            <w:gridSpan w:val="2"/>
            <w:tcBorders/>
            <w:shd w:fill="auto" w:val="clear"/>
            <w:vAlign w:val="center"/>
          </w:tcPr>
          <w:p>
            <w:pPr>
              <w:pStyle w:val="TableContents"/>
              <w:spacing w:before="0" w:after="283"/>
              <w:rPr>
                <w:sz w:val="4"/>
                <w:szCs w:val="4"/>
              </w:rPr>
            </w:pPr>
            <w:r>
              <w:rPr>
                <w:sz w:val="4"/>
                <w:szCs w:val="4"/>
              </w:rPr>
            </w:r>
          </w:p>
        </w:tc>
      </w:tr>
      <w:tr>
        <w:trPr/>
        <w:tc>
          <w:tcPr>
            <w:tcW w:w="1297"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Review of Board Candidates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788" w:type="dxa"/>
            <w:tcBorders>
              <w:bottom w:val="single" w:sz="6" w:space="0" w:color="000000"/>
            </w:tcBorders>
            <w:shd w:fill="auto" w:val="clear"/>
            <w:tcMar>
              <w:bottom w:w="120" w:type="dxa"/>
            </w:tcMar>
            <w:vAlign w:val="center"/>
          </w:tcPr>
          <w:p>
            <w:pPr>
              <w:pStyle w:val="TableContents"/>
              <w:spacing w:before="0" w:after="0"/>
              <w:rPr>
                <w:rFonts w:ascii="ARIAL" w:hAnsi="ARIAL"/>
                <w:sz w:val="16"/>
              </w:rPr>
            </w:pPr>
            <w:r>
              <w:rPr>
                <w:rFonts w:ascii="ARIAL" w:hAnsi="ARIAL"/>
                <w:sz w:val="16"/>
              </w:rPr>
              <w:t>The Board seeks a diverse group of candidates who, at a minimum, possess the background, skills, expertise and time to make a significant contribution to the Board, the Company and its shareholders. The Corporate Governance Guidelines list criteria against which candidates may be assessed. In addition, the Nominating and Corporate Governance Committee considers, among other things: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input from the Board’s self-assessment process to prioritize areas of expertise that were identified;</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investor feedback and perceptions;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the candidates’ skills and competencies to ensure they are aligned with the Company’s future strategic challenges and opportunities; and</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the needs of the Board in light of recent and anticipated Board vacancies.</w:t>
            </w:r>
          </w:p>
          <w:p>
            <w:pPr>
              <w:pStyle w:val="TableContents"/>
              <w:spacing w:before="0" w:after="0"/>
              <w:rPr/>
            </w:pPr>
            <w:r>
              <w:rPr/>
              <w:t> </w:t>
            </w:r>
          </w:p>
          <w:p>
            <w:pPr>
              <w:pStyle w:val="TableContents"/>
              <w:spacing w:before="0" w:after="0"/>
              <w:rPr>
                <w:rFonts w:ascii="ARIAL" w:hAnsi="ARIAL"/>
                <w:sz w:val="16"/>
              </w:rPr>
            </w:pPr>
            <w:r>
              <w:rPr>
                <w:rFonts w:ascii="ARIAL" w:hAnsi="ARIAL"/>
                <w:sz w:val="16"/>
              </w:rPr>
              <w:t>During the process of identifying and selecting director nominees, the Nominating and Corporate Governance Committee screens and recommends candidates for nomination by the full Board. The Bylaws provide that the size of the Board may range from 9 to 11 members.</w:t>
            </w:r>
          </w:p>
          <w:p>
            <w:pPr>
              <w:pStyle w:val="TableContents"/>
              <w:spacing w:before="0" w:after="0"/>
              <w:rPr/>
            </w:pPr>
            <w:r>
              <w:rPr/>
              <w:t> </w:t>
            </w:r>
          </w:p>
          <w:p>
            <w:pPr>
              <w:pStyle w:val="TableContents"/>
              <w:spacing w:before="0" w:after="20"/>
              <w:rPr>
                <w:rFonts w:ascii="ARIAL" w:hAnsi="ARIAL"/>
                <w:sz w:val="16"/>
              </w:rPr>
            </w:pPr>
            <w:r>
              <w:rPr>
                <w:rFonts w:ascii="ARIAL" w:hAnsi="ARIAL"/>
                <w:sz w:val="16"/>
              </w:rPr>
              <w:t>Director candidates also may be identified by shareholders and will be evaluated under the same criteria applied to other director nominees and considered by the Nominating and Corporate Governance Committee. Information on the process and requirements for shareholder nominees may be found in our Bylaws on the Company’s website at https://ir.martinmarietta.com/corporate-governance/governance-documents-and-charters.</w:t>
            </w:r>
          </w:p>
        </w:tc>
      </w:tr>
      <w:tr>
        <w:trPr/>
        <w:tc>
          <w:tcPr>
            <w:tcW w:w="1297" w:type="dxa"/>
            <w:tcBorders/>
            <w:shd w:fill="auto" w:val="clear"/>
            <w:vAlign w:val="center"/>
          </w:tcPr>
          <w:p>
            <w:pPr>
              <w:pStyle w:val="TableContents"/>
              <w:spacing w:before="0" w:after="283"/>
              <w:rPr>
                <w:sz w:val="4"/>
                <w:szCs w:val="4"/>
              </w:rPr>
            </w:pPr>
            <w:r>
              <w:rPr>
                <w:sz w:val="4"/>
                <w:szCs w:val="4"/>
              </w:rPr>
            </w:r>
          </w:p>
        </w:tc>
        <w:tc>
          <w:tcPr>
            <w:tcW w:w="8908" w:type="dxa"/>
            <w:gridSpan w:val="2"/>
            <w:tcBorders/>
            <w:shd w:fill="auto" w:val="clear"/>
            <w:vAlign w:val="center"/>
          </w:tcPr>
          <w:p>
            <w:pPr>
              <w:pStyle w:val="TableContents"/>
              <w:spacing w:before="0" w:after="283"/>
              <w:rPr>
                <w:sz w:val="4"/>
                <w:szCs w:val="4"/>
              </w:rPr>
            </w:pPr>
            <w:r>
              <w:rPr>
                <w:sz w:val="4"/>
                <w:szCs w:val="4"/>
              </w:rPr>
            </w:r>
          </w:p>
        </w:tc>
      </w:tr>
      <w:tr>
        <w:trPr/>
        <w:tc>
          <w:tcPr>
            <w:tcW w:w="1297"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Board Assignments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788" w:type="dxa"/>
            <w:tcBorders>
              <w:bottom w:val="single" w:sz="6" w:space="0" w:color="000000"/>
            </w:tcBorders>
            <w:shd w:fill="auto" w:val="clear"/>
            <w:tcMar>
              <w:bottom w:w="120" w:type="dxa"/>
            </w:tcMar>
            <w:vAlign w:val="center"/>
          </w:tcPr>
          <w:p>
            <w:pPr>
              <w:pStyle w:val="TableContents"/>
              <w:spacing w:before="0" w:after="283"/>
              <w:rPr/>
            </w:pPr>
            <w:r>
              <w:rPr/>
              <w:t>Each February, the Nominating and Corporate Governance Committee reviews the membership, tenure, leadership and commitments of each of the Committees and considers possible changes given the qualifications and skill sets of members on the Board or a desire for committee rotation or refreshment. The Nominating and Corporate Governance Committee also takes into consideration the membership requirements and responsibilities set forth in each of the respective Committee charters and the Corporate Governance Guidelines as well as any upcoming vacancies on the Board due to our mandatory retirement age. The Nominating and Corporate Governance Committee recommends to the Board any proposed changes to Committee assignments and leadership to be made effective at the next Annual Meeting of Shareholders. The Nominating and Corporate Governance Committee also reviews the operation of the Board generally.</w:t>
            </w:r>
          </w:p>
        </w:tc>
      </w:tr>
      <w:tr>
        <w:trPr/>
        <w:tc>
          <w:tcPr>
            <w:tcW w:w="1297" w:type="dxa"/>
            <w:tcBorders/>
            <w:shd w:fill="auto" w:val="clear"/>
            <w:vAlign w:val="center"/>
          </w:tcPr>
          <w:p>
            <w:pPr>
              <w:pStyle w:val="TableContents"/>
              <w:spacing w:before="0" w:after="283"/>
              <w:rPr>
                <w:sz w:val="4"/>
                <w:szCs w:val="4"/>
              </w:rPr>
            </w:pPr>
            <w:r>
              <w:rPr>
                <w:sz w:val="4"/>
                <w:szCs w:val="4"/>
              </w:rPr>
            </w:r>
          </w:p>
        </w:tc>
        <w:tc>
          <w:tcPr>
            <w:tcW w:w="8908" w:type="dxa"/>
            <w:gridSpan w:val="2"/>
            <w:tcBorders/>
            <w:shd w:fill="auto" w:val="clear"/>
            <w:vAlign w:val="center"/>
          </w:tcPr>
          <w:p>
            <w:pPr>
              <w:pStyle w:val="TableContents"/>
              <w:spacing w:before="0" w:after="283"/>
              <w:rPr>
                <w:sz w:val="4"/>
                <w:szCs w:val="4"/>
              </w:rPr>
            </w:pPr>
            <w:r>
              <w:rPr>
                <w:sz w:val="4"/>
                <w:szCs w:val="4"/>
              </w:rPr>
            </w:r>
          </w:p>
        </w:tc>
      </w:tr>
      <w:tr>
        <w:trPr/>
        <w:tc>
          <w:tcPr>
            <w:tcW w:w="1297"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Refreshment</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788" w:type="dxa"/>
            <w:tcBorders>
              <w:bottom w:val="single" w:sz="6" w:space="0" w:color="000000"/>
            </w:tcBorders>
            <w:shd w:fill="auto" w:val="clear"/>
            <w:tcMar>
              <w:bottom w:w="120" w:type="dxa"/>
            </w:tcMar>
            <w:vAlign w:val="center"/>
          </w:tcPr>
          <w:p>
            <w:pPr>
              <w:pStyle w:val="TableContents"/>
              <w:spacing w:before="0" w:after="283"/>
              <w:rPr/>
            </w:pPr>
            <w:r>
              <w:rPr/>
              <w:t>The Board has added seven new directors in the past seven years. At the same time, obtaining a detailed understanding of the Company’s business takes time. We believe that implementing term limitations may prevent the Board from taking advantage of insight that longer tenure brings.</w:t>
            </w:r>
          </w:p>
        </w:tc>
      </w:tr>
      <w:tr>
        <w:trPr/>
        <w:tc>
          <w:tcPr>
            <w:tcW w:w="1297" w:type="dxa"/>
            <w:tcBorders/>
            <w:shd w:fill="auto" w:val="clear"/>
            <w:vAlign w:val="center"/>
          </w:tcPr>
          <w:p>
            <w:pPr>
              <w:pStyle w:val="TableContents"/>
              <w:spacing w:before="0" w:after="283"/>
              <w:rPr>
                <w:sz w:val="4"/>
                <w:szCs w:val="4"/>
              </w:rPr>
            </w:pPr>
            <w:r>
              <w:rPr>
                <w:sz w:val="4"/>
                <w:szCs w:val="4"/>
              </w:rPr>
            </w:r>
          </w:p>
        </w:tc>
        <w:tc>
          <w:tcPr>
            <w:tcW w:w="8908" w:type="dxa"/>
            <w:gridSpan w:val="2"/>
            <w:tcBorders/>
            <w:shd w:fill="auto" w:val="clear"/>
            <w:vAlign w:val="center"/>
          </w:tcPr>
          <w:p>
            <w:pPr>
              <w:pStyle w:val="TableContents"/>
              <w:spacing w:before="0" w:after="283"/>
              <w:rPr>
                <w:sz w:val="4"/>
                <w:szCs w:val="4"/>
              </w:rPr>
            </w:pPr>
            <w:r>
              <w:rPr>
                <w:sz w:val="4"/>
                <w:szCs w:val="4"/>
              </w:rPr>
            </w:r>
          </w:p>
        </w:tc>
      </w:tr>
      <w:tr>
        <w:trPr/>
        <w:tc>
          <w:tcPr>
            <w:tcW w:w="1297"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Annual Performance Assessment</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788" w:type="dxa"/>
            <w:tcBorders>
              <w:bottom w:val="single" w:sz="6" w:space="0" w:color="000000"/>
            </w:tcBorders>
            <w:shd w:fill="auto" w:val="clear"/>
            <w:tcMar>
              <w:bottom w:w="120" w:type="dxa"/>
            </w:tcMar>
            <w:vAlign w:val="center"/>
          </w:tcPr>
          <w:p>
            <w:pPr>
              <w:pStyle w:val="TableContents"/>
              <w:spacing w:before="0" w:after="283"/>
              <w:rPr/>
            </w:pPr>
            <w:r>
              <w:rPr/>
              <w:t>The Board conducts a self-assessment of its performance and effectiveness as well as that of its Committees on an annual basis. The self-assessment helps the Nominating and Corporate Governance Committee track progress in certain areas targeted for improvement from year-to-year and to identify ways to enhance the Board’s and its Committees’ effectiveness. For 2022, each director completed a written questionnaire. The questions were open-ended to solicit candid feedback. The collective ratings and comments are compiled and summarized and then discussed by the Nominating and Corporate Governance Committee and the full Board.</w:t>
            </w:r>
          </w:p>
        </w:tc>
      </w:tr>
      <w:tr>
        <w:trPr/>
        <w:tc>
          <w:tcPr>
            <w:tcW w:w="1297" w:type="dxa"/>
            <w:tcBorders/>
            <w:shd w:fill="auto" w:val="clear"/>
            <w:vAlign w:val="center"/>
          </w:tcPr>
          <w:p>
            <w:pPr>
              <w:pStyle w:val="TableContents"/>
              <w:spacing w:before="0" w:after="283"/>
              <w:rPr>
                <w:sz w:val="4"/>
                <w:szCs w:val="4"/>
              </w:rPr>
            </w:pPr>
            <w:r>
              <w:rPr>
                <w:sz w:val="4"/>
                <w:szCs w:val="4"/>
              </w:rPr>
            </w:r>
          </w:p>
        </w:tc>
        <w:tc>
          <w:tcPr>
            <w:tcW w:w="8908" w:type="dxa"/>
            <w:gridSpan w:val="2"/>
            <w:tcBorders/>
            <w:shd w:fill="auto" w:val="clear"/>
            <w:vAlign w:val="center"/>
          </w:tcPr>
          <w:p>
            <w:pPr>
              <w:pStyle w:val="TableContents"/>
              <w:spacing w:before="0" w:after="283"/>
              <w:rPr>
                <w:sz w:val="4"/>
                <w:szCs w:val="4"/>
              </w:rPr>
            </w:pPr>
            <w:r>
              <w:rPr>
                <w:sz w:val="4"/>
                <w:szCs w:val="4"/>
              </w:rPr>
            </w:r>
          </w:p>
        </w:tc>
      </w:tr>
      <w:tr>
        <w:trPr/>
        <w:tc>
          <w:tcPr>
            <w:tcW w:w="1297" w:type="dxa"/>
            <w:tcBorders/>
            <w:shd w:fill="auto" w:val="clear"/>
            <w:vAlign w:val="center"/>
          </w:tcPr>
          <w:p>
            <w:pPr>
              <w:pStyle w:val="TableContents"/>
              <w:spacing w:before="0" w:after="0"/>
              <w:rPr>
                <w:rFonts w:ascii="ARIAL" w:hAnsi="ARIAL"/>
                <w:b/>
                <w:color w:val="007CBA"/>
                <w:sz w:val="18"/>
              </w:rPr>
            </w:pPr>
            <w:r>
              <w:rPr>
                <w:rFonts w:ascii="ARIAL" w:hAnsi="ARIAL"/>
                <w:b/>
                <w:color w:val="007CBA"/>
                <w:sz w:val="18"/>
              </w:rPr>
              <w:t>Onboarding and Education</w:t>
            </w:r>
          </w:p>
        </w:tc>
        <w:tc>
          <w:tcPr>
            <w:tcW w:w="120" w:type="dxa"/>
            <w:tcBorders/>
            <w:shd w:fill="auto" w:val="clear"/>
            <w:vAlign w:val="center"/>
          </w:tcPr>
          <w:p>
            <w:pPr>
              <w:pStyle w:val="TableContents"/>
              <w:spacing w:before="0" w:after="283"/>
              <w:rPr/>
            </w:pPr>
            <w:r>
              <w:rPr/>
              <w:t>  </w:t>
            </w:r>
          </w:p>
        </w:tc>
        <w:tc>
          <w:tcPr>
            <w:tcW w:w="8788" w:type="dxa"/>
            <w:tcBorders/>
            <w:shd w:fill="auto" w:val="clear"/>
            <w:vAlign w:val="center"/>
          </w:tcPr>
          <w:p>
            <w:pPr>
              <w:pStyle w:val="TableContents"/>
              <w:spacing w:before="0" w:after="283"/>
              <w:rPr/>
            </w:pPr>
            <w:r>
              <w:rPr/>
              <w:t>New directors are provided with an orientation about the Company, including our business operations, strategy and governance. Directors also are provided continuing education by subject matter experts and/or continuing education programs sponsored by educational and other institutions to assist them in staying abreast of developments in corporate governance and critical issues relating to the operation of public company boards. Members of our senior management regularly review with the Board the operating plan of each of our business segments and the Company as a whole. The Board also conducts periodic visits to our facilities as part of its regularly scheduled Board meetings.</w:t>
            </w:r>
          </w:p>
        </w:tc>
      </w:tr>
    </w:tbl>
    <w:p>
      <w:pPr>
        <w:pStyle w:val="TextBody"/>
        <w:spacing w:before="0" w:after="0"/>
        <w:jc w:val="left"/>
        <w:rPr/>
      </w:pPr>
      <w:r>
        <w:rPr/>
        <w:t> </w:t>
      </w:r>
    </w:p>
    <w:tbl>
      <w:tblPr>
        <w:tblW w:w="2458" w:type="dxa"/>
        <w:jc w:val="left"/>
        <w:tblInd w:w="0" w:type="dxa"/>
        <w:tblCellMar>
          <w:top w:w="0" w:type="dxa"/>
          <w:left w:w="0" w:type="dxa"/>
          <w:bottom w:w="0" w:type="dxa"/>
          <w:right w:w="0" w:type="dxa"/>
        </w:tblCellMar>
      </w:tblPr>
      <w:tblGrid>
        <w:gridCol w:w="128"/>
        <w:gridCol w:w="120"/>
        <w:gridCol w:w="2210"/>
      </w:tblGrid>
      <w:tr>
        <w:trPr/>
        <w:tc>
          <w:tcPr>
            <w:tcW w:w="1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r>
      <w:tr>
        <w:trPr/>
        <w:tc>
          <w:tcPr>
            <w:tcW w:w="128" w:type="dxa"/>
            <w:tcBorders>
              <w:bottom w:val="single" w:sz="6" w:space="0" w:color="007CBA"/>
            </w:tcBorders>
            <w:shd w:fill="auto" w:val="clear"/>
            <w:tcMar>
              <w:bottom w:w="28" w:type="dxa"/>
            </w:tcMar>
            <w:vAlign w:val="center"/>
          </w:tcPr>
          <w:p>
            <w:pPr>
              <w:pStyle w:val="TableContents"/>
              <w:rPr/>
            </w:pPr>
            <w:r>
              <w:rPr/>
              <w:drawing>
                <wp:inline distT="0" distB="0" distL="0" distR="0">
                  <wp:extent cx="33655" cy="26670"/>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33655" cy="26670"/>
                          </a:xfrm>
                          <a:prstGeom prst="rect">
                            <a:avLst/>
                          </a:prstGeom>
                        </pic:spPr>
                      </pic:pic>
                    </a:graphicData>
                  </a:graphic>
                </wp:inline>
              </w:drawing>
            </w:r>
            <w:r>
              <w:rPr/>
              <w:t xml:space="preserve"> </w:t>
            </w:r>
          </w:p>
          <w:p>
            <w:pPr>
              <w:pStyle w:val="TableContents"/>
              <w:spacing w:before="0" w:after="20"/>
              <w:rPr/>
            </w:pPr>
            <w:r>
              <w:rPr/>
              <w:t> </w:t>
            </w:r>
          </w:p>
        </w:tc>
        <w:tc>
          <w:tcPr>
            <w:tcW w:w="120" w:type="dxa"/>
            <w:tcBorders>
              <w:bottom w:val="single" w:sz="6" w:space="0" w:color="007CBA"/>
            </w:tcBorders>
            <w:shd w:fill="auto" w:val="clear"/>
            <w:tcMar>
              <w:bottom w:w="28" w:type="dxa"/>
            </w:tcMar>
            <w:vAlign w:val="center"/>
          </w:tcPr>
          <w:p>
            <w:pPr>
              <w:pStyle w:val="TableContents"/>
              <w:spacing w:before="0" w:after="283"/>
              <w:rPr/>
            </w:pPr>
            <w:r>
              <w:rPr/>
              <w:t>  </w:t>
            </w:r>
          </w:p>
        </w:tc>
        <w:tc>
          <w:tcPr>
            <w:tcW w:w="2210" w:type="dxa"/>
            <w:tcBorders>
              <w:bottom w:val="single" w:sz="6" w:space="0" w:color="007CBA"/>
            </w:tcBorders>
            <w:shd w:fill="auto" w:val="clear"/>
            <w:tcMar>
              <w:bottom w:w="28" w:type="dxa"/>
            </w:tcMar>
            <w:vAlign w:val="center"/>
          </w:tcPr>
          <w:p>
            <w:pPr>
              <w:pStyle w:val="TableContents"/>
              <w:spacing w:before="0" w:after="0"/>
              <w:rPr>
                <w:rFonts w:ascii="ARIAL" w:hAnsi="ARIAL"/>
                <w:b/>
                <w:color w:val="71BE9A"/>
                <w:sz w:val="26"/>
              </w:rPr>
            </w:pPr>
            <w:bookmarkStart w:id="9" w:name="toc390557_4b"/>
            <w:bookmarkEnd w:id="9"/>
            <w:r>
              <w:rPr>
                <w:rFonts w:ascii="ARIAL" w:hAnsi="ARIAL"/>
                <w:b/>
                <w:color w:val="71BE9A"/>
                <w:sz w:val="26"/>
              </w:rPr>
              <w:t>Tenure Guidelines</w:t>
            </w:r>
          </w:p>
          <w:p>
            <w:pPr>
              <w:pStyle w:val="TableContents"/>
              <w:spacing w:before="0" w:after="20"/>
              <w:rPr/>
            </w:pPr>
            <w:r>
              <w:rPr/>
              <w:t> </w:t>
            </w:r>
          </w:p>
        </w:tc>
      </w:tr>
    </w:tbl>
    <w:tbl>
      <w:tblPr>
        <w:tblW w:w="10205" w:type="dxa"/>
        <w:jc w:val="left"/>
        <w:tblInd w:w="0" w:type="dxa"/>
        <w:tblCellMar>
          <w:top w:w="0" w:type="dxa"/>
          <w:left w:w="0" w:type="dxa"/>
          <w:bottom w:w="0" w:type="dxa"/>
          <w:right w:w="0" w:type="dxa"/>
        </w:tblCellMar>
      </w:tblPr>
      <w:tblGrid>
        <w:gridCol w:w="1510"/>
        <w:gridCol w:w="120"/>
        <w:gridCol w:w="8575"/>
      </w:tblGrid>
      <w:tr>
        <w:trPr/>
        <w:tc>
          <w:tcPr>
            <w:tcW w:w="15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75" w:type="dxa"/>
            <w:tcBorders/>
            <w:shd w:fill="auto" w:val="clear"/>
            <w:vAlign w:val="center"/>
          </w:tcPr>
          <w:p>
            <w:pPr>
              <w:pStyle w:val="TableContents"/>
              <w:spacing w:before="0" w:after="283"/>
              <w:rPr>
                <w:sz w:val="4"/>
                <w:szCs w:val="4"/>
              </w:rPr>
            </w:pPr>
            <w:r>
              <w:rPr>
                <w:sz w:val="4"/>
                <w:szCs w:val="4"/>
              </w:rPr>
            </w:r>
          </w:p>
        </w:tc>
      </w:tr>
      <w:tr>
        <w:trPr/>
        <w:tc>
          <w:tcPr>
            <w:tcW w:w="1510" w:type="dxa"/>
            <w:tcBorders/>
            <w:shd w:fill="auto" w:val="clear"/>
            <w:vAlign w:val="center"/>
          </w:tcPr>
          <w:p>
            <w:pPr>
              <w:pStyle w:val="TableContents"/>
              <w:spacing w:before="0" w:after="283"/>
              <w:rPr>
                <w:sz w:val="4"/>
                <w:szCs w:val="4"/>
              </w:rPr>
            </w:pPr>
            <w:r>
              <w:rPr>
                <w:sz w:val="4"/>
                <w:szCs w:val="4"/>
              </w:rPr>
            </w:r>
          </w:p>
        </w:tc>
        <w:tc>
          <w:tcPr>
            <w:tcW w:w="8695" w:type="dxa"/>
            <w:gridSpan w:val="2"/>
            <w:tcBorders/>
            <w:shd w:fill="auto" w:val="clear"/>
            <w:vAlign w:val="center"/>
          </w:tcPr>
          <w:p>
            <w:pPr>
              <w:pStyle w:val="TableContents"/>
              <w:spacing w:before="0" w:after="283"/>
              <w:rPr>
                <w:sz w:val="4"/>
                <w:szCs w:val="4"/>
              </w:rPr>
            </w:pPr>
            <w:r>
              <w:rPr>
                <w:sz w:val="4"/>
                <w:szCs w:val="4"/>
              </w:rPr>
            </w:r>
          </w:p>
        </w:tc>
      </w:tr>
      <w:tr>
        <w:trPr/>
        <w:tc>
          <w:tcPr>
            <w:tcW w:w="1510"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Mandatory</w:t>
            </w:r>
          </w:p>
          <w:p>
            <w:pPr>
              <w:pStyle w:val="TableContents"/>
              <w:spacing w:before="0" w:after="20"/>
              <w:rPr>
                <w:rFonts w:ascii="ARIAL" w:hAnsi="ARIAL"/>
                <w:b/>
                <w:color w:val="007CBA"/>
                <w:sz w:val="18"/>
              </w:rPr>
            </w:pPr>
            <w:r>
              <w:rPr>
                <w:rFonts w:ascii="ARIAL" w:hAnsi="ARIAL"/>
                <w:b/>
                <w:color w:val="007CBA"/>
                <w:sz w:val="18"/>
              </w:rPr>
              <w:t>Retirement Age</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575" w:type="dxa"/>
            <w:tcBorders>
              <w:bottom w:val="single" w:sz="6" w:space="0" w:color="000000"/>
            </w:tcBorders>
            <w:shd w:fill="auto" w:val="clear"/>
            <w:tcMar>
              <w:bottom w:w="120" w:type="dxa"/>
            </w:tcMar>
            <w:vAlign w:val="center"/>
          </w:tcPr>
          <w:p>
            <w:pPr>
              <w:pStyle w:val="TableContents"/>
              <w:spacing w:before="0" w:after="283"/>
              <w:rPr/>
            </w:pPr>
            <w:r>
              <w:rPr/>
              <w:t>Directors must retire at the annual meeting following their 75th birthday.</w:t>
            </w:r>
          </w:p>
        </w:tc>
      </w:tr>
      <w:tr>
        <w:trPr/>
        <w:tc>
          <w:tcPr>
            <w:tcW w:w="1510" w:type="dxa"/>
            <w:tcBorders/>
            <w:shd w:fill="auto" w:val="clear"/>
            <w:vAlign w:val="center"/>
          </w:tcPr>
          <w:p>
            <w:pPr>
              <w:pStyle w:val="TableContents"/>
              <w:spacing w:before="0" w:after="283"/>
              <w:rPr>
                <w:sz w:val="4"/>
                <w:szCs w:val="4"/>
              </w:rPr>
            </w:pPr>
            <w:r>
              <w:rPr>
                <w:sz w:val="4"/>
                <w:szCs w:val="4"/>
              </w:rPr>
            </w:r>
          </w:p>
        </w:tc>
        <w:tc>
          <w:tcPr>
            <w:tcW w:w="8695" w:type="dxa"/>
            <w:gridSpan w:val="2"/>
            <w:tcBorders/>
            <w:shd w:fill="auto" w:val="clear"/>
            <w:vAlign w:val="center"/>
          </w:tcPr>
          <w:p>
            <w:pPr>
              <w:pStyle w:val="TableContents"/>
              <w:spacing w:before="0" w:after="283"/>
              <w:rPr>
                <w:sz w:val="4"/>
                <w:szCs w:val="4"/>
              </w:rPr>
            </w:pPr>
            <w:r>
              <w:rPr>
                <w:sz w:val="4"/>
                <w:szCs w:val="4"/>
              </w:rPr>
            </w:r>
          </w:p>
        </w:tc>
      </w:tr>
      <w:tr>
        <w:trPr/>
        <w:tc>
          <w:tcPr>
            <w:tcW w:w="1510" w:type="dxa"/>
            <w:tcBorders/>
            <w:shd w:fill="auto" w:val="clear"/>
            <w:vAlign w:val="center"/>
          </w:tcPr>
          <w:p>
            <w:pPr>
              <w:pStyle w:val="TableContents"/>
              <w:spacing w:before="0" w:after="0"/>
              <w:rPr>
                <w:rFonts w:ascii="ARIAL" w:hAnsi="ARIAL"/>
                <w:b/>
                <w:color w:val="007CBA"/>
                <w:sz w:val="18"/>
              </w:rPr>
            </w:pPr>
            <w:r>
              <w:rPr>
                <w:rFonts w:ascii="ARIAL" w:hAnsi="ARIAL"/>
                <w:b/>
                <w:color w:val="007CBA"/>
                <w:sz w:val="18"/>
              </w:rPr>
              <w:t>Employment Change</w:t>
            </w:r>
          </w:p>
        </w:tc>
        <w:tc>
          <w:tcPr>
            <w:tcW w:w="120" w:type="dxa"/>
            <w:tcBorders/>
            <w:shd w:fill="auto" w:val="clear"/>
            <w:vAlign w:val="center"/>
          </w:tcPr>
          <w:p>
            <w:pPr>
              <w:pStyle w:val="TableContents"/>
              <w:spacing w:before="0" w:after="283"/>
              <w:rPr/>
            </w:pPr>
            <w:r>
              <w:rPr/>
              <w:t>  </w:t>
            </w:r>
          </w:p>
        </w:tc>
        <w:tc>
          <w:tcPr>
            <w:tcW w:w="8575" w:type="dxa"/>
            <w:tcBorders/>
            <w:shd w:fill="auto" w:val="clear"/>
            <w:vAlign w:val="center"/>
          </w:tcPr>
          <w:p>
            <w:pPr>
              <w:pStyle w:val="TableContents"/>
              <w:spacing w:before="0" w:after="283"/>
              <w:rPr/>
            </w:pPr>
            <w:r>
              <w:rPr/>
              <w:t>Directors must report to the Chairman of the Board and Chairman of the Nominating and Corporate Governance Committee regarding any significant change in principal employment or responsibilities to assure they can continue to commit the appropriate time to Board service.</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17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THE BOARD OF DIRECTORS   ◆</w:t>
      </w:r>
      <w:r>
        <w:rPr>
          <w:rFonts w:ascii="ARIAL" w:hAnsi="ARIAL"/>
          <w:sz w:val="16"/>
        </w:rPr>
        <w:t xml:space="preserve">  BOARD, COMMITTEE AND INDIVIDUAL DIRECTOR EVALUATIONS </w:t>
      </w:r>
    </w:p>
    <w:p>
      <w:pPr>
        <w:pStyle w:val="TextBody"/>
        <w:spacing w:before="0" w:after="0"/>
        <w:jc w:val="left"/>
        <w:rPr/>
      </w:pPr>
      <w:r>
        <w:rPr/>
        <w:t> </w:t>
      </w:r>
    </w:p>
    <w:p>
      <w:pPr>
        <w:pStyle w:val="TextBody"/>
        <w:spacing w:before="0" w:after="0"/>
        <w:jc w:val="left"/>
        <w:rPr>
          <w:rFonts w:ascii="ARIAL" w:hAnsi="ARIAL"/>
          <w:b/>
          <w:color w:val="71BE9A"/>
          <w:sz w:val="26"/>
        </w:rPr>
      </w:pPr>
      <w:bookmarkStart w:id="10" w:name="toc390557_5"/>
      <w:bookmarkEnd w:id="10"/>
      <w:r>
        <w:rPr>
          <w:rFonts w:ascii="ARIAL" w:hAnsi="ARIAL"/>
          <w:b/>
          <w:color w:val="71BE9A"/>
          <w:sz w:val="26"/>
        </w:rPr>
        <w:t xml:space="preserve">Board, Committee and Individual Director Evaluations </w:t>
      </w:r>
    </w:p>
    <w:p>
      <w:pPr>
        <w:pStyle w:val="TextBody"/>
        <w:spacing w:before="120" w:after="0"/>
        <w:jc w:val="left"/>
        <w:rPr>
          <w:rFonts w:ascii="ARIAL" w:hAnsi="ARIAL"/>
          <w:sz w:val="20"/>
        </w:rPr>
      </w:pPr>
      <w:r>
        <w:rPr>
          <w:rFonts w:ascii="ARIAL" w:hAnsi="ARIAL"/>
          <w:sz w:val="20"/>
        </w:rPr>
        <w:t xml:space="preserve">As a part of our continuous improvement process intended to enhance the Board’s overall effectiveness, the Board regularly evaluates its performance through self-assessments, corporate governance reviews and periodic charter reviews. Those evaluations, changes in our business strategy or operating environment, and the future needs of the Board in light of anticipated director retirements are used to identify desired backgrounds and skill sets for future Board members. The feedback solicited from Board members regarding the Board, each Committee on which they serve, and individual Board members is one of the tools used to assist the Nominating and Corporate Governance Committee in its responsibility to evaluate Board and Committee performance annually.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70205" cy="382270"/>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370205" cy="382270"/>
                    </a:xfrm>
                    <a:prstGeom prst="rect">
                      <a:avLst/>
                    </a:prstGeom>
                  </pic:spPr>
                </pic:pic>
              </a:graphicData>
            </a:graphic>
          </wp:inline>
        </w:drawing>
      </w:r>
      <w:r>
        <w:rPr/>
        <w:t xml:space="preserve">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18</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BOARD COMMITTEES   </w:t>
      </w:r>
      <w:r>
        <w:rPr>
          <w:rFonts w:ascii="ARIAL" w:hAnsi="ARIAL"/>
          <w:color w:val="007CBA"/>
          <w:sz w:val="16"/>
        </w:rPr>
        <w:t xml:space="preserve">◆  THE BOARD OF DIRECTORS </w:t>
      </w:r>
    </w:p>
    <w:p>
      <w:pPr>
        <w:pStyle w:val="TextBody"/>
        <w:spacing w:before="0" w:after="0"/>
        <w:jc w:val="left"/>
        <w:rPr/>
      </w:pPr>
      <w:r>
        <w:rPr/>
        <w:t> </w:t>
      </w:r>
    </w:p>
    <w:p>
      <w:pPr>
        <w:pStyle w:val="TextBody"/>
        <w:spacing w:before="0" w:after="0"/>
        <w:jc w:val="left"/>
        <w:rPr>
          <w:rFonts w:ascii="ARIAL" w:hAnsi="ARIAL"/>
          <w:b/>
          <w:color w:val="71BE9A"/>
          <w:sz w:val="26"/>
        </w:rPr>
      </w:pPr>
      <w:bookmarkStart w:id="11" w:name="toc390557_6"/>
      <w:bookmarkEnd w:id="11"/>
      <w:r>
        <w:rPr>
          <w:rFonts w:ascii="ARIAL" w:hAnsi="ARIAL"/>
          <w:b/>
          <w:color w:val="71BE9A"/>
          <w:sz w:val="26"/>
        </w:rPr>
        <w:t xml:space="preserve">Board Committees </w:t>
      </w:r>
    </w:p>
    <w:p>
      <w:pPr>
        <w:pStyle w:val="TextBody"/>
        <w:spacing w:before="120" w:after="0"/>
        <w:jc w:val="left"/>
        <w:rPr>
          <w:rFonts w:ascii="ARIAL" w:hAnsi="ARIAL"/>
          <w:sz w:val="20"/>
        </w:rPr>
      </w:pPr>
      <w:r>
        <w:rPr>
          <w:rFonts w:ascii="ARIAL" w:hAnsi="ARIAL"/>
          <w:sz w:val="20"/>
        </w:rPr>
        <w:t xml:space="preserve">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 Each Committee has a written charter that describes its purposes, membership, meeting structure, authority and responsibilities. These charters are reviewed by the respective Committee on an annual basis with any recommended changes adopted upon approval by our Board. The charters of our six standing Committees are posted on our website. </w:t>
      </w:r>
    </w:p>
    <w:p>
      <w:pPr>
        <w:pStyle w:val="TextBody"/>
        <w:spacing w:before="240" w:after="0"/>
        <w:jc w:val="left"/>
        <w:rPr>
          <w:rFonts w:ascii="ARIAL" w:hAnsi="ARIAL"/>
          <w:sz w:val="20"/>
        </w:rPr>
      </w:pPr>
      <w:r>
        <w:rPr>
          <w:rFonts w:ascii="ARIAL" w:hAnsi="ARIAL"/>
          <w:sz w:val="20"/>
        </w:rPr>
        <w:t xml:space="preserve">Below is a summary of our current Committee structure and membership information. </w:t>
      </w:r>
    </w:p>
    <w:p>
      <w:pPr>
        <w:pStyle w:val="TextBody"/>
        <w:spacing w:before="0" w:after="0"/>
        <w:jc w:val="left"/>
        <w:rPr/>
      </w:pPr>
      <w:r>
        <w:rPr/>
        <w:t> </w:t>
      </w:r>
    </w:p>
    <w:tbl>
      <w:tblPr>
        <w:tblW w:w="10405" w:type="dxa"/>
        <w:jc w:val="left"/>
        <w:tblInd w:w="0" w:type="dxa"/>
        <w:tblCellMar>
          <w:top w:w="0" w:type="dxa"/>
          <w:left w:w="0" w:type="dxa"/>
          <w:bottom w:w="0" w:type="dxa"/>
          <w:right w:w="0" w:type="dxa"/>
        </w:tblCellMar>
      </w:tblPr>
      <w:tblGrid>
        <w:gridCol w:w="1100"/>
        <w:gridCol w:w="60"/>
        <w:gridCol w:w="1310"/>
        <w:gridCol w:w="60"/>
        <w:gridCol w:w="1130"/>
        <w:gridCol w:w="60"/>
        <w:gridCol w:w="1430"/>
        <w:gridCol w:w="60"/>
        <w:gridCol w:w="1130"/>
        <w:gridCol w:w="60"/>
        <w:gridCol w:w="1130"/>
        <w:gridCol w:w="60"/>
        <w:gridCol w:w="1490"/>
        <w:gridCol w:w="60"/>
        <w:gridCol w:w="1265"/>
      </w:tblGrid>
      <w:tr>
        <w:trPr/>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1100" w:type="dxa"/>
            <w:tcBorders>
              <w:bottom w:val="single" w:sz="8" w:space="0" w:color="007CBA"/>
            </w:tcBorders>
            <w:shd w:fill="auto" w:val="clear"/>
            <w:tcMar>
              <w:bottom w:w="160" w:type="dxa"/>
            </w:tcMar>
            <w:vAlign w:val="center"/>
          </w:tcPr>
          <w:p>
            <w:pPr>
              <w:pStyle w:val="TableContents"/>
              <w:spacing w:before="0" w:after="0"/>
              <w:rPr>
                <w:rFonts w:ascii="ARIAL" w:hAnsi="ARIAL"/>
                <w:b/>
                <w:sz w:val="20"/>
              </w:rPr>
            </w:pPr>
            <w:r>
              <w:rPr>
                <w:rFonts w:ascii="ARIAL" w:hAnsi="ARIAL"/>
                <w:b/>
                <w:sz w:val="20"/>
              </w:rPr>
              <w:t>Director</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1310" w:type="dxa"/>
            <w:tcBorders>
              <w:bottom w:val="single" w:sz="8" w:space="0" w:color="007CBA"/>
            </w:tcBorders>
            <w:shd w:fill="auto" w:val="clear"/>
            <w:tcMar>
              <w:bottom w:w="160" w:type="dxa"/>
            </w:tcMar>
            <w:vAlign w:val="center"/>
          </w:tcPr>
          <w:p>
            <w:pPr>
              <w:pStyle w:val="TableContents"/>
              <w:spacing w:before="0" w:after="283"/>
              <w:rPr>
                <w:b/>
                <w:color w:val="007CBA"/>
              </w:rPr>
            </w:pPr>
            <w:r>
              <w:rPr>
                <w:b/>
                <w:color w:val="007CBA"/>
              </w:rPr>
              <w:t>Independent</w:t>
              <w:br/>
              <w:t>Director</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1130" w:type="dxa"/>
            <w:tcBorders>
              <w:bottom w:val="single" w:sz="8" w:space="0" w:color="007CBA"/>
            </w:tcBorders>
            <w:shd w:fill="auto" w:val="clear"/>
            <w:tcMar>
              <w:bottom w:w="160" w:type="dxa"/>
            </w:tcMar>
            <w:vAlign w:val="center"/>
          </w:tcPr>
          <w:p>
            <w:pPr>
              <w:pStyle w:val="TableContents"/>
              <w:spacing w:before="0" w:after="283"/>
              <w:rPr>
                <w:b/>
                <w:color w:val="007CBA"/>
              </w:rPr>
            </w:pPr>
            <w:r>
              <w:rPr>
                <w:b/>
                <w:color w:val="007CBA"/>
              </w:rPr>
              <w:t>Audit</w:t>
              <w:br/>
              <w:t>Committee</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1430" w:type="dxa"/>
            <w:tcBorders>
              <w:bottom w:val="single" w:sz="8" w:space="0" w:color="007CBA"/>
            </w:tcBorders>
            <w:shd w:fill="auto" w:val="clear"/>
            <w:tcMar>
              <w:bottom w:w="160" w:type="dxa"/>
            </w:tcMar>
            <w:vAlign w:val="center"/>
          </w:tcPr>
          <w:p>
            <w:pPr>
              <w:pStyle w:val="TableContents"/>
              <w:spacing w:before="0" w:after="283"/>
              <w:rPr>
                <w:b/>
                <w:color w:val="007CBA"/>
              </w:rPr>
            </w:pPr>
            <w:r>
              <w:rPr>
                <w:b/>
                <w:color w:val="007CBA"/>
              </w:rPr>
              <w:t>Ethics,</w:t>
              <w:br/>
              <w:t>Environment,</w:t>
              <w:br/>
              <w:t>Safety and</w:t>
              <w:br/>
              <w:t>Health</w:t>
              <w:br/>
              <w:t>Committee</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1130" w:type="dxa"/>
            <w:tcBorders>
              <w:bottom w:val="single" w:sz="8" w:space="0" w:color="007CBA"/>
            </w:tcBorders>
            <w:shd w:fill="auto" w:val="clear"/>
            <w:tcMar>
              <w:bottom w:w="160" w:type="dxa"/>
            </w:tcMar>
            <w:vAlign w:val="center"/>
          </w:tcPr>
          <w:p>
            <w:pPr>
              <w:pStyle w:val="TableContents"/>
              <w:spacing w:before="0" w:after="283"/>
              <w:rPr>
                <w:b/>
                <w:color w:val="007CBA"/>
              </w:rPr>
            </w:pPr>
            <w:r>
              <w:rPr>
                <w:b/>
                <w:color w:val="007CBA"/>
              </w:rPr>
              <w:t>Executive</w:t>
              <w:br/>
              <w:t>Committee</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1130" w:type="dxa"/>
            <w:tcBorders>
              <w:bottom w:val="single" w:sz="8" w:space="0" w:color="007CBA"/>
            </w:tcBorders>
            <w:shd w:fill="auto" w:val="clear"/>
            <w:tcMar>
              <w:bottom w:w="160" w:type="dxa"/>
            </w:tcMar>
            <w:vAlign w:val="center"/>
          </w:tcPr>
          <w:p>
            <w:pPr>
              <w:pStyle w:val="TableContents"/>
              <w:spacing w:before="0" w:after="283"/>
              <w:rPr>
                <w:b/>
                <w:color w:val="007CBA"/>
              </w:rPr>
            </w:pPr>
            <w:r>
              <w:rPr>
                <w:b/>
                <w:color w:val="007CBA"/>
              </w:rPr>
              <w:t>Finance</w:t>
              <w:br/>
              <w:t>Committee</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1490" w:type="dxa"/>
            <w:tcBorders>
              <w:bottom w:val="single" w:sz="8" w:space="0" w:color="007CBA"/>
            </w:tcBorders>
            <w:shd w:fill="auto" w:val="clear"/>
            <w:tcMar>
              <w:bottom w:w="160" w:type="dxa"/>
            </w:tcMar>
            <w:vAlign w:val="center"/>
          </w:tcPr>
          <w:p>
            <w:pPr>
              <w:pStyle w:val="TableContents"/>
              <w:spacing w:before="0" w:after="283"/>
              <w:rPr>
                <w:b/>
                <w:color w:val="007CBA"/>
              </w:rPr>
            </w:pPr>
            <w:r>
              <w:rPr>
                <w:b/>
                <w:color w:val="007CBA"/>
              </w:rPr>
              <w:t>Management</w:t>
              <w:br/>
              <w:t>Development</w:t>
              <w:br/>
              <w:t>and</w:t>
              <w:br/>
              <w:t>Compensation</w:t>
              <w:br/>
              <w:t>Committee</w:t>
            </w:r>
          </w:p>
        </w:tc>
        <w:tc>
          <w:tcPr>
            <w:tcW w:w="60" w:type="dxa"/>
            <w:tcBorders>
              <w:bottom w:val="single" w:sz="8" w:space="0" w:color="007CBA"/>
            </w:tcBorders>
            <w:shd w:fill="auto" w:val="clear"/>
            <w:tcMar>
              <w:bottom w:w="28" w:type="dxa"/>
            </w:tcMar>
            <w:vAlign w:val="center"/>
          </w:tcPr>
          <w:p>
            <w:pPr>
              <w:pStyle w:val="TableContents"/>
              <w:spacing w:before="0" w:after="283"/>
              <w:rPr/>
            </w:pPr>
            <w:r>
              <w:rPr/>
              <w:t> </w:t>
            </w:r>
          </w:p>
        </w:tc>
        <w:tc>
          <w:tcPr>
            <w:tcW w:w="1265" w:type="dxa"/>
            <w:tcBorders>
              <w:bottom w:val="single" w:sz="8" w:space="0" w:color="007CBA"/>
            </w:tcBorders>
            <w:shd w:fill="auto" w:val="clear"/>
            <w:tcMar>
              <w:bottom w:w="160" w:type="dxa"/>
            </w:tcMar>
            <w:vAlign w:val="center"/>
          </w:tcPr>
          <w:p>
            <w:pPr>
              <w:pStyle w:val="TableContents"/>
              <w:spacing w:before="0" w:after="283"/>
              <w:rPr>
                <w:b/>
                <w:color w:val="007CBA"/>
              </w:rPr>
            </w:pPr>
            <w:r>
              <w:rPr>
                <w:b/>
                <w:color w:val="007CBA"/>
              </w:rPr>
              <w:t>Nominating</w:t>
              <w:br/>
              <w:t>and</w:t>
              <w:br/>
              <w:t>Corporate</w:t>
              <w:br/>
              <w:t>Governance</w:t>
              <w:br/>
              <w:t>Committee</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F2F8FB"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F2F8FB" w:val="clear"/>
            <w:vAlign w:val="center"/>
          </w:tcPr>
          <w:p>
            <w:pPr>
              <w:pStyle w:val="TableContents"/>
              <w:spacing w:before="0" w:after="283"/>
              <w:rPr>
                <w:sz w:val="4"/>
                <w:szCs w:val="4"/>
              </w:rPr>
            </w:pPr>
            <w:r>
              <w:rPr>
                <w:sz w:val="4"/>
                <w:szCs w:val="4"/>
              </w:rPr>
            </w:r>
          </w:p>
        </w:tc>
      </w:tr>
      <w:tr>
        <w:trPr/>
        <w:tc>
          <w:tcPr>
            <w:tcW w:w="1100" w:type="dxa"/>
            <w:tcBorders>
              <w:bottom w:val="single" w:sz="6" w:space="0" w:color="000000"/>
            </w:tcBorders>
            <w:shd w:fill="auto" w:val="clear"/>
            <w:tcMar>
              <w:bottom w:w="120" w:type="dxa"/>
            </w:tcMar>
            <w:vAlign w:val="center"/>
          </w:tcPr>
          <w:p>
            <w:pPr>
              <w:pStyle w:val="TableContents"/>
              <w:spacing w:before="0" w:after="0"/>
              <w:rPr>
                <w:rFonts w:ascii="ARIAL" w:hAnsi="ARIAL"/>
                <w:sz w:val="20"/>
              </w:rPr>
            </w:pPr>
            <w:r>
              <w:rPr>
                <w:rFonts w:ascii="ARIAL" w:hAnsi="ARIAL"/>
                <w:sz w:val="20"/>
              </w:rPr>
              <w:t>Dorothy M. Ables</w:t>
            </w:r>
          </w:p>
          <w:p>
            <w:pPr>
              <w:pStyle w:val="TableContents"/>
              <w:spacing w:before="0" w:after="20"/>
              <w:rPr>
                <w:rFonts w:ascii="ARIAL" w:hAnsi="ARIAL"/>
                <w:color w:val="007CBA"/>
                <w:sz w:val="20"/>
              </w:rPr>
            </w:pPr>
            <w:r>
              <w:rPr>
                <w:rFonts w:ascii="ARIAL" w:hAnsi="ARIAL"/>
                <w:color w:val="007CBA"/>
                <w:sz w:val="20"/>
              </w:rPr>
              <w:t>Financial Expert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310" w:type="dxa"/>
            <w:tcBorders>
              <w:bottom w:val="single" w:sz="6" w:space="0" w:color="000000"/>
            </w:tcBorders>
            <w:shd w:fill="F2F8FB" w:val="clear"/>
            <w:tcMar>
              <w:bottom w:w="120" w:type="dxa"/>
            </w:tcMar>
            <w:vAlign w:val="center"/>
          </w:tcPr>
          <w:p>
            <w:pPr>
              <w:pStyle w:val="TableContents"/>
              <w:spacing w:before="0" w:after="20"/>
              <w:jc w:val="center"/>
              <w:rPr>
                <w:rFonts w:ascii="ARIAL" w:hAnsi="ARIAL"/>
                <w:sz w:val="20"/>
              </w:rPr>
            </w:pPr>
            <w:r>
              <w:rPr>
                <w:rFonts w:ascii="ARIAL" w:hAnsi="ARIAL"/>
                <w:sz w:val="20"/>
              </w:rPr>
              <w:t>Yes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120" w:type="dxa"/>
            </w:tcMar>
            <w:vAlign w:val="center"/>
          </w:tcPr>
          <w:p>
            <w:pPr>
              <w:pStyle w:val="TableContents"/>
              <w:spacing w:before="0" w:after="20"/>
              <w:jc w:val="center"/>
              <w:rPr/>
            </w:pPr>
            <w:r>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430" w:type="dxa"/>
            <w:tcBorders>
              <w:bottom w:val="single" w:sz="6" w:space="0" w:color="000000"/>
            </w:tcBorders>
            <w:shd w:fill="F2F8FB" w:val="clear"/>
            <w:tcMar>
              <w:bottom w:w="120" w:type="dxa"/>
            </w:tcMar>
            <w:vAlign w:val="center"/>
          </w:tcPr>
          <w:p>
            <w:pPr>
              <w:pStyle w:val="TableContents"/>
              <w:spacing w:before="0" w:after="20"/>
              <w:jc w:val="center"/>
              <w:rPr>
                <w:rFonts w:ascii="ARIAL" w:hAnsi="ARIAL"/>
                <w:sz w:val="20"/>
              </w:rPr>
            </w:pPr>
            <w:r>
              <w:rPr>
                <w:rFonts w:ascii="ARIAL" w:hAnsi="ARIAL"/>
                <w:sz w:val="20"/>
              </w:rPr>
              <w:t>Chair</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1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9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265" w:type="dxa"/>
            <w:tcBorders>
              <w:bottom w:val="single" w:sz="6" w:space="0" w:color="000000"/>
            </w:tcBorders>
            <w:shd w:fill="F2F8FB" w:val="clear"/>
            <w:tcMar>
              <w:bottom w:w="28" w:type="dxa"/>
            </w:tcM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F2F8FB"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F2F8FB" w:val="clear"/>
            <w:vAlign w:val="center"/>
          </w:tcPr>
          <w:p>
            <w:pPr>
              <w:pStyle w:val="TableContents"/>
              <w:spacing w:before="0" w:after="283"/>
              <w:rPr>
                <w:sz w:val="4"/>
                <w:szCs w:val="4"/>
              </w:rPr>
            </w:pPr>
            <w:r>
              <w:rPr>
                <w:sz w:val="4"/>
                <w:szCs w:val="4"/>
              </w:rPr>
            </w:r>
          </w:p>
        </w:tc>
      </w:tr>
      <w:tr>
        <w:trPr/>
        <w:tc>
          <w:tcPr>
            <w:tcW w:w="1100" w:type="dxa"/>
            <w:tcBorders>
              <w:bottom w:val="single" w:sz="6" w:space="0" w:color="000000"/>
            </w:tcBorders>
            <w:shd w:fill="auto" w:val="clear"/>
            <w:tcMar>
              <w:bottom w:w="120" w:type="dxa"/>
            </w:tcMar>
            <w:vAlign w:val="center"/>
          </w:tcPr>
          <w:p>
            <w:pPr>
              <w:pStyle w:val="TableContents"/>
              <w:spacing w:before="0" w:after="0"/>
              <w:rPr>
                <w:rFonts w:ascii="ARIAL" w:hAnsi="ARIAL"/>
                <w:sz w:val="20"/>
              </w:rPr>
            </w:pPr>
            <w:r>
              <w:rPr>
                <w:rFonts w:ascii="ARIAL" w:hAnsi="ARIAL"/>
                <w:sz w:val="20"/>
              </w:rPr>
              <w:t>Sue W. Cole</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310" w:type="dxa"/>
            <w:tcBorders>
              <w:bottom w:val="single" w:sz="6" w:space="0" w:color="000000"/>
            </w:tcBorders>
            <w:shd w:fill="F2F8FB" w:val="clear"/>
            <w:tcMar>
              <w:bottom w:w="120" w:type="dxa"/>
            </w:tcMar>
            <w:vAlign w:val="center"/>
          </w:tcPr>
          <w:p>
            <w:pPr>
              <w:pStyle w:val="TableContents"/>
              <w:spacing w:before="0" w:after="283"/>
              <w:jc w:val="center"/>
              <w:rPr/>
            </w:pPr>
            <w:r>
              <w:rPr/>
              <w:t>Yes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430" w:type="dxa"/>
            <w:tcBorders>
              <w:bottom w:val="single" w:sz="6" w:space="0" w:color="000000"/>
            </w:tcBorders>
            <w:shd w:fill="F2F8FB" w:val="clear"/>
            <w:tcMar>
              <w:bottom w:w="120" w:type="dxa"/>
            </w:tcMar>
            <w:vAlign w:val="center"/>
          </w:tcPr>
          <w:p>
            <w:pPr>
              <w:pStyle w:val="TableContents"/>
              <w:spacing w:before="0" w:after="283"/>
              <w:jc w:val="center"/>
              <w:rPr/>
            </w:pPr>
            <w:r>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1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9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265" w:type="dxa"/>
            <w:tcBorders>
              <w:bottom w:val="single" w:sz="6" w:space="0" w:color="000000"/>
            </w:tcBorders>
            <w:shd w:fill="F2F8FB" w:val="clear"/>
            <w:tcMar>
              <w:bottom w:w="120" w:type="dxa"/>
            </w:tcMar>
            <w:vAlign w:val="center"/>
          </w:tcPr>
          <w:p>
            <w:pPr>
              <w:pStyle w:val="TableContents"/>
              <w:spacing w:before="0" w:after="283"/>
              <w:jc w:val="center"/>
              <w:rPr/>
            </w:pPr>
            <w:r>
              <w:rPr/>
              <w:t>✓</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F2F8FB"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F2F8FB" w:val="clear"/>
            <w:vAlign w:val="center"/>
          </w:tcPr>
          <w:p>
            <w:pPr>
              <w:pStyle w:val="TableContents"/>
              <w:spacing w:before="0" w:after="283"/>
              <w:rPr>
                <w:sz w:val="4"/>
                <w:szCs w:val="4"/>
              </w:rPr>
            </w:pPr>
            <w:r>
              <w:rPr>
                <w:sz w:val="4"/>
                <w:szCs w:val="4"/>
              </w:rPr>
            </w:r>
          </w:p>
        </w:tc>
      </w:tr>
      <w:tr>
        <w:trPr/>
        <w:tc>
          <w:tcPr>
            <w:tcW w:w="1100" w:type="dxa"/>
            <w:tcBorders>
              <w:bottom w:val="single" w:sz="6" w:space="0" w:color="000000"/>
            </w:tcBorders>
            <w:shd w:fill="auto" w:val="clear"/>
            <w:tcMar>
              <w:bottom w:w="120" w:type="dxa"/>
            </w:tcMar>
            <w:vAlign w:val="center"/>
          </w:tcPr>
          <w:p>
            <w:pPr>
              <w:pStyle w:val="TableContents"/>
              <w:spacing w:before="0" w:after="0"/>
              <w:rPr>
                <w:rFonts w:ascii="ARIAL" w:hAnsi="ARIAL"/>
                <w:sz w:val="20"/>
              </w:rPr>
            </w:pPr>
            <w:r>
              <w:rPr>
                <w:rFonts w:ascii="ARIAL" w:hAnsi="ARIAL"/>
                <w:sz w:val="20"/>
              </w:rPr>
              <w:t>Smith W. Davis</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310" w:type="dxa"/>
            <w:tcBorders>
              <w:bottom w:val="single" w:sz="6" w:space="0" w:color="000000"/>
            </w:tcBorders>
            <w:shd w:fill="F2F8FB" w:val="clear"/>
            <w:tcMar>
              <w:bottom w:w="120" w:type="dxa"/>
            </w:tcMar>
            <w:vAlign w:val="center"/>
          </w:tcPr>
          <w:p>
            <w:pPr>
              <w:pStyle w:val="TableContents"/>
              <w:spacing w:before="0" w:after="283"/>
              <w:jc w:val="center"/>
              <w:rPr/>
            </w:pPr>
            <w:r>
              <w:rPr/>
              <w:t>Yes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430" w:type="dxa"/>
            <w:tcBorders>
              <w:bottom w:val="single" w:sz="6" w:space="0" w:color="000000"/>
            </w:tcBorders>
            <w:shd w:fill="F2F8FB" w:val="clear"/>
            <w:tcMar>
              <w:bottom w:w="120" w:type="dxa"/>
            </w:tcMar>
            <w:vAlign w:val="center"/>
          </w:tcPr>
          <w:p>
            <w:pPr>
              <w:pStyle w:val="TableContents"/>
              <w:spacing w:before="0" w:after="283"/>
              <w:jc w:val="center"/>
              <w:rPr/>
            </w:pPr>
            <w:r>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1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9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265" w:type="dxa"/>
            <w:tcBorders>
              <w:bottom w:val="single" w:sz="6" w:space="0" w:color="000000"/>
            </w:tcBorders>
            <w:shd w:fill="F2F8FB" w:val="clear"/>
            <w:tcMar>
              <w:bottom w:w="120" w:type="dxa"/>
            </w:tcMar>
            <w:vAlign w:val="center"/>
          </w:tcPr>
          <w:p>
            <w:pPr>
              <w:pStyle w:val="TableContents"/>
              <w:spacing w:before="0" w:after="283"/>
              <w:jc w:val="center"/>
              <w:rPr/>
            </w:pPr>
            <w:r>
              <w:rPr/>
              <w:t>✓</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F2F8FB"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F2F8FB" w:val="clear"/>
            <w:vAlign w:val="center"/>
          </w:tcPr>
          <w:p>
            <w:pPr>
              <w:pStyle w:val="TableContents"/>
              <w:spacing w:before="0" w:after="283"/>
              <w:rPr>
                <w:sz w:val="4"/>
                <w:szCs w:val="4"/>
              </w:rPr>
            </w:pPr>
            <w:r>
              <w:rPr>
                <w:sz w:val="4"/>
                <w:szCs w:val="4"/>
              </w:rPr>
            </w:r>
          </w:p>
        </w:tc>
      </w:tr>
      <w:tr>
        <w:trPr/>
        <w:tc>
          <w:tcPr>
            <w:tcW w:w="1100" w:type="dxa"/>
            <w:tcBorders>
              <w:bottom w:val="single" w:sz="6" w:space="0" w:color="000000"/>
            </w:tcBorders>
            <w:shd w:fill="auto" w:val="clear"/>
            <w:tcMar>
              <w:bottom w:w="120" w:type="dxa"/>
            </w:tcMar>
            <w:vAlign w:val="center"/>
          </w:tcPr>
          <w:p>
            <w:pPr>
              <w:pStyle w:val="TableContents"/>
              <w:spacing w:before="0" w:after="0"/>
              <w:rPr>
                <w:rFonts w:ascii="ARIAL" w:hAnsi="ARIAL"/>
                <w:sz w:val="20"/>
              </w:rPr>
            </w:pPr>
            <w:r>
              <w:rPr>
                <w:rFonts w:ascii="ARIAL" w:hAnsi="ARIAL"/>
                <w:sz w:val="20"/>
              </w:rPr>
              <w:t>Anthony R. Foxx</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310" w:type="dxa"/>
            <w:tcBorders>
              <w:bottom w:val="single" w:sz="6" w:space="0" w:color="000000"/>
            </w:tcBorders>
            <w:shd w:fill="F2F8FB" w:val="clear"/>
            <w:tcMar>
              <w:bottom w:w="120" w:type="dxa"/>
            </w:tcMar>
            <w:vAlign w:val="center"/>
          </w:tcPr>
          <w:p>
            <w:pPr>
              <w:pStyle w:val="TableContents"/>
              <w:spacing w:before="0" w:after="283"/>
              <w:jc w:val="center"/>
              <w:rPr/>
            </w:pPr>
            <w:r>
              <w:rPr/>
              <w:t>Yes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430" w:type="dxa"/>
            <w:tcBorders>
              <w:bottom w:val="single" w:sz="6" w:space="0" w:color="000000"/>
            </w:tcBorders>
            <w:shd w:fill="F2F8FB" w:val="clear"/>
            <w:tcMar>
              <w:bottom w:w="120" w:type="dxa"/>
            </w:tcMar>
            <w:vAlign w:val="center"/>
          </w:tcPr>
          <w:p>
            <w:pPr>
              <w:pStyle w:val="TableContents"/>
              <w:spacing w:before="0" w:after="283"/>
              <w:jc w:val="center"/>
              <w:rPr/>
            </w:pPr>
            <w:r>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130" w:type="dxa"/>
            <w:tcBorders>
              <w:bottom w:val="single" w:sz="6" w:space="0" w:color="000000"/>
            </w:tcBorders>
            <w:shd w:fill="F2F8FB" w:val="clear"/>
            <w:tcMar>
              <w:bottom w:w="120" w:type="dxa"/>
            </w:tcMar>
            <w:vAlign w:val="center"/>
          </w:tcPr>
          <w:p>
            <w:pPr>
              <w:pStyle w:val="TableContents"/>
              <w:spacing w:before="0" w:after="283"/>
              <w:jc w:val="center"/>
              <w:rPr/>
            </w:pPr>
            <w:r>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9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265" w:type="dxa"/>
            <w:tcBorders>
              <w:bottom w:val="single" w:sz="6" w:space="0" w:color="000000"/>
            </w:tcBorders>
            <w:shd w:fill="F2F8FB" w:val="clear"/>
            <w:tcMar>
              <w:bottom w:w="28" w:type="dxa"/>
            </w:tcM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F2F8FB"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F2F8FB" w:val="clear"/>
            <w:vAlign w:val="center"/>
          </w:tcPr>
          <w:p>
            <w:pPr>
              <w:pStyle w:val="TableContents"/>
              <w:spacing w:before="0" w:after="283"/>
              <w:rPr>
                <w:sz w:val="4"/>
                <w:szCs w:val="4"/>
              </w:rPr>
            </w:pPr>
            <w:r>
              <w:rPr>
                <w:sz w:val="4"/>
                <w:szCs w:val="4"/>
              </w:rPr>
            </w:r>
          </w:p>
        </w:tc>
      </w:tr>
      <w:tr>
        <w:trPr/>
        <w:tc>
          <w:tcPr>
            <w:tcW w:w="1100" w:type="dxa"/>
            <w:tcBorders>
              <w:bottom w:val="single" w:sz="6" w:space="0" w:color="000000"/>
            </w:tcBorders>
            <w:shd w:fill="auto" w:val="clear"/>
            <w:tcMar>
              <w:bottom w:w="120" w:type="dxa"/>
            </w:tcMar>
            <w:vAlign w:val="center"/>
          </w:tcPr>
          <w:p>
            <w:pPr>
              <w:pStyle w:val="TableContents"/>
              <w:spacing w:before="0" w:after="0"/>
              <w:rPr>
                <w:rFonts w:ascii="ARIAL" w:hAnsi="ARIAL"/>
                <w:sz w:val="20"/>
              </w:rPr>
            </w:pPr>
            <w:r>
              <w:rPr>
                <w:rFonts w:ascii="ARIAL" w:hAnsi="ARIAL"/>
                <w:sz w:val="20"/>
              </w:rPr>
              <w:t>John J. Koraleski</w:t>
            </w:r>
          </w:p>
          <w:p>
            <w:pPr>
              <w:pStyle w:val="TableContents"/>
              <w:spacing w:before="0" w:after="20"/>
              <w:rPr>
                <w:rFonts w:ascii="ARIAL" w:hAnsi="ARIAL"/>
                <w:color w:val="007CBA"/>
                <w:sz w:val="20"/>
              </w:rPr>
            </w:pPr>
            <w:r>
              <w:rPr>
                <w:rFonts w:ascii="ARIAL" w:hAnsi="ARIAL"/>
                <w:color w:val="007CBA"/>
                <w:sz w:val="20"/>
              </w:rPr>
              <w:t>Lead Independent Director Financial Expert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310" w:type="dxa"/>
            <w:tcBorders>
              <w:bottom w:val="single" w:sz="6" w:space="0" w:color="000000"/>
            </w:tcBorders>
            <w:shd w:fill="F2F8FB" w:val="clear"/>
            <w:tcMar>
              <w:bottom w:w="120" w:type="dxa"/>
            </w:tcMar>
            <w:vAlign w:val="center"/>
          </w:tcPr>
          <w:p>
            <w:pPr>
              <w:pStyle w:val="TableContents"/>
              <w:spacing w:before="0" w:after="20"/>
              <w:jc w:val="center"/>
              <w:rPr>
                <w:rFonts w:ascii="ARIAL" w:hAnsi="ARIAL"/>
                <w:sz w:val="20"/>
              </w:rPr>
            </w:pPr>
            <w:r>
              <w:rPr>
                <w:rFonts w:ascii="ARIAL" w:hAnsi="ARIAL"/>
                <w:sz w:val="20"/>
              </w:rPr>
              <w:t>Yes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120" w:type="dxa"/>
            </w:tcMar>
            <w:vAlign w:val="center"/>
          </w:tcPr>
          <w:p>
            <w:pPr>
              <w:pStyle w:val="TableContents"/>
              <w:spacing w:before="0" w:after="20"/>
              <w:jc w:val="center"/>
              <w:rPr/>
            </w:pPr>
            <w:r>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4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120" w:type="dxa"/>
            </w:tcMar>
            <w:vAlign w:val="center"/>
          </w:tcPr>
          <w:p>
            <w:pPr>
              <w:pStyle w:val="TableContents"/>
              <w:spacing w:before="0" w:after="20"/>
              <w:jc w:val="center"/>
              <w:rPr/>
            </w:pPr>
            <w:r>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1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90" w:type="dxa"/>
            <w:tcBorders>
              <w:bottom w:val="single" w:sz="6" w:space="0" w:color="000000"/>
            </w:tcBorders>
            <w:shd w:fill="auto" w:val="clear"/>
            <w:tcMar>
              <w:bottom w:w="120" w:type="dxa"/>
            </w:tcMar>
            <w:vAlign w:val="center"/>
          </w:tcPr>
          <w:p>
            <w:pPr>
              <w:pStyle w:val="TableContents"/>
              <w:spacing w:before="0" w:after="20"/>
              <w:jc w:val="center"/>
              <w:rPr>
                <w:rFonts w:ascii="ARIAL" w:hAnsi="ARIAL"/>
                <w:sz w:val="20"/>
              </w:rPr>
            </w:pPr>
            <w:r>
              <w:rPr>
                <w:rFonts w:ascii="ARIAL" w:hAnsi="ARIAL"/>
                <w:sz w:val="20"/>
              </w:rPr>
              <w:t>Chair</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265" w:type="dxa"/>
            <w:tcBorders>
              <w:bottom w:val="single" w:sz="6" w:space="0" w:color="000000"/>
            </w:tcBorders>
            <w:shd w:fill="F2F8FB" w:val="clear"/>
            <w:tcMar>
              <w:bottom w:w="28" w:type="dxa"/>
            </w:tcM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F2F8FB"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F2F8FB" w:val="clear"/>
            <w:vAlign w:val="center"/>
          </w:tcPr>
          <w:p>
            <w:pPr>
              <w:pStyle w:val="TableContents"/>
              <w:spacing w:before="0" w:after="283"/>
              <w:rPr>
                <w:sz w:val="4"/>
                <w:szCs w:val="4"/>
              </w:rPr>
            </w:pPr>
            <w:r>
              <w:rPr>
                <w:sz w:val="4"/>
                <w:szCs w:val="4"/>
              </w:rPr>
            </w:r>
          </w:p>
        </w:tc>
      </w:tr>
      <w:tr>
        <w:trPr/>
        <w:tc>
          <w:tcPr>
            <w:tcW w:w="1100" w:type="dxa"/>
            <w:tcBorders>
              <w:bottom w:val="single" w:sz="6" w:space="0" w:color="000000"/>
            </w:tcBorders>
            <w:shd w:fill="auto" w:val="clear"/>
            <w:tcMar>
              <w:bottom w:w="120" w:type="dxa"/>
            </w:tcMar>
            <w:vAlign w:val="center"/>
          </w:tcPr>
          <w:p>
            <w:pPr>
              <w:pStyle w:val="TableContents"/>
              <w:spacing w:before="0" w:after="0"/>
              <w:rPr>
                <w:rFonts w:ascii="ARIAL" w:hAnsi="ARIAL"/>
                <w:sz w:val="20"/>
              </w:rPr>
            </w:pPr>
            <w:r>
              <w:rPr>
                <w:rFonts w:ascii="ARIAL" w:hAnsi="ARIAL"/>
                <w:sz w:val="20"/>
              </w:rPr>
              <w:t>C. Howard Nye*</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31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4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120" w:type="dxa"/>
            </w:tcMar>
            <w:vAlign w:val="center"/>
          </w:tcPr>
          <w:p>
            <w:pPr>
              <w:pStyle w:val="TableContents"/>
              <w:spacing w:before="0" w:after="283"/>
              <w:jc w:val="center"/>
              <w:rPr/>
            </w:pPr>
            <w:r>
              <w:rPr/>
              <w:t>Chair</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1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9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265" w:type="dxa"/>
            <w:tcBorders>
              <w:bottom w:val="single" w:sz="6" w:space="0" w:color="000000"/>
            </w:tcBorders>
            <w:shd w:fill="F2F8FB" w:val="clear"/>
            <w:tcMar>
              <w:bottom w:w="28" w:type="dxa"/>
            </w:tcM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F2F8FB"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F2F8FB" w:val="clear"/>
            <w:vAlign w:val="center"/>
          </w:tcPr>
          <w:p>
            <w:pPr>
              <w:pStyle w:val="TableContents"/>
              <w:spacing w:before="0" w:after="283"/>
              <w:rPr>
                <w:sz w:val="4"/>
                <w:szCs w:val="4"/>
              </w:rPr>
            </w:pPr>
            <w:r>
              <w:rPr>
                <w:sz w:val="4"/>
                <w:szCs w:val="4"/>
              </w:rPr>
            </w:r>
          </w:p>
        </w:tc>
      </w:tr>
      <w:tr>
        <w:trPr/>
        <w:tc>
          <w:tcPr>
            <w:tcW w:w="1100" w:type="dxa"/>
            <w:tcBorders>
              <w:bottom w:val="single" w:sz="6" w:space="0" w:color="000000"/>
            </w:tcBorders>
            <w:shd w:fill="auto" w:val="clear"/>
            <w:tcMar>
              <w:bottom w:w="120" w:type="dxa"/>
            </w:tcMar>
            <w:vAlign w:val="center"/>
          </w:tcPr>
          <w:p>
            <w:pPr>
              <w:pStyle w:val="TableContents"/>
              <w:spacing w:before="0" w:after="0"/>
              <w:rPr>
                <w:rFonts w:ascii="ARIAL" w:hAnsi="ARIAL"/>
                <w:sz w:val="20"/>
              </w:rPr>
            </w:pPr>
            <w:r>
              <w:rPr>
                <w:rFonts w:ascii="ARIAL" w:hAnsi="ARIAL"/>
                <w:sz w:val="20"/>
              </w:rPr>
              <w:t>Laree E. Perez</w:t>
            </w:r>
          </w:p>
          <w:p>
            <w:pPr>
              <w:pStyle w:val="TableContents"/>
              <w:spacing w:before="0" w:after="20"/>
              <w:rPr>
                <w:rFonts w:ascii="ARIAL" w:hAnsi="ARIAL"/>
                <w:color w:val="007CBA"/>
                <w:sz w:val="20"/>
              </w:rPr>
            </w:pPr>
            <w:r>
              <w:rPr>
                <w:rFonts w:ascii="ARIAL" w:hAnsi="ARIAL"/>
                <w:color w:val="007CBA"/>
                <w:sz w:val="20"/>
              </w:rPr>
              <w:t>Financial Expert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310" w:type="dxa"/>
            <w:tcBorders>
              <w:bottom w:val="single" w:sz="6" w:space="0" w:color="000000"/>
            </w:tcBorders>
            <w:shd w:fill="F2F8FB" w:val="clear"/>
            <w:tcMar>
              <w:bottom w:w="120" w:type="dxa"/>
            </w:tcMar>
            <w:vAlign w:val="center"/>
          </w:tcPr>
          <w:p>
            <w:pPr>
              <w:pStyle w:val="TableContents"/>
              <w:spacing w:before="0" w:after="20"/>
              <w:jc w:val="center"/>
              <w:rPr>
                <w:rFonts w:ascii="ARIAL" w:hAnsi="ARIAL"/>
                <w:sz w:val="20"/>
              </w:rPr>
            </w:pPr>
            <w:r>
              <w:rPr>
                <w:rFonts w:ascii="ARIAL" w:hAnsi="ARIAL"/>
                <w:sz w:val="20"/>
              </w:rPr>
              <w:t>Yes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120" w:type="dxa"/>
            </w:tcMar>
            <w:vAlign w:val="center"/>
          </w:tcPr>
          <w:p>
            <w:pPr>
              <w:pStyle w:val="TableContents"/>
              <w:spacing w:before="0" w:after="20"/>
              <w:jc w:val="center"/>
              <w:rPr/>
            </w:pPr>
            <w:r>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4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1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9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265" w:type="dxa"/>
            <w:tcBorders>
              <w:bottom w:val="single" w:sz="6" w:space="0" w:color="000000"/>
            </w:tcBorders>
            <w:shd w:fill="F2F8FB" w:val="clear"/>
            <w:tcMar>
              <w:bottom w:w="120" w:type="dxa"/>
            </w:tcMar>
            <w:vAlign w:val="center"/>
          </w:tcPr>
          <w:p>
            <w:pPr>
              <w:pStyle w:val="TableContents"/>
              <w:spacing w:before="0" w:after="20"/>
              <w:jc w:val="center"/>
              <w:rPr/>
            </w:pPr>
            <w:r>
              <w:rPr/>
              <w:t>✓</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F2F8FB"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F2F8FB" w:val="clear"/>
            <w:vAlign w:val="center"/>
          </w:tcPr>
          <w:p>
            <w:pPr>
              <w:pStyle w:val="TableContents"/>
              <w:spacing w:before="0" w:after="283"/>
              <w:rPr>
                <w:sz w:val="4"/>
                <w:szCs w:val="4"/>
              </w:rPr>
            </w:pPr>
            <w:r>
              <w:rPr>
                <w:sz w:val="4"/>
                <w:szCs w:val="4"/>
              </w:rPr>
            </w:r>
          </w:p>
        </w:tc>
      </w:tr>
      <w:tr>
        <w:trPr/>
        <w:tc>
          <w:tcPr>
            <w:tcW w:w="1100" w:type="dxa"/>
            <w:tcBorders>
              <w:bottom w:val="single" w:sz="6" w:space="0" w:color="000000"/>
            </w:tcBorders>
            <w:shd w:fill="auto" w:val="clear"/>
            <w:tcMar>
              <w:bottom w:w="120" w:type="dxa"/>
            </w:tcMar>
            <w:vAlign w:val="center"/>
          </w:tcPr>
          <w:p>
            <w:pPr>
              <w:pStyle w:val="TableContents"/>
              <w:spacing w:before="0" w:after="0"/>
              <w:rPr>
                <w:rFonts w:ascii="ARIAL" w:hAnsi="ARIAL"/>
                <w:sz w:val="20"/>
              </w:rPr>
            </w:pPr>
            <w:r>
              <w:rPr>
                <w:rFonts w:ascii="ARIAL" w:hAnsi="ARIAL"/>
                <w:sz w:val="20"/>
              </w:rPr>
              <w:t>Thomas H. Pike</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310" w:type="dxa"/>
            <w:tcBorders>
              <w:bottom w:val="single" w:sz="6" w:space="0" w:color="000000"/>
            </w:tcBorders>
            <w:shd w:fill="F2F8FB" w:val="clear"/>
            <w:tcMar>
              <w:bottom w:w="120" w:type="dxa"/>
            </w:tcMar>
            <w:vAlign w:val="center"/>
          </w:tcPr>
          <w:p>
            <w:pPr>
              <w:pStyle w:val="TableContents"/>
              <w:spacing w:before="0" w:after="283"/>
              <w:jc w:val="center"/>
              <w:rPr/>
            </w:pPr>
            <w:r>
              <w:rPr/>
              <w:t>Yes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4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130" w:type="dxa"/>
            <w:tcBorders>
              <w:bottom w:val="single" w:sz="6" w:space="0" w:color="000000"/>
            </w:tcBorders>
            <w:shd w:fill="F2F8FB" w:val="clear"/>
            <w:tcMar>
              <w:bottom w:w="120" w:type="dxa"/>
            </w:tcMar>
            <w:vAlign w:val="center"/>
          </w:tcPr>
          <w:p>
            <w:pPr>
              <w:pStyle w:val="TableContents"/>
              <w:spacing w:before="0" w:after="283"/>
              <w:jc w:val="center"/>
              <w:rPr/>
            </w:pPr>
            <w:r>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90" w:type="dxa"/>
            <w:tcBorders>
              <w:bottom w:val="single" w:sz="6" w:space="0" w:color="000000"/>
            </w:tcBorders>
            <w:shd w:fill="auto" w:val="clear"/>
            <w:tcMar>
              <w:bottom w:w="120" w:type="dxa"/>
            </w:tcMar>
            <w:vAlign w:val="center"/>
          </w:tcPr>
          <w:p>
            <w:pPr>
              <w:pStyle w:val="TableContents"/>
              <w:spacing w:before="0" w:after="283"/>
              <w:jc w:val="center"/>
              <w:rPr/>
            </w:pPr>
            <w:r>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265" w:type="dxa"/>
            <w:tcBorders>
              <w:bottom w:val="single" w:sz="6" w:space="0" w:color="000000"/>
            </w:tcBorders>
            <w:shd w:fill="F2F8FB" w:val="clear"/>
            <w:tcMar>
              <w:bottom w:w="28" w:type="dxa"/>
            </w:tcM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F2F8FB"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F2F8FB" w:val="clear"/>
            <w:vAlign w:val="center"/>
          </w:tcPr>
          <w:p>
            <w:pPr>
              <w:pStyle w:val="TableContents"/>
              <w:spacing w:before="0" w:after="283"/>
              <w:rPr>
                <w:sz w:val="4"/>
                <w:szCs w:val="4"/>
              </w:rPr>
            </w:pPr>
            <w:r>
              <w:rPr>
                <w:sz w:val="4"/>
                <w:szCs w:val="4"/>
              </w:rPr>
            </w:r>
          </w:p>
        </w:tc>
      </w:tr>
      <w:tr>
        <w:trPr/>
        <w:tc>
          <w:tcPr>
            <w:tcW w:w="1100" w:type="dxa"/>
            <w:tcBorders>
              <w:bottom w:val="single" w:sz="6" w:space="0" w:color="000000"/>
            </w:tcBorders>
            <w:shd w:fill="auto" w:val="clear"/>
            <w:tcMar>
              <w:bottom w:w="120" w:type="dxa"/>
            </w:tcMar>
            <w:vAlign w:val="center"/>
          </w:tcPr>
          <w:p>
            <w:pPr>
              <w:pStyle w:val="TableContents"/>
              <w:spacing w:before="0" w:after="0"/>
              <w:rPr>
                <w:rFonts w:ascii="ARIAL" w:hAnsi="ARIAL"/>
                <w:sz w:val="20"/>
              </w:rPr>
            </w:pPr>
            <w:r>
              <w:rPr>
                <w:rFonts w:ascii="ARIAL" w:hAnsi="ARIAL"/>
                <w:sz w:val="20"/>
              </w:rPr>
              <w:t>Michael J. Quillen</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310" w:type="dxa"/>
            <w:tcBorders>
              <w:bottom w:val="single" w:sz="6" w:space="0" w:color="000000"/>
            </w:tcBorders>
            <w:shd w:fill="F2F8FB" w:val="clear"/>
            <w:tcMar>
              <w:bottom w:w="120" w:type="dxa"/>
            </w:tcMar>
            <w:vAlign w:val="center"/>
          </w:tcPr>
          <w:p>
            <w:pPr>
              <w:pStyle w:val="TableContents"/>
              <w:spacing w:before="0" w:after="283"/>
              <w:jc w:val="center"/>
              <w:rPr/>
            </w:pPr>
            <w:r>
              <w:rPr/>
              <w:t>Yes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4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120" w:type="dxa"/>
            </w:tcMar>
            <w:vAlign w:val="center"/>
          </w:tcPr>
          <w:p>
            <w:pPr>
              <w:pStyle w:val="TableContents"/>
              <w:spacing w:before="0" w:after="283"/>
              <w:jc w:val="center"/>
              <w:rPr/>
            </w:pPr>
            <w:r>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130" w:type="dxa"/>
            <w:tcBorders>
              <w:bottom w:val="single" w:sz="6" w:space="0" w:color="000000"/>
            </w:tcBorders>
            <w:shd w:fill="F2F8FB" w:val="clear"/>
            <w:tcMar>
              <w:bottom w:w="120" w:type="dxa"/>
            </w:tcMar>
            <w:vAlign w:val="center"/>
          </w:tcPr>
          <w:p>
            <w:pPr>
              <w:pStyle w:val="TableContents"/>
              <w:spacing w:before="0" w:after="283"/>
              <w:jc w:val="center"/>
              <w:rPr/>
            </w:pPr>
            <w:r>
              <w:rPr/>
              <w:t>Chair</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90" w:type="dxa"/>
            <w:tcBorders>
              <w:bottom w:val="single" w:sz="6" w:space="0" w:color="000000"/>
            </w:tcBorders>
            <w:shd w:fill="auto" w:val="clear"/>
            <w:tcMar>
              <w:bottom w:w="120" w:type="dxa"/>
            </w:tcMar>
            <w:vAlign w:val="center"/>
          </w:tcPr>
          <w:p>
            <w:pPr>
              <w:pStyle w:val="TableContents"/>
              <w:spacing w:before="0" w:after="283"/>
              <w:jc w:val="center"/>
              <w:rPr/>
            </w:pPr>
            <w:r>
              <w:rPr/>
              <w:t>✓</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265" w:type="dxa"/>
            <w:tcBorders>
              <w:bottom w:val="single" w:sz="6" w:space="0" w:color="000000"/>
            </w:tcBorders>
            <w:shd w:fill="F2F8FB" w:val="clear"/>
            <w:tcMar>
              <w:bottom w:w="28" w:type="dxa"/>
            </w:tcM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F2F8FB"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F2F8FB" w:val="clear"/>
            <w:vAlign w:val="center"/>
          </w:tcPr>
          <w:p>
            <w:pPr>
              <w:pStyle w:val="TableContents"/>
              <w:spacing w:before="0" w:after="283"/>
              <w:rPr>
                <w:sz w:val="4"/>
                <w:szCs w:val="4"/>
              </w:rPr>
            </w:pPr>
            <w:r>
              <w:rPr>
                <w:sz w:val="4"/>
                <w:szCs w:val="4"/>
              </w:rPr>
            </w:r>
          </w:p>
        </w:tc>
      </w:tr>
      <w:tr>
        <w:trPr/>
        <w:tc>
          <w:tcPr>
            <w:tcW w:w="1100" w:type="dxa"/>
            <w:tcBorders>
              <w:bottom w:val="single" w:sz="6" w:space="0" w:color="000000"/>
            </w:tcBorders>
            <w:shd w:fill="auto" w:val="clear"/>
            <w:tcMar>
              <w:bottom w:w="120" w:type="dxa"/>
            </w:tcMar>
            <w:vAlign w:val="center"/>
          </w:tcPr>
          <w:p>
            <w:pPr>
              <w:pStyle w:val="TableContents"/>
              <w:spacing w:before="0" w:after="0"/>
              <w:rPr>
                <w:rFonts w:ascii="ARIAL" w:hAnsi="ARIAL"/>
                <w:sz w:val="20"/>
              </w:rPr>
            </w:pPr>
            <w:r>
              <w:rPr>
                <w:rFonts w:ascii="ARIAL" w:hAnsi="ARIAL"/>
                <w:sz w:val="20"/>
              </w:rPr>
              <w:t>Donald W. Slager</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310" w:type="dxa"/>
            <w:tcBorders>
              <w:bottom w:val="single" w:sz="6" w:space="0" w:color="000000"/>
            </w:tcBorders>
            <w:shd w:fill="F2F8FB" w:val="clear"/>
            <w:tcMar>
              <w:bottom w:w="120" w:type="dxa"/>
            </w:tcMar>
            <w:vAlign w:val="center"/>
          </w:tcPr>
          <w:p>
            <w:pPr>
              <w:pStyle w:val="TableContents"/>
              <w:spacing w:before="0" w:after="283"/>
              <w:jc w:val="center"/>
              <w:rPr/>
            </w:pPr>
            <w:r>
              <w:rPr/>
              <w:t>Yes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430" w:type="dxa"/>
            <w:tcBorders>
              <w:bottom w:val="single" w:sz="6" w:space="0" w:color="000000"/>
            </w:tcBorders>
            <w:shd w:fill="F2F8FB"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3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130" w:type="dxa"/>
            <w:tcBorders>
              <w:bottom w:val="single" w:sz="6" w:space="0" w:color="000000"/>
            </w:tcBorders>
            <w:shd w:fill="F2F8FB" w:val="clear"/>
            <w:tcMar>
              <w:bottom w:w="120" w:type="dxa"/>
            </w:tcMar>
            <w:vAlign w:val="center"/>
          </w:tcPr>
          <w:p>
            <w:pPr>
              <w:pStyle w:val="TableContents"/>
              <w:spacing w:before="0" w:after="283"/>
              <w:jc w:val="center"/>
              <w:rPr/>
            </w:pPr>
            <w:r>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9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F2F8FB" w:val="clear"/>
            <w:tcMar>
              <w:bottom w:w="28" w:type="dxa"/>
            </w:tcMar>
            <w:vAlign w:val="center"/>
          </w:tcPr>
          <w:p>
            <w:pPr>
              <w:pStyle w:val="TableContents"/>
              <w:spacing w:before="0" w:after="283"/>
              <w:rPr/>
            </w:pPr>
            <w:r>
              <w:rPr/>
              <w:t> </w:t>
            </w:r>
          </w:p>
        </w:tc>
        <w:tc>
          <w:tcPr>
            <w:tcW w:w="1265" w:type="dxa"/>
            <w:tcBorders>
              <w:bottom w:val="single" w:sz="6" w:space="0" w:color="000000"/>
            </w:tcBorders>
            <w:shd w:fill="F2F8FB" w:val="clear"/>
            <w:tcMar>
              <w:bottom w:w="120" w:type="dxa"/>
            </w:tcMar>
            <w:vAlign w:val="center"/>
          </w:tcPr>
          <w:p>
            <w:pPr>
              <w:pStyle w:val="TableContents"/>
              <w:spacing w:before="0" w:after="283"/>
              <w:jc w:val="center"/>
              <w:rPr/>
            </w:pPr>
            <w:r>
              <w:rPr/>
              <w:t>Chair</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F2F8FB" w:val="clear"/>
            <w:vAlign w:val="center"/>
          </w:tcPr>
          <w:p>
            <w:pPr>
              <w:pStyle w:val="TableContents"/>
              <w:spacing w:before="0" w:after="283"/>
              <w:rPr>
                <w:sz w:val="4"/>
                <w:szCs w:val="4"/>
              </w:rPr>
            </w:pPr>
            <w:r>
              <w:rPr>
                <w:sz w:val="4"/>
                <w:szCs w:val="4"/>
              </w:rPr>
            </w:r>
          </w:p>
        </w:tc>
        <w:tc>
          <w:tcPr>
            <w:tcW w:w="1190" w:type="dxa"/>
            <w:gridSpan w:val="2"/>
            <w:tcBorders/>
            <w:shd w:fill="auto" w:val="clear"/>
            <w:vAlign w:val="center"/>
          </w:tcPr>
          <w:p>
            <w:pPr>
              <w:pStyle w:val="TableContents"/>
              <w:spacing w:before="0" w:after="283"/>
              <w:rPr>
                <w:sz w:val="4"/>
                <w:szCs w:val="4"/>
              </w:rPr>
            </w:pPr>
            <w:r>
              <w:rPr>
                <w:sz w:val="4"/>
                <w:szCs w:val="4"/>
              </w:rPr>
            </w:r>
          </w:p>
        </w:tc>
        <w:tc>
          <w:tcPr>
            <w:tcW w:w="1190" w:type="dxa"/>
            <w:gridSpan w:val="2"/>
            <w:tcBorders/>
            <w:shd w:fill="F2F8FB" w:val="clear"/>
            <w:vAlign w:val="center"/>
          </w:tcPr>
          <w:p>
            <w:pPr>
              <w:pStyle w:val="TableContents"/>
              <w:spacing w:before="0" w:after="283"/>
              <w:rPr>
                <w:sz w:val="4"/>
                <w:szCs w:val="4"/>
              </w:rPr>
            </w:pPr>
            <w:r>
              <w:rPr>
                <w:sz w:val="4"/>
                <w:szCs w:val="4"/>
              </w:rPr>
            </w:r>
          </w:p>
        </w:tc>
        <w:tc>
          <w:tcPr>
            <w:tcW w:w="1550" w:type="dxa"/>
            <w:gridSpan w:val="2"/>
            <w:tcBorders/>
            <w:shd w:fill="auto" w:val="clear"/>
            <w:vAlign w:val="center"/>
          </w:tcPr>
          <w:p>
            <w:pPr>
              <w:pStyle w:val="TableContents"/>
              <w:spacing w:before="0" w:after="283"/>
              <w:rPr>
                <w:sz w:val="4"/>
                <w:szCs w:val="4"/>
              </w:rPr>
            </w:pPr>
            <w:r>
              <w:rPr>
                <w:sz w:val="4"/>
                <w:szCs w:val="4"/>
              </w:rPr>
            </w:r>
          </w:p>
        </w:tc>
        <w:tc>
          <w:tcPr>
            <w:tcW w:w="1325" w:type="dxa"/>
            <w:gridSpan w:val="2"/>
            <w:tcBorders/>
            <w:shd w:fill="F2F8FB" w:val="clear"/>
            <w:vAlign w:val="center"/>
          </w:tcPr>
          <w:p>
            <w:pPr>
              <w:pStyle w:val="TableContents"/>
              <w:spacing w:before="0" w:after="283"/>
              <w:rPr>
                <w:sz w:val="4"/>
                <w:szCs w:val="4"/>
              </w:rPr>
            </w:pPr>
            <w:r>
              <w:rPr>
                <w:sz w:val="4"/>
                <w:szCs w:val="4"/>
              </w:rPr>
            </w:r>
          </w:p>
        </w:tc>
      </w:tr>
      <w:tr>
        <w:trPr/>
        <w:tc>
          <w:tcPr>
            <w:tcW w:w="1100" w:type="dxa"/>
            <w:tcBorders/>
            <w:shd w:fill="auto" w:val="clear"/>
            <w:vAlign w:val="center"/>
          </w:tcPr>
          <w:p>
            <w:pPr>
              <w:pStyle w:val="TableContents"/>
              <w:spacing w:before="0" w:after="0"/>
              <w:rPr>
                <w:rFonts w:ascii="ARIAL" w:hAnsi="ARIAL"/>
                <w:sz w:val="20"/>
              </w:rPr>
            </w:pPr>
            <w:r>
              <w:rPr>
                <w:rFonts w:ascii="ARIAL" w:hAnsi="ARIAL"/>
                <w:sz w:val="20"/>
              </w:rPr>
              <w:t>David C. Wajsgras</w:t>
            </w:r>
          </w:p>
          <w:p>
            <w:pPr>
              <w:pStyle w:val="TableContents"/>
              <w:spacing w:before="0" w:after="20"/>
              <w:rPr>
                <w:rFonts w:ascii="ARIAL" w:hAnsi="ARIAL"/>
                <w:color w:val="007CBA"/>
                <w:sz w:val="20"/>
              </w:rPr>
            </w:pPr>
            <w:r>
              <w:rPr>
                <w:rFonts w:ascii="ARIAL" w:hAnsi="ARIAL"/>
                <w:color w:val="007CBA"/>
                <w:sz w:val="20"/>
              </w:rPr>
              <w:t>Financial Expert</w:t>
            </w:r>
          </w:p>
        </w:tc>
        <w:tc>
          <w:tcPr>
            <w:tcW w:w="60" w:type="dxa"/>
            <w:tcBorders/>
            <w:shd w:fill="F2F8FB" w:val="clear"/>
            <w:vAlign w:val="center"/>
          </w:tcPr>
          <w:p>
            <w:pPr>
              <w:pStyle w:val="TableContents"/>
              <w:spacing w:before="0" w:after="283"/>
              <w:rPr/>
            </w:pPr>
            <w:r>
              <w:rPr/>
              <w:t> </w:t>
            </w:r>
          </w:p>
        </w:tc>
        <w:tc>
          <w:tcPr>
            <w:tcW w:w="1310" w:type="dxa"/>
            <w:tcBorders/>
            <w:shd w:fill="F2F8FB" w:val="clear"/>
            <w:vAlign w:val="center"/>
          </w:tcPr>
          <w:p>
            <w:pPr>
              <w:pStyle w:val="TableContents"/>
              <w:spacing w:before="0" w:after="20"/>
              <w:jc w:val="center"/>
              <w:rPr>
                <w:rFonts w:ascii="ARIAL" w:hAnsi="ARIAL"/>
                <w:sz w:val="20"/>
              </w:rPr>
            </w:pPr>
            <w:r>
              <w:rPr>
                <w:rFonts w:ascii="ARIAL" w:hAnsi="ARIAL"/>
                <w:sz w:val="20"/>
              </w:rPr>
              <w:t>Yes</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0"/>
              <w:jc w:val="center"/>
              <w:rPr>
                <w:rFonts w:ascii="ARIAL" w:hAnsi="ARIAL"/>
                <w:sz w:val="20"/>
              </w:rPr>
            </w:pPr>
            <w:r>
              <w:rPr>
                <w:rFonts w:ascii="ARIAL" w:hAnsi="ARIAL"/>
                <w:sz w:val="20"/>
              </w:rPr>
              <w:t>Chair</w:t>
            </w:r>
          </w:p>
        </w:tc>
        <w:tc>
          <w:tcPr>
            <w:tcW w:w="60" w:type="dxa"/>
            <w:tcBorders/>
            <w:shd w:fill="F2F8FB" w:val="clear"/>
            <w:vAlign w:val="center"/>
          </w:tcPr>
          <w:p>
            <w:pPr>
              <w:pStyle w:val="TableContents"/>
              <w:spacing w:before="0" w:after="283"/>
              <w:rPr/>
            </w:pPr>
            <w:r>
              <w:rPr/>
              <w:t> </w:t>
            </w:r>
          </w:p>
        </w:tc>
        <w:tc>
          <w:tcPr>
            <w:tcW w:w="1430" w:type="dxa"/>
            <w:tcBorders/>
            <w:shd w:fill="F2F8F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1130" w:type="dxa"/>
            <w:tcBorders/>
            <w:shd w:fill="F2F8F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jc w:val="center"/>
              <w:rPr/>
            </w:pPr>
            <w:r>
              <w:rPr/>
              <w:t>✓</w:t>
            </w:r>
          </w:p>
        </w:tc>
        <w:tc>
          <w:tcPr>
            <w:tcW w:w="60" w:type="dxa"/>
            <w:tcBorders/>
            <w:shd w:fill="F2F8FB" w:val="clear"/>
            <w:vAlign w:val="center"/>
          </w:tcPr>
          <w:p>
            <w:pPr>
              <w:pStyle w:val="TableContents"/>
              <w:spacing w:before="0" w:after="283"/>
              <w:rPr/>
            </w:pPr>
            <w:r>
              <w:rPr/>
              <w:t> </w:t>
            </w:r>
          </w:p>
        </w:tc>
        <w:tc>
          <w:tcPr>
            <w:tcW w:w="1265" w:type="dxa"/>
            <w:tcBorders/>
            <w:shd w:fill="F2F8FB" w:val="clear"/>
            <w:vAlign w:val="center"/>
          </w:tcPr>
          <w:p>
            <w:pPr>
              <w:pStyle w:val="TableContents"/>
              <w:spacing w:before="0" w:after="283"/>
              <w:rPr>
                <w:sz w:val="4"/>
                <w:szCs w:val="4"/>
              </w:rPr>
            </w:pPr>
            <w:r>
              <w:rPr>
                <w:sz w:val="4"/>
                <w:szCs w:val="4"/>
              </w:rPr>
            </w:r>
          </w:p>
        </w:tc>
      </w:tr>
    </w:tbl>
    <w:p>
      <w:pPr>
        <w:pStyle w:val="TextBody"/>
        <w:spacing w:before="120" w:after="0"/>
        <w:jc w:val="left"/>
        <w:rPr>
          <w:rFonts w:ascii="ARIAL" w:hAnsi="ARIAL"/>
          <w:sz w:val="16"/>
        </w:rPr>
      </w:pPr>
      <w:r>
        <w:rPr>
          <w:rFonts w:ascii="ARIAL" w:hAnsi="ARIAL"/>
          <w:sz w:val="16"/>
        </w:rPr>
        <w:t xml:space="preserve">*Mr. Nye is the only member of management on the Board. </w:t>
      </w:r>
    </w:p>
    <w:p>
      <w:pPr>
        <w:pStyle w:val="TextBody"/>
        <w:spacing w:before="240" w:after="0"/>
        <w:jc w:val="left"/>
        <w:rPr>
          <w:rFonts w:ascii="ARIAL" w:hAnsi="ARIAL"/>
          <w:sz w:val="20"/>
        </w:rPr>
      </w:pPr>
      <w:r>
        <w:rPr>
          <w:rFonts w:ascii="ARIAL" w:hAnsi="ARIAL"/>
          <w:sz w:val="20"/>
        </w:rPr>
        <w:t xml:space="preserve">The </w:t>
      </w:r>
      <w:r>
        <w:rPr>
          <w:rFonts w:ascii="ARIAL" w:hAnsi="ARIAL"/>
          <w:b/>
          <w:sz w:val="20"/>
        </w:rPr>
        <w:t>Executive Committee</w:t>
      </w:r>
      <w:r>
        <w:rPr>
          <w:rFonts w:ascii="ARIAL" w:hAnsi="ARIAL"/>
          <w:sz w:val="20"/>
        </w:rPr>
        <w:t xml:space="preserve"> held no meetings during 2022. It has the authority to act during the intervals between the meetings of the Board of Directors and may exercise the powers of the Board in the management of the business and affairs of Martin Marietta as may be authorized by the Board of Directors, except to the extent such powers are reserved to the full Board by statute, by our Articles of Incorporation, or by our Bylaws. The Executive Committee’s current members are Directors Nye (Chair), Koraleski, and Quillen.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19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THE BOARD OF DIRECTORS   ◆</w:t>
      </w:r>
      <w:r>
        <w:rPr>
          <w:rFonts w:ascii="ARIAL" w:hAnsi="ARIAL"/>
          <w:sz w:val="16"/>
        </w:rPr>
        <w:t xml:space="preserve">  BOARD COMMITTEES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primary responsibilities, membership and meeting information for our other standing Committees are summarized below </w:t>
      </w:r>
    </w:p>
    <w:p>
      <w:pPr>
        <w:pStyle w:val="TextBody"/>
        <w:spacing w:before="0" w:after="0"/>
        <w:jc w:val="left"/>
        <w:rPr/>
      </w:pPr>
      <w:r>
        <w:rPr/>
        <w:t> </w:t>
      </w:r>
    </w:p>
    <w:tbl>
      <w:tblPr>
        <w:tblW w:w="1937" w:type="dxa"/>
        <w:jc w:val="left"/>
        <w:tblInd w:w="0" w:type="dxa"/>
        <w:tblCellMar>
          <w:top w:w="0" w:type="dxa"/>
          <w:left w:w="0" w:type="dxa"/>
          <w:bottom w:w="0" w:type="dxa"/>
          <w:right w:w="0" w:type="dxa"/>
        </w:tblCellMar>
      </w:tblPr>
      <w:tblGrid>
        <w:gridCol w:w="147"/>
        <w:gridCol w:w="120"/>
        <w:gridCol w:w="1670"/>
      </w:tblGrid>
      <w:tr>
        <w:trPr/>
        <w:tc>
          <w:tcPr>
            <w:tcW w:w="1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r>
      <w:tr>
        <w:trPr/>
        <w:tc>
          <w:tcPr>
            <w:tcW w:w="147" w:type="dxa"/>
            <w:tcBorders/>
            <w:shd w:fill="auto" w:val="clear"/>
            <w:vAlign w:val="center"/>
          </w:tcPr>
          <w:p>
            <w:pPr>
              <w:pStyle w:val="TableContents"/>
              <w:spacing w:before="0" w:after="283"/>
              <w:jc w:val="center"/>
              <w:rPr/>
            </w:pPr>
            <w:r>
              <w:rPr/>
              <w:drawing>
                <wp:inline distT="0" distB="0" distL="0" distR="0">
                  <wp:extent cx="45720" cy="47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45720" cy="4762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670" w:type="dxa"/>
            <w:tcBorders/>
            <w:shd w:fill="auto" w:val="clear"/>
            <w:vAlign w:val="center"/>
          </w:tcPr>
          <w:p>
            <w:pPr>
              <w:pStyle w:val="TableContents"/>
              <w:spacing w:before="0" w:after="283"/>
              <w:rPr>
                <w:color w:val="007CBA"/>
              </w:rPr>
            </w:pPr>
            <w:r>
              <w:rPr>
                <w:color w:val="007CBA"/>
              </w:rPr>
              <w:t>Audit Committee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97"/>
        <w:gridCol w:w="60"/>
        <w:gridCol w:w="7548"/>
      </w:tblGrid>
      <w:tr>
        <w:trPr/>
        <w:tc>
          <w:tcPr>
            <w:tcW w:w="25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48" w:type="dxa"/>
            <w:tcBorders/>
            <w:shd w:fill="auto" w:val="clear"/>
            <w:vAlign w:val="center"/>
          </w:tcPr>
          <w:p>
            <w:pPr>
              <w:pStyle w:val="TableContents"/>
              <w:spacing w:before="0" w:after="283"/>
              <w:rPr>
                <w:sz w:val="4"/>
                <w:szCs w:val="4"/>
              </w:rPr>
            </w:pPr>
            <w:r>
              <w:rPr>
                <w:sz w:val="4"/>
                <w:szCs w:val="4"/>
              </w:rPr>
            </w:r>
          </w:p>
        </w:tc>
      </w:tr>
      <w:tr>
        <w:trPr/>
        <w:tc>
          <w:tcPr>
            <w:tcW w:w="2597" w:type="dxa"/>
            <w:tcBorders>
              <w:top w:val="single" w:sz="6" w:space="0" w:color="CCCCCC"/>
              <w:left w:val="single" w:sz="6" w:space="0" w:color="CCCCCC"/>
            </w:tcBorders>
            <w:shd w:fill="auto" w:val="clear"/>
            <w:tcMar>
              <w:top w:w="28" w:type="dxa"/>
              <w:left w:w="160" w:type="dxa"/>
            </w:tcMar>
            <w:vAlign w:val="center"/>
          </w:tcPr>
          <w:p>
            <w:pPr>
              <w:pStyle w:val="TableContents"/>
              <w:spacing w:before="0" w:after="283"/>
              <w:rPr/>
            </w:pPr>
            <w:r>
              <w:rPr/>
              <w:t> </w:t>
            </w:r>
          </w:p>
        </w:tc>
        <w:tc>
          <w:tcPr>
            <w:tcW w:w="7608" w:type="dxa"/>
            <w:gridSpan w:val="2"/>
            <w:tcBorders>
              <w:top w:val="single" w:sz="6" w:space="0" w:color="CCCCCC"/>
              <w:left w:val="single" w:sz="6" w:space="0" w:color="CCCCCC"/>
              <w:right w:val="single" w:sz="6" w:space="0" w:color="CCCCCC"/>
            </w:tcBorders>
            <w:shd w:fill="auto" w:val="clear"/>
            <w:tcMar>
              <w:top w:w="28" w:type="dxa"/>
              <w:left w:w="28" w:type="dxa"/>
              <w:right w:w="28" w:type="dxa"/>
            </w:tcMar>
            <w:vAlign w:val="center"/>
          </w:tcPr>
          <w:p>
            <w:pPr>
              <w:pStyle w:val="TableContents"/>
              <w:spacing w:before="0" w:after="283"/>
              <w:rPr/>
            </w:pPr>
            <w:r>
              <w:rPr/>
              <w:t> </w:t>
            </w:r>
          </w:p>
        </w:tc>
      </w:tr>
      <w:tr>
        <w:trPr/>
        <w:tc>
          <w:tcPr>
            <w:tcW w:w="2597" w:type="dxa"/>
            <w:tcBorders>
              <w:left w:val="single" w:sz="6" w:space="0" w:color="CCCCCC"/>
              <w:bottom w:val="single" w:sz="6" w:space="0" w:color="CCCCCC"/>
            </w:tcBorders>
            <w:shd w:fill="auto" w:val="clear"/>
            <w:tcMar>
              <w:left w:w="160" w:type="dxa"/>
              <w:bottom w:w="28" w:type="dxa"/>
            </w:tcMar>
            <w:vAlign w:val="center"/>
          </w:tcPr>
          <w:p>
            <w:pPr>
              <w:pStyle w:val="TableContents"/>
              <w:spacing w:before="0" w:after="0"/>
              <w:rPr>
                <w:rFonts w:ascii="ARIAL" w:hAnsi="ARIAL"/>
                <w:b/>
                <w:color w:val="71BE9A"/>
                <w:sz w:val="22"/>
              </w:rPr>
            </w:pPr>
            <w:r>
              <w:rPr>
                <w:rFonts w:ascii="ARIAL" w:hAnsi="ARIAL"/>
                <w:b/>
                <w:color w:val="71BE9A"/>
                <w:sz w:val="22"/>
              </w:rPr>
              <w:t>Current Members:</w:t>
            </w:r>
          </w:p>
          <w:p>
            <w:pPr>
              <w:pStyle w:val="TableContents"/>
              <w:spacing w:before="0" w:after="0"/>
              <w:rPr>
                <w:rFonts w:ascii="ARIAL" w:hAnsi="ARIAL"/>
                <w:sz w:val="18"/>
              </w:rPr>
            </w:pPr>
            <w:r>
              <w:rPr>
                <w:rFonts w:ascii="ARIAL" w:hAnsi="ARIAL"/>
                <w:sz w:val="18"/>
              </w:rPr>
              <w:t>David C. Wajsgras (Chair)</w:t>
            </w:r>
          </w:p>
          <w:p>
            <w:pPr>
              <w:pStyle w:val="TableContents"/>
              <w:spacing w:before="0" w:after="0"/>
              <w:rPr>
                <w:rFonts w:ascii="ARIAL" w:hAnsi="ARIAL"/>
                <w:sz w:val="18"/>
              </w:rPr>
            </w:pPr>
            <w:r>
              <w:rPr>
                <w:rFonts w:ascii="ARIAL" w:hAnsi="ARIAL"/>
                <w:sz w:val="18"/>
              </w:rPr>
              <w:t>Dorothy M. Ables</w:t>
            </w:r>
          </w:p>
          <w:p>
            <w:pPr>
              <w:pStyle w:val="TableContents"/>
              <w:spacing w:before="0" w:after="0"/>
              <w:rPr>
                <w:rFonts w:ascii="ARIAL" w:hAnsi="ARIAL"/>
                <w:sz w:val="18"/>
              </w:rPr>
            </w:pPr>
            <w:r>
              <w:rPr>
                <w:rFonts w:ascii="ARIAL" w:hAnsi="ARIAL"/>
                <w:sz w:val="18"/>
              </w:rPr>
              <w:t>John J. Koraleski</w:t>
            </w:r>
          </w:p>
          <w:p>
            <w:pPr>
              <w:pStyle w:val="TableContents"/>
              <w:spacing w:before="0" w:after="20"/>
              <w:rPr>
                <w:rFonts w:ascii="ARIAL" w:hAnsi="ARIAL"/>
                <w:sz w:val="18"/>
              </w:rPr>
            </w:pPr>
            <w:r>
              <w:rPr>
                <w:rFonts w:ascii="ARIAL" w:hAnsi="ARIAL"/>
                <w:sz w:val="18"/>
              </w:rPr>
              <w:t>Laree E. Perez</w:t>
            </w:r>
          </w:p>
        </w:tc>
        <w:tc>
          <w:tcPr>
            <w:tcW w:w="60" w:type="dxa"/>
            <w:vMerge w:val="restart"/>
            <w:tcBorders>
              <w:left w:val="single" w:sz="6" w:space="0" w:color="CCCCCC"/>
              <w:bottom w:val="single" w:sz="6" w:space="0" w:color="CCCCCC"/>
            </w:tcBorders>
            <w:shd w:fill="auto" w:val="clear"/>
            <w:tcMar>
              <w:left w:w="28" w:type="dxa"/>
              <w:bottom w:w="28" w:type="dxa"/>
            </w:tcMar>
            <w:vAlign w:val="center"/>
          </w:tcPr>
          <w:p>
            <w:pPr>
              <w:pStyle w:val="TableContents"/>
              <w:spacing w:before="0" w:after="283"/>
              <w:rPr/>
            </w:pPr>
            <w:r>
              <w:rPr/>
              <w:t> </w:t>
            </w:r>
          </w:p>
        </w:tc>
        <w:tc>
          <w:tcPr>
            <w:tcW w:w="7548" w:type="dxa"/>
            <w:vMerge w:val="restart"/>
            <w:tcBorders>
              <w:bottom w:val="single" w:sz="6" w:space="0" w:color="CCCCCC"/>
              <w:right w:val="single" w:sz="6" w:space="0" w:color="CCCCCC"/>
            </w:tcBorders>
            <w:shd w:fill="auto" w:val="clear"/>
            <w:tcMar>
              <w:bottom w:w="28" w:type="dxa"/>
              <w:right w:w="40" w:type="dxa"/>
            </w:tcMar>
            <w:vAlign w:val="center"/>
          </w:tcPr>
          <w:p>
            <w:pPr>
              <w:pStyle w:val="TableContents"/>
              <w:spacing w:before="0" w:after="0"/>
              <w:rPr>
                <w:rFonts w:ascii="ARIAL" w:hAnsi="ARIAL"/>
                <w:b/>
                <w:i/>
                <w:color w:val="007CBA"/>
                <w:sz w:val="16"/>
              </w:rPr>
            </w:pPr>
            <w:r>
              <w:rPr>
                <w:rFonts w:ascii="ARIAL" w:hAnsi="ARIAL"/>
                <w:b/>
                <w:i/>
                <w:color w:val="007CBA"/>
                <w:sz w:val="16"/>
              </w:rPr>
              <w:t>Primary Responsibilities: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our significant accounting principles, policies and practices in reporting our financial results under generally accepted accounting principles.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our annual audited financial statements and related disclosures.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management letters or internal control reports, and reviews our system of internal control over financial reporting.</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Appoints, retains and oversees the work of the independent auditors.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the effectiveness of the independent audit effort.</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Pre-approves audit and permissible non-audit services provided by the independent registered public accounting firm.</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our interim financial results for each fiscal quarter.</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the qualifications and the plan and scope of work of the corporate internal audit function.</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and discusses the reports of our internal audit group.</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and discusses management’s assessment of the effectiveness of Martin Marietta’s system of internal control over financial reporting.</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Discusses Martin Marietta’s earnings press releases, as well as financial information and earnings guidance provided to analysts, investors and rating agencies.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Discusses matters related to risk assessment and risk management and how the process is handled by management.</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and oversees related party transactions.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complaints regarding accounting, internal controls or auditing matters.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Considers allegations of possible financial fraud or other financial improprieties.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annually the adequacy of the Committee charter and recommends proposed changes to the Board.</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Prepares the annual Audit Committee Report to be included in the Proxy Statement.</w:t>
            </w:r>
          </w:p>
          <w:p>
            <w:pPr>
              <w:pStyle w:val="TableContents"/>
              <w:spacing w:before="0" w:after="0"/>
              <w:rPr/>
            </w:pPr>
            <w:r>
              <w:rPr/>
              <w:t> </w:t>
            </w:r>
          </w:p>
          <w:p>
            <w:pPr>
              <w:pStyle w:val="TableContents"/>
              <w:spacing w:before="0" w:after="0"/>
              <w:rPr>
                <w:rFonts w:ascii="ARIAL" w:hAnsi="ARIAL"/>
                <w:b/>
                <w:i/>
                <w:color w:val="007CBA"/>
                <w:sz w:val="16"/>
              </w:rPr>
            </w:pPr>
            <w:r>
              <w:rPr>
                <w:rFonts w:ascii="ARIAL" w:hAnsi="ARIAL"/>
                <w:b/>
                <w:i/>
                <w:color w:val="007CBA"/>
                <w:sz w:val="16"/>
              </w:rPr>
              <w:t>Other Governance Matters:</w:t>
            </w:r>
          </w:p>
          <w:p>
            <w:pPr>
              <w:pStyle w:val="TableContents"/>
              <w:spacing w:before="0" w:after="0"/>
              <w:rPr/>
            </w:pPr>
            <w:r>
              <w:rPr/>
              <w:t> </w:t>
            </w:r>
          </w:p>
          <w:p>
            <w:pPr>
              <w:pStyle w:val="TableContents"/>
              <w:spacing w:before="0" w:after="0"/>
              <w:rPr>
                <w:rFonts w:ascii="ARIAL" w:hAnsi="ARIAL"/>
                <w:b/>
                <w:sz w:val="16"/>
              </w:rPr>
            </w:pPr>
            <w:r>
              <w:rPr>
                <w:rFonts w:ascii="ARIAL" w:hAnsi="ARIAL"/>
                <w:b/>
                <w:sz w:val="16"/>
              </w:rPr>
              <w:t>All members of the Audit Committee, including the Chair, are audit committee financial experts under applicable U.S. Securities and Exchange Commission (SEC) regulations.</w:t>
            </w:r>
          </w:p>
          <w:p>
            <w:pPr>
              <w:pStyle w:val="TableContents"/>
              <w:spacing w:before="0" w:after="0"/>
              <w:rPr/>
            </w:pPr>
            <w:r>
              <w:rPr/>
              <w:t> </w:t>
            </w:r>
          </w:p>
          <w:p>
            <w:pPr>
              <w:pStyle w:val="TableContents"/>
              <w:spacing w:before="0" w:after="0"/>
              <w:rPr>
                <w:rFonts w:ascii="ARIAL" w:hAnsi="ARIAL"/>
                <w:b/>
                <w:sz w:val="16"/>
              </w:rPr>
            </w:pPr>
            <w:r>
              <w:rPr>
                <w:rFonts w:ascii="ARIAL" w:hAnsi="ARIAL"/>
                <w:b/>
                <w:sz w:val="16"/>
              </w:rPr>
              <w:t>The Chair of the Audit Committee is an independent Director.</w:t>
            </w:r>
          </w:p>
          <w:p>
            <w:pPr>
              <w:pStyle w:val="TableContents"/>
              <w:spacing w:before="0" w:after="0"/>
              <w:rPr/>
            </w:pPr>
            <w:r>
              <w:rPr/>
              <w:t> </w:t>
            </w:r>
          </w:p>
          <w:p>
            <w:pPr>
              <w:pStyle w:val="TableContents"/>
              <w:spacing w:before="0" w:after="0"/>
              <w:rPr>
                <w:rFonts w:ascii="ARIAL" w:hAnsi="ARIAL"/>
                <w:sz w:val="16"/>
              </w:rPr>
            </w:pPr>
            <w:r>
              <w:rPr>
                <w:rFonts w:ascii="ARIAL" w:hAnsi="ARIAL"/>
                <w:sz w:val="16"/>
              </w:rPr>
              <w:t>The Chair of the Audit Committee has experience serving as a Chair and member of other public company audit committees.</w:t>
            </w:r>
          </w:p>
          <w:p>
            <w:pPr>
              <w:pStyle w:val="TableContents"/>
              <w:spacing w:before="0" w:after="0"/>
              <w:rPr/>
            </w:pPr>
            <w:r>
              <w:rPr/>
              <w:t> </w:t>
            </w:r>
          </w:p>
          <w:p>
            <w:pPr>
              <w:pStyle w:val="TableContents"/>
              <w:spacing w:before="0" w:after="20"/>
              <w:rPr>
                <w:rFonts w:ascii="ARIAL" w:hAnsi="ARIAL"/>
                <w:sz w:val="16"/>
              </w:rPr>
            </w:pPr>
            <w:r>
              <w:rPr>
                <w:rFonts w:ascii="ARIAL" w:hAnsi="ARIAL"/>
                <w:sz w:val="16"/>
              </w:rPr>
              <w:t>All members satisfy the audit committee experience and independence standards required by the New York Stock Exchange (NYSE).</w:t>
            </w:r>
          </w:p>
        </w:tc>
      </w:tr>
      <w:tr>
        <w:trPr/>
        <w:tc>
          <w:tcPr>
            <w:tcW w:w="2597" w:type="dxa"/>
            <w:tcBorders>
              <w:left w:val="single" w:sz="6" w:space="0" w:color="CCCCCC"/>
              <w:bottom w:val="single" w:sz="6" w:space="0" w:color="CCCCCC"/>
            </w:tcBorders>
            <w:shd w:fill="auto" w:val="clear"/>
            <w:tcMar>
              <w:left w:w="160" w:type="dxa"/>
              <w:bottom w:w="200" w:type="dxa"/>
            </w:tcMar>
            <w:vAlign w:val="center"/>
          </w:tcPr>
          <w:p>
            <w:pPr>
              <w:pStyle w:val="TableContents"/>
              <w:spacing w:before="0" w:after="0"/>
              <w:rPr/>
            </w:pPr>
            <w:r>
              <w:rPr/>
              <w:t> </w:t>
            </w:r>
          </w:p>
          <w:p>
            <w:pPr>
              <w:pStyle w:val="TableContents"/>
              <w:spacing w:before="0" w:after="0"/>
              <w:jc w:val="center"/>
              <w:rPr>
                <w:rFonts w:ascii="ARIAL" w:hAnsi="ARIAL"/>
                <w:b/>
                <w:color w:val="71BE9A"/>
                <w:sz w:val="22"/>
              </w:rPr>
            </w:pPr>
            <w:r>
              <w:rPr>
                <w:rFonts w:ascii="ARIAL" w:hAnsi="ARIAL"/>
                <w:b/>
                <w:color w:val="71BE9A"/>
                <w:sz w:val="22"/>
              </w:rPr>
              <w:t>Meetings in 2022</w:t>
            </w:r>
          </w:p>
          <w:p>
            <w:pPr>
              <w:pStyle w:val="TableContents"/>
              <w:spacing w:before="0" w:after="20"/>
              <w:jc w:val="center"/>
              <w:rPr>
                <w:rFonts w:ascii="ARIAL" w:hAnsi="ARIAL"/>
                <w:sz w:val="54"/>
              </w:rPr>
            </w:pPr>
            <w:r>
              <w:rPr>
                <w:rFonts w:ascii="ARIAL" w:hAnsi="ARIAL"/>
                <w:sz w:val="54"/>
              </w:rPr>
              <w:t>6</w:t>
            </w:r>
          </w:p>
        </w:tc>
        <w:tc>
          <w:tcPr>
            <w:tcW w:w="60" w:type="dxa"/>
            <w:vMerge w:val="continue"/>
            <w:tcBorders>
              <w:left w:val="single" w:sz="6" w:space="0" w:color="CCCCCC"/>
              <w:bottom w:val="single" w:sz="6" w:space="0" w:color="CCCCCC"/>
            </w:tcBorders>
            <w:shd w:fill="auto" w:val="clear"/>
            <w:tcMar>
              <w:left w:w="28" w:type="dxa"/>
              <w:bottom w:w="28" w:type="dxa"/>
            </w:tcMar>
            <w:vAlign w:val="center"/>
          </w:tcPr>
          <w:p>
            <w:pPr>
              <w:pStyle w:val="Normal"/>
              <w:rPr/>
            </w:pPr>
            <w:r>
              <w:rPr/>
            </w:r>
          </w:p>
        </w:tc>
        <w:tc>
          <w:tcPr>
            <w:tcW w:w="7548" w:type="dxa"/>
            <w:vMerge w:val="continue"/>
            <w:tcBorders>
              <w:bottom w:val="single" w:sz="6" w:space="0" w:color="CCCCCC"/>
              <w:right w:val="single" w:sz="6" w:space="0" w:color="CCCCCC"/>
            </w:tcBorders>
            <w:shd w:fill="auto" w:val="clear"/>
            <w:tcMar>
              <w:bottom w:w="28" w:type="dxa"/>
              <w:right w:w="40" w:type="dxa"/>
            </w:tcMar>
            <w:vAlign w:val="center"/>
          </w:tcPr>
          <w:p>
            <w:pPr>
              <w:pStyle w:val="Normal"/>
              <w:rPr/>
            </w:pPr>
            <w:r>
              <w:rPr/>
            </w:r>
          </w:p>
        </w:tc>
      </w:tr>
      <w:tr>
        <w:trPr/>
        <w:tc>
          <w:tcPr>
            <w:tcW w:w="2597" w:type="dxa"/>
            <w:tcBorders>
              <w:left w:val="single" w:sz="6" w:space="0" w:color="CCCCCC"/>
              <w:bottom w:val="single" w:sz="6" w:space="0" w:color="CCCCCC"/>
            </w:tcBorders>
            <w:shd w:fill="auto" w:val="clear"/>
            <w:tcMar>
              <w:left w:w="160" w:type="dxa"/>
              <w:bottom w:w="200" w:type="dxa"/>
            </w:tcMar>
            <w:vAlign w:val="center"/>
          </w:tcPr>
          <w:p>
            <w:pPr>
              <w:pStyle w:val="TableContents"/>
              <w:spacing w:before="0" w:after="0"/>
              <w:rPr/>
            </w:pPr>
            <w:r>
              <w:rPr/>
              <w:t> </w:t>
            </w:r>
          </w:p>
          <w:p>
            <w:pPr>
              <w:pStyle w:val="TableContents"/>
              <w:spacing w:before="0" w:after="0"/>
              <w:jc w:val="center"/>
              <w:rPr>
                <w:rFonts w:ascii="ARIAL" w:hAnsi="ARIAL"/>
                <w:b/>
                <w:color w:val="71BE9A"/>
                <w:sz w:val="22"/>
              </w:rPr>
            </w:pPr>
            <w:r>
              <w:rPr>
                <w:rFonts w:ascii="ARIAL" w:hAnsi="ARIAL"/>
                <w:b/>
                <w:color w:val="71BE9A"/>
                <w:sz w:val="22"/>
              </w:rPr>
              <w:t>Average Attendance in 2022:</w:t>
            </w:r>
          </w:p>
          <w:p>
            <w:pPr>
              <w:pStyle w:val="TableContents"/>
              <w:spacing w:before="0" w:after="20"/>
              <w:jc w:val="center"/>
              <w:rPr>
                <w:rFonts w:ascii="ARIAL" w:hAnsi="ARIAL"/>
                <w:sz w:val="54"/>
              </w:rPr>
            </w:pPr>
            <w:r>
              <w:rPr>
                <w:rFonts w:ascii="ARIAL" w:hAnsi="ARIAL"/>
                <w:sz w:val="54"/>
              </w:rPr>
              <w:t>100%</w:t>
            </w:r>
          </w:p>
        </w:tc>
        <w:tc>
          <w:tcPr>
            <w:tcW w:w="60" w:type="dxa"/>
            <w:vMerge w:val="continue"/>
            <w:tcBorders>
              <w:left w:val="single" w:sz="6" w:space="0" w:color="CCCCCC"/>
              <w:bottom w:val="single" w:sz="6" w:space="0" w:color="CCCCCC"/>
            </w:tcBorders>
            <w:shd w:fill="auto" w:val="clear"/>
            <w:tcMar>
              <w:left w:w="28" w:type="dxa"/>
              <w:bottom w:w="28" w:type="dxa"/>
            </w:tcMar>
            <w:vAlign w:val="center"/>
          </w:tcPr>
          <w:p>
            <w:pPr>
              <w:pStyle w:val="Normal"/>
              <w:rPr/>
            </w:pPr>
            <w:r>
              <w:rPr/>
            </w:r>
          </w:p>
        </w:tc>
        <w:tc>
          <w:tcPr>
            <w:tcW w:w="7548" w:type="dxa"/>
            <w:vMerge w:val="continue"/>
            <w:tcBorders>
              <w:bottom w:val="single" w:sz="6" w:space="0" w:color="CCCCCC"/>
              <w:right w:val="single" w:sz="6" w:space="0" w:color="CCCCCC"/>
            </w:tcBorders>
            <w:shd w:fill="auto" w:val="clear"/>
            <w:tcMar>
              <w:bottom w:w="28" w:type="dxa"/>
              <w:right w:w="40" w:type="dxa"/>
            </w:tcMar>
            <w:vAlign w:val="center"/>
          </w:tcPr>
          <w:p>
            <w:pPr>
              <w:pStyle w:val="Normal"/>
              <w:rPr/>
            </w:pPr>
            <w:r>
              <w:rPr/>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20</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BOARD COMMITTEES   </w:t>
      </w:r>
      <w:r>
        <w:rPr>
          <w:rFonts w:ascii="ARIAL" w:hAnsi="ARIAL"/>
          <w:color w:val="007CBA"/>
          <w:sz w:val="16"/>
        </w:rPr>
        <w:t xml:space="preserve">◆  THE BOARD OF DIRECTORS </w:t>
      </w:r>
    </w:p>
    <w:p>
      <w:pPr>
        <w:pStyle w:val="TextBody"/>
        <w:spacing w:before="0" w:after="0"/>
        <w:jc w:val="left"/>
        <w:rPr/>
      </w:pPr>
      <w:r>
        <w:rPr/>
        <w:t> </w:t>
      </w:r>
    </w:p>
    <w:p>
      <w:pPr>
        <w:pStyle w:val="TextBody"/>
        <w:spacing w:before="0" w:after="0"/>
        <w:jc w:val="left"/>
        <w:rPr/>
      </w:pPr>
      <w:r>
        <w:rPr/>
        <w:t> </w:t>
      </w:r>
    </w:p>
    <w:tbl>
      <w:tblPr>
        <w:tblW w:w="5149" w:type="dxa"/>
        <w:jc w:val="left"/>
        <w:tblInd w:w="0" w:type="dxa"/>
        <w:tblCellMar>
          <w:top w:w="0" w:type="dxa"/>
          <w:left w:w="0" w:type="dxa"/>
          <w:bottom w:w="0" w:type="dxa"/>
          <w:right w:w="0" w:type="dxa"/>
        </w:tblCellMar>
      </w:tblPr>
      <w:tblGrid>
        <w:gridCol w:w="149"/>
        <w:gridCol w:w="120"/>
        <w:gridCol w:w="4880"/>
      </w:tblGrid>
      <w:tr>
        <w:trPr/>
        <w:tc>
          <w:tcPr>
            <w:tcW w:w="1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80" w:type="dxa"/>
            <w:tcBorders/>
            <w:shd w:fill="auto" w:val="clear"/>
            <w:vAlign w:val="center"/>
          </w:tcPr>
          <w:p>
            <w:pPr>
              <w:pStyle w:val="TableContents"/>
              <w:spacing w:before="0" w:after="283"/>
              <w:rPr>
                <w:sz w:val="4"/>
                <w:szCs w:val="4"/>
              </w:rPr>
            </w:pPr>
            <w:r>
              <w:rPr>
                <w:sz w:val="4"/>
                <w:szCs w:val="4"/>
              </w:rPr>
            </w:r>
          </w:p>
        </w:tc>
      </w:tr>
      <w:tr>
        <w:trPr/>
        <w:tc>
          <w:tcPr>
            <w:tcW w:w="149" w:type="dxa"/>
            <w:tcBorders/>
            <w:shd w:fill="auto" w:val="clear"/>
            <w:vAlign w:val="center"/>
          </w:tcPr>
          <w:p>
            <w:pPr>
              <w:pStyle w:val="TableContents"/>
              <w:spacing w:before="0" w:after="283"/>
              <w:jc w:val="center"/>
              <w:rPr/>
            </w:pPr>
            <w:r>
              <w:rPr/>
              <w:drawing>
                <wp:inline distT="0" distB="0" distL="0" distR="0">
                  <wp:extent cx="46990" cy="47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46990" cy="4762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880" w:type="dxa"/>
            <w:tcBorders/>
            <w:shd w:fill="auto" w:val="clear"/>
            <w:vAlign w:val="center"/>
          </w:tcPr>
          <w:p>
            <w:pPr>
              <w:pStyle w:val="TableContents"/>
              <w:spacing w:before="0" w:after="283"/>
              <w:rPr>
                <w:color w:val="007CBA"/>
              </w:rPr>
            </w:pPr>
            <w:r>
              <w:rPr>
                <w:color w:val="007CBA"/>
              </w:rPr>
              <w:t>Ethics, Environment, Safety and Health Committee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11"/>
        <w:gridCol w:w="60"/>
        <w:gridCol w:w="8634"/>
      </w:tblGrid>
      <w:tr>
        <w:trPr/>
        <w:tc>
          <w:tcPr>
            <w:tcW w:w="15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34" w:type="dxa"/>
            <w:tcBorders/>
            <w:shd w:fill="auto" w:val="clear"/>
            <w:vAlign w:val="center"/>
          </w:tcPr>
          <w:p>
            <w:pPr>
              <w:pStyle w:val="TableContents"/>
              <w:spacing w:before="0" w:after="283"/>
              <w:rPr>
                <w:sz w:val="4"/>
                <w:szCs w:val="4"/>
              </w:rPr>
            </w:pPr>
            <w:r>
              <w:rPr>
                <w:sz w:val="4"/>
                <w:szCs w:val="4"/>
              </w:rPr>
            </w:r>
          </w:p>
        </w:tc>
      </w:tr>
      <w:tr>
        <w:trPr/>
        <w:tc>
          <w:tcPr>
            <w:tcW w:w="1511" w:type="dxa"/>
            <w:tcBorders>
              <w:top w:val="single" w:sz="6" w:space="0" w:color="CCCCCC"/>
              <w:left w:val="single" w:sz="6" w:space="0" w:color="CCCCCC"/>
            </w:tcBorders>
            <w:shd w:fill="auto" w:val="clear"/>
            <w:tcMar>
              <w:top w:w="28" w:type="dxa"/>
              <w:left w:w="160" w:type="dxa"/>
            </w:tcMar>
            <w:vAlign w:val="center"/>
          </w:tcPr>
          <w:p>
            <w:pPr>
              <w:pStyle w:val="TableContents"/>
              <w:spacing w:before="0" w:after="283"/>
              <w:rPr/>
            </w:pPr>
            <w:r>
              <w:rPr/>
              <w:t> </w:t>
            </w:r>
          </w:p>
        </w:tc>
        <w:tc>
          <w:tcPr>
            <w:tcW w:w="8694" w:type="dxa"/>
            <w:gridSpan w:val="2"/>
            <w:tcBorders>
              <w:top w:val="single" w:sz="6" w:space="0" w:color="CCCCCC"/>
              <w:left w:val="single" w:sz="6" w:space="0" w:color="CCCCCC"/>
              <w:right w:val="single" w:sz="6" w:space="0" w:color="CCCCCC"/>
            </w:tcBorders>
            <w:shd w:fill="auto" w:val="clear"/>
            <w:tcMar>
              <w:top w:w="28" w:type="dxa"/>
              <w:left w:w="28" w:type="dxa"/>
              <w:right w:w="28" w:type="dxa"/>
            </w:tcMar>
            <w:vAlign w:val="center"/>
          </w:tcPr>
          <w:p>
            <w:pPr>
              <w:pStyle w:val="TableContents"/>
              <w:spacing w:before="0" w:after="283"/>
              <w:rPr/>
            </w:pPr>
            <w:r>
              <w:rPr/>
              <w:t> </w:t>
            </w:r>
          </w:p>
        </w:tc>
      </w:tr>
      <w:tr>
        <w:trPr/>
        <w:tc>
          <w:tcPr>
            <w:tcW w:w="1511" w:type="dxa"/>
            <w:tcBorders>
              <w:left w:val="single" w:sz="6" w:space="0" w:color="CCCCCC"/>
              <w:bottom w:val="single" w:sz="6" w:space="0" w:color="D8D8D8"/>
            </w:tcBorders>
            <w:shd w:fill="auto" w:val="clear"/>
            <w:tcMar>
              <w:left w:w="160" w:type="dxa"/>
              <w:bottom w:w="200" w:type="dxa"/>
            </w:tcMar>
            <w:vAlign w:val="center"/>
          </w:tcPr>
          <w:p>
            <w:pPr>
              <w:pStyle w:val="TableContents"/>
              <w:spacing w:before="0" w:after="0"/>
              <w:rPr>
                <w:rFonts w:ascii="ARIAL" w:hAnsi="ARIAL"/>
                <w:b/>
                <w:color w:val="71BE9A"/>
                <w:sz w:val="22"/>
              </w:rPr>
            </w:pPr>
            <w:r>
              <w:rPr>
                <w:rFonts w:ascii="ARIAL" w:hAnsi="ARIAL"/>
                <w:b/>
                <w:color w:val="71BE9A"/>
                <w:sz w:val="22"/>
              </w:rPr>
              <w:t>Current Members:</w:t>
            </w:r>
          </w:p>
          <w:p>
            <w:pPr>
              <w:pStyle w:val="TableContents"/>
              <w:spacing w:before="0" w:after="0"/>
              <w:rPr>
                <w:rFonts w:ascii="ARIAL" w:hAnsi="ARIAL"/>
                <w:sz w:val="18"/>
              </w:rPr>
            </w:pPr>
            <w:r>
              <w:rPr>
                <w:rFonts w:ascii="ARIAL" w:hAnsi="ARIAL"/>
                <w:sz w:val="18"/>
              </w:rPr>
              <w:t>Dorothy M. Ables (Chair)</w:t>
            </w:r>
          </w:p>
          <w:p>
            <w:pPr>
              <w:pStyle w:val="TableContents"/>
              <w:spacing w:before="0" w:after="0"/>
              <w:rPr>
                <w:rFonts w:ascii="ARIAL" w:hAnsi="ARIAL"/>
                <w:sz w:val="18"/>
              </w:rPr>
            </w:pPr>
            <w:r>
              <w:rPr>
                <w:rFonts w:ascii="ARIAL" w:hAnsi="ARIAL"/>
                <w:sz w:val="18"/>
              </w:rPr>
              <w:t>Sue W. Cole</w:t>
            </w:r>
          </w:p>
          <w:p>
            <w:pPr>
              <w:pStyle w:val="TableContents"/>
              <w:spacing w:before="0" w:after="0"/>
              <w:rPr>
                <w:rFonts w:ascii="ARIAL" w:hAnsi="ARIAL"/>
                <w:sz w:val="18"/>
              </w:rPr>
            </w:pPr>
            <w:r>
              <w:rPr>
                <w:rFonts w:ascii="ARIAL" w:hAnsi="ARIAL"/>
                <w:sz w:val="18"/>
              </w:rPr>
              <w:t>Smith W. Davis</w:t>
            </w:r>
          </w:p>
          <w:p>
            <w:pPr>
              <w:pStyle w:val="TableContents"/>
              <w:spacing w:before="0" w:after="20"/>
              <w:rPr>
                <w:rFonts w:ascii="ARIAL" w:hAnsi="ARIAL"/>
                <w:sz w:val="18"/>
              </w:rPr>
            </w:pPr>
            <w:r>
              <w:rPr>
                <w:rFonts w:ascii="ARIAL" w:hAnsi="ARIAL"/>
                <w:sz w:val="18"/>
              </w:rPr>
              <w:t>Anthony R. Foxx</w:t>
            </w:r>
          </w:p>
        </w:tc>
        <w:tc>
          <w:tcPr>
            <w:tcW w:w="60" w:type="dxa"/>
            <w:vMerge w:val="restart"/>
            <w:tcBorders>
              <w:left w:val="single" w:sz="6" w:space="0" w:color="CCCCCC"/>
              <w:bottom w:val="single" w:sz="6" w:space="0" w:color="CCCCCC"/>
            </w:tcBorders>
            <w:shd w:fill="auto" w:val="clear"/>
            <w:tcMar>
              <w:left w:w="28" w:type="dxa"/>
              <w:bottom w:w="28" w:type="dxa"/>
            </w:tcMar>
            <w:vAlign w:val="center"/>
          </w:tcPr>
          <w:p>
            <w:pPr>
              <w:pStyle w:val="TableContents"/>
              <w:spacing w:before="0" w:after="283"/>
              <w:rPr/>
            </w:pPr>
            <w:r>
              <w:rPr/>
              <w:t> </w:t>
            </w:r>
          </w:p>
        </w:tc>
        <w:tc>
          <w:tcPr>
            <w:tcW w:w="8634" w:type="dxa"/>
            <w:vMerge w:val="restart"/>
            <w:tcBorders>
              <w:bottom w:val="single" w:sz="6" w:space="0" w:color="CCCCCC"/>
              <w:right w:val="single" w:sz="6" w:space="0" w:color="CCCCCC"/>
            </w:tcBorders>
            <w:shd w:fill="auto" w:val="clear"/>
            <w:tcMar>
              <w:bottom w:w="200" w:type="dxa"/>
              <w:right w:w="40" w:type="dxa"/>
            </w:tcMar>
            <w:vAlign w:val="center"/>
          </w:tcPr>
          <w:p>
            <w:pPr>
              <w:pStyle w:val="TableContents"/>
              <w:spacing w:before="0" w:after="0"/>
              <w:rPr>
                <w:rFonts w:ascii="ARIAL" w:hAnsi="ARIAL"/>
                <w:b/>
                <w:i/>
                <w:color w:val="007CBA"/>
                <w:sz w:val="16"/>
              </w:rPr>
            </w:pPr>
            <w:r>
              <w:rPr>
                <w:rFonts w:ascii="ARIAL" w:hAnsi="ARIAL"/>
                <w:b/>
                <w:i/>
                <w:color w:val="007CBA"/>
                <w:sz w:val="16"/>
              </w:rPr>
              <w:t>Primary Responsibilities: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 xml:space="preserve">Monitors compliance with our </w:t>
            </w:r>
            <w:r>
              <w:rPr>
                <w:rFonts w:ascii="ARIAL" w:hAnsi="ARIAL"/>
                <w:i/>
                <w:sz w:val="16"/>
              </w:rPr>
              <w:t>Code of Ethical Business Conduct</w:t>
            </w:r>
            <w:r>
              <w:rPr>
                <w:rFonts w:ascii="ARIAL" w:hAnsi="ARIAL"/>
                <w:sz w:val="16"/>
              </w:rPr>
              <w:t xml:space="preserve"> and reviews all matters presented to it by the Corporate Ethics Officer concerning the ethical practices of Martin Marietta and its Directors, officers, and employees, including conflicts or potential conflicts of interest between Martin Marietta and any of its Directors, officers, and employees.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and discusses our sustainability efforts, goals and risks, and our annual Sustainability Report.</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and monitors the adequacy of our policies and procedures and organizational structure for ensuring compliance with environmental laws and regulations.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matters relating to our health and safety programs and performance.</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annually the adequacy of the Committee charter and recommends proposed changes to the Board.</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Oversees environmental performance, initiatives and results, including annual and long-term targets and commitments.</w:t>
            </w:r>
          </w:p>
          <w:p>
            <w:pPr>
              <w:pStyle w:val="TableContents"/>
              <w:spacing w:before="0" w:after="0"/>
              <w:rPr/>
            </w:pPr>
            <w:r>
              <w:rPr/>
              <w:t> </w:t>
            </w:r>
          </w:p>
          <w:p>
            <w:pPr>
              <w:pStyle w:val="TableContents"/>
              <w:spacing w:before="0" w:after="20"/>
              <w:rPr/>
            </w:pPr>
            <w:r>
              <w:rPr>
                <w:color w:val="007CBA"/>
              </w:rPr>
              <w:t>•</w:t>
            </w:r>
            <w:r>
              <w:rPr/>
              <w:t>  </w:t>
            </w:r>
            <w:r>
              <w:rPr>
                <w:rFonts w:ascii="ARIAL" w:hAnsi="ARIAL"/>
                <w:sz w:val="16"/>
              </w:rPr>
              <w:t>Reviews the Company’s strategy, programs, initiatives and performance with respect to climate change and other sustainability matters.</w:t>
            </w:r>
          </w:p>
        </w:tc>
      </w:tr>
      <w:tr>
        <w:trPr/>
        <w:tc>
          <w:tcPr>
            <w:tcW w:w="1511" w:type="dxa"/>
            <w:tcBorders>
              <w:left w:val="single" w:sz="6" w:space="0" w:color="CCCCCC"/>
              <w:bottom w:val="single" w:sz="6" w:space="0" w:color="CCCCCC"/>
            </w:tcBorders>
            <w:shd w:fill="auto" w:val="clear"/>
            <w:tcMar>
              <w:left w:w="160" w:type="dxa"/>
              <w:bottom w:w="200" w:type="dxa"/>
            </w:tcMar>
            <w:vAlign w:val="center"/>
          </w:tcPr>
          <w:p>
            <w:pPr>
              <w:pStyle w:val="TableContents"/>
              <w:spacing w:before="0" w:after="0"/>
              <w:rPr/>
            </w:pPr>
            <w:r>
              <w:rPr/>
              <w:t> </w:t>
            </w:r>
          </w:p>
          <w:p>
            <w:pPr>
              <w:pStyle w:val="TableContents"/>
              <w:spacing w:before="0" w:after="0"/>
              <w:jc w:val="center"/>
              <w:rPr>
                <w:rFonts w:ascii="ARIAL" w:hAnsi="ARIAL"/>
                <w:b/>
                <w:color w:val="71BE9A"/>
                <w:sz w:val="22"/>
              </w:rPr>
            </w:pPr>
            <w:r>
              <w:rPr>
                <w:rFonts w:ascii="ARIAL" w:hAnsi="ARIAL"/>
                <w:b/>
                <w:color w:val="71BE9A"/>
                <w:sz w:val="22"/>
              </w:rPr>
              <w:t>Meetings in 2022</w:t>
            </w:r>
          </w:p>
          <w:p>
            <w:pPr>
              <w:pStyle w:val="TableContents"/>
              <w:spacing w:before="0" w:after="20"/>
              <w:jc w:val="center"/>
              <w:rPr>
                <w:rFonts w:ascii="ARIAL" w:hAnsi="ARIAL"/>
                <w:sz w:val="54"/>
              </w:rPr>
            </w:pPr>
            <w:r>
              <w:rPr>
                <w:rFonts w:ascii="ARIAL" w:hAnsi="ARIAL"/>
                <w:sz w:val="54"/>
              </w:rPr>
              <w:t>3</w:t>
            </w:r>
          </w:p>
        </w:tc>
        <w:tc>
          <w:tcPr>
            <w:tcW w:w="60" w:type="dxa"/>
            <w:vMerge w:val="continue"/>
            <w:tcBorders>
              <w:left w:val="single" w:sz="6" w:space="0" w:color="CCCCCC"/>
              <w:bottom w:val="single" w:sz="6" w:space="0" w:color="CCCCCC"/>
            </w:tcBorders>
            <w:shd w:fill="auto" w:val="clear"/>
            <w:tcMar>
              <w:left w:w="28" w:type="dxa"/>
              <w:bottom w:w="28" w:type="dxa"/>
            </w:tcMar>
            <w:vAlign w:val="center"/>
          </w:tcPr>
          <w:p>
            <w:pPr>
              <w:pStyle w:val="Normal"/>
              <w:rPr/>
            </w:pPr>
            <w:r>
              <w:rPr/>
            </w:r>
          </w:p>
        </w:tc>
        <w:tc>
          <w:tcPr>
            <w:tcW w:w="8634" w:type="dxa"/>
            <w:vMerge w:val="continue"/>
            <w:tcBorders>
              <w:bottom w:val="single" w:sz="6" w:space="0" w:color="CCCCCC"/>
              <w:right w:val="single" w:sz="6" w:space="0" w:color="CCCCCC"/>
            </w:tcBorders>
            <w:shd w:fill="auto" w:val="clear"/>
            <w:tcMar>
              <w:bottom w:w="200" w:type="dxa"/>
              <w:right w:w="40" w:type="dxa"/>
            </w:tcMar>
            <w:vAlign w:val="center"/>
          </w:tcPr>
          <w:p>
            <w:pPr>
              <w:pStyle w:val="Normal"/>
              <w:rPr/>
            </w:pPr>
            <w:r>
              <w:rPr/>
            </w:r>
          </w:p>
        </w:tc>
      </w:tr>
      <w:tr>
        <w:trPr/>
        <w:tc>
          <w:tcPr>
            <w:tcW w:w="1511" w:type="dxa"/>
            <w:tcBorders>
              <w:left w:val="single" w:sz="6" w:space="0" w:color="CCCCCC"/>
              <w:bottom w:val="single" w:sz="6" w:space="0" w:color="CCCCCC"/>
            </w:tcBorders>
            <w:shd w:fill="auto" w:val="clear"/>
            <w:tcMar>
              <w:left w:w="160" w:type="dxa"/>
              <w:bottom w:w="200" w:type="dxa"/>
            </w:tcMar>
            <w:vAlign w:val="center"/>
          </w:tcPr>
          <w:p>
            <w:pPr>
              <w:pStyle w:val="TableContents"/>
              <w:spacing w:before="0" w:after="0"/>
              <w:rPr/>
            </w:pPr>
            <w:r>
              <w:rPr/>
              <w:t> </w:t>
            </w:r>
          </w:p>
          <w:p>
            <w:pPr>
              <w:pStyle w:val="TableContents"/>
              <w:spacing w:before="0" w:after="0"/>
              <w:jc w:val="center"/>
              <w:rPr>
                <w:rFonts w:ascii="ARIAL" w:hAnsi="ARIAL"/>
                <w:b/>
                <w:color w:val="71BE9A"/>
                <w:sz w:val="22"/>
              </w:rPr>
            </w:pPr>
            <w:r>
              <w:rPr>
                <w:rFonts w:ascii="ARIAL" w:hAnsi="ARIAL"/>
                <w:b/>
                <w:color w:val="71BE9A"/>
                <w:sz w:val="22"/>
              </w:rPr>
              <w:t>Average Attendance</w:t>
              <w:br/>
              <w:t>in 2022:</w:t>
            </w:r>
          </w:p>
          <w:p>
            <w:pPr>
              <w:pStyle w:val="TableContents"/>
              <w:spacing w:before="0" w:after="20"/>
              <w:jc w:val="center"/>
              <w:rPr>
                <w:rFonts w:ascii="ARIAL" w:hAnsi="ARIAL"/>
                <w:sz w:val="54"/>
              </w:rPr>
            </w:pPr>
            <w:r>
              <w:rPr>
                <w:rFonts w:ascii="ARIAL" w:hAnsi="ARIAL"/>
                <w:sz w:val="54"/>
              </w:rPr>
              <w:t>100%</w:t>
            </w:r>
          </w:p>
        </w:tc>
        <w:tc>
          <w:tcPr>
            <w:tcW w:w="60" w:type="dxa"/>
            <w:vMerge w:val="continue"/>
            <w:tcBorders>
              <w:left w:val="single" w:sz="6" w:space="0" w:color="CCCCCC"/>
              <w:bottom w:val="single" w:sz="6" w:space="0" w:color="CCCCCC"/>
            </w:tcBorders>
            <w:shd w:fill="auto" w:val="clear"/>
            <w:tcMar>
              <w:left w:w="28" w:type="dxa"/>
              <w:bottom w:w="28" w:type="dxa"/>
            </w:tcMar>
            <w:vAlign w:val="center"/>
          </w:tcPr>
          <w:p>
            <w:pPr>
              <w:pStyle w:val="Normal"/>
              <w:rPr/>
            </w:pPr>
            <w:r>
              <w:rPr/>
            </w:r>
          </w:p>
        </w:tc>
        <w:tc>
          <w:tcPr>
            <w:tcW w:w="8634" w:type="dxa"/>
            <w:vMerge w:val="continue"/>
            <w:tcBorders>
              <w:bottom w:val="single" w:sz="6" w:space="0" w:color="CCCCCC"/>
              <w:right w:val="single" w:sz="6" w:space="0" w:color="CCCCCC"/>
            </w:tcBorders>
            <w:shd w:fill="auto" w:val="clear"/>
            <w:tcMar>
              <w:bottom w:w="200" w:type="dxa"/>
              <w:right w:w="40" w:type="dxa"/>
            </w:tcMar>
            <w:vAlign w:val="center"/>
          </w:tcPr>
          <w:p>
            <w:pPr>
              <w:pStyle w:val="Normal"/>
              <w:rPr/>
            </w:pPr>
            <w:r>
              <w:rPr/>
            </w:r>
          </w:p>
        </w:tc>
      </w:tr>
    </w:tbl>
    <w:p>
      <w:pPr>
        <w:pStyle w:val="TextBody"/>
        <w:spacing w:before="0" w:after="0"/>
        <w:jc w:val="left"/>
        <w:rPr/>
      </w:pPr>
      <w:r>
        <w:rPr/>
        <w:t> </w:t>
      </w:r>
    </w:p>
    <w:tbl>
      <w:tblPr>
        <w:tblW w:w="2135" w:type="dxa"/>
        <w:jc w:val="left"/>
        <w:tblInd w:w="0" w:type="dxa"/>
        <w:tblCellMar>
          <w:top w:w="0" w:type="dxa"/>
          <w:left w:w="0" w:type="dxa"/>
          <w:bottom w:w="0" w:type="dxa"/>
          <w:right w:w="0" w:type="dxa"/>
        </w:tblCellMar>
      </w:tblPr>
      <w:tblGrid>
        <w:gridCol w:w="135"/>
        <w:gridCol w:w="120"/>
        <w:gridCol w:w="1880"/>
      </w:tblGrid>
      <w:tr>
        <w:trPr/>
        <w:tc>
          <w:tcPr>
            <w:tcW w:w="1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auto" w:val="clear"/>
            <w:vAlign w:val="center"/>
          </w:tcPr>
          <w:p>
            <w:pPr>
              <w:pStyle w:val="TableContents"/>
              <w:spacing w:before="0" w:after="283"/>
              <w:jc w:val="center"/>
              <w:rPr/>
            </w:pPr>
            <w:r>
              <w:rPr/>
              <w:drawing>
                <wp:inline distT="0" distB="0" distL="0" distR="0">
                  <wp:extent cx="38100" cy="6667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38100" cy="6667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283"/>
              <w:rPr>
                <w:color w:val="007CBA"/>
              </w:rPr>
            </w:pPr>
            <w:r>
              <w:rPr>
                <w:color w:val="007CBA"/>
              </w:rPr>
              <w:t>Finance Committee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495"/>
        <w:gridCol w:w="60"/>
        <w:gridCol w:w="8650"/>
      </w:tblGrid>
      <w:tr>
        <w:trPr/>
        <w:tc>
          <w:tcPr>
            <w:tcW w:w="14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50" w:type="dxa"/>
            <w:tcBorders/>
            <w:shd w:fill="auto" w:val="clear"/>
            <w:vAlign w:val="center"/>
          </w:tcPr>
          <w:p>
            <w:pPr>
              <w:pStyle w:val="TableContents"/>
              <w:spacing w:before="0" w:after="283"/>
              <w:rPr>
                <w:sz w:val="4"/>
                <w:szCs w:val="4"/>
              </w:rPr>
            </w:pPr>
            <w:r>
              <w:rPr>
                <w:sz w:val="4"/>
                <w:szCs w:val="4"/>
              </w:rPr>
            </w:r>
          </w:p>
        </w:tc>
      </w:tr>
      <w:tr>
        <w:trPr/>
        <w:tc>
          <w:tcPr>
            <w:tcW w:w="1495" w:type="dxa"/>
            <w:tcBorders>
              <w:top w:val="single" w:sz="6" w:space="0" w:color="CCCCCC"/>
              <w:left w:val="single" w:sz="6" w:space="0" w:color="CCCCCC"/>
            </w:tcBorders>
            <w:shd w:fill="auto" w:val="clear"/>
            <w:tcMar>
              <w:top w:w="28" w:type="dxa"/>
              <w:left w:w="160" w:type="dxa"/>
            </w:tcMar>
            <w:vAlign w:val="center"/>
          </w:tcPr>
          <w:p>
            <w:pPr>
              <w:pStyle w:val="TableContents"/>
              <w:spacing w:before="0" w:after="283"/>
              <w:rPr/>
            </w:pPr>
            <w:r>
              <w:rPr/>
              <w:t> </w:t>
            </w:r>
          </w:p>
        </w:tc>
        <w:tc>
          <w:tcPr>
            <w:tcW w:w="8710" w:type="dxa"/>
            <w:gridSpan w:val="2"/>
            <w:tcBorders>
              <w:top w:val="single" w:sz="6" w:space="0" w:color="CCCCCC"/>
              <w:left w:val="single" w:sz="6" w:space="0" w:color="CCCCCC"/>
              <w:right w:val="single" w:sz="6" w:space="0" w:color="CCCCCC"/>
            </w:tcBorders>
            <w:shd w:fill="auto" w:val="clear"/>
            <w:tcMar>
              <w:top w:w="28" w:type="dxa"/>
              <w:left w:w="28" w:type="dxa"/>
              <w:right w:w="28" w:type="dxa"/>
            </w:tcMar>
            <w:vAlign w:val="center"/>
          </w:tcPr>
          <w:p>
            <w:pPr>
              <w:pStyle w:val="TableContents"/>
              <w:spacing w:before="0" w:after="283"/>
              <w:rPr/>
            </w:pPr>
            <w:r>
              <w:rPr/>
              <w:t> </w:t>
            </w:r>
          </w:p>
        </w:tc>
      </w:tr>
      <w:tr>
        <w:trPr/>
        <w:tc>
          <w:tcPr>
            <w:tcW w:w="1495" w:type="dxa"/>
            <w:tcBorders>
              <w:left w:val="single" w:sz="6" w:space="0" w:color="CCCCCC"/>
              <w:bottom w:val="single" w:sz="6" w:space="0" w:color="D8D8D8"/>
            </w:tcBorders>
            <w:shd w:fill="auto" w:val="clear"/>
            <w:tcMar>
              <w:left w:w="160" w:type="dxa"/>
              <w:bottom w:w="200" w:type="dxa"/>
            </w:tcMar>
            <w:vAlign w:val="center"/>
          </w:tcPr>
          <w:p>
            <w:pPr>
              <w:pStyle w:val="TableContents"/>
              <w:spacing w:before="0" w:after="0"/>
              <w:rPr>
                <w:rFonts w:ascii="ARIAL" w:hAnsi="ARIAL"/>
                <w:b/>
                <w:color w:val="71BE9A"/>
                <w:sz w:val="22"/>
              </w:rPr>
            </w:pPr>
            <w:r>
              <w:rPr>
                <w:rFonts w:ascii="ARIAL" w:hAnsi="ARIAL"/>
                <w:b/>
                <w:color w:val="71BE9A"/>
                <w:sz w:val="22"/>
              </w:rPr>
              <w:t>Current Members:</w:t>
            </w:r>
          </w:p>
          <w:p>
            <w:pPr>
              <w:pStyle w:val="TableContents"/>
              <w:spacing w:before="0" w:after="0"/>
              <w:rPr>
                <w:rFonts w:ascii="ARIAL" w:hAnsi="ARIAL"/>
                <w:sz w:val="18"/>
              </w:rPr>
            </w:pPr>
            <w:r>
              <w:rPr>
                <w:rFonts w:ascii="ARIAL" w:hAnsi="ARIAL"/>
                <w:sz w:val="18"/>
              </w:rPr>
              <w:t>Michael J. Quillen (Chair)</w:t>
            </w:r>
          </w:p>
          <w:p>
            <w:pPr>
              <w:pStyle w:val="TableContents"/>
              <w:spacing w:before="0" w:after="0"/>
              <w:rPr>
                <w:rFonts w:ascii="ARIAL" w:hAnsi="ARIAL"/>
                <w:sz w:val="18"/>
              </w:rPr>
            </w:pPr>
            <w:r>
              <w:rPr>
                <w:rFonts w:ascii="ARIAL" w:hAnsi="ARIAL"/>
                <w:sz w:val="18"/>
              </w:rPr>
              <w:t>Anthony R. Foxx</w:t>
            </w:r>
          </w:p>
          <w:p>
            <w:pPr>
              <w:pStyle w:val="TableContents"/>
              <w:spacing w:before="0" w:after="0"/>
              <w:rPr>
                <w:rFonts w:ascii="ARIAL" w:hAnsi="ARIAL"/>
                <w:sz w:val="18"/>
              </w:rPr>
            </w:pPr>
            <w:r>
              <w:rPr>
                <w:rFonts w:ascii="ARIAL" w:hAnsi="ARIAL"/>
                <w:sz w:val="18"/>
              </w:rPr>
              <w:t>Thomas H. Pike</w:t>
            </w:r>
          </w:p>
          <w:p>
            <w:pPr>
              <w:pStyle w:val="TableContents"/>
              <w:spacing w:before="0" w:after="20"/>
              <w:rPr>
                <w:rFonts w:ascii="ARIAL" w:hAnsi="ARIAL"/>
                <w:sz w:val="18"/>
              </w:rPr>
            </w:pPr>
            <w:r>
              <w:rPr>
                <w:rFonts w:ascii="ARIAL" w:hAnsi="ARIAL"/>
                <w:sz w:val="18"/>
              </w:rPr>
              <w:t>Donald W. Slager</w:t>
            </w:r>
          </w:p>
        </w:tc>
        <w:tc>
          <w:tcPr>
            <w:tcW w:w="60" w:type="dxa"/>
            <w:vMerge w:val="restart"/>
            <w:tcBorders>
              <w:left w:val="single" w:sz="6" w:space="0" w:color="CCCCCC"/>
              <w:bottom w:val="single" w:sz="6" w:space="0" w:color="CCCCCC"/>
            </w:tcBorders>
            <w:shd w:fill="auto" w:val="clear"/>
            <w:tcMar>
              <w:left w:w="28" w:type="dxa"/>
              <w:bottom w:w="28" w:type="dxa"/>
            </w:tcMar>
            <w:vAlign w:val="center"/>
          </w:tcPr>
          <w:p>
            <w:pPr>
              <w:pStyle w:val="TableContents"/>
              <w:spacing w:before="0" w:after="283"/>
              <w:rPr/>
            </w:pPr>
            <w:r>
              <w:rPr/>
              <w:t> </w:t>
            </w:r>
          </w:p>
        </w:tc>
        <w:tc>
          <w:tcPr>
            <w:tcW w:w="8650" w:type="dxa"/>
            <w:vMerge w:val="restart"/>
            <w:tcBorders>
              <w:bottom w:val="single" w:sz="6" w:space="0" w:color="CCCCCC"/>
              <w:right w:val="single" w:sz="6" w:space="0" w:color="CCCCCC"/>
            </w:tcBorders>
            <w:shd w:fill="auto" w:val="clear"/>
            <w:tcMar>
              <w:bottom w:w="200" w:type="dxa"/>
              <w:right w:w="40" w:type="dxa"/>
            </w:tcMar>
            <w:vAlign w:val="center"/>
          </w:tcPr>
          <w:p>
            <w:pPr>
              <w:pStyle w:val="TableContents"/>
              <w:spacing w:before="0" w:after="0"/>
              <w:rPr>
                <w:rFonts w:ascii="ARIAL" w:hAnsi="ARIAL"/>
                <w:b/>
                <w:i/>
                <w:color w:val="007CBA"/>
                <w:sz w:val="16"/>
              </w:rPr>
            </w:pPr>
            <w:r>
              <w:rPr>
                <w:rFonts w:ascii="ARIAL" w:hAnsi="ARIAL"/>
                <w:b/>
                <w:i/>
                <w:color w:val="007CBA"/>
                <w:sz w:val="16"/>
              </w:rPr>
              <w:t>Primary Responsibilities: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Provides general oversight relating to the management of our financial affairs.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and approves establishment of lines of credit or other short-term borrowing arrangements and investing excess working capital funds on a short-term basis.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and makes recommendations to the Board concerning changes to capital structure, including the incurrence of long-term debt, issuance of equity securities, share repurchases, and the payment of dividends, as well as capital expenditures.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annually the adequacy of the Committee charter and recommends proposed changes to the Board.</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 xml:space="preserve">Oversees our policies and practices on political contributions, including those contained in our </w:t>
            </w:r>
            <w:r>
              <w:rPr>
                <w:rFonts w:ascii="ARIAL" w:hAnsi="ARIAL"/>
                <w:i/>
                <w:sz w:val="16"/>
              </w:rPr>
              <w:t>Code of Ethical Business Conduct</w:t>
            </w:r>
            <w:r>
              <w:rPr>
                <w:rFonts w:ascii="ARIAL" w:hAnsi="ARIAL"/>
                <w:sz w:val="16"/>
              </w:rPr>
              <w:t>, and reviews our political activities, including lobbying and/or through trade associations of which we are a member, and expenditures, and ensure that any such activities are consistent with and serve to promote our business strategy and goals.</w:t>
            </w:r>
          </w:p>
          <w:p>
            <w:pPr>
              <w:pStyle w:val="TableContents"/>
              <w:spacing w:before="0" w:after="0"/>
              <w:rPr/>
            </w:pPr>
            <w:r>
              <w:rPr/>
              <w:t> </w:t>
            </w:r>
          </w:p>
          <w:p>
            <w:pPr>
              <w:pStyle w:val="TableContents"/>
              <w:spacing w:before="0" w:after="20"/>
              <w:rPr/>
            </w:pPr>
            <w:r>
              <w:rPr>
                <w:color w:val="007CBA"/>
              </w:rPr>
              <w:t>•</w:t>
            </w:r>
            <w:r>
              <w:rPr/>
              <w:t>  </w:t>
            </w:r>
            <w:r>
              <w:rPr>
                <w:rFonts w:ascii="ARIAL" w:hAnsi="ARIAL"/>
                <w:sz w:val="16"/>
              </w:rPr>
              <w:t>Reviews and approves charitable contributions and community support budgets.</w:t>
            </w:r>
          </w:p>
        </w:tc>
      </w:tr>
      <w:tr>
        <w:trPr/>
        <w:tc>
          <w:tcPr>
            <w:tcW w:w="1495" w:type="dxa"/>
            <w:tcBorders>
              <w:left w:val="single" w:sz="6" w:space="0" w:color="CCCCCC"/>
              <w:bottom w:val="single" w:sz="6" w:space="0" w:color="CCCCCC"/>
            </w:tcBorders>
            <w:shd w:fill="auto" w:val="clear"/>
            <w:tcMar>
              <w:left w:w="160" w:type="dxa"/>
              <w:bottom w:w="200" w:type="dxa"/>
            </w:tcMar>
            <w:vAlign w:val="center"/>
          </w:tcPr>
          <w:p>
            <w:pPr>
              <w:pStyle w:val="TableContents"/>
              <w:spacing w:before="0" w:after="0"/>
              <w:rPr/>
            </w:pPr>
            <w:r>
              <w:rPr/>
              <w:t> </w:t>
            </w:r>
          </w:p>
          <w:p>
            <w:pPr>
              <w:pStyle w:val="TableContents"/>
              <w:spacing w:before="0" w:after="0"/>
              <w:jc w:val="center"/>
              <w:rPr>
                <w:rFonts w:ascii="ARIAL" w:hAnsi="ARIAL"/>
                <w:b/>
                <w:color w:val="71BE9A"/>
                <w:sz w:val="22"/>
              </w:rPr>
            </w:pPr>
            <w:r>
              <w:rPr>
                <w:rFonts w:ascii="ARIAL" w:hAnsi="ARIAL"/>
                <w:b/>
                <w:color w:val="71BE9A"/>
                <w:sz w:val="22"/>
              </w:rPr>
              <w:t>Meetings in 2022</w:t>
            </w:r>
          </w:p>
          <w:p>
            <w:pPr>
              <w:pStyle w:val="TableContents"/>
              <w:spacing w:before="0" w:after="20"/>
              <w:jc w:val="center"/>
              <w:rPr>
                <w:rFonts w:ascii="ARIAL" w:hAnsi="ARIAL"/>
                <w:sz w:val="54"/>
              </w:rPr>
            </w:pPr>
            <w:r>
              <w:rPr>
                <w:rFonts w:ascii="ARIAL" w:hAnsi="ARIAL"/>
                <w:sz w:val="54"/>
              </w:rPr>
              <w:t>4</w:t>
            </w:r>
          </w:p>
        </w:tc>
        <w:tc>
          <w:tcPr>
            <w:tcW w:w="60" w:type="dxa"/>
            <w:vMerge w:val="continue"/>
            <w:tcBorders>
              <w:left w:val="single" w:sz="6" w:space="0" w:color="CCCCCC"/>
              <w:bottom w:val="single" w:sz="6" w:space="0" w:color="CCCCCC"/>
            </w:tcBorders>
            <w:shd w:fill="auto" w:val="clear"/>
            <w:tcMar>
              <w:left w:w="28" w:type="dxa"/>
              <w:bottom w:w="28" w:type="dxa"/>
            </w:tcMar>
            <w:vAlign w:val="center"/>
          </w:tcPr>
          <w:p>
            <w:pPr>
              <w:pStyle w:val="Normal"/>
              <w:rPr/>
            </w:pPr>
            <w:r>
              <w:rPr/>
            </w:r>
          </w:p>
        </w:tc>
        <w:tc>
          <w:tcPr>
            <w:tcW w:w="8650" w:type="dxa"/>
            <w:vMerge w:val="continue"/>
            <w:tcBorders>
              <w:bottom w:val="single" w:sz="6" w:space="0" w:color="CCCCCC"/>
              <w:right w:val="single" w:sz="6" w:space="0" w:color="CCCCCC"/>
            </w:tcBorders>
            <w:shd w:fill="auto" w:val="clear"/>
            <w:tcMar>
              <w:bottom w:w="200" w:type="dxa"/>
              <w:right w:w="40" w:type="dxa"/>
            </w:tcMar>
            <w:vAlign w:val="center"/>
          </w:tcPr>
          <w:p>
            <w:pPr>
              <w:pStyle w:val="Normal"/>
              <w:rPr/>
            </w:pPr>
            <w:r>
              <w:rPr/>
            </w:r>
          </w:p>
        </w:tc>
      </w:tr>
      <w:tr>
        <w:trPr/>
        <w:tc>
          <w:tcPr>
            <w:tcW w:w="1495" w:type="dxa"/>
            <w:tcBorders>
              <w:left w:val="single" w:sz="6" w:space="0" w:color="CCCCCC"/>
              <w:bottom w:val="single" w:sz="6" w:space="0" w:color="CCCCCC"/>
            </w:tcBorders>
            <w:shd w:fill="auto" w:val="clear"/>
            <w:tcMar>
              <w:left w:w="160" w:type="dxa"/>
              <w:bottom w:w="200" w:type="dxa"/>
            </w:tcMar>
            <w:vAlign w:val="center"/>
          </w:tcPr>
          <w:p>
            <w:pPr>
              <w:pStyle w:val="TableContents"/>
              <w:spacing w:before="0" w:after="0"/>
              <w:rPr/>
            </w:pPr>
            <w:r>
              <w:rPr/>
              <w:t> </w:t>
            </w:r>
          </w:p>
          <w:p>
            <w:pPr>
              <w:pStyle w:val="TableContents"/>
              <w:spacing w:before="0" w:after="0"/>
              <w:jc w:val="center"/>
              <w:rPr>
                <w:rFonts w:ascii="ARIAL" w:hAnsi="ARIAL"/>
                <w:b/>
                <w:color w:val="71BE9A"/>
                <w:sz w:val="22"/>
              </w:rPr>
            </w:pPr>
            <w:r>
              <w:rPr>
                <w:rFonts w:ascii="ARIAL" w:hAnsi="ARIAL"/>
                <w:b/>
                <w:color w:val="71BE9A"/>
                <w:sz w:val="22"/>
              </w:rPr>
              <w:t>Average Attendance</w:t>
              <w:br/>
              <w:t>in 2022:</w:t>
            </w:r>
          </w:p>
          <w:p>
            <w:pPr>
              <w:pStyle w:val="TableContents"/>
              <w:spacing w:before="0" w:after="20"/>
              <w:jc w:val="center"/>
              <w:rPr>
                <w:rFonts w:ascii="ARIAL" w:hAnsi="ARIAL"/>
                <w:sz w:val="54"/>
              </w:rPr>
            </w:pPr>
            <w:r>
              <w:rPr>
                <w:rFonts w:ascii="ARIAL" w:hAnsi="ARIAL"/>
                <w:sz w:val="54"/>
              </w:rPr>
              <w:t>100%</w:t>
            </w:r>
          </w:p>
        </w:tc>
        <w:tc>
          <w:tcPr>
            <w:tcW w:w="60" w:type="dxa"/>
            <w:vMerge w:val="continue"/>
            <w:tcBorders>
              <w:left w:val="single" w:sz="6" w:space="0" w:color="CCCCCC"/>
              <w:bottom w:val="single" w:sz="6" w:space="0" w:color="CCCCCC"/>
            </w:tcBorders>
            <w:shd w:fill="auto" w:val="clear"/>
            <w:tcMar>
              <w:left w:w="28" w:type="dxa"/>
              <w:bottom w:w="28" w:type="dxa"/>
            </w:tcMar>
            <w:vAlign w:val="center"/>
          </w:tcPr>
          <w:p>
            <w:pPr>
              <w:pStyle w:val="Normal"/>
              <w:rPr/>
            </w:pPr>
            <w:r>
              <w:rPr/>
            </w:r>
          </w:p>
        </w:tc>
        <w:tc>
          <w:tcPr>
            <w:tcW w:w="8650" w:type="dxa"/>
            <w:vMerge w:val="continue"/>
            <w:tcBorders>
              <w:bottom w:val="single" w:sz="6" w:space="0" w:color="CCCCCC"/>
              <w:right w:val="single" w:sz="6" w:space="0" w:color="CCCCCC"/>
            </w:tcBorders>
            <w:shd w:fill="auto" w:val="clear"/>
            <w:tcMar>
              <w:bottom w:w="200" w:type="dxa"/>
              <w:right w:w="40" w:type="dxa"/>
            </w:tcMar>
            <w:vAlign w:val="center"/>
          </w:tcPr>
          <w:p>
            <w:pPr>
              <w:pStyle w:val="Normal"/>
              <w:rPr/>
            </w:pPr>
            <w:r>
              <w:rPr/>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21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THE BOARD OF DIRECTORS   ◆</w:t>
      </w:r>
      <w:r>
        <w:rPr>
          <w:rFonts w:ascii="ARIAL" w:hAnsi="ARIAL"/>
          <w:sz w:val="16"/>
        </w:rPr>
        <w:t xml:space="preserve">  BOARD COMMITTEES </w:t>
      </w:r>
    </w:p>
    <w:p>
      <w:pPr>
        <w:pStyle w:val="TextBody"/>
        <w:spacing w:before="0" w:after="0"/>
        <w:jc w:val="left"/>
        <w:rPr/>
      </w:pPr>
      <w:r>
        <w:rPr/>
        <w:t> </w:t>
      </w:r>
    </w:p>
    <w:p>
      <w:pPr>
        <w:pStyle w:val="TextBody"/>
        <w:spacing w:before="0" w:after="0"/>
        <w:jc w:val="left"/>
        <w:rPr/>
      </w:pPr>
      <w:r>
        <w:rPr/>
        <w:t> </w:t>
      </w:r>
    </w:p>
    <w:tbl>
      <w:tblPr>
        <w:tblW w:w="5804" w:type="dxa"/>
        <w:jc w:val="left"/>
        <w:tblInd w:w="0" w:type="dxa"/>
        <w:tblCellMar>
          <w:top w:w="0" w:type="dxa"/>
          <w:left w:w="0" w:type="dxa"/>
          <w:bottom w:w="0" w:type="dxa"/>
          <w:right w:w="0" w:type="dxa"/>
        </w:tblCellMar>
      </w:tblPr>
      <w:tblGrid>
        <w:gridCol w:w="159"/>
        <w:gridCol w:w="120"/>
        <w:gridCol w:w="5525"/>
      </w:tblGrid>
      <w:tr>
        <w:trPr/>
        <w:tc>
          <w:tcPr>
            <w:tcW w:w="1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525" w:type="dxa"/>
            <w:tcBorders/>
            <w:shd w:fill="auto" w:val="clear"/>
            <w:vAlign w:val="center"/>
          </w:tcPr>
          <w:p>
            <w:pPr>
              <w:pStyle w:val="TableContents"/>
              <w:spacing w:before="0" w:after="283"/>
              <w:rPr>
                <w:sz w:val="4"/>
                <w:szCs w:val="4"/>
              </w:rPr>
            </w:pPr>
            <w:r>
              <w:rPr>
                <w:sz w:val="4"/>
                <w:szCs w:val="4"/>
              </w:rPr>
            </w:r>
          </w:p>
        </w:tc>
      </w:tr>
      <w:tr>
        <w:trPr/>
        <w:tc>
          <w:tcPr>
            <w:tcW w:w="159" w:type="dxa"/>
            <w:tcBorders/>
            <w:shd w:fill="auto" w:val="clear"/>
            <w:vAlign w:val="center"/>
          </w:tcPr>
          <w:p>
            <w:pPr>
              <w:pStyle w:val="TableContents"/>
              <w:spacing w:before="0" w:after="283"/>
              <w:jc w:val="center"/>
              <w:rPr/>
            </w:pPr>
            <w:r>
              <w:rPr/>
              <w:drawing>
                <wp:inline distT="0" distB="0" distL="0" distR="0">
                  <wp:extent cx="53340" cy="47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53340" cy="4762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283"/>
              <w:rPr>
                <w:color w:val="007CBA"/>
              </w:rPr>
            </w:pPr>
            <w:r>
              <w:rPr>
                <w:color w:val="007CBA"/>
              </w:rPr>
              <w:t>Management Development and Compensation Committee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98"/>
        <w:gridCol w:w="60"/>
        <w:gridCol w:w="7747"/>
      </w:tblGrid>
      <w:tr>
        <w:trPr/>
        <w:tc>
          <w:tcPr>
            <w:tcW w:w="23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47" w:type="dxa"/>
            <w:tcBorders/>
            <w:shd w:fill="auto" w:val="clear"/>
            <w:vAlign w:val="center"/>
          </w:tcPr>
          <w:p>
            <w:pPr>
              <w:pStyle w:val="TableContents"/>
              <w:spacing w:before="0" w:after="283"/>
              <w:rPr>
                <w:sz w:val="4"/>
                <w:szCs w:val="4"/>
              </w:rPr>
            </w:pPr>
            <w:r>
              <w:rPr>
                <w:sz w:val="4"/>
                <w:szCs w:val="4"/>
              </w:rPr>
            </w:r>
          </w:p>
        </w:tc>
      </w:tr>
      <w:tr>
        <w:trPr/>
        <w:tc>
          <w:tcPr>
            <w:tcW w:w="2398" w:type="dxa"/>
            <w:tcBorders>
              <w:top w:val="single" w:sz="6" w:space="0" w:color="CCCCCC"/>
              <w:left w:val="single" w:sz="6" w:space="0" w:color="CCCCCC"/>
            </w:tcBorders>
            <w:shd w:fill="auto" w:val="clear"/>
            <w:tcMar>
              <w:top w:w="28" w:type="dxa"/>
              <w:left w:w="160" w:type="dxa"/>
            </w:tcMar>
            <w:vAlign w:val="center"/>
          </w:tcPr>
          <w:p>
            <w:pPr>
              <w:pStyle w:val="TableContents"/>
              <w:spacing w:before="0" w:after="283"/>
              <w:rPr/>
            </w:pPr>
            <w:r>
              <w:rPr/>
              <w:t> </w:t>
            </w:r>
          </w:p>
        </w:tc>
        <w:tc>
          <w:tcPr>
            <w:tcW w:w="7807" w:type="dxa"/>
            <w:gridSpan w:val="2"/>
            <w:tcBorders>
              <w:top w:val="single" w:sz="6" w:space="0" w:color="CCCCCC"/>
              <w:left w:val="single" w:sz="6" w:space="0" w:color="CCCCCC"/>
              <w:right w:val="single" w:sz="6" w:space="0" w:color="CCCCCC"/>
            </w:tcBorders>
            <w:shd w:fill="auto" w:val="clear"/>
            <w:tcMar>
              <w:top w:w="28" w:type="dxa"/>
              <w:left w:w="28" w:type="dxa"/>
              <w:right w:w="28" w:type="dxa"/>
            </w:tcMar>
            <w:vAlign w:val="center"/>
          </w:tcPr>
          <w:p>
            <w:pPr>
              <w:pStyle w:val="TableContents"/>
              <w:spacing w:before="0" w:after="283"/>
              <w:rPr/>
            </w:pPr>
            <w:r>
              <w:rPr/>
              <w:t> </w:t>
            </w:r>
          </w:p>
        </w:tc>
      </w:tr>
      <w:tr>
        <w:trPr/>
        <w:tc>
          <w:tcPr>
            <w:tcW w:w="2398" w:type="dxa"/>
            <w:tcBorders>
              <w:left w:val="single" w:sz="6" w:space="0" w:color="CCCCCC"/>
              <w:bottom w:val="single" w:sz="6" w:space="0" w:color="D8D8D8"/>
            </w:tcBorders>
            <w:shd w:fill="auto" w:val="clear"/>
            <w:tcMar>
              <w:left w:w="160" w:type="dxa"/>
              <w:bottom w:w="28" w:type="dxa"/>
            </w:tcMar>
            <w:vAlign w:val="center"/>
          </w:tcPr>
          <w:p>
            <w:pPr>
              <w:pStyle w:val="TableContents"/>
              <w:spacing w:before="0" w:after="0"/>
              <w:rPr>
                <w:rFonts w:ascii="ARIAL" w:hAnsi="ARIAL"/>
                <w:b/>
                <w:color w:val="71BE9A"/>
                <w:sz w:val="22"/>
              </w:rPr>
            </w:pPr>
            <w:r>
              <w:rPr>
                <w:rFonts w:ascii="ARIAL" w:hAnsi="ARIAL"/>
                <w:b/>
                <w:color w:val="71BE9A"/>
                <w:sz w:val="22"/>
              </w:rPr>
              <w:t>Current Members:</w:t>
            </w:r>
          </w:p>
          <w:p>
            <w:pPr>
              <w:pStyle w:val="TableContents"/>
              <w:spacing w:before="0" w:after="0"/>
              <w:rPr>
                <w:rFonts w:ascii="ARIAL" w:hAnsi="ARIAL"/>
                <w:sz w:val="18"/>
              </w:rPr>
            </w:pPr>
            <w:r>
              <w:rPr>
                <w:rFonts w:ascii="ARIAL" w:hAnsi="ARIAL"/>
                <w:sz w:val="18"/>
              </w:rPr>
              <w:t>John J. Koraleski (Chair)</w:t>
            </w:r>
          </w:p>
          <w:p>
            <w:pPr>
              <w:pStyle w:val="TableContents"/>
              <w:spacing w:before="0" w:after="0"/>
              <w:rPr>
                <w:rFonts w:ascii="ARIAL" w:hAnsi="ARIAL"/>
                <w:sz w:val="18"/>
              </w:rPr>
            </w:pPr>
            <w:r>
              <w:rPr>
                <w:rFonts w:ascii="ARIAL" w:hAnsi="ARIAL"/>
                <w:sz w:val="18"/>
              </w:rPr>
              <w:t>Thomas H. Pike</w:t>
            </w:r>
          </w:p>
          <w:p>
            <w:pPr>
              <w:pStyle w:val="TableContents"/>
              <w:spacing w:before="0" w:after="0"/>
              <w:rPr>
                <w:rFonts w:ascii="ARIAL" w:hAnsi="ARIAL"/>
                <w:sz w:val="18"/>
              </w:rPr>
            </w:pPr>
            <w:r>
              <w:rPr>
                <w:rFonts w:ascii="ARIAL" w:hAnsi="ARIAL"/>
                <w:sz w:val="18"/>
              </w:rPr>
              <w:t>Michael J. Quillen</w:t>
            </w:r>
          </w:p>
          <w:p>
            <w:pPr>
              <w:pStyle w:val="TableContents"/>
              <w:spacing w:before="0" w:after="20"/>
              <w:rPr>
                <w:rFonts w:ascii="ARIAL" w:hAnsi="ARIAL"/>
                <w:sz w:val="18"/>
              </w:rPr>
            </w:pPr>
            <w:r>
              <w:rPr>
                <w:rFonts w:ascii="ARIAL" w:hAnsi="ARIAL"/>
                <w:sz w:val="18"/>
              </w:rPr>
              <w:t>David C. Wajsgras</w:t>
            </w:r>
          </w:p>
        </w:tc>
        <w:tc>
          <w:tcPr>
            <w:tcW w:w="60" w:type="dxa"/>
            <w:vMerge w:val="restart"/>
            <w:tcBorders>
              <w:left w:val="single" w:sz="6" w:space="0" w:color="CCCCCC"/>
              <w:bottom w:val="single" w:sz="6" w:space="0" w:color="CCCCCC"/>
            </w:tcBorders>
            <w:shd w:fill="auto" w:val="clear"/>
            <w:tcMar>
              <w:left w:w="28" w:type="dxa"/>
              <w:bottom w:w="28" w:type="dxa"/>
            </w:tcMar>
            <w:vAlign w:val="center"/>
          </w:tcPr>
          <w:p>
            <w:pPr>
              <w:pStyle w:val="TableContents"/>
              <w:spacing w:before="0" w:after="283"/>
              <w:rPr/>
            </w:pPr>
            <w:r>
              <w:rPr/>
              <w:t> </w:t>
            </w:r>
          </w:p>
        </w:tc>
        <w:tc>
          <w:tcPr>
            <w:tcW w:w="7747" w:type="dxa"/>
            <w:vMerge w:val="restart"/>
            <w:tcBorders>
              <w:bottom w:val="single" w:sz="6" w:space="0" w:color="CCCCCC"/>
              <w:right w:val="single" w:sz="6" w:space="0" w:color="CCCCCC"/>
            </w:tcBorders>
            <w:shd w:fill="auto" w:val="clear"/>
            <w:tcMar>
              <w:bottom w:w="28" w:type="dxa"/>
              <w:right w:w="40" w:type="dxa"/>
            </w:tcMar>
            <w:vAlign w:val="center"/>
          </w:tcPr>
          <w:p>
            <w:pPr>
              <w:pStyle w:val="TableContents"/>
              <w:spacing w:before="0" w:after="0"/>
              <w:rPr>
                <w:rFonts w:ascii="ARIAL" w:hAnsi="ARIAL"/>
                <w:b/>
                <w:i/>
                <w:color w:val="007CBA"/>
                <w:sz w:val="16"/>
              </w:rPr>
            </w:pPr>
            <w:r>
              <w:rPr>
                <w:rFonts w:ascii="ARIAL" w:hAnsi="ARIAL"/>
                <w:b/>
                <w:i/>
                <w:color w:val="007CBA"/>
                <w:sz w:val="16"/>
              </w:rPr>
              <w:t>Primary Responsibilities: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Establishes an overall strategy with respect to compensation for officers and management to enable Martin Marietta to attract and retain qualified employees.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and oversees executive succession and management development plans.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and approves management’s assessment of the performance of executive officers, and reviews and approves the salary, incentive compensation, and other compensation of such officers.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Approves and administers our equity and other plans relating to compensation of Martin Marietta’s directors and executive officers.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and discusses the Compensation Discussion and Analysis and produces a compensation committee report as required by the SEC to be included in this Proxy Statement.</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Provides oversight of our Benefit Plan Committee, which administers Martin Marietta’s defined benefit and contribution plans.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and approves the goals and objectives for the CEO’s compensation, evaluates the CEO’s performance in light of those goals and objectives, and determines and approves the CEO’s compensation.</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Makes recommendations to the Board on changes in the compensation of non-employee directors.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annually the adequacy of the Committee charter and recommends proposed changes to the Board.</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Has the authority, in its sole discretion, to retain, pay, and terminate any consulting firm, if any, used to assist in evaluating director, CEO, or senior executive compensation.</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matters relating to human capital management, diversity, equity and inclusion (DEI), talent acquisition and retention, and compensation matters related thereto.</w:t>
            </w:r>
          </w:p>
          <w:p>
            <w:pPr>
              <w:pStyle w:val="TableContents"/>
              <w:spacing w:before="0" w:after="0"/>
              <w:rPr/>
            </w:pPr>
            <w:r>
              <w:rPr/>
              <w:t> </w:t>
            </w:r>
          </w:p>
          <w:p>
            <w:pPr>
              <w:pStyle w:val="TableContents"/>
              <w:spacing w:before="0" w:after="0"/>
              <w:rPr>
                <w:rFonts w:ascii="ARIAL" w:hAnsi="ARIAL"/>
                <w:b/>
                <w:i/>
                <w:color w:val="007CBA"/>
                <w:sz w:val="16"/>
              </w:rPr>
            </w:pPr>
            <w:r>
              <w:rPr>
                <w:rFonts w:ascii="ARIAL" w:hAnsi="ARIAL"/>
                <w:b/>
                <w:i/>
                <w:color w:val="007CBA"/>
                <w:sz w:val="16"/>
              </w:rPr>
              <w:t>Other Governance Matters:</w:t>
            </w:r>
          </w:p>
          <w:p>
            <w:pPr>
              <w:pStyle w:val="TableContents"/>
              <w:spacing w:before="0" w:after="0"/>
              <w:rPr/>
            </w:pPr>
            <w:r>
              <w:rPr/>
              <w:t> </w:t>
            </w:r>
          </w:p>
          <w:p>
            <w:pPr>
              <w:pStyle w:val="TableContents"/>
              <w:spacing w:before="0" w:after="20"/>
              <w:rPr>
                <w:rFonts w:ascii="ARIAL" w:hAnsi="ARIAL"/>
                <w:sz w:val="16"/>
              </w:rPr>
            </w:pPr>
            <w:r>
              <w:rPr>
                <w:rFonts w:ascii="ARIAL" w:hAnsi="ARIAL"/>
                <w:sz w:val="16"/>
              </w:rPr>
              <w:t xml:space="preserve">All members are non-employee, independent Directors as required by the rules of the NYSE, the Martin Marietta </w:t>
            </w:r>
            <w:r>
              <w:rPr>
                <w:rFonts w:ascii="ARIAL" w:hAnsi="ARIAL"/>
                <w:i/>
                <w:sz w:val="16"/>
              </w:rPr>
              <w:t>Guidelines for Director’s Independence</w:t>
            </w:r>
            <w:r>
              <w:rPr>
                <w:rFonts w:ascii="ARIAL" w:hAnsi="ARIAL"/>
                <w:sz w:val="16"/>
              </w:rPr>
              <w:t>, applicable rules of the SEC, and the Committee’s charter.</w:t>
            </w:r>
          </w:p>
        </w:tc>
      </w:tr>
      <w:tr>
        <w:trPr/>
        <w:tc>
          <w:tcPr>
            <w:tcW w:w="2398" w:type="dxa"/>
            <w:tcBorders>
              <w:left w:val="single" w:sz="6" w:space="0" w:color="CCCCCC"/>
              <w:bottom w:val="single" w:sz="6" w:space="0" w:color="CCCCCC"/>
            </w:tcBorders>
            <w:shd w:fill="auto" w:val="clear"/>
            <w:tcMar>
              <w:left w:w="160" w:type="dxa"/>
              <w:bottom w:w="28" w:type="dxa"/>
            </w:tcMar>
            <w:vAlign w:val="center"/>
          </w:tcPr>
          <w:p>
            <w:pPr>
              <w:pStyle w:val="TableContents"/>
              <w:spacing w:before="0" w:after="0"/>
              <w:rPr/>
            </w:pPr>
            <w:r>
              <w:rPr/>
              <w:t> </w:t>
            </w:r>
          </w:p>
          <w:p>
            <w:pPr>
              <w:pStyle w:val="TableContents"/>
              <w:spacing w:before="0" w:after="0"/>
              <w:jc w:val="center"/>
              <w:rPr>
                <w:rFonts w:ascii="ARIAL" w:hAnsi="ARIAL"/>
                <w:b/>
                <w:color w:val="71BE9A"/>
                <w:sz w:val="22"/>
              </w:rPr>
            </w:pPr>
            <w:r>
              <w:rPr>
                <w:rFonts w:ascii="ARIAL" w:hAnsi="ARIAL"/>
                <w:b/>
                <w:color w:val="71BE9A"/>
                <w:sz w:val="22"/>
              </w:rPr>
              <w:t>Meetings in 2022</w:t>
            </w:r>
          </w:p>
          <w:p>
            <w:pPr>
              <w:pStyle w:val="TableContents"/>
              <w:spacing w:before="0" w:after="20"/>
              <w:jc w:val="center"/>
              <w:rPr>
                <w:rFonts w:ascii="ARIAL" w:hAnsi="ARIAL"/>
                <w:sz w:val="54"/>
              </w:rPr>
            </w:pPr>
            <w:r>
              <w:rPr>
                <w:rFonts w:ascii="ARIAL" w:hAnsi="ARIAL"/>
                <w:sz w:val="54"/>
              </w:rPr>
              <w:t>4</w:t>
            </w:r>
          </w:p>
        </w:tc>
        <w:tc>
          <w:tcPr>
            <w:tcW w:w="60" w:type="dxa"/>
            <w:vMerge w:val="continue"/>
            <w:tcBorders>
              <w:left w:val="single" w:sz="6" w:space="0" w:color="CCCCCC"/>
              <w:bottom w:val="single" w:sz="6" w:space="0" w:color="CCCCCC"/>
            </w:tcBorders>
            <w:shd w:fill="auto" w:val="clear"/>
            <w:tcMar>
              <w:left w:w="28" w:type="dxa"/>
              <w:bottom w:w="28" w:type="dxa"/>
            </w:tcMar>
            <w:vAlign w:val="center"/>
          </w:tcPr>
          <w:p>
            <w:pPr>
              <w:pStyle w:val="Normal"/>
              <w:rPr/>
            </w:pPr>
            <w:r>
              <w:rPr/>
            </w:r>
          </w:p>
        </w:tc>
        <w:tc>
          <w:tcPr>
            <w:tcW w:w="7747" w:type="dxa"/>
            <w:vMerge w:val="continue"/>
            <w:tcBorders>
              <w:bottom w:val="single" w:sz="6" w:space="0" w:color="CCCCCC"/>
              <w:right w:val="single" w:sz="6" w:space="0" w:color="CCCCCC"/>
            </w:tcBorders>
            <w:shd w:fill="auto" w:val="clear"/>
            <w:tcMar>
              <w:bottom w:w="28" w:type="dxa"/>
              <w:right w:w="40" w:type="dxa"/>
            </w:tcMar>
            <w:vAlign w:val="center"/>
          </w:tcPr>
          <w:p>
            <w:pPr>
              <w:pStyle w:val="Normal"/>
              <w:rPr/>
            </w:pPr>
            <w:r>
              <w:rPr/>
            </w:r>
          </w:p>
        </w:tc>
      </w:tr>
      <w:tr>
        <w:trPr/>
        <w:tc>
          <w:tcPr>
            <w:tcW w:w="2398" w:type="dxa"/>
            <w:tcBorders>
              <w:left w:val="single" w:sz="6" w:space="0" w:color="CCCCCC"/>
              <w:bottom w:val="single" w:sz="6" w:space="0" w:color="CCCCCC"/>
            </w:tcBorders>
            <w:shd w:fill="auto" w:val="clear"/>
            <w:tcMar>
              <w:left w:w="160" w:type="dxa"/>
              <w:bottom w:w="28" w:type="dxa"/>
            </w:tcMar>
            <w:vAlign w:val="center"/>
          </w:tcPr>
          <w:p>
            <w:pPr>
              <w:pStyle w:val="TableContents"/>
              <w:spacing w:before="0" w:after="0"/>
              <w:rPr/>
            </w:pPr>
            <w:r>
              <w:rPr/>
              <w:t> </w:t>
            </w:r>
          </w:p>
          <w:p>
            <w:pPr>
              <w:pStyle w:val="TableContents"/>
              <w:spacing w:before="0" w:after="0"/>
              <w:jc w:val="center"/>
              <w:rPr>
                <w:rFonts w:ascii="ARIAL" w:hAnsi="ARIAL"/>
                <w:b/>
                <w:color w:val="71BE9A"/>
                <w:sz w:val="22"/>
              </w:rPr>
            </w:pPr>
            <w:r>
              <w:rPr>
                <w:rFonts w:ascii="ARIAL" w:hAnsi="ARIAL"/>
                <w:b/>
                <w:color w:val="71BE9A"/>
                <w:sz w:val="22"/>
              </w:rPr>
              <w:t>Average Attendance in 2022:</w:t>
            </w:r>
          </w:p>
          <w:p>
            <w:pPr>
              <w:pStyle w:val="TableContents"/>
              <w:spacing w:before="0" w:after="20"/>
              <w:jc w:val="center"/>
              <w:rPr>
                <w:rFonts w:ascii="ARIAL" w:hAnsi="ARIAL"/>
                <w:sz w:val="54"/>
              </w:rPr>
            </w:pPr>
            <w:r>
              <w:rPr>
                <w:rFonts w:ascii="ARIAL" w:hAnsi="ARIAL"/>
                <w:sz w:val="54"/>
              </w:rPr>
              <w:t>100%</w:t>
            </w:r>
          </w:p>
        </w:tc>
        <w:tc>
          <w:tcPr>
            <w:tcW w:w="60" w:type="dxa"/>
            <w:vMerge w:val="continue"/>
            <w:tcBorders>
              <w:left w:val="single" w:sz="6" w:space="0" w:color="CCCCCC"/>
              <w:bottom w:val="single" w:sz="6" w:space="0" w:color="CCCCCC"/>
            </w:tcBorders>
            <w:shd w:fill="auto" w:val="clear"/>
            <w:tcMar>
              <w:left w:w="28" w:type="dxa"/>
              <w:bottom w:w="28" w:type="dxa"/>
            </w:tcMar>
            <w:vAlign w:val="center"/>
          </w:tcPr>
          <w:p>
            <w:pPr>
              <w:pStyle w:val="Normal"/>
              <w:rPr/>
            </w:pPr>
            <w:r>
              <w:rPr/>
            </w:r>
          </w:p>
        </w:tc>
        <w:tc>
          <w:tcPr>
            <w:tcW w:w="7747" w:type="dxa"/>
            <w:vMerge w:val="continue"/>
            <w:tcBorders>
              <w:bottom w:val="single" w:sz="6" w:space="0" w:color="CCCCCC"/>
              <w:right w:val="single" w:sz="6" w:space="0" w:color="CCCCCC"/>
            </w:tcBorders>
            <w:shd w:fill="auto" w:val="clear"/>
            <w:tcMar>
              <w:bottom w:w="28" w:type="dxa"/>
              <w:right w:w="40" w:type="dxa"/>
            </w:tcMar>
            <w:vAlign w:val="center"/>
          </w:tcPr>
          <w:p>
            <w:pPr>
              <w:pStyle w:val="Normal"/>
              <w:rPr/>
            </w:pPr>
            <w:r>
              <w:rPr/>
            </w:r>
          </w:p>
        </w:tc>
      </w:tr>
    </w:tbl>
    <w:p>
      <w:pPr>
        <w:pStyle w:val="TextBody"/>
        <w:spacing w:before="0" w:after="0"/>
        <w:jc w:val="left"/>
        <w:rPr/>
      </w:pPr>
      <w:r>
        <w:rPr/>
        <w:t> </w:t>
      </w:r>
    </w:p>
    <w:tbl>
      <w:tblPr>
        <w:tblW w:w="5174" w:type="dxa"/>
        <w:jc w:val="left"/>
        <w:tblInd w:w="0" w:type="dxa"/>
        <w:tblCellMar>
          <w:top w:w="0" w:type="dxa"/>
          <w:left w:w="0" w:type="dxa"/>
          <w:bottom w:w="0" w:type="dxa"/>
          <w:right w:w="0" w:type="dxa"/>
        </w:tblCellMar>
      </w:tblPr>
      <w:tblGrid>
        <w:gridCol w:w="174"/>
        <w:gridCol w:w="120"/>
        <w:gridCol w:w="4880"/>
      </w:tblGrid>
      <w:tr>
        <w:trPr/>
        <w:tc>
          <w:tcPr>
            <w:tcW w:w="1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80" w:type="dxa"/>
            <w:tcBorders/>
            <w:shd w:fill="auto" w:val="clear"/>
            <w:vAlign w:val="center"/>
          </w:tcPr>
          <w:p>
            <w:pPr>
              <w:pStyle w:val="TableContents"/>
              <w:spacing w:before="0" w:after="283"/>
              <w:rPr>
                <w:sz w:val="4"/>
                <w:szCs w:val="4"/>
              </w:rPr>
            </w:pPr>
            <w:r>
              <w:rPr>
                <w:sz w:val="4"/>
                <w:szCs w:val="4"/>
              </w:rPr>
            </w:r>
          </w:p>
        </w:tc>
      </w:tr>
      <w:tr>
        <w:trPr/>
        <w:tc>
          <w:tcPr>
            <w:tcW w:w="174" w:type="dxa"/>
            <w:tcBorders/>
            <w:shd w:fill="auto" w:val="clear"/>
            <w:vAlign w:val="center"/>
          </w:tcPr>
          <w:p>
            <w:pPr>
              <w:pStyle w:val="TableContents"/>
              <w:spacing w:before="0" w:after="283"/>
              <w:jc w:val="center"/>
              <w:rPr/>
            </w:pPr>
            <w:r>
              <w:rPr/>
              <w:drawing>
                <wp:inline distT="0" distB="0" distL="0" distR="0">
                  <wp:extent cx="62865" cy="4889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62865" cy="4889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880" w:type="dxa"/>
            <w:tcBorders/>
            <w:shd w:fill="auto" w:val="clear"/>
            <w:vAlign w:val="center"/>
          </w:tcPr>
          <w:p>
            <w:pPr>
              <w:pStyle w:val="TableContents"/>
              <w:spacing w:before="0" w:after="283"/>
              <w:rPr>
                <w:color w:val="007CBA"/>
              </w:rPr>
            </w:pPr>
            <w:r>
              <w:rPr>
                <w:color w:val="007CBA"/>
              </w:rPr>
              <w:t>Nominating and Corporate Governance Committee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82"/>
        <w:gridCol w:w="60"/>
        <w:gridCol w:w="7763"/>
      </w:tblGrid>
      <w:tr>
        <w:trPr/>
        <w:tc>
          <w:tcPr>
            <w:tcW w:w="23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63" w:type="dxa"/>
            <w:tcBorders/>
            <w:shd w:fill="auto" w:val="clear"/>
            <w:vAlign w:val="center"/>
          </w:tcPr>
          <w:p>
            <w:pPr>
              <w:pStyle w:val="TableContents"/>
              <w:spacing w:before="0" w:after="283"/>
              <w:rPr>
                <w:sz w:val="4"/>
                <w:szCs w:val="4"/>
              </w:rPr>
            </w:pPr>
            <w:r>
              <w:rPr>
                <w:sz w:val="4"/>
                <w:szCs w:val="4"/>
              </w:rPr>
            </w:r>
          </w:p>
        </w:tc>
      </w:tr>
      <w:tr>
        <w:trPr/>
        <w:tc>
          <w:tcPr>
            <w:tcW w:w="2382" w:type="dxa"/>
            <w:tcBorders>
              <w:top w:val="single" w:sz="6" w:space="0" w:color="CCCCCC"/>
              <w:left w:val="single" w:sz="6" w:space="0" w:color="CCCCCC"/>
            </w:tcBorders>
            <w:shd w:fill="auto" w:val="clear"/>
            <w:tcMar>
              <w:top w:w="28" w:type="dxa"/>
              <w:left w:w="160" w:type="dxa"/>
            </w:tcMar>
            <w:vAlign w:val="center"/>
          </w:tcPr>
          <w:p>
            <w:pPr>
              <w:pStyle w:val="TableContents"/>
              <w:spacing w:before="0" w:after="283"/>
              <w:rPr/>
            </w:pPr>
            <w:r>
              <w:rPr/>
              <w:t> </w:t>
            </w:r>
          </w:p>
        </w:tc>
        <w:tc>
          <w:tcPr>
            <w:tcW w:w="7823" w:type="dxa"/>
            <w:gridSpan w:val="2"/>
            <w:tcBorders>
              <w:top w:val="single" w:sz="6" w:space="0" w:color="CCCCCC"/>
              <w:left w:val="single" w:sz="6" w:space="0" w:color="CCCCCC"/>
              <w:right w:val="single" w:sz="6" w:space="0" w:color="CCCCCC"/>
            </w:tcBorders>
            <w:shd w:fill="auto" w:val="clear"/>
            <w:tcMar>
              <w:top w:w="28" w:type="dxa"/>
              <w:left w:w="28" w:type="dxa"/>
              <w:right w:w="28" w:type="dxa"/>
            </w:tcMar>
            <w:vAlign w:val="center"/>
          </w:tcPr>
          <w:p>
            <w:pPr>
              <w:pStyle w:val="TableContents"/>
              <w:spacing w:before="0" w:after="283"/>
              <w:rPr/>
            </w:pPr>
            <w:r>
              <w:rPr/>
              <w:t> </w:t>
            </w:r>
          </w:p>
        </w:tc>
      </w:tr>
      <w:tr>
        <w:trPr/>
        <w:tc>
          <w:tcPr>
            <w:tcW w:w="2382" w:type="dxa"/>
            <w:tcBorders>
              <w:left w:val="single" w:sz="6" w:space="0" w:color="CCCCCC"/>
              <w:bottom w:val="single" w:sz="6" w:space="0" w:color="D8D8D8"/>
            </w:tcBorders>
            <w:shd w:fill="auto" w:val="clear"/>
            <w:tcMar>
              <w:left w:w="160" w:type="dxa"/>
              <w:bottom w:w="200" w:type="dxa"/>
            </w:tcMar>
            <w:vAlign w:val="center"/>
          </w:tcPr>
          <w:p>
            <w:pPr>
              <w:pStyle w:val="TableContents"/>
              <w:spacing w:before="0" w:after="0"/>
              <w:rPr>
                <w:rFonts w:ascii="ARIAL" w:hAnsi="ARIAL"/>
                <w:b/>
                <w:color w:val="71BE9A"/>
                <w:sz w:val="22"/>
              </w:rPr>
            </w:pPr>
            <w:r>
              <w:rPr>
                <w:rFonts w:ascii="ARIAL" w:hAnsi="ARIAL"/>
                <w:b/>
                <w:color w:val="71BE9A"/>
                <w:sz w:val="22"/>
              </w:rPr>
              <w:t>Current Members:</w:t>
            </w:r>
          </w:p>
          <w:p>
            <w:pPr>
              <w:pStyle w:val="TableContents"/>
              <w:spacing w:before="0" w:after="0"/>
              <w:rPr>
                <w:rFonts w:ascii="ARIAL" w:hAnsi="ARIAL"/>
                <w:sz w:val="18"/>
              </w:rPr>
            </w:pPr>
            <w:r>
              <w:rPr>
                <w:rFonts w:ascii="ARIAL" w:hAnsi="ARIAL"/>
                <w:sz w:val="18"/>
              </w:rPr>
              <w:t>Donald W. Slager (Chair)</w:t>
            </w:r>
          </w:p>
          <w:p>
            <w:pPr>
              <w:pStyle w:val="TableContents"/>
              <w:spacing w:before="0" w:after="0"/>
              <w:rPr>
                <w:rFonts w:ascii="ARIAL" w:hAnsi="ARIAL"/>
                <w:sz w:val="18"/>
              </w:rPr>
            </w:pPr>
            <w:r>
              <w:rPr>
                <w:rFonts w:ascii="ARIAL" w:hAnsi="ARIAL"/>
                <w:sz w:val="18"/>
              </w:rPr>
              <w:t>Sue W. Cole</w:t>
            </w:r>
          </w:p>
          <w:p>
            <w:pPr>
              <w:pStyle w:val="TableContents"/>
              <w:spacing w:before="0" w:after="0"/>
              <w:rPr>
                <w:rFonts w:ascii="ARIAL" w:hAnsi="ARIAL"/>
                <w:sz w:val="18"/>
              </w:rPr>
            </w:pPr>
            <w:r>
              <w:rPr>
                <w:rFonts w:ascii="ARIAL" w:hAnsi="ARIAL"/>
                <w:sz w:val="18"/>
              </w:rPr>
              <w:t>Smith W. Davis</w:t>
            </w:r>
          </w:p>
          <w:p>
            <w:pPr>
              <w:pStyle w:val="TableContents"/>
              <w:spacing w:before="0" w:after="20"/>
              <w:rPr>
                <w:rFonts w:ascii="ARIAL" w:hAnsi="ARIAL"/>
                <w:sz w:val="18"/>
              </w:rPr>
            </w:pPr>
            <w:r>
              <w:rPr>
                <w:rFonts w:ascii="ARIAL" w:hAnsi="ARIAL"/>
                <w:sz w:val="18"/>
              </w:rPr>
              <w:t>Laree E. Perez</w:t>
            </w:r>
          </w:p>
        </w:tc>
        <w:tc>
          <w:tcPr>
            <w:tcW w:w="60" w:type="dxa"/>
            <w:vMerge w:val="restart"/>
            <w:tcBorders>
              <w:left w:val="single" w:sz="6" w:space="0" w:color="CCCCCC"/>
              <w:bottom w:val="single" w:sz="6" w:space="0" w:color="CCCCCC"/>
            </w:tcBorders>
            <w:shd w:fill="auto" w:val="clear"/>
            <w:tcMar>
              <w:left w:w="28" w:type="dxa"/>
              <w:bottom w:w="28" w:type="dxa"/>
            </w:tcMar>
            <w:vAlign w:val="center"/>
          </w:tcPr>
          <w:p>
            <w:pPr>
              <w:pStyle w:val="TableContents"/>
              <w:spacing w:before="0" w:after="283"/>
              <w:rPr/>
            </w:pPr>
            <w:r>
              <w:rPr/>
              <w:t> </w:t>
            </w:r>
          </w:p>
        </w:tc>
        <w:tc>
          <w:tcPr>
            <w:tcW w:w="7763" w:type="dxa"/>
            <w:vMerge w:val="restart"/>
            <w:tcBorders>
              <w:bottom w:val="single" w:sz="6" w:space="0" w:color="CCCCCC"/>
              <w:right w:val="single" w:sz="6" w:space="0" w:color="CCCCCC"/>
            </w:tcBorders>
            <w:shd w:fill="auto" w:val="clear"/>
            <w:tcMar>
              <w:bottom w:w="200" w:type="dxa"/>
              <w:right w:w="40" w:type="dxa"/>
            </w:tcMar>
            <w:vAlign w:val="center"/>
          </w:tcPr>
          <w:p>
            <w:pPr>
              <w:pStyle w:val="TableContents"/>
              <w:spacing w:before="0" w:after="0"/>
              <w:rPr>
                <w:rFonts w:ascii="ARIAL" w:hAnsi="ARIAL"/>
                <w:b/>
                <w:i/>
                <w:color w:val="007CBA"/>
                <w:sz w:val="16"/>
              </w:rPr>
            </w:pPr>
            <w:r>
              <w:rPr>
                <w:rFonts w:ascii="ARIAL" w:hAnsi="ARIAL"/>
                <w:b/>
                <w:i/>
                <w:color w:val="007CBA"/>
                <w:sz w:val="16"/>
              </w:rPr>
              <w:t>Primary Responsibilities: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Develops criteria for nominating and appointing directors, including Board size and composition, corporate governance policies, and individual director expertise, attributes and skills.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Recommends to the Board the individuals to be nominated as directors.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Recommends to the Board the appointees to be selected for service on the Board Committees.</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Oversees an annual review of the performance of the Board and each Committee.</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Reviews annually the adequacy of the Committee charter and recommends proposed changes to the Board.</w:t>
            </w:r>
          </w:p>
          <w:p>
            <w:pPr>
              <w:pStyle w:val="TableContents"/>
              <w:spacing w:before="0" w:after="0"/>
              <w:rPr/>
            </w:pPr>
            <w:r>
              <w:rPr/>
              <w:t> </w:t>
            </w:r>
          </w:p>
          <w:p>
            <w:pPr>
              <w:pStyle w:val="TableContents"/>
              <w:spacing w:before="0" w:after="0"/>
              <w:rPr/>
            </w:pPr>
            <w:r>
              <w:rPr>
                <w:color w:val="007CBA"/>
              </w:rPr>
              <w:t>•</w:t>
            </w:r>
            <w:r>
              <w:rPr/>
              <w:t>  </w:t>
            </w:r>
            <w:r>
              <w:rPr>
                <w:rFonts w:ascii="ARIAL" w:hAnsi="ARIAL"/>
                <w:sz w:val="16"/>
              </w:rPr>
              <w:t>Oversees the development and implementation of a set of corporate governance principles applicable to Martin Marietta.</w:t>
            </w:r>
          </w:p>
          <w:p>
            <w:pPr>
              <w:pStyle w:val="TableContents"/>
              <w:spacing w:before="0" w:after="0"/>
              <w:rPr/>
            </w:pPr>
            <w:r>
              <w:rPr/>
              <w:t> </w:t>
            </w:r>
          </w:p>
          <w:p>
            <w:pPr>
              <w:pStyle w:val="TableContents"/>
              <w:spacing w:before="0" w:after="0"/>
              <w:rPr>
                <w:rFonts w:ascii="ARIAL" w:hAnsi="ARIAL"/>
                <w:b/>
                <w:i/>
                <w:color w:val="007CBA"/>
                <w:sz w:val="16"/>
              </w:rPr>
            </w:pPr>
            <w:r>
              <w:rPr>
                <w:rFonts w:ascii="ARIAL" w:hAnsi="ARIAL"/>
                <w:b/>
                <w:i/>
                <w:color w:val="007CBA"/>
                <w:sz w:val="16"/>
              </w:rPr>
              <w:t>Other Governance Matters:</w:t>
            </w:r>
          </w:p>
          <w:p>
            <w:pPr>
              <w:pStyle w:val="TableContents"/>
              <w:spacing w:before="0" w:after="0"/>
              <w:rPr/>
            </w:pPr>
            <w:r>
              <w:rPr/>
              <w:t> </w:t>
            </w:r>
          </w:p>
          <w:p>
            <w:pPr>
              <w:pStyle w:val="TableContents"/>
              <w:spacing w:before="0" w:after="0"/>
              <w:rPr>
                <w:rFonts w:ascii="ARIAL" w:hAnsi="ARIAL"/>
                <w:sz w:val="16"/>
              </w:rPr>
            </w:pPr>
            <w:r>
              <w:rPr>
                <w:rFonts w:ascii="ARIAL" w:hAnsi="ARIAL"/>
                <w:sz w:val="16"/>
              </w:rPr>
              <w:t>All members are non-employee, independent Directors as required by the rules of the NYSE.</w:t>
            </w:r>
          </w:p>
          <w:p>
            <w:pPr>
              <w:pStyle w:val="TableContents"/>
              <w:spacing w:before="0" w:after="0"/>
              <w:rPr/>
            </w:pPr>
            <w:r>
              <w:rPr/>
              <w:t> </w:t>
            </w:r>
          </w:p>
          <w:p>
            <w:pPr>
              <w:pStyle w:val="TableContents"/>
              <w:spacing w:before="0" w:after="20"/>
              <w:rPr>
                <w:rFonts w:ascii="ARIAL" w:hAnsi="ARIAL"/>
                <w:sz w:val="16"/>
              </w:rPr>
            </w:pPr>
            <w:r>
              <w:rPr>
                <w:rFonts w:ascii="ARIAL" w:hAnsi="ARIAL"/>
                <w:sz w:val="16"/>
              </w:rPr>
              <w:t xml:space="preserve">Upon recommendation of this Committee, the Board of Directors has adopted a set of </w:t>
            </w:r>
            <w:r>
              <w:rPr>
                <w:rFonts w:ascii="ARIAL" w:hAnsi="ARIAL"/>
                <w:i/>
                <w:sz w:val="16"/>
              </w:rPr>
              <w:t>Corporate Governance Guidelines</w:t>
            </w:r>
            <w:r>
              <w:rPr>
                <w:rFonts w:ascii="ARIAL" w:hAnsi="ARIAL"/>
                <w:sz w:val="16"/>
              </w:rPr>
              <w:t xml:space="preserve"> for Martin Marietta. The Guidelines are posted and available for public viewing on our website at </w:t>
            </w:r>
            <w:r>
              <w:rPr>
                <w:rFonts w:ascii="ARIAL" w:hAnsi="ARIAL"/>
                <w:i/>
                <w:sz w:val="16"/>
              </w:rPr>
              <w:t>https://ir.martinmarietta.com/corporate-governance.</w:t>
            </w:r>
            <w:r>
              <w:rPr>
                <w:rFonts w:ascii="ARIAL" w:hAnsi="ARIAL"/>
                <w:sz w:val="16"/>
              </w:rPr>
              <w:t xml:space="preserve"> A copy may also be obtained upon request from Martin Marietta’s Corporate Secretary.</w:t>
            </w:r>
          </w:p>
        </w:tc>
      </w:tr>
      <w:tr>
        <w:trPr/>
        <w:tc>
          <w:tcPr>
            <w:tcW w:w="2382" w:type="dxa"/>
            <w:tcBorders>
              <w:left w:val="single" w:sz="6" w:space="0" w:color="CCCCCC"/>
              <w:bottom w:val="single" w:sz="6" w:space="0" w:color="CCCCCC"/>
            </w:tcBorders>
            <w:shd w:fill="auto" w:val="clear"/>
            <w:tcMar>
              <w:left w:w="160" w:type="dxa"/>
              <w:bottom w:w="200" w:type="dxa"/>
            </w:tcMar>
            <w:vAlign w:val="center"/>
          </w:tcPr>
          <w:p>
            <w:pPr>
              <w:pStyle w:val="TableContents"/>
              <w:spacing w:before="0" w:after="0"/>
              <w:rPr>
                <w:rFonts w:ascii="ARIAL" w:hAnsi="ARIAL"/>
                <w:b/>
                <w:color w:val="71BE9A"/>
                <w:sz w:val="22"/>
              </w:rPr>
            </w:pPr>
            <w:r>
              <w:rPr>
                <w:rFonts w:ascii="ARIAL" w:hAnsi="ARIAL"/>
                <w:b/>
                <w:color w:val="71BE9A"/>
                <w:sz w:val="22"/>
              </w:rPr>
              <w:t>Meetings in 2022</w:t>
            </w:r>
          </w:p>
          <w:p>
            <w:pPr>
              <w:pStyle w:val="TableContents"/>
              <w:spacing w:before="0" w:after="20"/>
              <w:jc w:val="center"/>
              <w:rPr>
                <w:rFonts w:ascii="ARIAL" w:hAnsi="ARIAL"/>
                <w:sz w:val="54"/>
              </w:rPr>
            </w:pPr>
            <w:r>
              <w:rPr>
                <w:rFonts w:ascii="ARIAL" w:hAnsi="ARIAL"/>
                <w:sz w:val="54"/>
              </w:rPr>
              <w:t>3</w:t>
            </w:r>
          </w:p>
        </w:tc>
        <w:tc>
          <w:tcPr>
            <w:tcW w:w="60" w:type="dxa"/>
            <w:vMerge w:val="continue"/>
            <w:tcBorders>
              <w:left w:val="single" w:sz="6" w:space="0" w:color="CCCCCC"/>
              <w:bottom w:val="single" w:sz="6" w:space="0" w:color="CCCCCC"/>
            </w:tcBorders>
            <w:shd w:fill="auto" w:val="clear"/>
            <w:tcMar>
              <w:left w:w="28" w:type="dxa"/>
              <w:bottom w:w="28" w:type="dxa"/>
            </w:tcMar>
            <w:vAlign w:val="center"/>
          </w:tcPr>
          <w:p>
            <w:pPr>
              <w:pStyle w:val="Normal"/>
              <w:rPr/>
            </w:pPr>
            <w:r>
              <w:rPr/>
            </w:r>
          </w:p>
        </w:tc>
        <w:tc>
          <w:tcPr>
            <w:tcW w:w="7763" w:type="dxa"/>
            <w:vMerge w:val="continue"/>
            <w:tcBorders>
              <w:bottom w:val="single" w:sz="6" w:space="0" w:color="CCCCCC"/>
              <w:right w:val="single" w:sz="6" w:space="0" w:color="CCCCCC"/>
            </w:tcBorders>
            <w:shd w:fill="auto" w:val="clear"/>
            <w:tcMar>
              <w:bottom w:w="200" w:type="dxa"/>
              <w:right w:w="40" w:type="dxa"/>
            </w:tcMar>
            <w:vAlign w:val="center"/>
          </w:tcPr>
          <w:p>
            <w:pPr>
              <w:pStyle w:val="Normal"/>
              <w:rPr/>
            </w:pPr>
            <w:r>
              <w:rPr/>
            </w:r>
          </w:p>
        </w:tc>
      </w:tr>
      <w:tr>
        <w:trPr/>
        <w:tc>
          <w:tcPr>
            <w:tcW w:w="2382" w:type="dxa"/>
            <w:tcBorders>
              <w:left w:val="single" w:sz="6" w:space="0" w:color="CCCCCC"/>
              <w:bottom w:val="single" w:sz="6" w:space="0" w:color="CCCCCC"/>
            </w:tcBorders>
            <w:shd w:fill="auto" w:val="clear"/>
            <w:tcMar>
              <w:left w:w="160" w:type="dxa"/>
              <w:bottom w:w="200" w:type="dxa"/>
            </w:tcMar>
            <w:vAlign w:val="center"/>
          </w:tcPr>
          <w:p>
            <w:pPr>
              <w:pStyle w:val="TableContents"/>
              <w:spacing w:before="0" w:after="0"/>
              <w:jc w:val="center"/>
              <w:rPr>
                <w:rFonts w:ascii="ARIAL" w:hAnsi="ARIAL"/>
                <w:b/>
                <w:color w:val="71BE9A"/>
                <w:sz w:val="22"/>
              </w:rPr>
            </w:pPr>
            <w:r>
              <w:rPr>
                <w:rFonts w:ascii="ARIAL" w:hAnsi="ARIAL"/>
                <w:b/>
                <w:color w:val="71BE9A"/>
                <w:sz w:val="22"/>
              </w:rPr>
              <w:t>Average Attendance in 2022:</w:t>
            </w:r>
          </w:p>
          <w:p>
            <w:pPr>
              <w:pStyle w:val="TableContents"/>
              <w:spacing w:before="0" w:after="20"/>
              <w:jc w:val="center"/>
              <w:rPr>
                <w:rFonts w:ascii="ARIAL" w:hAnsi="ARIAL"/>
                <w:sz w:val="54"/>
              </w:rPr>
            </w:pPr>
            <w:r>
              <w:rPr>
                <w:rFonts w:ascii="ARIAL" w:hAnsi="ARIAL"/>
                <w:sz w:val="54"/>
              </w:rPr>
              <w:t>100%</w:t>
            </w:r>
          </w:p>
        </w:tc>
        <w:tc>
          <w:tcPr>
            <w:tcW w:w="60" w:type="dxa"/>
            <w:vMerge w:val="continue"/>
            <w:tcBorders>
              <w:left w:val="single" w:sz="6" w:space="0" w:color="CCCCCC"/>
              <w:bottom w:val="single" w:sz="6" w:space="0" w:color="CCCCCC"/>
            </w:tcBorders>
            <w:shd w:fill="auto" w:val="clear"/>
            <w:tcMar>
              <w:left w:w="28" w:type="dxa"/>
              <w:bottom w:w="28" w:type="dxa"/>
            </w:tcMar>
            <w:vAlign w:val="center"/>
          </w:tcPr>
          <w:p>
            <w:pPr>
              <w:pStyle w:val="Normal"/>
              <w:rPr/>
            </w:pPr>
            <w:r>
              <w:rPr/>
            </w:r>
          </w:p>
        </w:tc>
        <w:tc>
          <w:tcPr>
            <w:tcW w:w="7763" w:type="dxa"/>
            <w:vMerge w:val="continue"/>
            <w:tcBorders>
              <w:bottom w:val="single" w:sz="6" w:space="0" w:color="CCCCCC"/>
              <w:right w:val="single" w:sz="6" w:space="0" w:color="CCCCCC"/>
            </w:tcBorders>
            <w:shd w:fill="auto" w:val="clear"/>
            <w:tcMar>
              <w:bottom w:w="200" w:type="dxa"/>
              <w:right w:w="40" w:type="dxa"/>
            </w:tcMar>
            <w:vAlign w:val="center"/>
          </w:tcPr>
          <w:p>
            <w:pPr>
              <w:pStyle w:val="Normal"/>
              <w:rPr/>
            </w:pPr>
            <w:r>
              <w:rPr/>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22</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tbl>
      <w:tblPr>
        <w:tblW w:w="6820" w:type="dxa"/>
        <w:jc w:val="left"/>
        <w:tblInd w:w="0" w:type="dxa"/>
        <w:tblCellMar>
          <w:top w:w="0" w:type="dxa"/>
          <w:left w:w="0" w:type="dxa"/>
          <w:bottom w:w="0" w:type="dxa"/>
          <w:right w:w="0" w:type="dxa"/>
        </w:tblCellMar>
      </w:tblPr>
      <w:tblGrid>
        <w:gridCol w:w="2525"/>
        <w:gridCol w:w="120"/>
        <w:gridCol w:w="4175"/>
      </w:tblGrid>
      <w:tr>
        <w:trPr/>
        <w:tc>
          <w:tcPr>
            <w:tcW w:w="25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75" w:type="dxa"/>
            <w:tcBorders/>
            <w:shd w:fill="auto" w:val="clear"/>
            <w:vAlign w:val="center"/>
          </w:tcPr>
          <w:p>
            <w:pPr>
              <w:pStyle w:val="TableContents"/>
              <w:spacing w:before="0" w:after="283"/>
              <w:rPr>
                <w:sz w:val="4"/>
                <w:szCs w:val="4"/>
              </w:rPr>
            </w:pPr>
            <w:r>
              <w:rPr>
                <w:sz w:val="4"/>
                <w:szCs w:val="4"/>
              </w:rPr>
            </w:r>
          </w:p>
        </w:tc>
      </w:tr>
      <w:tr>
        <w:trPr/>
        <w:tc>
          <w:tcPr>
            <w:tcW w:w="2525" w:type="dxa"/>
            <w:tcBorders/>
            <w:shd w:fill="007CBA" w:val="clear"/>
            <w:vAlign w:val="center"/>
          </w:tcPr>
          <w:p>
            <w:pPr>
              <w:pStyle w:val="TableContents"/>
              <w:spacing w:lineRule="atLeast" w:line="600" w:before="0" w:after="0"/>
              <w:rPr>
                <w:color w:val="FFFFFF"/>
              </w:rPr>
            </w:pPr>
            <w:bookmarkStart w:id="12" w:name="toc390557_7"/>
            <w:bookmarkEnd w:id="12"/>
            <w:r>
              <w:rPr>
                <w:color w:val="FFFFFF"/>
              </w:rPr>
              <w:t> </w:t>
            </w:r>
            <w:r>
              <w:rPr>
                <w:rFonts w:ascii="ARIAL" w:hAnsi="ARIAL"/>
                <w:b/>
                <w:color w:val="FFFFFF"/>
                <w:sz w:val="42"/>
              </w:rPr>
              <w:t>Proposal 1: </w:t>
            </w:r>
          </w:p>
        </w:tc>
        <w:tc>
          <w:tcPr>
            <w:tcW w:w="120" w:type="dxa"/>
            <w:tcBorders/>
            <w:shd w:fill="auto" w:val="clear"/>
            <w:vAlign w:val="center"/>
          </w:tcPr>
          <w:p>
            <w:pPr>
              <w:pStyle w:val="TableContents"/>
              <w:spacing w:before="0" w:after="283"/>
              <w:rPr/>
            </w:pPr>
            <w:r>
              <w:rPr/>
              <w:t>  </w:t>
            </w:r>
          </w:p>
        </w:tc>
        <w:tc>
          <w:tcPr>
            <w:tcW w:w="4175" w:type="dxa"/>
            <w:tcBorders/>
            <w:shd w:fill="auto" w:val="clear"/>
            <w:vAlign w:val="center"/>
          </w:tcPr>
          <w:p>
            <w:pPr>
              <w:pStyle w:val="TableContents"/>
              <w:spacing w:lineRule="atLeast" w:line="600" w:before="0" w:after="0"/>
              <w:rPr>
                <w:rFonts w:ascii="ARIAL" w:hAnsi="ARIAL"/>
                <w:b/>
                <w:color w:val="007CBA"/>
                <w:sz w:val="42"/>
              </w:rPr>
            </w:pPr>
            <w:r>
              <w:rPr>
                <w:rFonts w:ascii="ARIAL" w:hAnsi="ARIAL"/>
                <w:b/>
                <w:color w:val="007CBA"/>
                <w:sz w:val="42"/>
              </w:rPr>
              <w:t>Election of Directors</w:t>
            </w:r>
          </w:p>
        </w:tc>
      </w:tr>
    </w:tbl>
    <w:p>
      <w:pPr>
        <w:pStyle w:val="TextBody"/>
        <w:spacing w:before="120" w:after="0"/>
        <w:jc w:val="left"/>
        <w:rPr>
          <w:rFonts w:ascii="ARIAL" w:hAnsi="ARIAL"/>
          <w:sz w:val="20"/>
        </w:rPr>
      </w:pPr>
      <w:r>
        <w:rPr>
          <w:rFonts w:ascii="ARIAL" w:hAnsi="ARIAL"/>
          <w:sz w:val="20"/>
        </w:rPr>
        <w:t xml:space="preserve">The following sets forth the age, experience, key attributes and other biographical information for each nominee for election as a director for a one-year term until the 2024 Annual Meeting of Shareholders.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955"/>
        <w:gridCol w:w="120"/>
        <w:gridCol w:w="6422"/>
        <w:gridCol w:w="60"/>
        <w:gridCol w:w="1648"/>
      </w:tblGrid>
      <w:tr>
        <w:trPr/>
        <w:tc>
          <w:tcPr>
            <w:tcW w:w="1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r>
      <w:tr>
        <w:trPr/>
        <w:tc>
          <w:tcPr>
            <w:tcW w:w="1955" w:type="dxa"/>
            <w:tcBorders>
              <w:top w:val="single" w:sz="32" w:space="0" w:color="007CBA"/>
            </w:tcBorders>
            <w:shd w:fill="auto" w:val="clear"/>
            <w:tcMar>
              <w:top w:w="28" w:type="dxa"/>
            </w:tcMar>
            <w:vAlign w:val="center"/>
          </w:tcPr>
          <w:p>
            <w:pPr>
              <w:pStyle w:val="TableContents"/>
              <w:spacing w:before="0" w:after="283"/>
              <w:rPr/>
            </w:pPr>
            <w:r>
              <w:rPr/>
              <w:t> </w:t>
            </w:r>
          </w:p>
        </w:tc>
        <w:tc>
          <w:tcPr>
            <w:tcW w:w="6542" w:type="dxa"/>
            <w:gridSpan w:val="2"/>
            <w:tcBorders>
              <w:top w:val="single" w:sz="32" w:space="0" w:color="007CBA"/>
            </w:tcBorders>
            <w:shd w:fill="auto" w:val="clear"/>
            <w:tcMar>
              <w:top w:w="28" w:type="dxa"/>
            </w:tcMar>
            <w:vAlign w:val="center"/>
          </w:tcPr>
          <w:p>
            <w:pPr>
              <w:pStyle w:val="TableContents"/>
              <w:spacing w:before="0" w:after="283"/>
              <w:rPr/>
            </w:pPr>
            <w:r>
              <w:rPr/>
              <w:t> </w:t>
            </w:r>
          </w:p>
        </w:tc>
        <w:tc>
          <w:tcPr>
            <w:tcW w:w="1708" w:type="dxa"/>
            <w:gridSpan w:val="2"/>
            <w:tcBorders>
              <w:top w:val="single" w:sz="32" w:space="0" w:color="007CBA"/>
              <w:left w:val="dotted" w:sz="8" w:space="0" w:color="CCCCCC"/>
            </w:tcBorders>
            <w:shd w:fill="auto" w:val="clear"/>
            <w:tcMar>
              <w:top w:w="28" w:type="dxa"/>
              <w:left w:w="28" w:type="dxa"/>
            </w:tcMar>
            <w:vAlign w:val="center"/>
          </w:tcPr>
          <w:p>
            <w:pPr>
              <w:pStyle w:val="TableContents"/>
              <w:spacing w:before="0" w:after="283"/>
              <w:rPr/>
            </w:pPr>
            <w:r>
              <w:rPr/>
              <w:t> </w:t>
            </w:r>
          </w:p>
        </w:tc>
      </w:tr>
      <w:tr>
        <w:trPr/>
        <w:tc>
          <w:tcPr>
            <w:tcW w:w="1955" w:type="dxa"/>
            <w:tcBorders/>
            <w:shd w:fill="auto" w:val="clear"/>
            <w:vAlign w:val="center"/>
          </w:tcPr>
          <w:p>
            <w:pPr>
              <w:pStyle w:val="TableContents"/>
              <w:rPr/>
            </w:pPr>
            <w:r>
              <w:rPr/>
              <w:drawing>
                <wp:inline distT="0" distB="0" distL="0" distR="0">
                  <wp:extent cx="111760" cy="144145"/>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111760" cy="14414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pPr>
            <w:r>
              <w:rPr/>
              <w:t> </w:t>
            </w:r>
          </w:p>
          <w:p>
            <w:pPr>
              <w:pStyle w:val="TableContents"/>
              <w:spacing w:before="0" w:after="0"/>
              <w:rPr>
                <w:rFonts w:ascii="ARIAL" w:hAnsi="ARIAL"/>
                <w:b/>
                <w:color w:val="007CBA"/>
                <w:sz w:val="30"/>
              </w:rPr>
            </w:pPr>
            <w:r>
              <w:rPr>
                <w:rFonts w:ascii="ARIAL" w:hAnsi="ARIAL"/>
                <w:b/>
                <w:color w:val="007CBA"/>
                <w:sz w:val="30"/>
              </w:rPr>
              <w:t>DOROTHY M.</w:t>
              <w:br/>
              <w:t>ABLES</w:t>
            </w:r>
          </w:p>
          <w:p>
            <w:pPr>
              <w:pStyle w:val="TableContents"/>
              <w:spacing w:before="0" w:after="0"/>
              <w:rPr/>
            </w:pPr>
            <w:r>
              <w:rPr/>
              <w:t> </w:t>
            </w:r>
          </w:p>
          <w:p>
            <w:pPr>
              <w:pStyle w:val="TableContents"/>
              <w:spacing w:before="0" w:after="0"/>
              <w:rPr>
                <w:rFonts w:ascii="ARIAL" w:hAnsi="ARIAL"/>
                <w:sz w:val="20"/>
              </w:rPr>
            </w:pPr>
            <w:r>
              <w:rPr>
                <w:rFonts w:ascii="ARIAL" w:hAnsi="ARIAL"/>
                <w:b/>
                <w:color w:val="71BE9A"/>
                <w:sz w:val="20"/>
              </w:rPr>
              <w:t>Director</w:t>
            </w:r>
            <w:r>
              <w:rPr>
                <w:rFonts w:ascii="ARIAL" w:hAnsi="ARIAL"/>
                <w:color w:val="007CBA"/>
                <w:sz w:val="20"/>
              </w:rPr>
              <w:t> </w:t>
            </w:r>
            <w:r>
              <w:rPr>
                <w:rFonts w:ascii="ARIAL" w:hAnsi="ARIAL"/>
                <w:b/>
                <w:color w:val="71BE9A"/>
                <w:sz w:val="20"/>
              </w:rPr>
              <w:t>Since</w:t>
            </w:r>
            <w:r>
              <w:rPr>
                <w:rFonts w:ascii="ARIAL" w:hAnsi="ARIAL"/>
                <w:color w:val="007CBA"/>
                <w:sz w:val="20"/>
              </w:rPr>
              <w:t>: 2018</w:t>
            </w:r>
          </w:p>
          <w:p>
            <w:pPr>
              <w:pStyle w:val="TableContents"/>
              <w:spacing w:before="0" w:after="0"/>
              <w:rPr>
                <w:rFonts w:ascii="ARIAL" w:hAnsi="ARIAL"/>
                <w:color w:val="007CBA"/>
                <w:sz w:val="20"/>
              </w:rPr>
            </w:pPr>
            <w:r>
              <w:rPr>
                <w:rFonts w:ascii="ARIAL" w:hAnsi="ARIAL"/>
                <w:b/>
                <w:color w:val="71BE9A"/>
                <w:sz w:val="20"/>
              </w:rPr>
              <w:t>Age:</w:t>
            </w:r>
            <w:r>
              <w:rPr>
                <w:rFonts w:ascii="ARIAL" w:hAnsi="ARIAL"/>
                <w:b/>
                <w:color w:val="007CBA"/>
                <w:sz w:val="20"/>
              </w:rPr>
              <w:t xml:space="preserve"> </w:t>
            </w:r>
            <w:r>
              <w:rPr>
                <w:rFonts w:ascii="ARIAL" w:hAnsi="ARIAL"/>
                <w:color w:val="007CBA"/>
                <w:sz w:val="20"/>
              </w:rPr>
              <w:t>65</w:t>
            </w:r>
          </w:p>
          <w:p>
            <w:pPr>
              <w:pStyle w:val="TableContents"/>
              <w:spacing w:before="0" w:after="0"/>
              <w:rPr>
                <w:rFonts w:ascii="ARIAL" w:hAnsi="ARIAL"/>
                <w:sz w:val="20"/>
              </w:rPr>
            </w:pPr>
            <w:r>
              <w:rPr>
                <w:rFonts w:ascii="ARIAL" w:hAnsi="ARIAL"/>
                <w:b/>
                <w:color w:val="71BE9A"/>
                <w:sz w:val="20"/>
              </w:rPr>
              <w:t>Committees</w:t>
            </w:r>
            <w:r>
              <w:rPr>
                <w:rFonts w:ascii="ARIAL" w:hAnsi="ARIAL"/>
                <w:sz w:val="20"/>
              </w:rPr>
              <w:t>:</w:t>
            </w:r>
          </w:p>
          <w:p>
            <w:pPr>
              <w:pStyle w:val="TableContents"/>
              <w:spacing w:before="0" w:after="0"/>
              <w:rPr/>
            </w:pPr>
            <w:r>
              <w:rPr/>
              <w:t> </w:t>
            </w:r>
          </w:p>
          <w:p>
            <w:pPr>
              <w:pStyle w:val="TableContents"/>
              <w:spacing w:before="0" w:after="0"/>
              <w:rPr/>
            </w:pPr>
            <w:r>
              <w:rPr/>
              <w:t> </w:t>
            </w:r>
          </w:p>
          <w:p>
            <w:pPr>
              <w:pStyle w:val="TableContents"/>
              <w:spacing w:before="0" w:after="0"/>
              <w:rPr/>
            </w:pPr>
            <w:r>
              <w:rPr/>
              <w:drawing>
                <wp:inline distT="0" distB="0" distL="0" distR="0">
                  <wp:extent cx="22860" cy="24765"/>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22860" cy="24765"/>
                          </a:xfrm>
                          <a:prstGeom prst="rect">
                            <a:avLst/>
                          </a:prstGeom>
                        </pic:spPr>
                      </pic:pic>
                    </a:graphicData>
                  </a:graphic>
                </wp:inline>
              </w:drawing>
            </w:r>
            <w:r>
              <w:rPr/>
              <w:t xml:space="preserve">    </w:t>
            </w:r>
            <w:r>
              <w:rPr/>
              <w:drawing>
                <wp:inline distT="0" distB="0" distL="0" distR="0">
                  <wp:extent cx="29210" cy="30480"/>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29210" cy="30480"/>
                          </a:xfrm>
                          <a:prstGeom prst="rect">
                            <a:avLst/>
                          </a:prstGeom>
                        </pic:spPr>
                      </pic:pic>
                    </a:graphicData>
                  </a:graphic>
                </wp:inline>
              </w:drawing>
            </w:r>
            <w:r>
              <w:rPr/>
              <w:t xml:space="preserve"> </w:t>
            </w:r>
          </w:p>
          <w:p>
            <w:pPr>
              <w:pStyle w:val="TableContents"/>
              <w:spacing w:before="0" w:after="20"/>
              <w:rPr>
                <w:rFonts w:ascii="ARIAL" w:hAnsi="ARIAL"/>
                <w:color w:val="007CBA"/>
                <w:sz w:val="20"/>
              </w:rPr>
            </w:pPr>
            <w:r>
              <w:rPr>
                <w:rFonts w:ascii="ARIAL" w:hAnsi="ARIAL"/>
                <w:color w:val="007CBA"/>
                <w:sz w:val="20"/>
              </w:rPr>
              <w:t>Chair</w:t>
            </w:r>
          </w:p>
        </w:tc>
        <w:tc>
          <w:tcPr>
            <w:tcW w:w="120" w:type="dxa"/>
            <w:tcBorders/>
            <w:shd w:fill="auto" w:val="clear"/>
            <w:vAlign w:val="center"/>
          </w:tcPr>
          <w:p>
            <w:pPr>
              <w:pStyle w:val="TableContents"/>
              <w:spacing w:before="0" w:after="283"/>
              <w:rPr/>
            </w:pPr>
            <w:r>
              <w:rPr/>
              <w:t>  </w:t>
            </w:r>
          </w:p>
        </w:tc>
        <w:tc>
          <w:tcPr>
            <w:tcW w:w="6422" w:type="dxa"/>
            <w:tcBorders/>
            <w:shd w:fill="auto" w:val="clear"/>
            <w:vAlign w:val="center"/>
          </w:tcPr>
          <w:p>
            <w:pPr>
              <w:pStyle w:val="TableContents"/>
              <w:spacing w:before="0" w:after="0"/>
              <w:rPr>
                <w:rFonts w:ascii="ARIAL" w:hAnsi="ARIAL"/>
                <w:sz w:val="17"/>
              </w:rPr>
            </w:pPr>
            <w:r>
              <w:rPr>
                <w:rFonts w:ascii="ARIAL" w:hAnsi="ARIAL"/>
                <w:sz w:val="17"/>
              </w:rPr>
              <w:t>Ms. Ables joined the Martin Marietta Board in November 2018. Ms. Ables held a number of executive positions with Spectra Energy and predecessor companies, including serving from 2008 to 2017 as the Chief Administrative Officer of Spectra Energy Corp. where she was responsible for human resources, information technology, support services, community relations and audit services. Prior to that, she served as Vice President of Audit Services and Chief Ethics and Compliance Officer for Spectra Energy, Vice President and Chief Compliance Officer for Duke Energy Corporation, an American electric power holding company, and Senior Vice President and Chief Financial Officer for Duke Energy Gas Transmission. Spectra Energy was a Fortune 500 Company and one of North America’s leading pipeline and midstream companies prior to its acquisition by Enbridge Inc. in 2017. (NYSE: ENB) Ms. Ables started her career in the audit department of Peat, Marwick, Mitchell &amp; Co. Ms. Ables serves as Chair of the Audit Committee and a member of the Governance and Social Responsibility Committee of Coterra Energy (NYSE: CTRA), an independent oil and gas company, which is the result of the merger of Cabot Oil &amp; Gas Corporation (NYSE: COG) and Cimerex Energy Co. in October 2021. Ms. Ables served as an Independent Director of Cabot, an independent oil and gas company, where she was chair of the Audit Committee from 2019 to 2021 and a member of the Audit and Compensation Committees from 2015 to 2021. She served as a Director of Spectra Energy Partners, an affiliate of Spectra Energy Corp., from 2013 to 2017. Ms. Ables attended the University of Texas at Austin where she earned a Bachelor of Business Administration degree in Accounting.</w:t>
            </w:r>
          </w:p>
        </w:tc>
        <w:tc>
          <w:tcPr>
            <w:tcW w:w="60" w:type="dxa"/>
            <w:tcBorders>
              <w:left w:val="dotted" w:sz="8" w:space="0" w:color="CCCCCC"/>
            </w:tcBorders>
            <w:shd w:fill="auto" w:val="clear"/>
            <w:tcMar>
              <w:left w:w="28" w:type="dxa"/>
            </w:tcMar>
            <w:vAlign w:val="center"/>
          </w:tcPr>
          <w:p>
            <w:pPr>
              <w:pStyle w:val="TableContents"/>
              <w:spacing w:before="0" w:after="283"/>
              <w:rPr/>
            </w:pPr>
            <w:r>
              <w:rPr/>
              <w:t> </w:t>
            </w:r>
          </w:p>
        </w:tc>
        <w:tc>
          <w:tcPr>
            <w:tcW w:w="1648" w:type="dxa"/>
            <w:tcBorders/>
            <w:shd w:fill="auto" w:val="clear"/>
            <w:vAlign w:val="center"/>
          </w:tcPr>
          <w:p>
            <w:pPr>
              <w:pStyle w:val="TableContents"/>
              <w:spacing w:before="0" w:after="0"/>
              <w:rPr>
                <w:rFonts w:ascii="ARIAL" w:hAnsi="ARIAL"/>
                <w:b/>
                <w:color w:val="71BE9A"/>
                <w:sz w:val="22"/>
              </w:rPr>
            </w:pPr>
            <w:r>
              <w:rPr>
                <w:rFonts w:ascii="ARIAL" w:hAnsi="ARIAL"/>
                <w:b/>
                <w:color w:val="71BE9A"/>
                <w:sz w:val="22"/>
              </w:rPr>
              <w:t>Key attributes, experience and skills:</w:t>
            </w:r>
          </w:p>
          <w:p>
            <w:pPr>
              <w:pStyle w:val="TableContents"/>
              <w:spacing w:before="0" w:after="0"/>
              <w:rPr/>
            </w:pPr>
            <w:r>
              <w:rPr/>
              <w:t> </w:t>
            </w:r>
          </w:p>
          <w:p>
            <w:pPr>
              <w:pStyle w:val="TableContents"/>
              <w:spacing w:before="0" w:after="0"/>
              <w:rPr/>
            </w:pPr>
            <w:r>
              <w:rPr>
                <w:color w:val="007CBA"/>
              </w:rPr>
              <w:t>•</w:t>
            </w:r>
            <w:r>
              <w:rPr/>
              <w:t>  </w:t>
            </w:r>
            <w:r>
              <w:rPr>
                <w:rFonts w:ascii="ARIAL" w:hAnsi="ARIAL"/>
                <w:sz w:val="17"/>
              </w:rPr>
              <w:t>More than nine years of C-Suite experience</w:t>
            </w:r>
          </w:p>
          <w:p>
            <w:pPr>
              <w:pStyle w:val="TableContents"/>
              <w:spacing w:before="0" w:after="0"/>
              <w:rPr/>
            </w:pPr>
            <w:r>
              <w:rPr/>
              <w:t> </w:t>
            </w:r>
          </w:p>
          <w:p>
            <w:pPr>
              <w:pStyle w:val="TableContents"/>
              <w:spacing w:before="0" w:after="0"/>
              <w:rPr/>
            </w:pPr>
            <w:r>
              <w:rPr>
                <w:color w:val="007CBA"/>
              </w:rPr>
              <w:t>•</w:t>
            </w:r>
            <w:r>
              <w:rPr/>
              <w:t>  </w:t>
            </w:r>
            <w:r>
              <w:rPr>
                <w:rFonts w:ascii="ARIAL" w:hAnsi="ARIAL"/>
                <w:sz w:val="17"/>
              </w:rPr>
              <w:t>Financial expertise acquired through serving as CFO of Duke Energy Gas Transmission and as Vice President of Audit Services and Chief Compliance Officer of Spectra Energy Corp. and Duke Energy Corporation</w:t>
            </w:r>
          </w:p>
          <w:p>
            <w:pPr>
              <w:pStyle w:val="TableContents"/>
              <w:spacing w:before="0" w:after="0"/>
              <w:rPr/>
            </w:pPr>
            <w:r>
              <w:rPr/>
              <w:t> </w:t>
            </w:r>
          </w:p>
          <w:p>
            <w:pPr>
              <w:pStyle w:val="TableContents"/>
              <w:spacing w:before="0" w:after="0"/>
              <w:rPr/>
            </w:pPr>
            <w:r>
              <w:rPr>
                <w:color w:val="007CBA"/>
              </w:rPr>
              <w:t>•</w:t>
            </w:r>
            <w:r>
              <w:rPr/>
              <w:t>  </w:t>
            </w:r>
            <w:r>
              <w:rPr>
                <w:rFonts w:ascii="ARIAL" w:hAnsi="ARIAL"/>
                <w:sz w:val="17"/>
              </w:rPr>
              <w:t>Valuable business leadership in human resources, information technology, community relations, finance and financial statements</w:t>
            </w:r>
          </w:p>
          <w:p>
            <w:pPr>
              <w:pStyle w:val="TableContents"/>
              <w:spacing w:before="0" w:after="0"/>
              <w:rPr/>
            </w:pPr>
            <w:r>
              <w:rPr/>
              <w:t> </w:t>
            </w:r>
          </w:p>
          <w:p>
            <w:pPr>
              <w:pStyle w:val="TableContents"/>
              <w:spacing w:before="0" w:after="20"/>
              <w:rPr/>
            </w:pPr>
            <w:r>
              <w:rPr>
                <w:color w:val="007CBA"/>
              </w:rPr>
              <w:t>•</w:t>
            </w:r>
            <w:r>
              <w:rPr/>
              <w:t>  </w:t>
            </w:r>
            <w:r>
              <w:rPr>
                <w:rFonts w:ascii="ARIAL" w:hAnsi="ARIAL"/>
                <w:sz w:val="17"/>
              </w:rPr>
              <w:t>Strong leadership skills and familiarity with Texas, an important state for the Company</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4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48" w:type="dxa"/>
            <w:tcBorders/>
            <w:shd w:fill="auto" w:val="clear"/>
            <w:vAlign w:val="center"/>
          </w:tcPr>
          <w:p>
            <w:pPr>
              <w:pStyle w:val="TableContents"/>
              <w:spacing w:before="0" w:after="283"/>
              <w:rPr>
                <w:sz w:val="4"/>
                <w:szCs w:val="4"/>
              </w:rPr>
            </w:pPr>
            <w:r>
              <w:rPr>
                <w:sz w:val="4"/>
                <w:szCs w:val="4"/>
              </w:rPr>
            </w:r>
          </w:p>
        </w:tc>
      </w:tr>
      <w:tr>
        <w:trPr/>
        <w:tc>
          <w:tcPr>
            <w:tcW w:w="1955" w:type="dxa"/>
            <w:tcBorders>
              <w:top w:val="single" w:sz="32" w:space="0" w:color="007CBA"/>
            </w:tcBorders>
            <w:shd w:fill="auto" w:val="clear"/>
            <w:tcMar>
              <w:top w:w="28" w:type="dxa"/>
            </w:tcMar>
            <w:vAlign w:val="center"/>
          </w:tcPr>
          <w:p>
            <w:pPr>
              <w:pStyle w:val="TableContents"/>
              <w:spacing w:before="0" w:after="283"/>
              <w:rPr/>
            </w:pPr>
            <w:r>
              <w:rPr/>
              <w:t> </w:t>
            </w:r>
          </w:p>
        </w:tc>
        <w:tc>
          <w:tcPr>
            <w:tcW w:w="6542" w:type="dxa"/>
            <w:gridSpan w:val="2"/>
            <w:tcBorders>
              <w:top w:val="single" w:sz="32" w:space="0" w:color="007CBA"/>
            </w:tcBorders>
            <w:shd w:fill="auto" w:val="clear"/>
            <w:tcMar>
              <w:top w:w="28" w:type="dxa"/>
            </w:tcMar>
            <w:vAlign w:val="center"/>
          </w:tcPr>
          <w:p>
            <w:pPr>
              <w:pStyle w:val="TableContents"/>
              <w:spacing w:before="0" w:after="283"/>
              <w:rPr/>
            </w:pPr>
            <w:r>
              <w:rPr/>
              <w:t> </w:t>
            </w:r>
          </w:p>
        </w:tc>
        <w:tc>
          <w:tcPr>
            <w:tcW w:w="1708" w:type="dxa"/>
            <w:gridSpan w:val="2"/>
            <w:tcBorders>
              <w:top w:val="single" w:sz="32" w:space="0" w:color="007CBA"/>
              <w:left w:val="dotted" w:sz="8" w:space="0" w:color="CCCCCC"/>
            </w:tcBorders>
            <w:shd w:fill="auto" w:val="clear"/>
            <w:tcMar>
              <w:top w:w="28" w:type="dxa"/>
              <w:left w:w="28" w:type="dxa"/>
            </w:tcMar>
            <w:vAlign w:val="center"/>
          </w:tcPr>
          <w:p>
            <w:pPr>
              <w:pStyle w:val="TableContents"/>
              <w:spacing w:before="0" w:after="283"/>
              <w:rPr/>
            </w:pPr>
            <w:r>
              <w:rPr/>
              <w:t> </w:t>
            </w:r>
          </w:p>
        </w:tc>
      </w:tr>
      <w:tr>
        <w:trPr/>
        <w:tc>
          <w:tcPr>
            <w:tcW w:w="1955" w:type="dxa"/>
            <w:tcBorders/>
            <w:shd w:fill="auto" w:val="clear"/>
            <w:vAlign w:val="center"/>
          </w:tcPr>
          <w:p>
            <w:pPr>
              <w:pStyle w:val="TableContents"/>
              <w:rPr/>
            </w:pPr>
            <w:r>
              <w:rPr/>
              <w:drawing>
                <wp:inline distT="0" distB="0" distL="0" distR="0">
                  <wp:extent cx="111760" cy="144145"/>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111760" cy="14414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pPr>
            <w:r>
              <w:rPr/>
              <w:t> </w:t>
            </w:r>
          </w:p>
          <w:p>
            <w:pPr>
              <w:pStyle w:val="TableContents"/>
              <w:spacing w:before="0" w:after="0"/>
              <w:rPr>
                <w:rFonts w:ascii="ARIAL" w:hAnsi="ARIAL"/>
                <w:b/>
                <w:color w:val="007CBA"/>
                <w:sz w:val="30"/>
              </w:rPr>
            </w:pPr>
            <w:r>
              <w:rPr>
                <w:rFonts w:ascii="ARIAL" w:hAnsi="ARIAL"/>
                <w:b/>
                <w:color w:val="007CBA"/>
                <w:sz w:val="30"/>
              </w:rPr>
              <w:t>SUE W.</w:t>
            </w:r>
          </w:p>
          <w:p>
            <w:pPr>
              <w:pStyle w:val="TableContents"/>
              <w:spacing w:before="0" w:after="0"/>
              <w:rPr>
                <w:rFonts w:ascii="ARIAL" w:hAnsi="ARIAL"/>
                <w:b/>
                <w:color w:val="007CBA"/>
                <w:sz w:val="30"/>
              </w:rPr>
            </w:pPr>
            <w:r>
              <w:rPr>
                <w:rFonts w:ascii="ARIAL" w:hAnsi="ARIAL"/>
                <w:b/>
                <w:color w:val="007CBA"/>
                <w:sz w:val="30"/>
              </w:rPr>
              <w:t>COLE</w:t>
            </w:r>
          </w:p>
          <w:p>
            <w:pPr>
              <w:pStyle w:val="TableContents"/>
              <w:spacing w:before="0" w:after="0"/>
              <w:rPr>
                <w:rFonts w:ascii="ARIAL" w:hAnsi="ARIAL"/>
                <w:sz w:val="20"/>
              </w:rPr>
            </w:pPr>
            <w:r>
              <w:rPr>
                <w:rFonts w:ascii="ARIAL" w:hAnsi="ARIAL"/>
                <w:b/>
                <w:color w:val="71BE9A"/>
                <w:sz w:val="20"/>
              </w:rPr>
              <w:t>Director Since:</w:t>
            </w:r>
            <w:r>
              <w:rPr>
                <w:rFonts w:ascii="ARIAL" w:hAnsi="ARIAL"/>
                <w:color w:val="007CBA"/>
                <w:sz w:val="20"/>
              </w:rPr>
              <w:t xml:space="preserve"> 2002</w:t>
            </w:r>
          </w:p>
          <w:p>
            <w:pPr>
              <w:pStyle w:val="TableContents"/>
              <w:spacing w:before="0" w:after="0"/>
              <w:rPr>
                <w:rFonts w:ascii="ARIAL" w:hAnsi="ARIAL"/>
                <w:sz w:val="20"/>
              </w:rPr>
            </w:pPr>
            <w:r>
              <w:rPr>
                <w:rFonts w:ascii="ARIAL" w:hAnsi="ARIAL"/>
                <w:b/>
                <w:color w:val="71BE9A"/>
                <w:sz w:val="20"/>
              </w:rPr>
              <w:t>Age:</w:t>
            </w:r>
            <w:r>
              <w:rPr>
                <w:rFonts w:ascii="ARIAL" w:hAnsi="ARIAL"/>
                <w:color w:val="007CBA"/>
                <w:sz w:val="20"/>
              </w:rPr>
              <w:t xml:space="preserve"> 72</w:t>
            </w:r>
          </w:p>
          <w:p>
            <w:pPr>
              <w:pStyle w:val="TableContents"/>
              <w:spacing w:before="0" w:after="0"/>
              <w:rPr>
                <w:rFonts w:ascii="ARIAL" w:hAnsi="ARIAL"/>
                <w:sz w:val="20"/>
              </w:rPr>
            </w:pPr>
            <w:r>
              <w:rPr>
                <w:rFonts w:ascii="ARIAL" w:hAnsi="ARIAL"/>
                <w:b/>
                <w:color w:val="71BE9A"/>
                <w:sz w:val="20"/>
              </w:rPr>
              <w:t>Committees</w:t>
            </w:r>
            <w:r>
              <w:rPr>
                <w:rFonts w:ascii="ARIAL" w:hAnsi="ARIAL"/>
                <w:sz w:val="20"/>
              </w:rPr>
              <w:t>:</w:t>
            </w:r>
          </w:p>
          <w:p>
            <w:pPr>
              <w:pStyle w:val="TableContents"/>
              <w:spacing w:before="0" w:after="0"/>
              <w:rPr/>
            </w:pPr>
            <w:r>
              <w:rPr/>
              <w:t> </w:t>
            </w:r>
          </w:p>
          <w:p>
            <w:pPr>
              <w:pStyle w:val="TableContents"/>
              <w:spacing w:before="0" w:after="0"/>
              <w:rPr/>
            </w:pPr>
            <w:r>
              <w:rPr/>
              <w:t> </w:t>
            </w:r>
          </w:p>
          <w:p>
            <w:pPr>
              <w:pStyle w:val="TableContents"/>
              <w:spacing w:before="0" w:after="20"/>
              <w:rPr/>
            </w:pPr>
            <w:r>
              <w:rPr/>
              <w:drawing>
                <wp:inline distT="0" distB="0" distL="0" distR="0">
                  <wp:extent cx="58420" cy="26035"/>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58420" cy="2603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6422" w:type="dxa"/>
            <w:tcBorders/>
            <w:shd w:fill="auto" w:val="clear"/>
            <w:vAlign w:val="center"/>
          </w:tcPr>
          <w:p>
            <w:pPr>
              <w:pStyle w:val="TableContents"/>
              <w:spacing w:before="0" w:after="0"/>
              <w:rPr>
                <w:rFonts w:ascii="ARIAL" w:hAnsi="ARIAL"/>
                <w:sz w:val="17"/>
              </w:rPr>
            </w:pPr>
            <w:r>
              <w:rPr>
                <w:rFonts w:ascii="ARIAL" w:hAnsi="ARIAL"/>
                <w:sz w:val="17"/>
              </w:rPr>
              <w:t>Ms. Cole is the managing partner of SAGE Leadership &amp; Strategy, LLC, an advisory firm for businesses, organizations and individuals relating to strategy, governance and leadership development. Ms. Cole was previously a principal of Granville Capital Inc., a registered investment advisory firm, from 2006 to 2011, and before that she was the Regional CEO, Mid-Atlantic Region, of U.S. Trust Company, N.A., where she was responsible for the overall strategic direction, growth, and leadership of its North Carolina, Philadelphia and Washington, D.C. offices. Ms. Cole previously held various positions in the U.S. Trust Company, N.A. and its predecessors. Ms. Cole has previously served on the public-company board of UNIFI, Inc. (NYSE: UFI), a manufacturer of textured yarns. She has also been active in community and charitable organizations, including previously serving as Chairman of the North Carolina Chamber of Commerce, the North Carolina Biotech Center and the Greensboro Science Center. She is currently Chair of the National Association of Corporate Directors. Ms. Cole attended the University of North Carolina at Greensboro where she earned a Bachelor of Science degree in Business Administration and a Masters in Business Administration in Finance.</w:t>
            </w:r>
          </w:p>
        </w:tc>
        <w:tc>
          <w:tcPr>
            <w:tcW w:w="60" w:type="dxa"/>
            <w:tcBorders>
              <w:left w:val="dotted" w:sz="8" w:space="0" w:color="CCCCCC"/>
            </w:tcBorders>
            <w:shd w:fill="auto" w:val="clear"/>
            <w:tcMar>
              <w:left w:w="28" w:type="dxa"/>
            </w:tcMar>
            <w:vAlign w:val="center"/>
          </w:tcPr>
          <w:p>
            <w:pPr>
              <w:pStyle w:val="TableContents"/>
              <w:spacing w:before="0" w:after="283"/>
              <w:rPr/>
            </w:pPr>
            <w:r>
              <w:rPr/>
              <w:t> </w:t>
            </w:r>
          </w:p>
        </w:tc>
        <w:tc>
          <w:tcPr>
            <w:tcW w:w="1648" w:type="dxa"/>
            <w:tcBorders/>
            <w:shd w:fill="auto" w:val="clear"/>
            <w:vAlign w:val="center"/>
          </w:tcPr>
          <w:p>
            <w:pPr>
              <w:pStyle w:val="TableContents"/>
              <w:spacing w:before="0" w:after="0"/>
              <w:rPr>
                <w:rFonts w:ascii="ARIAL" w:hAnsi="ARIAL"/>
                <w:b/>
                <w:color w:val="71BE9A"/>
                <w:sz w:val="22"/>
              </w:rPr>
            </w:pPr>
            <w:r>
              <w:rPr>
                <w:rFonts w:ascii="ARIAL" w:hAnsi="ARIAL"/>
                <w:b/>
                <w:color w:val="71BE9A"/>
                <w:sz w:val="22"/>
              </w:rPr>
              <w:t>Key attributes, experience and skills:</w:t>
            </w:r>
          </w:p>
          <w:p>
            <w:pPr>
              <w:pStyle w:val="TableContents"/>
              <w:spacing w:before="0" w:after="0"/>
              <w:rPr/>
            </w:pPr>
            <w:r>
              <w:rPr/>
              <w:t> </w:t>
            </w:r>
          </w:p>
          <w:p>
            <w:pPr>
              <w:pStyle w:val="TableContents"/>
              <w:spacing w:before="0" w:after="0"/>
              <w:rPr/>
            </w:pPr>
            <w:r>
              <w:rPr>
                <w:color w:val="007CBA"/>
              </w:rPr>
              <w:t>•</w:t>
            </w:r>
            <w:r>
              <w:rPr/>
              <w:t>  </w:t>
            </w:r>
            <w:r>
              <w:rPr>
                <w:rFonts w:ascii="ARIAL" w:hAnsi="ARIAL"/>
                <w:sz w:val="17"/>
              </w:rPr>
              <w:t>Valuable experience in executive compensation, corporate governance, human resources, finance and financial statements, and customer service</w:t>
            </w:r>
          </w:p>
          <w:p>
            <w:pPr>
              <w:pStyle w:val="TableContents"/>
              <w:spacing w:before="0" w:after="0"/>
              <w:rPr/>
            </w:pPr>
            <w:r>
              <w:rPr/>
              <w:t> </w:t>
            </w:r>
          </w:p>
          <w:p>
            <w:pPr>
              <w:pStyle w:val="TableContents"/>
              <w:spacing w:before="0" w:after="0"/>
              <w:rPr/>
            </w:pPr>
            <w:r>
              <w:rPr>
                <w:color w:val="007CBA"/>
              </w:rPr>
              <w:t>•</w:t>
            </w:r>
            <w:r>
              <w:rPr/>
              <w:t>  </w:t>
            </w:r>
            <w:r>
              <w:rPr>
                <w:rFonts w:ascii="ARIAL" w:hAnsi="ARIAL"/>
                <w:sz w:val="17"/>
              </w:rPr>
              <w:t>Chief executive officer of several financial services businesses as well as several non-profit organizations</w:t>
            </w:r>
          </w:p>
          <w:p>
            <w:pPr>
              <w:pStyle w:val="TableContents"/>
              <w:spacing w:before="0" w:after="0"/>
              <w:rPr/>
            </w:pPr>
            <w:r>
              <w:rPr/>
              <w:t> </w:t>
            </w:r>
          </w:p>
          <w:p>
            <w:pPr>
              <w:pStyle w:val="TableContents"/>
              <w:spacing w:before="0" w:after="20"/>
              <w:rPr/>
            </w:pPr>
            <w:r>
              <w:rPr>
                <w:color w:val="007CBA"/>
              </w:rPr>
              <w:t>•</w:t>
            </w:r>
            <w:r>
              <w:rPr/>
              <w:t>  </w:t>
            </w:r>
            <w:r>
              <w:rPr>
                <w:rFonts w:ascii="ARIAL" w:hAnsi="ARIAL"/>
                <w:sz w:val="17"/>
              </w:rPr>
              <w:t>Strong leadership skills and familiarity with North Carolina, an important state for the Company</w:t>
            </w:r>
          </w:p>
        </w:tc>
      </w:tr>
    </w:tbl>
    <w:p>
      <w:pPr>
        <w:pStyle w:val="TextBody"/>
        <w:spacing w:before="0" w:after="0"/>
        <w:jc w:val="left"/>
        <w:rPr/>
      </w:pPr>
      <w:r>
        <w:rPr/>
        <w:t> </w:t>
      </w:r>
    </w:p>
    <w:p>
      <w:pPr>
        <w:pStyle w:val="TextBody"/>
        <w:spacing w:before="0" w:after="0"/>
        <w:jc w:val="center"/>
        <w:rPr/>
      </w:pPr>
      <w:r>
        <w:rPr/>
        <w:drawing>
          <wp:inline distT="0" distB="0" distL="0" distR="0">
            <wp:extent cx="664845" cy="45720"/>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664845" cy="45720"/>
                    </a:xfrm>
                    <a:prstGeom prst="rect">
                      <a:avLst/>
                    </a:prstGeom>
                  </pic:spPr>
                </pic:pic>
              </a:graphicData>
            </a:graphic>
          </wp:inline>
        </w:drawing>
      </w:r>
      <w:r>
        <w:rPr/>
        <w:t xml:space="preserve">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23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PROPOSAL 1: ELECTION OF DIRECTORS   ◆</w:t>
      </w:r>
      <w:r>
        <w:rPr>
          <w:rFonts w:ascii="ARIAL" w:hAnsi="ARIAL"/>
          <w:sz w:val="16"/>
        </w:rPr>
        <w:t xml:space="preserve">  DIRECTOR NOMINEES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95"/>
        <w:gridCol w:w="120"/>
        <w:gridCol w:w="5989"/>
        <w:gridCol w:w="60"/>
        <w:gridCol w:w="2141"/>
      </w:tblGrid>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9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r>
      <w:tr>
        <w:trPr/>
        <w:tc>
          <w:tcPr>
            <w:tcW w:w="1895" w:type="dxa"/>
            <w:tcBorders>
              <w:top w:val="single" w:sz="32" w:space="0" w:color="007CBA"/>
            </w:tcBorders>
            <w:shd w:fill="auto" w:val="clear"/>
            <w:tcMar>
              <w:top w:w="28" w:type="dxa"/>
            </w:tcMar>
            <w:vAlign w:val="center"/>
          </w:tcPr>
          <w:p>
            <w:pPr>
              <w:pStyle w:val="TableContents"/>
              <w:spacing w:before="0" w:after="283"/>
              <w:rPr/>
            </w:pPr>
            <w:r>
              <w:rPr/>
              <w:t> </w:t>
            </w:r>
          </w:p>
        </w:tc>
        <w:tc>
          <w:tcPr>
            <w:tcW w:w="6109" w:type="dxa"/>
            <w:gridSpan w:val="2"/>
            <w:tcBorders>
              <w:top w:val="single" w:sz="32" w:space="0" w:color="007CBA"/>
            </w:tcBorders>
            <w:shd w:fill="auto" w:val="clear"/>
            <w:tcMar>
              <w:top w:w="28" w:type="dxa"/>
            </w:tcMar>
            <w:vAlign w:val="center"/>
          </w:tcPr>
          <w:p>
            <w:pPr>
              <w:pStyle w:val="TableContents"/>
              <w:spacing w:before="0" w:after="283"/>
              <w:rPr/>
            </w:pPr>
            <w:r>
              <w:rPr/>
              <w:t> </w:t>
            </w:r>
          </w:p>
        </w:tc>
        <w:tc>
          <w:tcPr>
            <w:tcW w:w="2201" w:type="dxa"/>
            <w:gridSpan w:val="2"/>
            <w:tcBorders>
              <w:top w:val="single" w:sz="32" w:space="0" w:color="007CBA"/>
              <w:left w:val="dotted" w:sz="8" w:space="0" w:color="CCCCCC"/>
            </w:tcBorders>
            <w:shd w:fill="auto" w:val="clear"/>
            <w:tcMar>
              <w:top w:w="28" w:type="dxa"/>
              <w:left w:w="28" w:type="dxa"/>
            </w:tcMar>
            <w:vAlign w:val="center"/>
          </w:tcPr>
          <w:p>
            <w:pPr>
              <w:pStyle w:val="TableContents"/>
              <w:spacing w:before="0" w:after="283"/>
              <w:rPr/>
            </w:pPr>
            <w:r>
              <w:rPr/>
              <w:t> </w:t>
            </w:r>
          </w:p>
        </w:tc>
      </w:tr>
      <w:tr>
        <w:trPr/>
        <w:tc>
          <w:tcPr>
            <w:tcW w:w="1895" w:type="dxa"/>
            <w:tcBorders/>
            <w:shd w:fill="auto" w:val="clear"/>
            <w:vAlign w:val="center"/>
          </w:tcPr>
          <w:p>
            <w:pPr>
              <w:pStyle w:val="TableContents"/>
              <w:rPr/>
            </w:pPr>
            <w:r>
              <w:rPr/>
              <w:drawing>
                <wp:inline distT="0" distB="0" distL="0" distR="0">
                  <wp:extent cx="111760" cy="144780"/>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111760" cy="14478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007CBA"/>
                <w:sz w:val="30"/>
              </w:rPr>
            </w:pPr>
            <w:r>
              <w:rPr>
                <w:rFonts w:ascii="ARIAL" w:hAnsi="ARIAL"/>
                <w:b/>
                <w:color w:val="007CBA"/>
                <w:sz w:val="30"/>
              </w:rPr>
              <w:t>ANTHONY R.</w:t>
              <w:br/>
              <w:t>FOXX</w:t>
            </w:r>
          </w:p>
          <w:p>
            <w:pPr>
              <w:pStyle w:val="TableContents"/>
              <w:spacing w:before="0" w:after="0"/>
              <w:rPr/>
            </w:pPr>
            <w:r>
              <w:rPr/>
              <w:t> </w:t>
            </w:r>
          </w:p>
          <w:p>
            <w:pPr>
              <w:pStyle w:val="TableContents"/>
              <w:spacing w:before="0" w:after="0"/>
              <w:rPr>
                <w:rFonts w:ascii="ARIAL" w:hAnsi="ARIAL"/>
                <w:sz w:val="20"/>
              </w:rPr>
            </w:pPr>
            <w:r>
              <w:rPr>
                <w:rFonts w:ascii="ARIAL" w:hAnsi="ARIAL"/>
                <w:b/>
                <w:color w:val="71BE9A"/>
                <w:sz w:val="20"/>
              </w:rPr>
              <w:t>Director Since:</w:t>
            </w:r>
            <w:r>
              <w:rPr>
                <w:rFonts w:ascii="ARIAL" w:hAnsi="ARIAL"/>
                <w:color w:val="007CBA"/>
                <w:sz w:val="20"/>
              </w:rPr>
              <w:t xml:space="preserve"> 2020</w:t>
            </w:r>
          </w:p>
          <w:p>
            <w:pPr>
              <w:pStyle w:val="TableContents"/>
              <w:spacing w:before="0" w:after="0"/>
              <w:rPr>
                <w:rFonts w:ascii="ARIAL" w:hAnsi="ARIAL"/>
                <w:sz w:val="20"/>
              </w:rPr>
            </w:pPr>
            <w:r>
              <w:rPr>
                <w:rFonts w:ascii="ARIAL" w:hAnsi="ARIAL"/>
                <w:b/>
                <w:color w:val="71BE9A"/>
                <w:sz w:val="20"/>
              </w:rPr>
              <w:t>Age:</w:t>
            </w:r>
            <w:r>
              <w:rPr>
                <w:rFonts w:ascii="ARIAL" w:hAnsi="ARIAL"/>
                <w:color w:val="007CBA"/>
                <w:sz w:val="20"/>
              </w:rPr>
              <w:t xml:space="preserve"> 51</w:t>
            </w:r>
          </w:p>
          <w:p>
            <w:pPr>
              <w:pStyle w:val="TableContents"/>
              <w:spacing w:before="0" w:after="0"/>
              <w:rPr>
                <w:rFonts w:ascii="ARIAL" w:hAnsi="ARIAL"/>
                <w:b/>
                <w:color w:val="71BE9A"/>
                <w:sz w:val="20"/>
              </w:rPr>
            </w:pPr>
            <w:r>
              <w:rPr>
                <w:rFonts w:ascii="ARIAL" w:hAnsi="ARIAL"/>
                <w:b/>
                <w:color w:val="71BE9A"/>
                <w:sz w:val="20"/>
              </w:rPr>
              <w:t>Committees:</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drawing>
                <wp:inline distT="0" distB="0" distL="0" distR="0">
                  <wp:extent cx="22860" cy="24765"/>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22860" cy="24765"/>
                          </a:xfrm>
                          <a:prstGeom prst="rect">
                            <a:avLst/>
                          </a:prstGeom>
                        </pic:spPr>
                      </pic:pic>
                    </a:graphicData>
                  </a:graphic>
                </wp:inline>
              </w:drawing>
            </w:r>
            <w:r>
              <w:rPr/>
              <w:t xml:space="preserve">    </w:t>
            </w:r>
            <w:r>
              <w:rPr/>
              <w:drawing>
                <wp:inline distT="0" distB="0" distL="0" distR="0">
                  <wp:extent cx="19050" cy="33655"/>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19050" cy="3365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989" w:type="dxa"/>
            <w:tcBorders/>
            <w:shd w:fill="auto" w:val="clear"/>
            <w:vAlign w:val="center"/>
          </w:tcPr>
          <w:p>
            <w:pPr>
              <w:pStyle w:val="TableContents"/>
              <w:spacing w:before="0" w:after="0"/>
              <w:rPr>
                <w:rFonts w:ascii="ARIAL" w:hAnsi="ARIAL"/>
                <w:sz w:val="17"/>
              </w:rPr>
            </w:pPr>
            <w:r>
              <w:rPr>
                <w:rFonts w:ascii="ARIAL" w:hAnsi="ARIAL"/>
                <w:sz w:val="17"/>
              </w:rPr>
              <w:t xml:space="preserve">Mr. Foxx served from October 2018 to January 2022 as Chief Policy Officer and advisor to the President and Chief Executive Officer of Lyft, Inc. Prior to joining Lyft, he served as the seventeenth United States Secretary of Transportation from 2013 to 2017, where he led an agency with more than 55,000 employees and a $70 billion budget, whose primary goal was to ensure that America maintains the world’s safest, most efficient transportation system. Previously, Mr. Foxx served as the Mayor of Charlotte, North Carolina, from 2009 to 2013. Since January 2021, Mr. Foxx also serves as an independent director and member of the Audit Committee and Nominating and Governance Committee of CDW Corporation (NASDAQ: CDW), a leading multi-brand technology solutions provider to business, government, education, and healthcare customers, and since May 2021, Mr. Foxx has served as an independent director for NXP Semiconductors, a world leader in secure connectivity solutions for embedded applications. Mr. Foxx earned his Bachelors degree at Davidson College and his Juris Doctor degree at New York University Law School. </w:t>
            </w:r>
          </w:p>
        </w:tc>
        <w:tc>
          <w:tcPr>
            <w:tcW w:w="60" w:type="dxa"/>
            <w:tcBorders>
              <w:left w:val="dotted" w:sz="8" w:space="0" w:color="CCCCCC"/>
            </w:tcBorders>
            <w:shd w:fill="auto" w:val="clear"/>
            <w:tcMar>
              <w:left w:w="28" w:type="dxa"/>
            </w:tcMar>
            <w:vAlign w:val="center"/>
          </w:tcPr>
          <w:p>
            <w:pPr>
              <w:pStyle w:val="TableContents"/>
              <w:spacing w:before="0" w:after="283"/>
              <w:rPr/>
            </w:pPr>
            <w:r>
              <w:rPr/>
              <w:t> </w:t>
            </w:r>
          </w:p>
        </w:tc>
        <w:tc>
          <w:tcPr>
            <w:tcW w:w="2141" w:type="dxa"/>
            <w:tcBorders/>
            <w:shd w:fill="auto" w:val="clear"/>
            <w:vAlign w:val="center"/>
          </w:tcPr>
          <w:p>
            <w:pPr>
              <w:pStyle w:val="TableContents"/>
              <w:spacing w:before="0" w:after="0"/>
              <w:rPr>
                <w:rFonts w:ascii="ARIAL" w:hAnsi="ARIAL"/>
                <w:b/>
                <w:color w:val="71BE9A"/>
                <w:sz w:val="22"/>
              </w:rPr>
            </w:pPr>
            <w:r>
              <w:rPr>
                <w:rFonts w:ascii="ARIAL" w:hAnsi="ARIAL"/>
                <w:b/>
                <w:color w:val="71BE9A"/>
                <w:sz w:val="22"/>
              </w:rPr>
              <w:t>Key attributes, experience and skills:</w:t>
            </w:r>
          </w:p>
          <w:p>
            <w:pPr>
              <w:pStyle w:val="TableContents"/>
              <w:spacing w:before="0" w:after="0"/>
              <w:rPr/>
            </w:pPr>
            <w:r>
              <w:rPr/>
              <w:t> </w:t>
            </w:r>
          </w:p>
          <w:p>
            <w:pPr>
              <w:pStyle w:val="TableContents"/>
              <w:spacing w:before="0" w:after="0"/>
              <w:rPr/>
            </w:pPr>
            <w:r>
              <w:rPr/>
              <w:t>•  </w:t>
            </w:r>
            <w:r>
              <w:rPr>
                <w:rFonts w:ascii="ARIAL" w:hAnsi="ARIAL"/>
                <w:sz w:val="17"/>
              </w:rPr>
              <w:t xml:space="preserve">Extensive experience in legal, compliance and corporate governance </w:t>
            </w:r>
          </w:p>
          <w:p>
            <w:pPr>
              <w:pStyle w:val="TableContents"/>
              <w:spacing w:before="0" w:after="0"/>
              <w:rPr/>
            </w:pPr>
            <w:r>
              <w:rPr/>
              <w:t> </w:t>
            </w:r>
          </w:p>
          <w:p>
            <w:pPr>
              <w:pStyle w:val="TableContents"/>
              <w:spacing w:before="0" w:after="0"/>
              <w:rPr/>
            </w:pPr>
            <w:r>
              <w:rPr/>
              <w:t>•  </w:t>
            </w:r>
            <w:r>
              <w:rPr>
                <w:rFonts w:ascii="ARIAL" w:hAnsi="ARIAL"/>
                <w:sz w:val="17"/>
              </w:rPr>
              <w:t xml:space="preserve">Brings valuable experience from his elected position as Mayor of Charlotte, North Carolina and as United States Secretary of Transportation relating to leadership, finance matters, corporate governance, legal, governmental and regulatory issues, safety, health and environmental matters </w:t>
            </w:r>
          </w:p>
          <w:p>
            <w:pPr>
              <w:pStyle w:val="TableContents"/>
              <w:spacing w:before="0" w:after="0"/>
              <w:rPr/>
            </w:pPr>
            <w:r>
              <w:rPr/>
              <w:t> </w:t>
            </w:r>
          </w:p>
          <w:p>
            <w:pPr>
              <w:pStyle w:val="TableContents"/>
              <w:spacing w:before="0" w:after="20"/>
              <w:rPr/>
            </w:pPr>
            <w:r>
              <w:rPr/>
              <w:t>•  </w:t>
            </w:r>
            <w:r>
              <w:rPr>
                <w:rFonts w:ascii="ARIAL" w:hAnsi="ARIAL"/>
                <w:sz w:val="17"/>
              </w:rPr>
              <w:t xml:space="preserve">Brings additional perspective to the Board on diversity and corporate citizenship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9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41" w:type="dxa"/>
            <w:tcBorders/>
            <w:shd w:fill="auto" w:val="clear"/>
            <w:vAlign w:val="center"/>
          </w:tcPr>
          <w:p>
            <w:pPr>
              <w:pStyle w:val="TableContents"/>
              <w:spacing w:before="0" w:after="283"/>
              <w:rPr>
                <w:sz w:val="4"/>
                <w:szCs w:val="4"/>
              </w:rPr>
            </w:pPr>
            <w:r>
              <w:rPr>
                <w:sz w:val="4"/>
                <w:szCs w:val="4"/>
              </w:rPr>
            </w:r>
          </w:p>
        </w:tc>
      </w:tr>
      <w:tr>
        <w:trPr/>
        <w:tc>
          <w:tcPr>
            <w:tcW w:w="1895" w:type="dxa"/>
            <w:tcBorders>
              <w:top w:val="single" w:sz="32" w:space="0" w:color="007CBA"/>
            </w:tcBorders>
            <w:shd w:fill="auto" w:val="clear"/>
            <w:tcMar>
              <w:top w:w="28" w:type="dxa"/>
            </w:tcMar>
            <w:vAlign w:val="center"/>
          </w:tcPr>
          <w:p>
            <w:pPr>
              <w:pStyle w:val="TableContents"/>
              <w:spacing w:before="0" w:after="283"/>
              <w:rPr/>
            </w:pPr>
            <w:r>
              <w:rPr/>
              <w:t> </w:t>
            </w:r>
          </w:p>
        </w:tc>
        <w:tc>
          <w:tcPr>
            <w:tcW w:w="6109" w:type="dxa"/>
            <w:gridSpan w:val="2"/>
            <w:tcBorders>
              <w:top w:val="single" w:sz="32" w:space="0" w:color="007CBA"/>
            </w:tcBorders>
            <w:shd w:fill="auto" w:val="clear"/>
            <w:tcMar>
              <w:top w:w="28" w:type="dxa"/>
            </w:tcMar>
            <w:vAlign w:val="center"/>
          </w:tcPr>
          <w:p>
            <w:pPr>
              <w:pStyle w:val="TableContents"/>
              <w:spacing w:before="0" w:after="283"/>
              <w:rPr/>
            </w:pPr>
            <w:r>
              <w:rPr/>
              <w:t> </w:t>
            </w:r>
          </w:p>
        </w:tc>
        <w:tc>
          <w:tcPr>
            <w:tcW w:w="2201" w:type="dxa"/>
            <w:gridSpan w:val="2"/>
            <w:tcBorders>
              <w:top w:val="single" w:sz="32" w:space="0" w:color="007CBA"/>
              <w:left w:val="dotted" w:sz="8" w:space="0" w:color="CCCCCC"/>
            </w:tcBorders>
            <w:shd w:fill="auto" w:val="clear"/>
            <w:tcMar>
              <w:top w:w="28" w:type="dxa"/>
              <w:left w:w="28" w:type="dxa"/>
            </w:tcMar>
            <w:vAlign w:val="center"/>
          </w:tcPr>
          <w:p>
            <w:pPr>
              <w:pStyle w:val="TableContents"/>
              <w:spacing w:before="0" w:after="283"/>
              <w:rPr/>
            </w:pPr>
            <w:r>
              <w:rPr/>
              <w:t> </w:t>
            </w:r>
          </w:p>
        </w:tc>
      </w:tr>
      <w:tr>
        <w:trPr/>
        <w:tc>
          <w:tcPr>
            <w:tcW w:w="1895" w:type="dxa"/>
            <w:tcBorders/>
            <w:shd w:fill="auto" w:val="clear"/>
            <w:vAlign w:val="center"/>
          </w:tcPr>
          <w:p>
            <w:pPr>
              <w:pStyle w:val="TableContents"/>
              <w:rPr/>
            </w:pPr>
            <w:r>
              <w:rPr/>
              <w:drawing>
                <wp:inline distT="0" distB="0" distL="0" distR="0">
                  <wp:extent cx="111760" cy="144780"/>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111760" cy="14478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007CBA"/>
                <w:sz w:val="30"/>
              </w:rPr>
            </w:pPr>
            <w:r>
              <w:rPr>
                <w:rFonts w:ascii="ARIAL" w:hAnsi="ARIAL"/>
                <w:b/>
                <w:color w:val="007CBA"/>
                <w:sz w:val="30"/>
              </w:rPr>
              <w:t>JOHN J.</w:t>
              <w:br/>
              <w:t>KORALESKI</w:t>
            </w:r>
          </w:p>
          <w:p>
            <w:pPr>
              <w:pStyle w:val="TableContents"/>
              <w:spacing w:before="0" w:after="0"/>
              <w:rPr/>
            </w:pPr>
            <w:r>
              <w:rPr/>
              <w:t> </w:t>
            </w:r>
          </w:p>
          <w:p>
            <w:pPr>
              <w:pStyle w:val="TableContents"/>
              <w:spacing w:before="0" w:after="0"/>
              <w:rPr>
                <w:rFonts w:ascii="ARIAL" w:hAnsi="ARIAL"/>
                <w:sz w:val="20"/>
              </w:rPr>
            </w:pPr>
            <w:r>
              <w:rPr>
                <w:rFonts w:ascii="ARIAL" w:hAnsi="ARIAL"/>
                <w:b/>
                <w:color w:val="71BE9A"/>
                <w:sz w:val="20"/>
              </w:rPr>
              <w:t>Director Since:</w:t>
            </w:r>
            <w:r>
              <w:rPr>
                <w:rFonts w:ascii="ARIAL" w:hAnsi="ARIAL"/>
                <w:color w:val="007CBA"/>
                <w:sz w:val="20"/>
              </w:rPr>
              <w:t> 2016</w:t>
            </w:r>
          </w:p>
          <w:p>
            <w:pPr>
              <w:pStyle w:val="TableContents"/>
              <w:spacing w:before="0" w:after="0"/>
              <w:rPr>
                <w:rFonts w:ascii="ARIAL" w:hAnsi="ARIAL"/>
                <w:sz w:val="20"/>
              </w:rPr>
            </w:pPr>
            <w:r>
              <w:rPr>
                <w:rFonts w:ascii="ARIAL" w:hAnsi="ARIAL"/>
                <w:b/>
                <w:color w:val="71BE9A"/>
                <w:sz w:val="20"/>
              </w:rPr>
              <w:t>Age:</w:t>
            </w:r>
            <w:r>
              <w:rPr>
                <w:rFonts w:ascii="ARIAL" w:hAnsi="ARIAL"/>
                <w:color w:val="007CBA"/>
                <w:sz w:val="20"/>
              </w:rPr>
              <w:t xml:space="preserve"> 72</w:t>
            </w:r>
          </w:p>
          <w:p>
            <w:pPr>
              <w:pStyle w:val="TableContents"/>
              <w:spacing w:before="0" w:after="0"/>
              <w:rPr/>
            </w:pPr>
            <w:r>
              <w:rPr/>
              <w:t> </w:t>
            </w:r>
          </w:p>
          <w:p>
            <w:pPr>
              <w:pStyle w:val="TableContents"/>
              <w:spacing w:before="0" w:after="0"/>
              <w:rPr>
                <w:rFonts w:ascii="ARIAL" w:hAnsi="ARIAL"/>
                <w:color w:val="007CBA"/>
                <w:sz w:val="20"/>
              </w:rPr>
            </w:pPr>
            <w:r>
              <w:rPr>
                <w:rFonts w:ascii="ARIAL" w:hAnsi="ARIAL"/>
                <w:color w:val="007CBA"/>
                <w:sz w:val="20"/>
              </w:rPr>
              <w:t>Lead Independent</w:t>
              <w:br/>
              <w:t>Director</w:t>
            </w:r>
          </w:p>
          <w:p>
            <w:pPr>
              <w:pStyle w:val="TableContents"/>
              <w:spacing w:before="0" w:after="0"/>
              <w:rPr/>
            </w:pPr>
            <w:r>
              <w:rPr/>
              <w:t> </w:t>
            </w:r>
          </w:p>
          <w:p>
            <w:pPr>
              <w:pStyle w:val="TableContents"/>
              <w:spacing w:before="0" w:after="0"/>
              <w:rPr>
                <w:rFonts w:ascii="ARIAL" w:hAnsi="ARIAL"/>
                <w:b/>
                <w:color w:val="71BE9A"/>
                <w:sz w:val="20"/>
              </w:rPr>
            </w:pPr>
            <w:r>
              <w:rPr>
                <w:rFonts w:ascii="ARIAL" w:hAnsi="ARIAL"/>
                <w:b/>
                <w:color w:val="71BE9A"/>
                <w:sz w:val="20"/>
              </w:rPr>
              <w:t>Committees:</w:t>
            </w:r>
          </w:p>
          <w:p>
            <w:pPr>
              <w:pStyle w:val="TableContents"/>
              <w:spacing w:before="0" w:after="0"/>
              <w:rPr/>
            </w:pPr>
            <w:r>
              <w:rPr/>
              <w:t> </w:t>
            </w:r>
          </w:p>
          <w:p>
            <w:pPr>
              <w:pStyle w:val="TableContents"/>
              <w:spacing w:before="0" w:after="0"/>
              <w:rPr/>
            </w:pPr>
            <w:r>
              <w:rPr/>
              <w:t> </w:t>
            </w:r>
          </w:p>
          <w:p>
            <w:pPr>
              <w:pStyle w:val="TableContents"/>
              <w:spacing w:before="0" w:after="0"/>
              <w:rPr/>
            </w:pPr>
            <w:r>
              <w:rPr/>
              <w:drawing>
                <wp:inline distT="0" distB="0" distL="0" distR="0">
                  <wp:extent cx="27940" cy="2349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27940" cy="23495"/>
                          </a:xfrm>
                          <a:prstGeom prst="rect">
                            <a:avLst/>
                          </a:prstGeom>
                        </pic:spPr>
                      </pic:pic>
                    </a:graphicData>
                  </a:graphic>
                </wp:inline>
              </w:drawing>
            </w:r>
            <w:r>
              <w:rPr/>
              <w:t xml:space="preserve">    </w:t>
            </w:r>
            <w:r>
              <w:rPr/>
              <w:drawing>
                <wp:inline distT="0" distB="0" distL="0" distR="0">
                  <wp:extent cx="29210" cy="30480"/>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29210" cy="30480"/>
                          </a:xfrm>
                          <a:prstGeom prst="rect">
                            <a:avLst/>
                          </a:prstGeom>
                        </pic:spPr>
                      </pic:pic>
                    </a:graphicData>
                  </a:graphic>
                </wp:inline>
              </w:drawing>
            </w:r>
            <w:r>
              <w:rPr/>
              <w:t xml:space="preserve">    </w:t>
            </w:r>
            <w:r>
              <w:rPr/>
              <w:drawing>
                <wp:inline distT="0" distB="0" distL="0" distR="0">
                  <wp:extent cx="20955" cy="23495"/>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20955" cy="23495"/>
                          </a:xfrm>
                          <a:prstGeom prst="rect">
                            <a:avLst/>
                          </a:prstGeom>
                        </pic:spPr>
                      </pic:pic>
                    </a:graphicData>
                  </a:graphic>
                </wp:inline>
              </w:drawing>
            </w:r>
            <w:r>
              <w:rPr/>
              <w:t xml:space="preserve"> </w:t>
            </w:r>
          </w:p>
          <w:p>
            <w:pPr>
              <w:pStyle w:val="TableContents"/>
              <w:spacing w:before="0" w:after="20"/>
              <w:rPr>
                <w:rFonts w:ascii="ARIAL" w:hAnsi="ARIAL"/>
                <w:color w:val="007CBA"/>
                <w:sz w:val="20"/>
              </w:rPr>
            </w:pPr>
            <w:r>
              <w:rPr>
                <w:rFonts w:ascii="ARIAL" w:hAnsi="ARIAL"/>
                <w:color w:val="007CBA"/>
                <w:sz w:val="20"/>
              </w:rPr>
              <w:t>Chair</w:t>
            </w:r>
          </w:p>
        </w:tc>
        <w:tc>
          <w:tcPr>
            <w:tcW w:w="120" w:type="dxa"/>
            <w:tcBorders/>
            <w:shd w:fill="auto" w:val="clear"/>
            <w:vAlign w:val="center"/>
          </w:tcPr>
          <w:p>
            <w:pPr>
              <w:pStyle w:val="TableContents"/>
              <w:spacing w:before="0" w:after="283"/>
              <w:rPr/>
            </w:pPr>
            <w:r>
              <w:rPr/>
              <w:t>  </w:t>
            </w:r>
          </w:p>
        </w:tc>
        <w:tc>
          <w:tcPr>
            <w:tcW w:w="5989" w:type="dxa"/>
            <w:tcBorders/>
            <w:shd w:fill="auto" w:val="clear"/>
            <w:vAlign w:val="center"/>
          </w:tcPr>
          <w:p>
            <w:pPr>
              <w:pStyle w:val="TableContents"/>
              <w:spacing w:before="0" w:after="0"/>
              <w:rPr>
                <w:rFonts w:ascii="ARIAL" w:hAnsi="ARIAL"/>
                <w:sz w:val="17"/>
              </w:rPr>
            </w:pPr>
            <w:r>
              <w:rPr>
                <w:rFonts w:ascii="ARIAL" w:hAnsi="ARIAL"/>
                <w:sz w:val="17"/>
              </w:rPr>
              <w:t xml:space="preserve">Mr. Koraleski joined the Martin Marietta Board in 2016. Mr. Koraleski served from February 2015 through his retirement in September 2015 as executive Chairman of the Board of the Union Pacific Corporation (UP) (NYSE: UNP), which through its subsidiaries operates North America’s premier railroad franchise, covering 23 states across the western two-thirds of the United States. Prior to that, he was named President and Chief Executive Officer of the UP in March 2012, elected as a Director of the UP in July 2012 and appointed Chairman of the Board in 2014. Since joining the Union Pacific (Railroad) in 1972, Mr. Koraleski held a number of executive positions in the UP and the Railroad, including, Executive Vice President – Marketing and Sales from 1999 to 2012, Executive Vice President – Finance and Information Technology, Chief Financial Officer and Controller. Mr. Koraleski served as the Chairman of The Bridges Investment Fund, Inc., a general equity fund whose primary investment objective is to seek long-term capital appreciation, from 2005 through March 2012 and is a past Chairman of the Association of American Railroads. Mr. Koraleski earned a Bachelor’s and Master’s degree in business administration from the University of Nebraska at Omaha. </w:t>
            </w:r>
          </w:p>
        </w:tc>
        <w:tc>
          <w:tcPr>
            <w:tcW w:w="60" w:type="dxa"/>
            <w:tcBorders>
              <w:left w:val="dotted" w:sz="8" w:space="0" w:color="CCCCCC"/>
            </w:tcBorders>
            <w:shd w:fill="auto" w:val="clear"/>
            <w:tcMar>
              <w:left w:w="28" w:type="dxa"/>
            </w:tcMar>
            <w:vAlign w:val="center"/>
          </w:tcPr>
          <w:p>
            <w:pPr>
              <w:pStyle w:val="TableContents"/>
              <w:spacing w:before="0" w:after="283"/>
              <w:rPr/>
            </w:pPr>
            <w:r>
              <w:rPr/>
              <w:t> </w:t>
            </w:r>
          </w:p>
        </w:tc>
        <w:tc>
          <w:tcPr>
            <w:tcW w:w="2141" w:type="dxa"/>
            <w:tcBorders/>
            <w:shd w:fill="auto" w:val="clear"/>
            <w:vAlign w:val="center"/>
          </w:tcPr>
          <w:p>
            <w:pPr>
              <w:pStyle w:val="TableContents"/>
              <w:spacing w:before="0" w:after="0"/>
              <w:rPr>
                <w:rFonts w:ascii="ARIAL" w:hAnsi="ARIAL"/>
                <w:b/>
                <w:color w:val="71BE9A"/>
                <w:sz w:val="22"/>
              </w:rPr>
            </w:pPr>
            <w:r>
              <w:rPr>
                <w:rFonts w:ascii="ARIAL" w:hAnsi="ARIAL"/>
                <w:b/>
                <w:color w:val="71BE9A"/>
                <w:sz w:val="22"/>
              </w:rPr>
              <w:t>Key attributes, experience and skills:</w:t>
            </w:r>
          </w:p>
          <w:p>
            <w:pPr>
              <w:pStyle w:val="TableContents"/>
              <w:spacing w:before="0" w:after="0"/>
              <w:rPr/>
            </w:pPr>
            <w:r>
              <w:rPr/>
              <w:t> </w:t>
            </w:r>
          </w:p>
          <w:p>
            <w:pPr>
              <w:pStyle w:val="TableContents"/>
              <w:spacing w:before="0" w:after="0"/>
              <w:rPr/>
            </w:pPr>
            <w:r>
              <w:rPr/>
              <w:t>•  </w:t>
            </w:r>
            <w:r>
              <w:rPr>
                <w:rFonts w:ascii="ARIAL" w:hAnsi="ARIAL"/>
                <w:sz w:val="17"/>
              </w:rPr>
              <w:t xml:space="preserve">Experience with the demands and challenges associated with managing a large publicly-traded organization from his experience as Chairman and CEO of Union Pacific </w:t>
            </w:r>
          </w:p>
          <w:p>
            <w:pPr>
              <w:pStyle w:val="TableContents"/>
              <w:spacing w:before="0" w:after="0"/>
              <w:rPr/>
            </w:pPr>
            <w:r>
              <w:rPr/>
              <w:t> </w:t>
            </w:r>
          </w:p>
          <w:p>
            <w:pPr>
              <w:pStyle w:val="TableContents"/>
              <w:spacing w:before="0" w:after="0"/>
              <w:rPr/>
            </w:pPr>
            <w:r>
              <w:rPr/>
              <w:t>•  </w:t>
            </w:r>
            <w:r>
              <w:rPr>
                <w:rFonts w:ascii="ARIAL" w:hAnsi="ARIAL"/>
                <w:sz w:val="17"/>
              </w:rPr>
              <w:t xml:space="preserve">Extensive knowledge of financial system management, public company accounting, disclosure requirements and financial markets </w:t>
            </w:r>
          </w:p>
          <w:p>
            <w:pPr>
              <w:pStyle w:val="TableContents"/>
              <w:spacing w:before="0" w:after="0"/>
              <w:rPr/>
            </w:pPr>
            <w:r>
              <w:rPr/>
              <w:t> </w:t>
            </w:r>
          </w:p>
          <w:p>
            <w:pPr>
              <w:pStyle w:val="TableContents"/>
              <w:spacing w:before="0" w:after="0"/>
              <w:rPr/>
            </w:pPr>
            <w:r>
              <w:rPr/>
              <w:t>•  </w:t>
            </w:r>
            <w:r>
              <w:rPr>
                <w:rFonts w:ascii="ARIAL" w:hAnsi="ARIAL"/>
                <w:sz w:val="17"/>
              </w:rPr>
              <w:t xml:space="preserve">Valuable expertise in talent management, compensation, governance and succession planning </w:t>
            </w:r>
          </w:p>
          <w:p>
            <w:pPr>
              <w:pStyle w:val="TableContents"/>
              <w:spacing w:before="0" w:after="0"/>
              <w:rPr/>
            </w:pPr>
            <w:r>
              <w:rPr/>
              <w:t> </w:t>
            </w:r>
          </w:p>
          <w:p>
            <w:pPr>
              <w:pStyle w:val="TableContents"/>
              <w:spacing w:before="0" w:after="0"/>
              <w:rPr/>
            </w:pPr>
            <w:r>
              <w:rPr/>
              <w:t>•  </w:t>
            </w:r>
            <w:r>
              <w:rPr>
                <w:rFonts w:ascii="ARIAL" w:hAnsi="ARIAL"/>
                <w:sz w:val="17"/>
              </w:rPr>
              <w:t xml:space="preserve">Understanding of complex logistic operations, safety and rail operations </w:t>
            </w:r>
          </w:p>
          <w:p>
            <w:pPr>
              <w:pStyle w:val="TableContents"/>
              <w:spacing w:before="0" w:after="0"/>
              <w:rPr/>
            </w:pPr>
            <w:r>
              <w:rPr/>
              <w:t> </w:t>
            </w:r>
          </w:p>
          <w:p>
            <w:pPr>
              <w:pStyle w:val="TableContents"/>
              <w:spacing w:before="0" w:after="20"/>
              <w:rPr/>
            </w:pPr>
            <w:r>
              <w:rPr/>
              <w:t>•  </w:t>
            </w:r>
            <w:r>
              <w:rPr>
                <w:rFonts w:ascii="ARIAL" w:hAnsi="ARIAL"/>
                <w:sz w:val="17"/>
              </w:rPr>
              <w:t xml:space="preserve">Broad strategic analysis and experience with acquisitions, integration, marketing and information technologies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64845" cy="45720"/>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664845" cy="45720"/>
                    </a:xfrm>
                    <a:prstGeom prst="rect">
                      <a:avLst/>
                    </a:prstGeom>
                  </pic:spPr>
                </pic:pic>
              </a:graphicData>
            </a:graphic>
          </wp:inline>
        </w:drawing>
      </w:r>
      <w:r>
        <w:rPr/>
        <w:t xml:space="preserve">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24</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DIRECTOR NOMINEES   </w:t>
      </w:r>
      <w:r>
        <w:rPr>
          <w:rFonts w:ascii="ARIAL" w:hAnsi="ARIAL"/>
          <w:color w:val="007CBA"/>
          <w:sz w:val="16"/>
        </w:rPr>
        <w:t xml:space="preserve">◆  PROPOSAL 1: ELECTION OF DIRECTORS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95"/>
        <w:gridCol w:w="120"/>
        <w:gridCol w:w="6659"/>
        <w:gridCol w:w="60"/>
        <w:gridCol w:w="1471"/>
      </w:tblGrid>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r>
      <w:tr>
        <w:trPr/>
        <w:tc>
          <w:tcPr>
            <w:tcW w:w="1895" w:type="dxa"/>
            <w:tcBorders>
              <w:top w:val="single" w:sz="32" w:space="0" w:color="007CBA"/>
            </w:tcBorders>
            <w:shd w:fill="auto" w:val="clear"/>
            <w:tcMar>
              <w:top w:w="28" w:type="dxa"/>
            </w:tcMar>
            <w:vAlign w:val="center"/>
          </w:tcPr>
          <w:p>
            <w:pPr>
              <w:pStyle w:val="TableContents"/>
              <w:spacing w:before="0" w:after="283"/>
              <w:rPr/>
            </w:pPr>
            <w:r>
              <w:rPr/>
              <w:t> </w:t>
            </w:r>
          </w:p>
        </w:tc>
        <w:tc>
          <w:tcPr>
            <w:tcW w:w="6779" w:type="dxa"/>
            <w:gridSpan w:val="2"/>
            <w:tcBorders>
              <w:top w:val="single" w:sz="32" w:space="0" w:color="007CBA"/>
            </w:tcBorders>
            <w:shd w:fill="auto" w:val="clear"/>
            <w:tcMar>
              <w:top w:w="28" w:type="dxa"/>
            </w:tcMar>
            <w:vAlign w:val="center"/>
          </w:tcPr>
          <w:p>
            <w:pPr>
              <w:pStyle w:val="TableContents"/>
              <w:spacing w:before="0" w:after="283"/>
              <w:rPr/>
            </w:pPr>
            <w:r>
              <w:rPr/>
              <w:t> </w:t>
            </w:r>
          </w:p>
        </w:tc>
        <w:tc>
          <w:tcPr>
            <w:tcW w:w="1531" w:type="dxa"/>
            <w:gridSpan w:val="2"/>
            <w:tcBorders>
              <w:top w:val="single" w:sz="32" w:space="0" w:color="007CBA"/>
              <w:left w:val="dotted" w:sz="8" w:space="0" w:color="CCCCCC"/>
            </w:tcBorders>
            <w:shd w:fill="auto" w:val="clear"/>
            <w:tcMar>
              <w:top w:w="28" w:type="dxa"/>
              <w:left w:w="28" w:type="dxa"/>
            </w:tcMar>
            <w:vAlign w:val="center"/>
          </w:tcPr>
          <w:p>
            <w:pPr>
              <w:pStyle w:val="TableContents"/>
              <w:spacing w:before="0" w:after="283"/>
              <w:rPr/>
            </w:pPr>
            <w:r>
              <w:rPr/>
              <w:t> </w:t>
            </w:r>
          </w:p>
        </w:tc>
      </w:tr>
      <w:tr>
        <w:trPr/>
        <w:tc>
          <w:tcPr>
            <w:tcW w:w="1895" w:type="dxa"/>
            <w:tcBorders/>
            <w:shd w:fill="auto" w:val="clear"/>
            <w:vAlign w:val="center"/>
          </w:tcPr>
          <w:p>
            <w:pPr>
              <w:pStyle w:val="TableContents"/>
              <w:rPr/>
            </w:pPr>
            <w:r>
              <w:rPr/>
              <w:drawing>
                <wp:inline distT="0" distB="0" distL="0" distR="0">
                  <wp:extent cx="111760" cy="144145"/>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111760" cy="14414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007CBA"/>
                <w:sz w:val="30"/>
              </w:rPr>
            </w:pPr>
            <w:r>
              <w:rPr>
                <w:rFonts w:ascii="ARIAL" w:hAnsi="ARIAL"/>
                <w:b/>
                <w:color w:val="007CBA"/>
                <w:sz w:val="30"/>
              </w:rPr>
              <w:t>C. HOWARD</w:t>
              <w:br/>
              <w:t>NYE</w:t>
            </w:r>
          </w:p>
          <w:p>
            <w:pPr>
              <w:pStyle w:val="TableContents"/>
              <w:spacing w:before="0" w:after="0"/>
              <w:rPr/>
            </w:pPr>
            <w:r>
              <w:rPr/>
              <w:t> </w:t>
            </w:r>
          </w:p>
          <w:p>
            <w:pPr>
              <w:pStyle w:val="TableContents"/>
              <w:spacing w:before="0" w:after="0"/>
              <w:rPr>
                <w:rFonts w:ascii="ARIAL" w:hAnsi="ARIAL"/>
                <w:sz w:val="20"/>
              </w:rPr>
            </w:pPr>
            <w:r>
              <w:rPr>
                <w:rFonts w:ascii="ARIAL" w:hAnsi="ARIAL"/>
                <w:b/>
                <w:color w:val="71BE9A"/>
                <w:sz w:val="20"/>
              </w:rPr>
              <w:t>Director Since:</w:t>
            </w:r>
            <w:r>
              <w:rPr>
                <w:rFonts w:ascii="ARIAL" w:hAnsi="ARIAL"/>
                <w:color w:val="007CBA"/>
                <w:sz w:val="20"/>
              </w:rPr>
              <w:t xml:space="preserve"> 2010</w:t>
            </w:r>
          </w:p>
          <w:p>
            <w:pPr>
              <w:pStyle w:val="TableContents"/>
              <w:spacing w:before="0" w:after="0"/>
              <w:rPr>
                <w:rFonts w:ascii="ARIAL" w:hAnsi="ARIAL"/>
                <w:sz w:val="20"/>
              </w:rPr>
            </w:pPr>
            <w:r>
              <w:rPr>
                <w:rFonts w:ascii="ARIAL" w:hAnsi="ARIAL"/>
                <w:b/>
                <w:color w:val="71BE9A"/>
                <w:sz w:val="20"/>
              </w:rPr>
              <w:t>Age:</w:t>
            </w:r>
            <w:r>
              <w:rPr>
                <w:rFonts w:ascii="ARIAL" w:hAnsi="ARIAL"/>
                <w:color w:val="007CBA"/>
                <w:sz w:val="20"/>
              </w:rPr>
              <w:t xml:space="preserve"> 60</w:t>
            </w:r>
          </w:p>
          <w:p>
            <w:pPr>
              <w:pStyle w:val="TableContents"/>
              <w:spacing w:before="0" w:after="0"/>
              <w:rPr>
                <w:rFonts w:ascii="ARIAL" w:hAnsi="ARIAL"/>
                <w:b/>
                <w:color w:val="71BE9A"/>
                <w:sz w:val="20"/>
              </w:rPr>
            </w:pPr>
            <w:r>
              <w:rPr>
                <w:rFonts w:ascii="ARIAL" w:hAnsi="ARIAL"/>
                <w:b/>
                <w:color w:val="71BE9A"/>
                <w:sz w:val="20"/>
              </w:rPr>
              <w:t>Committees:</w:t>
            </w:r>
          </w:p>
          <w:p>
            <w:pPr>
              <w:pStyle w:val="TableContents"/>
              <w:spacing w:before="0" w:after="0"/>
              <w:rPr/>
            </w:pPr>
            <w:r>
              <w:rPr/>
              <w:t> </w:t>
            </w:r>
          </w:p>
          <w:p>
            <w:pPr>
              <w:pStyle w:val="TableContents"/>
              <w:spacing w:before="0" w:after="0"/>
              <w:rPr/>
            </w:pPr>
            <w:r>
              <w:rPr/>
              <w:t> </w:t>
            </w:r>
          </w:p>
          <w:p>
            <w:pPr>
              <w:pStyle w:val="TableContents"/>
              <w:spacing w:before="0" w:after="0"/>
              <w:rPr/>
            </w:pPr>
            <w:r>
              <w:rPr/>
              <w:drawing>
                <wp:inline distT="0" distB="0" distL="0" distR="0">
                  <wp:extent cx="20955" cy="23495"/>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20955" cy="23495"/>
                          </a:xfrm>
                          <a:prstGeom prst="rect">
                            <a:avLst/>
                          </a:prstGeom>
                        </pic:spPr>
                      </pic:pic>
                    </a:graphicData>
                  </a:graphic>
                </wp:inline>
              </w:drawing>
            </w:r>
            <w:r>
              <w:rPr/>
              <w:t xml:space="preserve"> </w:t>
            </w:r>
          </w:p>
          <w:p>
            <w:pPr>
              <w:pStyle w:val="TableContents"/>
              <w:spacing w:before="0" w:after="20"/>
              <w:rPr>
                <w:rFonts w:ascii="ARIAL" w:hAnsi="ARIAL"/>
                <w:color w:val="007CBA"/>
                <w:sz w:val="20"/>
              </w:rPr>
            </w:pPr>
            <w:r>
              <w:rPr>
                <w:rFonts w:ascii="ARIAL" w:hAnsi="ARIAL"/>
                <w:color w:val="007CBA"/>
                <w:sz w:val="20"/>
              </w:rPr>
              <w:t>Chair</w:t>
            </w:r>
          </w:p>
        </w:tc>
        <w:tc>
          <w:tcPr>
            <w:tcW w:w="120" w:type="dxa"/>
            <w:tcBorders/>
            <w:shd w:fill="auto" w:val="clear"/>
            <w:vAlign w:val="center"/>
          </w:tcPr>
          <w:p>
            <w:pPr>
              <w:pStyle w:val="TableContents"/>
              <w:spacing w:before="0" w:after="283"/>
              <w:rPr/>
            </w:pPr>
            <w:r>
              <w:rPr/>
              <w:t>  </w:t>
            </w:r>
          </w:p>
        </w:tc>
        <w:tc>
          <w:tcPr>
            <w:tcW w:w="6659" w:type="dxa"/>
            <w:tcBorders/>
            <w:shd w:fill="auto" w:val="clear"/>
            <w:vAlign w:val="center"/>
          </w:tcPr>
          <w:p>
            <w:pPr>
              <w:pStyle w:val="TableContents"/>
              <w:spacing w:before="0" w:after="0"/>
              <w:rPr>
                <w:rFonts w:ascii="ARIAL" w:hAnsi="ARIAL"/>
                <w:sz w:val="17"/>
              </w:rPr>
            </w:pPr>
            <w:r>
              <w:rPr>
                <w:rFonts w:ascii="ARIAL" w:hAnsi="ARIAL"/>
                <w:sz w:val="17"/>
              </w:rPr>
              <w:t xml:space="preserve">Mr. Nye has served as Chairman of the Board of Martin Marietta since 2014, as President since 2006 and as Chief Executive Officer and a Director since 2010. Mr. Nye previously served as Chief Operating Officer from 2006 to 2009. Prior to joining Martin Marietta in 2006, Mr. Nye spent nearly 13 years in a series of increasingly responsible positions with Hanson PLC, an international building materials company. Mr. Nye received a Bachelor’s degree from Duke University and a Juris Doctor degree from Wake Forest University. In addition to his educational, professional, executive and related roles, Mr. Nye is a past Chairman of the Board of each of the National Stone, Sand &amp; Gravel Association (NSSGA), the North Carolina Chamber, and the American Road &amp; Transportation Builders Association (ARTBA). Mr. Nye is also a member of the Board of Directors and the Executive Committee of the United States Chamber of Commerce, the world’s largest business organization. Since 2018, Mr. Nye has been a member of the Board of Directors of General Dynamics Corporation (NYSE: GD), a global aerospace and defense company. From 2015 to 2018, Mr. Nye was also an independent director for Cree, Inc. (NASDAQ: CREE), an American manufacturer and marketer of lighting-class lighting products. In 2019, Forbes magazine recognized Mr. Nye as one of America’s Most Innovative Leaders; he was previously recognized by both Aggregates Manager and Pit &amp; Quarry magazines, as Aggman of the Year and a Hall of Fame inductee, respectively. Mr. Nye has also served on numerous other state, local and/or philanthropic organizations including the boards of directors of the University of North Carolina Health System and the Research Triangle Foundation, as well as the Board of Governors of the Research Triangle Institute. He also served as Co-Chair of the NC FIRST Commission (evaluating North Carolina’s current and future transportation investment needs). </w:t>
            </w:r>
          </w:p>
        </w:tc>
        <w:tc>
          <w:tcPr>
            <w:tcW w:w="60" w:type="dxa"/>
            <w:tcBorders>
              <w:left w:val="dotted" w:sz="8" w:space="0" w:color="CCCCCC"/>
            </w:tcBorders>
            <w:shd w:fill="auto" w:val="clear"/>
            <w:tcMar>
              <w:left w:w="28" w:type="dxa"/>
            </w:tcMar>
            <w:vAlign w:val="center"/>
          </w:tcPr>
          <w:p>
            <w:pPr>
              <w:pStyle w:val="TableContents"/>
              <w:spacing w:before="0" w:after="283"/>
              <w:rPr/>
            </w:pPr>
            <w:r>
              <w:rPr/>
              <w:t> </w:t>
            </w:r>
          </w:p>
        </w:tc>
        <w:tc>
          <w:tcPr>
            <w:tcW w:w="1471" w:type="dxa"/>
            <w:tcBorders/>
            <w:shd w:fill="auto" w:val="clear"/>
            <w:vAlign w:val="center"/>
          </w:tcPr>
          <w:p>
            <w:pPr>
              <w:pStyle w:val="TableContents"/>
              <w:spacing w:before="0" w:after="0"/>
              <w:rPr>
                <w:rFonts w:ascii="ARIAL" w:hAnsi="ARIAL"/>
                <w:b/>
                <w:color w:val="71BE9A"/>
                <w:sz w:val="22"/>
              </w:rPr>
            </w:pPr>
            <w:r>
              <w:rPr>
                <w:rFonts w:ascii="ARIAL" w:hAnsi="ARIAL"/>
                <w:b/>
                <w:color w:val="71BE9A"/>
                <w:sz w:val="22"/>
              </w:rPr>
              <w:t>Key attributes, experience and skills:</w:t>
            </w:r>
          </w:p>
          <w:p>
            <w:pPr>
              <w:pStyle w:val="TableContents"/>
              <w:spacing w:before="0" w:after="0"/>
              <w:rPr/>
            </w:pPr>
            <w:r>
              <w:rPr/>
              <w:t> </w:t>
            </w:r>
          </w:p>
          <w:p>
            <w:pPr>
              <w:pStyle w:val="TableContents"/>
              <w:spacing w:before="0" w:after="0"/>
              <w:rPr/>
            </w:pPr>
            <w:r>
              <w:rPr/>
              <w:t>•  </w:t>
            </w:r>
            <w:r>
              <w:rPr>
                <w:rFonts w:ascii="ARIAL" w:hAnsi="ARIAL"/>
                <w:sz w:val="17"/>
              </w:rPr>
              <w:t xml:space="preserve">Extensive knowledge of the building materials industry </w:t>
            </w:r>
          </w:p>
          <w:p>
            <w:pPr>
              <w:pStyle w:val="TableContents"/>
              <w:spacing w:before="0" w:after="0"/>
              <w:rPr/>
            </w:pPr>
            <w:r>
              <w:rPr/>
              <w:t> </w:t>
            </w:r>
          </w:p>
          <w:p>
            <w:pPr>
              <w:pStyle w:val="TableContents"/>
              <w:spacing w:before="0" w:after="0"/>
              <w:rPr/>
            </w:pPr>
            <w:r>
              <w:rPr/>
              <w:t>•  </w:t>
            </w:r>
            <w:r>
              <w:rPr>
                <w:rFonts w:ascii="ARIAL" w:hAnsi="ARIAL"/>
                <w:sz w:val="17"/>
              </w:rPr>
              <w:t xml:space="preserve">Extensive leadership, business, operating, marketing, mergers and acquisitions, legal, customer-relations, and safety and environmental experience </w:t>
            </w:r>
          </w:p>
          <w:p>
            <w:pPr>
              <w:pStyle w:val="TableContents"/>
              <w:spacing w:before="0" w:after="0"/>
              <w:rPr/>
            </w:pPr>
            <w:r>
              <w:rPr/>
              <w:t> </w:t>
            </w:r>
          </w:p>
          <w:p>
            <w:pPr>
              <w:pStyle w:val="TableContents"/>
              <w:spacing w:before="0" w:after="0"/>
              <w:rPr/>
            </w:pPr>
            <w:r>
              <w:rPr/>
              <w:t>•  </w:t>
            </w:r>
            <w:r>
              <w:rPr>
                <w:rFonts w:ascii="ARIAL" w:hAnsi="ARIAL"/>
                <w:sz w:val="17"/>
              </w:rPr>
              <w:t xml:space="preserve">Understands the competitive nature of the business and has strong management skills, broad executive experience, and corporate governance expertise </w:t>
            </w:r>
          </w:p>
          <w:p>
            <w:pPr>
              <w:pStyle w:val="TableContents"/>
              <w:spacing w:before="0" w:after="0"/>
              <w:rPr/>
            </w:pPr>
            <w:r>
              <w:rPr/>
              <w:t> </w:t>
            </w:r>
          </w:p>
          <w:p>
            <w:pPr>
              <w:pStyle w:val="TableContents"/>
              <w:spacing w:before="0" w:after="20"/>
              <w:rPr/>
            </w:pPr>
            <w:r>
              <w:rPr/>
              <w:t>•  </w:t>
            </w:r>
            <w:r>
              <w:rPr>
                <w:rFonts w:ascii="ARIAL" w:hAnsi="ARIAL"/>
                <w:sz w:val="17"/>
              </w:rPr>
              <w:t>Broad strategic vision for the future growth of Martin Marietta</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71" w:type="dxa"/>
            <w:tcBorders/>
            <w:shd w:fill="auto" w:val="clear"/>
            <w:vAlign w:val="center"/>
          </w:tcPr>
          <w:p>
            <w:pPr>
              <w:pStyle w:val="TableContents"/>
              <w:spacing w:before="0" w:after="283"/>
              <w:rPr>
                <w:sz w:val="4"/>
                <w:szCs w:val="4"/>
              </w:rPr>
            </w:pPr>
            <w:r>
              <w:rPr>
                <w:sz w:val="4"/>
                <w:szCs w:val="4"/>
              </w:rPr>
            </w:r>
          </w:p>
        </w:tc>
      </w:tr>
      <w:tr>
        <w:trPr/>
        <w:tc>
          <w:tcPr>
            <w:tcW w:w="1895" w:type="dxa"/>
            <w:tcBorders>
              <w:top w:val="single" w:sz="32" w:space="0" w:color="007CBA"/>
            </w:tcBorders>
            <w:shd w:fill="auto" w:val="clear"/>
            <w:tcMar>
              <w:top w:w="28" w:type="dxa"/>
            </w:tcMar>
            <w:vAlign w:val="center"/>
          </w:tcPr>
          <w:p>
            <w:pPr>
              <w:pStyle w:val="TableContents"/>
              <w:spacing w:before="0" w:after="283"/>
              <w:rPr/>
            </w:pPr>
            <w:r>
              <w:rPr/>
              <w:t> </w:t>
            </w:r>
          </w:p>
        </w:tc>
        <w:tc>
          <w:tcPr>
            <w:tcW w:w="6779" w:type="dxa"/>
            <w:gridSpan w:val="2"/>
            <w:tcBorders>
              <w:top w:val="single" w:sz="32" w:space="0" w:color="007CBA"/>
            </w:tcBorders>
            <w:shd w:fill="auto" w:val="clear"/>
            <w:tcMar>
              <w:top w:w="28" w:type="dxa"/>
            </w:tcMar>
            <w:vAlign w:val="center"/>
          </w:tcPr>
          <w:p>
            <w:pPr>
              <w:pStyle w:val="TableContents"/>
              <w:spacing w:before="0" w:after="283"/>
              <w:rPr/>
            </w:pPr>
            <w:r>
              <w:rPr/>
              <w:t> </w:t>
            </w:r>
          </w:p>
        </w:tc>
        <w:tc>
          <w:tcPr>
            <w:tcW w:w="1531" w:type="dxa"/>
            <w:gridSpan w:val="2"/>
            <w:tcBorders>
              <w:top w:val="single" w:sz="32" w:space="0" w:color="007CBA"/>
              <w:left w:val="dotted" w:sz="8" w:space="0" w:color="CCCCCC"/>
            </w:tcBorders>
            <w:shd w:fill="auto" w:val="clear"/>
            <w:tcMar>
              <w:top w:w="28" w:type="dxa"/>
              <w:left w:w="28" w:type="dxa"/>
            </w:tcMar>
            <w:vAlign w:val="center"/>
          </w:tcPr>
          <w:p>
            <w:pPr>
              <w:pStyle w:val="TableContents"/>
              <w:spacing w:before="0" w:after="283"/>
              <w:rPr/>
            </w:pPr>
            <w:r>
              <w:rPr/>
              <w:t> </w:t>
            </w:r>
          </w:p>
        </w:tc>
      </w:tr>
      <w:tr>
        <w:trPr/>
        <w:tc>
          <w:tcPr>
            <w:tcW w:w="1895" w:type="dxa"/>
            <w:tcBorders/>
            <w:shd w:fill="auto" w:val="clear"/>
            <w:vAlign w:val="center"/>
          </w:tcPr>
          <w:p>
            <w:pPr>
              <w:pStyle w:val="TableContents"/>
              <w:rPr/>
            </w:pPr>
            <w:r>
              <w:rPr/>
              <w:drawing>
                <wp:inline distT="0" distB="0" distL="0" distR="0">
                  <wp:extent cx="111760" cy="144780"/>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11760" cy="14478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007CBA"/>
                <w:sz w:val="30"/>
              </w:rPr>
            </w:pPr>
            <w:r>
              <w:rPr>
                <w:rFonts w:ascii="ARIAL" w:hAnsi="ARIAL"/>
                <w:b/>
                <w:color w:val="007CBA"/>
                <w:sz w:val="30"/>
              </w:rPr>
              <w:t xml:space="preserve">LAREE E. </w:t>
              <w:br/>
              <w:t>PEREZ</w:t>
            </w:r>
          </w:p>
          <w:p>
            <w:pPr>
              <w:pStyle w:val="TableContents"/>
              <w:spacing w:before="0" w:after="0"/>
              <w:rPr/>
            </w:pPr>
            <w:r>
              <w:rPr/>
              <w:t> </w:t>
            </w:r>
          </w:p>
          <w:p>
            <w:pPr>
              <w:pStyle w:val="TableContents"/>
              <w:spacing w:before="0" w:after="0"/>
              <w:rPr>
                <w:rFonts w:ascii="ARIAL" w:hAnsi="ARIAL"/>
                <w:sz w:val="20"/>
              </w:rPr>
            </w:pPr>
            <w:r>
              <w:rPr>
                <w:rFonts w:ascii="ARIAL" w:hAnsi="ARIAL"/>
                <w:b/>
                <w:color w:val="71BE9A"/>
                <w:sz w:val="20"/>
              </w:rPr>
              <w:t>Director Since:</w:t>
            </w:r>
            <w:r>
              <w:rPr>
                <w:rFonts w:ascii="ARIAL" w:hAnsi="ARIAL"/>
                <w:color w:val="007CBA"/>
                <w:sz w:val="20"/>
              </w:rPr>
              <w:t> 2004</w:t>
            </w:r>
          </w:p>
          <w:p>
            <w:pPr>
              <w:pStyle w:val="TableContents"/>
              <w:spacing w:before="0" w:after="0"/>
              <w:rPr>
                <w:rFonts w:ascii="ARIAL" w:hAnsi="ARIAL"/>
                <w:sz w:val="20"/>
              </w:rPr>
            </w:pPr>
            <w:r>
              <w:rPr>
                <w:rFonts w:ascii="ARIAL" w:hAnsi="ARIAL"/>
                <w:b/>
                <w:color w:val="71BE9A"/>
                <w:sz w:val="20"/>
              </w:rPr>
              <w:t>Age:</w:t>
            </w:r>
            <w:r>
              <w:rPr>
                <w:rFonts w:ascii="ARIAL" w:hAnsi="ARIAL"/>
                <w:color w:val="007CBA"/>
                <w:sz w:val="20"/>
              </w:rPr>
              <w:t xml:space="preserve"> 69</w:t>
            </w:r>
          </w:p>
          <w:p>
            <w:pPr>
              <w:pStyle w:val="TableContents"/>
              <w:spacing w:before="0" w:after="0"/>
              <w:rPr>
                <w:rFonts w:ascii="ARIAL" w:hAnsi="ARIAL"/>
                <w:b/>
                <w:color w:val="71BE9A"/>
                <w:sz w:val="20"/>
              </w:rPr>
            </w:pPr>
            <w:r>
              <w:rPr>
                <w:rFonts w:ascii="ARIAL" w:hAnsi="ARIAL"/>
                <w:b/>
                <w:color w:val="71BE9A"/>
                <w:sz w:val="20"/>
              </w:rPr>
              <w:t>Committees:</w:t>
            </w:r>
          </w:p>
          <w:p>
            <w:pPr>
              <w:pStyle w:val="TableContents"/>
              <w:spacing w:before="0" w:after="0"/>
              <w:rPr/>
            </w:pPr>
            <w:r>
              <w:rPr/>
              <w:t> </w:t>
            </w:r>
          </w:p>
          <w:p>
            <w:pPr>
              <w:pStyle w:val="TableContents"/>
              <w:spacing w:before="0" w:after="0"/>
              <w:rPr/>
            </w:pPr>
            <w:r>
              <w:rPr/>
              <w:t> </w:t>
            </w:r>
          </w:p>
          <w:p>
            <w:pPr>
              <w:pStyle w:val="TableContents"/>
              <w:spacing w:before="0" w:after="20"/>
              <w:rPr/>
            </w:pPr>
            <w:r>
              <w:rPr/>
              <w:drawing>
                <wp:inline distT="0" distB="0" distL="0" distR="0">
                  <wp:extent cx="29210" cy="30480"/>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29210" cy="30480"/>
                          </a:xfrm>
                          <a:prstGeom prst="rect">
                            <a:avLst/>
                          </a:prstGeom>
                        </pic:spPr>
                      </pic:pic>
                    </a:graphicData>
                  </a:graphic>
                </wp:inline>
              </w:drawing>
            </w:r>
            <w:r>
              <w:rPr/>
              <w:t xml:space="preserve">    </w:t>
            </w:r>
            <w:r>
              <w:rPr/>
              <w:drawing>
                <wp:inline distT="0" distB="0" distL="0" distR="0">
                  <wp:extent cx="29210" cy="22860"/>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29210" cy="2286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6659" w:type="dxa"/>
            <w:tcBorders/>
            <w:shd w:fill="auto" w:val="clear"/>
            <w:vAlign w:val="center"/>
          </w:tcPr>
          <w:p>
            <w:pPr>
              <w:pStyle w:val="TableContents"/>
              <w:spacing w:before="0" w:after="0"/>
              <w:rPr>
                <w:rFonts w:ascii="ARIAL" w:hAnsi="ARIAL"/>
                <w:sz w:val="17"/>
              </w:rPr>
            </w:pPr>
            <w:r>
              <w:rPr>
                <w:rFonts w:ascii="ARIAL" w:hAnsi="ARIAL"/>
                <w:sz w:val="17"/>
              </w:rPr>
              <w:t xml:space="preserve">Ms. Perez is an investment consultant with DeRoy &amp; Devereaux, an independent investment adviser, where she has provided client consulting services since 2015. She was previously Owner and Managing Partner of The Medallion Company, LLC, a consulting firm, from 2003 to 2015. Ms. Perez was previously a Director of GenOn Energy, Inc. (NYSE: GEN), one of the largest power producers in the United States, from 2002 to 2012, and served as the Chairman of the audit committee of GenOn Energy, Inc. from 2002 to 2007 and a member of its audit and risk and finance oversight committees from 2008 to 2012. Previously, she was Vice President of Loomis, Sayles &amp; Company, L.P. and co-founder, President and Chief Executive Officer of Medallion Investment Company, Inc. In addition to civic and charitable organizations, Ms. Perez served as Vice Chairman of the Board of Regents at Baylor University and previously served on the Board of Trustees of New Mexico State University, where she was also Chairman of the Board. Ms. Perez earned a Bachelor’s degree from Baylor University in Finance and Economics. </w:t>
            </w:r>
          </w:p>
        </w:tc>
        <w:tc>
          <w:tcPr>
            <w:tcW w:w="60" w:type="dxa"/>
            <w:tcBorders>
              <w:left w:val="dotted" w:sz="8" w:space="0" w:color="CCCCCC"/>
            </w:tcBorders>
            <w:shd w:fill="auto" w:val="clear"/>
            <w:tcMar>
              <w:left w:w="28" w:type="dxa"/>
            </w:tcMar>
            <w:vAlign w:val="center"/>
          </w:tcPr>
          <w:p>
            <w:pPr>
              <w:pStyle w:val="TableContents"/>
              <w:spacing w:before="0" w:after="283"/>
              <w:rPr/>
            </w:pPr>
            <w:r>
              <w:rPr/>
              <w:t> </w:t>
            </w:r>
          </w:p>
        </w:tc>
        <w:tc>
          <w:tcPr>
            <w:tcW w:w="1471" w:type="dxa"/>
            <w:tcBorders/>
            <w:shd w:fill="auto" w:val="clear"/>
            <w:vAlign w:val="center"/>
          </w:tcPr>
          <w:p>
            <w:pPr>
              <w:pStyle w:val="TableContents"/>
              <w:spacing w:before="0" w:after="0"/>
              <w:rPr>
                <w:rFonts w:ascii="ARIAL" w:hAnsi="ARIAL"/>
                <w:b/>
                <w:color w:val="71BE9A"/>
                <w:sz w:val="22"/>
              </w:rPr>
            </w:pPr>
            <w:r>
              <w:rPr>
                <w:rFonts w:ascii="ARIAL" w:hAnsi="ARIAL"/>
                <w:b/>
                <w:color w:val="71BE9A"/>
                <w:sz w:val="22"/>
              </w:rPr>
              <w:t>Key attributes, experience and skills:</w:t>
            </w:r>
          </w:p>
          <w:p>
            <w:pPr>
              <w:pStyle w:val="TableContents"/>
              <w:spacing w:before="0" w:after="0"/>
              <w:rPr/>
            </w:pPr>
            <w:r>
              <w:rPr/>
              <w:t> </w:t>
            </w:r>
          </w:p>
          <w:p>
            <w:pPr>
              <w:pStyle w:val="TableContents"/>
              <w:spacing w:before="0" w:after="0"/>
              <w:rPr/>
            </w:pPr>
            <w:r>
              <w:rPr/>
              <w:t>•  </w:t>
            </w:r>
            <w:r>
              <w:rPr>
                <w:rFonts w:ascii="ARIAL" w:hAnsi="ARIAL"/>
                <w:sz w:val="17"/>
              </w:rPr>
              <w:t xml:space="preserve">Significant business, financial and private investment experience </w:t>
            </w:r>
          </w:p>
          <w:p>
            <w:pPr>
              <w:pStyle w:val="TableContents"/>
              <w:spacing w:before="0" w:after="0"/>
              <w:rPr/>
            </w:pPr>
            <w:r>
              <w:rPr/>
              <w:t> </w:t>
            </w:r>
          </w:p>
          <w:p>
            <w:pPr>
              <w:pStyle w:val="TableContents"/>
              <w:spacing w:before="0" w:after="0"/>
              <w:rPr/>
            </w:pPr>
            <w:r>
              <w:rPr/>
              <w:t>•  </w:t>
            </w:r>
            <w:r>
              <w:rPr>
                <w:rFonts w:ascii="ARIAL" w:hAnsi="ARIAL"/>
                <w:sz w:val="17"/>
              </w:rPr>
              <w:t xml:space="preserve">Significant expertise with respect to financial statements, corporate finance, accounting and capital markets, mergers and acquisitions, and strategic analysis </w:t>
            </w:r>
          </w:p>
          <w:p>
            <w:pPr>
              <w:pStyle w:val="TableContents"/>
              <w:spacing w:before="0" w:after="0"/>
              <w:rPr/>
            </w:pPr>
            <w:r>
              <w:rPr/>
              <w:t> </w:t>
            </w:r>
          </w:p>
          <w:p>
            <w:pPr>
              <w:pStyle w:val="TableContents"/>
              <w:spacing w:before="0" w:after="0"/>
              <w:rPr/>
            </w:pPr>
            <w:r>
              <w:rPr/>
              <w:t>•  </w:t>
            </w:r>
            <w:r>
              <w:rPr>
                <w:rFonts w:ascii="ARIAL" w:hAnsi="ARIAL"/>
                <w:sz w:val="17"/>
              </w:rPr>
              <w:t xml:space="preserve">Insight into auditing best practices </w:t>
            </w:r>
          </w:p>
          <w:p>
            <w:pPr>
              <w:pStyle w:val="TableContents"/>
              <w:spacing w:before="0" w:after="0"/>
              <w:rPr/>
            </w:pPr>
            <w:r>
              <w:rPr/>
              <w:t> </w:t>
            </w:r>
          </w:p>
          <w:p>
            <w:pPr>
              <w:pStyle w:val="TableContents"/>
              <w:spacing w:before="0" w:after="20"/>
              <w:rPr/>
            </w:pPr>
            <w:r>
              <w:rPr/>
              <w:t>•  </w:t>
            </w:r>
            <w:r>
              <w:rPr>
                <w:rFonts w:ascii="ARIAL" w:hAnsi="ARIAL"/>
                <w:sz w:val="17"/>
              </w:rPr>
              <w:t xml:space="preserve">Familiarity with the southwestern United States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64845" cy="45720"/>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664845" cy="45720"/>
                    </a:xfrm>
                    <a:prstGeom prst="rect">
                      <a:avLst/>
                    </a:prstGeom>
                  </pic:spPr>
                </pic:pic>
              </a:graphicData>
            </a:graphic>
          </wp:inline>
        </w:drawing>
      </w:r>
      <w:r>
        <w:rPr/>
        <w:t xml:space="preserve">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25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PROPOSAL 1: ELECTION OF DIRECTORS   ◆</w:t>
      </w:r>
      <w:r>
        <w:rPr>
          <w:rFonts w:ascii="ARIAL" w:hAnsi="ARIAL"/>
          <w:sz w:val="16"/>
        </w:rPr>
        <w:t xml:space="preserve">  DIRECTOR NOMINEES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95"/>
        <w:gridCol w:w="120"/>
        <w:gridCol w:w="6697"/>
        <w:gridCol w:w="60"/>
        <w:gridCol w:w="1433"/>
      </w:tblGrid>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r>
      <w:tr>
        <w:trPr/>
        <w:tc>
          <w:tcPr>
            <w:tcW w:w="1895" w:type="dxa"/>
            <w:tcBorders>
              <w:top w:val="single" w:sz="32" w:space="0" w:color="007CBA"/>
            </w:tcBorders>
            <w:shd w:fill="auto" w:val="clear"/>
            <w:tcMar>
              <w:top w:w="28" w:type="dxa"/>
            </w:tcMar>
            <w:vAlign w:val="center"/>
          </w:tcPr>
          <w:p>
            <w:pPr>
              <w:pStyle w:val="TableContents"/>
              <w:spacing w:before="0" w:after="283"/>
              <w:rPr/>
            </w:pPr>
            <w:r>
              <w:rPr/>
              <w:t> </w:t>
            </w:r>
          </w:p>
        </w:tc>
        <w:tc>
          <w:tcPr>
            <w:tcW w:w="6817" w:type="dxa"/>
            <w:gridSpan w:val="2"/>
            <w:tcBorders>
              <w:top w:val="single" w:sz="32" w:space="0" w:color="007CBA"/>
            </w:tcBorders>
            <w:shd w:fill="auto" w:val="clear"/>
            <w:tcMar>
              <w:top w:w="28" w:type="dxa"/>
            </w:tcMar>
            <w:vAlign w:val="center"/>
          </w:tcPr>
          <w:p>
            <w:pPr>
              <w:pStyle w:val="TableContents"/>
              <w:spacing w:before="0" w:after="283"/>
              <w:rPr/>
            </w:pPr>
            <w:r>
              <w:rPr/>
              <w:t> </w:t>
            </w:r>
          </w:p>
        </w:tc>
        <w:tc>
          <w:tcPr>
            <w:tcW w:w="1493" w:type="dxa"/>
            <w:gridSpan w:val="2"/>
            <w:tcBorders>
              <w:top w:val="single" w:sz="32" w:space="0" w:color="007CBA"/>
              <w:left w:val="dotted" w:sz="8" w:space="0" w:color="CCCCCC"/>
            </w:tcBorders>
            <w:shd w:fill="auto" w:val="clear"/>
            <w:tcMar>
              <w:top w:w="28" w:type="dxa"/>
              <w:left w:w="28" w:type="dxa"/>
            </w:tcMar>
            <w:vAlign w:val="center"/>
          </w:tcPr>
          <w:p>
            <w:pPr>
              <w:pStyle w:val="TableContents"/>
              <w:spacing w:before="0" w:after="283"/>
              <w:rPr/>
            </w:pPr>
            <w:r>
              <w:rPr/>
              <w:t> </w:t>
            </w:r>
          </w:p>
        </w:tc>
      </w:tr>
      <w:tr>
        <w:trPr/>
        <w:tc>
          <w:tcPr>
            <w:tcW w:w="1895" w:type="dxa"/>
            <w:tcBorders/>
            <w:shd w:fill="auto" w:val="clear"/>
            <w:vAlign w:val="center"/>
          </w:tcPr>
          <w:p>
            <w:pPr>
              <w:pStyle w:val="TableContents"/>
              <w:rPr/>
            </w:pPr>
            <w:r>
              <w:rPr/>
              <w:drawing>
                <wp:inline distT="0" distB="0" distL="0" distR="0">
                  <wp:extent cx="111760" cy="144780"/>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111760" cy="14478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007CBA"/>
                <w:sz w:val="30"/>
              </w:rPr>
            </w:pPr>
            <w:r>
              <w:rPr>
                <w:rFonts w:ascii="ARIAL" w:hAnsi="ARIAL"/>
                <w:b/>
                <w:color w:val="007CBA"/>
                <w:sz w:val="30"/>
              </w:rPr>
              <w:t xml:space="preserve">THOMAS H. </w:t>
              <w:br/>
              <w:t>PIKE</w:t>
            </w:r>
          </w:p>
          <w:p>
            <w:pPr>
              <w:pStyle w:val="TableContents"/>
              <w:spacing w:before="0" w:after="0"/>
              <w:rPr/>
            </w:pPr>
            <w:r>
              <w:rPr/>
              <w:t> </w:t>
            </w:r>
          </w:p>
          <w:p>
            <w:pPr>
              <w:pStyle w:val="TableContents"/>
              <w:spacing w:before="0" w:after="0"/>
              <w:rPr>
                <w:rFonts w:ascii="ARIAL" w:hAnsi="ARIAL"/>
                <w:sz w:val="20"/>
              </w:rPr>
            </w:pPr>
            <w:r>
              <w:rPr>
                <w:rFonts w:ascii="ARIAL" w:hAnsi="ARIAL"/>
                <w:b/>
                <w:color w:val="71BE9A"/>
                <w:sz w:val="20"/>
              </w:rPr>
              <w:t>Director Since:</w:t>
            </w:r>
            <w:r>
              <w:rPr>
                <w:rFonts w:ascii="ARIAL" w:hAnsi="ARIAL"/>
                <w:color w:val="007CBA"/>
                <w:sz w:val="20"/>
              </w:rPr>
              <w:t> 2019</w:t>
            </w:r>
          </w:p>
          <w:p>
            <w:pPr>
              <w:pStyle w:val="TableContents"/>
              <w:spacing w:before="0" w:after="0"/>
              <w:rPr>
                <w:rFonts w:ascii="ARIAL" w:hAnsi="ARIAL"/>
                <w:sz w:val="20"/>
              </w:rPr>
            </w:pPr>
            <w:r>
              <w:rPr>
                <w:rFonts w:ascii="ARIAL" w:hAnsi="ARIAL"/>
                <w:b/>
                <w:color w:val="71BE9A"/>
                <w:sz w:val="20"/>
              </w:rPr>
              <w:t>Age:</w:t>
            </w:r>
            <w:r>
              <w:rPr>
                <w:rFonts w:ascii="ARIAL" w:hAnsi="ARIAL"/>
                <w:color w:val="007CBA"/>
                <w:sz w:val="20"/>
              </w:rPr>
              <w:t xml:space="preserve"> 63</w:t>
            </w:r>
          </w:p>
          <w:p>
            <w:pPr>
              <w:pStyle w:val="TableContents"/>
              <w:spacing w:before="0" w:after="0"/>
              <w:rPr>
                <w:rFonts w:ascii="ARIAL" w:hAnsi="ARIAL"/>
                <w:b/>
                <w:color w:val="71BE9A"/>
                <w:sz w:val="20"/>
              </w:rPr>
            </w:pPr>
            <w:r>
              <w:rPr>
                <w:rFonts w:ascii="ARIAL" w:hAnsi="ARIAL"/>
                <w:b/>
                <w:color w:val="71BE9A"/>
                <w:sz w:val="20"/>
              </w:rPr>
              <w:t>Committees:</w:t>
            </w:r>
          </w:p>
          <w:p>
            <w:pPr>
              <w:pStyle w:val="TableContents"/>
              <w:spacing w:before="0" w:after="0"/>
              <w:rPr/>
            </w:pPr>
            <w:r>
              <w:rPr/>
              <w:t> </w:t>
            </w:r>
          </w:p>
          <w:p>
            <w:pPr>
              <w:pStyle w:val="TableContents"/>
              <w:spacing w:before="0" w:after="0"/>
              <w:rPr/>
            </w:pPr>
            <w:r>
              <w:rPr/>
              <w:t> </w:t>
            </w:r>
          </w:p>
          <w:p>
            <w:pPr>
              <w:pStyle w:val="TableContents"/>
              <w:spacing w:before="0" w:after="20"/>
              <w:rPr/>
            </w:pPr>
            <w:r>
              <w:rPr/>
              <w:drawing>
                <wp:inline distT="0" distB="0" distL="0" distR="0">
                  <wp:extent cx="19050" cy="33655"/>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19050" cy="33655"/>
                          </a:xfrm>
                          <a:prstGeom prst="rect">
                            <a:avLst/>
                          </a:prstGeom>
                        </pic:spPr>
                      </pic:pic>
                    </a:graphicData>
                  </a:graphic>
                </wp:inline>
              </w:drawing>
            </w:r>
            <w:r>
              <w:rPr/>
              <w:t xml:space="preserve">    </w:t>
            </w:r>
            <w:r>
              <w:rPr/>
              <w:drawing>
                <wp:inline distT="0" distB="0" distL="0" distR="0">
                  <wp:extent cx="27940" cy="23495"/>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27940" cy="2349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0"/>
              <w:rPr>
                <w:rFonts w:ascii="ARIAL" w:hAnsi="ARIAL"/>
                <w:sz w:val="17"/>
              </w:rPr>
            </w:pPr>
            <w:r>
              <w:rPr>
                <w:rFonts w:ascii="ARIAL" w:hAnsi="ARIAL"/>
                <w:sz w:val="17"/>
              </w:rPr>
              <w:t xml:space="preserve">Mr. Pike joined the Martin Marietta Board in July 2019. In January 2023, Mr. Pike was appointed President and CEO of Clinical Development at Labcorp. As previously announced by Labcorp, Clinical Development is planned to be spun out later this year as an independent company, where Mr. Pike will serve as Chairman of the Board and CEO. Mr. Pike served as Chief Executive Officer and a member of the Board of Directors of Quintiles Transnational Holdings, Inc. (Quintiles) from April 2012 until its merger with IMS Health in December 2016 to create IQVIA (NYSE:IQV). Before its merger with IMS, Quintiles had a network of more than 35,000 employees conducting business in approximately 100 countries. Mr. Pike led Quintiles through a successful public offering and helped grow into a Fortune 500 company. Under Mr. Pike’s leadership, Quintiles was named one of the world’s Most Ethical Companies in 2016. Prior to Quintiles, Mr. Pike spent 22 years at Accenture (NYSE: ACN), a leading global professional services company, providing a broad range of services and solutions in strategy, consulting, digital, technology and operations, until December 2009. At Accenture, Mr. Pike’s roles included serving as Chief Risk Officer and Managing Director of the North America Health and Products business areas. He previously served as the global Chief Operating Officer for Accenture’s Resources operating group and had also served as Accenture’s Chief Strategy Officer. Since leaving Accenture in December 2009 and until joining Quintiles in April 2012, Mr. Pike was involved with a number of start-ups in the technology and healthcare sectors. Early in his career Mr. Pike was a consultant with McKinsey &amp; Company. Mr. Pike earned his Bachelor’s degree in accounting from the University of Delaware. </w:t>
            </w:r>
          </w:p>
        </w:tc>
        <w:tc>
          <w:tcPr>
            <w:tcW w:w="60" w:type="dxa"/>
            <w:tcBorders>
              <w:left w:val="dotted" w:sz="8" w:space="0" w:color="CCCCCC"/>
            </w:tcBorders>
            <w:shd w:fill="auto" w:val="clear"/>
            <w:tcMar>
              <w:left w:w="28" w:type="dxa"/>
            </w:tcMar>
            <w:vAlign w:val="center"/>
          </w:tcPr>
          <w:p>
            <w:pPr>
              <w:pStyle w:val="TableContents"/>
              <w:spacing w:before="0" w:after="283"/>
              <w:rPr/>
            </w:pPr>
            <w:r>
              <w:rPr/>
              <w:t> </w:t>
            </w:r>
          </w:p>
        </w:tc>
        <w:tc>
          <w:tcPr>
            <w:tcW w:w="1433" w:type="dxa"/>
            <w:tcBorders/>
            <w:shd w:fill="auto" w:val="clear"/>
            <w:vAlign w:val="center"/>
          </w:tcPr>
          <w:p>
            <w:pPr>
              <w:pStyle w:val="TableContents"/>
              <w:spacing w:before="0" w:after="0"/>
              <w:rPr>
                <w:rFonts w:ascii="ARIAL" w:hAnsi="ARIAL"/>
                <w:b/>
                <w:color w:val="71BE9A"/>
                <w:sz w:val="22"/>
              </w:rPr>
            </w:pPr>
            <w:r>
              <w:rPr>
                <w:rFonts w:ascii="ARIAL" w:hAnsi="ARIAL"/>
                <w:b/>
                <w:color w:val="71BE9A"/>
                <w:sz w:val="22"/>
              </w:rPr>
              <w:t>Key attributes, experience and skills:</w:t>
            </w:r>
          </w:p>
          <w:p>
            <w:pPr>
              <w:pStyle w:val="TableContents"/>
              <w:spacing w:before="0" w:after="0"/>
              <w:rPr/>
            </w:pPr>
            <w:r>
              <w:rPr/>
              <w:t> </w:t>
            </w:r>
          </w:p>
          <w:p>
            <w:pPr>
              <w:pStyle w:val="TableContents"/>
              <w:spacing w:before="0" w:after="0"/>
              <w:rPr/>
            </w:pPr>
            <w:r>
              <w:rPr/>
              <w:t>•  </w:t>
            </w:r>
            <w:r>
              <w:rPr>
                <w:rFonts w:ascii="ARIAL" w:hAnsi="ARIAL"/>
                <w:sz w:val="17"/>
              </w:rPr>
              <w:t xml:space="preserve">More than 15 years of C-Suite experience </w:t>
            </w:r>
          </w:p>
          <w:p>
            <w:pPr>
              <w:pStyle w:val="TableContents"/>
              <w:spacing w:before="0" w:after="0"/>
              <w:rPr/>
            </w:pPr>
            <w:r>
              <w:rPr/>
              <w:t> </w:t>
            </w:r>
          </w:p>
          <w:p>
            <w:pPr>
              <w:pStyle w:val="TableContents"/>
              <w:spacing w:before="0" w:after="0"/>
              <w:rPr/>
            </w:pPr>
            <w:r>
              <w:rPr/>
              <w:t>•  </w:t>
            </w:r>
            <w:r>
              <w:rPr>
                <w:rFonts w:ascii="ARIAL" w:hAnsi="ARIAL"/>
                <w:sz w:val="17"/>
              </w:rPr>
              <w:t xml:space="preserve">Broad strategic and financial experience </w:t>
            </w:r>
          </w:p>
          <w:p>
            <w:pPr>
              <w:pStyle w:val="TableContents"/>
              <w:spacing w:before="0" w:after="0"/>
              <w:rPr/>
            </w:pPr>
            <w:r>
              <w:rPr/>
              <w:t> </w:t>
            </w:r>
          </w:p>
          <w:p>
            <w:pPr>
              <w:pStyle w:val="TableContents"/>
              <w:spacing w:before="0" w:after="0"/>
              <w:rPr/>
            </w:pPr>
            <w:r>
              <w:rPr/>
              <w:t>•  </w:t>
            </w:r>
            <w:r>
              <w:rPr>
                <w:rFonts w:ascii="ARIAL" w:hAnsi="ARIAL"/>
                <w:sz w:val="17"/>
              </w:rPr>
              <w:t xml:space="preserve">Extensive experience in mergers and acquisitions, integration, and strategic development and analysis </w:t>
            </w:r>
          </w:p>
          <w:p>
            <w:pPr>
              <w:pStyle w:val="TableContents"/>
              <w:spacing w:before="0" w:after="0"/>
              <w:rPr/>
            </w:pPr>
            <w:r>
              <w:rPr/>
              <w:t> </w:t>
            </w:r>
          </w:p>
          <w:p>
            <w:pPr>
              <w:pStyle w:val="TableContents"/>
              <w:spacing w:before="0" w:after="0"/>
              <w:rPr/>
            </w:pPr>
            <w:r>
              <w:rPr/>
              <w:t>•  </w:t>
            </w:r>
            <w:r>
              <w:rPr>
                <w:rFonts w:ascii="ARIAL" w:hAnsi="ARIAL"/>
                <w:sz w:val="17"/>
              </w:rPr>
              <w:t xml:space="preserve">Significant mentorship, business and operating experience in a public company </w:t>
            </w:r>
          </w:p>
          <w:p>
            <w:pPr>
              <w:pStyle w:val="TableContents"/>
              <w:spacing w:before="0" w:after="0"/>
              <w:rPr/>
            </w:pPr>
            <w:r>
              <w:rPr/>
              <w:t> </w:t>
            </w:r>
          </w:p>
          <w:p>
            <w:pPr>
              <w:pStyle w:val="TableContents"/>
              <w:spacing w:before="0" w:after="20"/>
              <w:rPr/>
            </w:pPr>
            <w:r>
              <w:rPr/>
              <w:t>•  </w:t>
            </w:r>
            <w:r>
              <w:rPr>
                <w:rFonts w:ascii="ARIAL" w:hAnsi="ARIAL"/>
                <w:sz w:val="17"/>
              </w:rPr>
              <w:t xml:space="preserve">Valuable knowledge of financial system management, public company accounting, disclosure requirements and financial markets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33" w:type="dxa"/>
            <w:tcBorders/>
            <w:shd w:fill="auto" w:val="clear"/>
            <w:vAlign w:val="center"/>
          </w:tcPr>
          <w:p>
            <w:pPr>
              <w:pStyle w:val="TableContents"/>
              <w:spacing w:before="0" w:after="283"/>
              <w:rPr>
                <w:sz w:val="4"/>
                <w:szCs w:val="4"/>
              </w:rPr>
            </w:pPr>
            <w:r>
              <w:rPr>
                <w:sz w:val="4"/>
                <w:szCs w:val="4"/>
              </w:rPr>
            </w:r>
          </w:p>
        </w:tc>
      </w:tr>
      <w:tr>
        <w:trPr/>
        <w:tc>
          <w:tcPr>
            <w:tcW w:w="1895" w:type="dxa"/>
            <w:tcBorders>
              <w:top w:val="single" w:sz="32" w:space="0" w:color="007CBA"/>
            </w:tcBorders>
            <w:shd w:fill="auto" w:val="clear"/>
            <w:tcMar>
              <w:top w:w="28" w:type="dxa"/>
            </w:tcMar>
            <w:vAlign w:val="center"/>
          </w:tcPr>
          <w:p>
            <w:pPr>
              <w:pStyle w:val="TableContents"/>
              <w:spacing w:before="0" w:after="283"/>
              <w:rPr/>
            </w:pPr>
            <w:r>
              <w:rPr/>
              <w:t> </w:t>
            </w:r>
          </w:p>
        </w:tc>
        <w:tc>
          <w:tcPr>
            <w:tcW w:w="6817" w:type="dxa"/>
            <w:gridSpan w:val="2"/>
            <w:tcBorders>
              <w:top w:val="single" w:sz="32" w:space="0" w:color="007CBA"/>
            </w:tcBorders>
            <w:shd w:fill="auto" w:val="clear"/>
            <w:tcMar>
              <w:top w:w="28" w:type="dxa"/>
            </w:tcMar>
            <w:vAlign w:val="center"/>
          </w:tcPr>
          <w:p>
            <w:pPr>
              <w:pStyle w:val="TableContents"/>
              <w:spacing w:before="0" w:after="283"/>
              <w:rPr/>
            </w:pPr>
            <w:r>
              <w:rPr/>
              <w:t> </w:t>
            </w:r>
          </w:p>
        </w:tc>
        <w:tc>
          <w:tcPr>
            <w:tcW w:w="1493" w:type="dxa"/>
            <w:gridSpan w:val="2"/>
            <w:tcBorders>
              <w:top w:val="single" w:sz="32" w:space="0" w:color="007CBA"/>
              <w:left w:val="dotted" w:sz="8" w:space="0" w:color="CCCCCC"/>
            </w:tcBorders>
            <w:shd w:fill="auto" w:val="clear"/>
            <w:tcMar>
              <w:top w:w="28" w:type="dxa"/>
              <w:left w:w="28" w:type="dxa"/>
            </w:tcMar>
            <w:vAlign w:val="center"/>
          </w:tcPr>
          <w:p>
            <w:pPr>
              <w:pStyle w:val="TableContents"/>
              <w:spacing w:before="0" w:after="283"/>
              <w:rPr/>
            </w:pPr>
            <w:r>
              <w:rPr/>
              <w:t> </w:t>
            </w:r>
          </w:p>
        </w:tc>
      </w:tr>
      <w:tr>
        <w:trPr/>
        <w:tc>
          <w:tcPr>
            <w:tcW w:w="1895" w:type="dxa"/>
            <w:tcBorders/>
            <w:shd w:fill="auto" w:val="clear"/>
            <w:vAlign w:val="center"/>
          </w:tcPr>
          <w:p>
            <w:pPr>
              <w:pStyle w:val="TableContents"/>
              <w:rPr/>
            </w:pPr>
            <w:r>
              <w:rPr/>
              <w:drawing>
                <wp:inline distT="0" distB="0" distL="0" distR="0">
                  <wp:extent cx="111760" cy="144145"/>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111760" cy="14414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007CBA"/>
                <w:sz w:val="30"/>
              </w:rPr>
            </w:pPr>
            <w:r>
              <w:rPr>
                <w:rFonts w:ascii="ARIAL" w:hAnsi="ARIAL"/>
                <w:b/>
                <w:color w:val="007CBA"/>
                <w:sz w:val="30"/>
              </w:rPr>
              <w:t>MICHAEL J.</w:t>
              <w:br/>
              <w:t>QUILLEN</w:t>
            </w:r>
          </w:p>
          <w:p>
            <w:pPr>
              <w:pStyle w:val="TableContents"/>
              <w:spacing w:before="0" w:after="0"/>
              <w:rPr/>
            </w:pPr>
            <w:r>
              <w:rPr/>
              <w:t> </w:t>
            </w:r>
          </w:p>
          <w:p>
            <w:pPr>
              <w:pStyle w:val="TableContents"/>
              <w:spacing w:before="0" w:after="0"/>
              <w:rPr>
                <w:rFonts w:ascii="ARIAL" w:hAnsi="ARIAL"/>
                <w:sz w:val="20"/>
              </w:rPr>
            </w:pPr>
            <w:r>
              <w:rPr>
                <w:rFonts w:ascii="ARIAL" w:hAnsi="ARIAL"/>
                <w:b/>
                <w:color w:val="71BE9A"/>
                <w:sz w:val="20"/>
              </w:rPr>
              <w:t>Director Since:</w:t>
            </w:r>
            <w:r>
              <w:rPr>
                <w:rFonts w:ascii="ARIAL" w:hAnsi="ARIAL"/>
                <w:color w:val="007CBA"/>
                <w:sz w:val="20"/>
              </w:rPr>
              <w:t> 2008</w:t>
            </w:r>
          </w:p>
          <w:p>
            <w:pPr>
              <w:pStyle w:val="TableContents"/>
              <w:spacing w:before="0" w:after="0"/>
              <w:rPr>
                <w:rFonts w:ascii="ARIAL" w:hAnsi="ARIAL"/>
                <w:sz w:val="20"/>
              </w:rPr>
            </w:pPr>
            <w:r>
              <w:rPr>
                <w:rFonts w:ascii="ARIAL" w:hAnsi="ARIAL"/>
                <w:b/>
                <w:color w:val="71BE9A"/>
                <w:sz w:val="20"/>
              </w:rPr>
              <w:t>Age:</w:t>
            </w:r>
            <w:r>
              <w:rPr>
                <w:rFonts w:ascii="ARIAL" w:hAnsi="ARIAL"/>
                <w:color w:val="007CBA"/>
                <w:sz w:val="20"/>
              </w:rPr>
              <w:t xml:space="preserve"> 74</w:t>
            </w:r>
          </w:p>
          <w:p>
            <w:pPr>
              <w:pStyle w:val="TableContents"/>
              <w:spacing w:before="0" w:after="0"/>
              <w:rPr>
                <w:rFonts w:ascii="ARIAL" w:hAnsi="ARIAL"/>
                <w:b/>
                <w:color w:val="71BE9A"/>
                <w:sz w:val="20"/>
              </w:rPr>
            </w:pPr>
            <w:r>
              <w:rPr>
                <w:rFonts w:ascii="ARIAL" w:hAnsi="ARIAL"/>
                <w:b/>
                <w:color w:val="71BE9A"/>
                <w:sz w:val="20"/>
              </w:rPr>
              <w:t>Committees:</w:t>
            </w:r>
          </w:p>
          <w:p>
            <w:pPr>
              <w:pStyle w:val="TableContents"/>
              <w:spacing w:before="0" w:after="0"/>
              <w:rPr/>
            </w:pPr>
            <w:r>
              <w:rPr/>
              <w:t> </w:t>
            </w:r>
          </w:p>
          <w:p>
            <w:pPr>
              <w:pStyle w:val="TableContents"/>
              <w:spacing w:before="0" w:after="0"/>
              <w:rPr/>
            </w:pPr>
            <w:r>
              <w:rPr/>
              <w:t> </w:t>
            </w:r>
          </w:p>
          <w:p>
            <w:pPr>
              <w:pStyle w:val="TableContents"/>
              <w:spacing w:before="0" w:after="0"/>
              <w:rPr/>
            </w:pPr>
            <w:r>
              <w:rPr/>
              <w:drawing>
                <wp:inline distT="0" distB="0" distL="0" distR="0">
                  <wp:extent cx="19050" cy="33655"/>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19050" cy="33655"/>
                          </a:xfrm>
                          <a:prstGeom prst="rect">
                            <a:avLst/>
                          </a:prstGeom>
                        </pic:spPr>
                      </pic:pic>
                    </a:graphicData>
                  </a:graphic>
                </wp:inline>
              </w:drawing>
            </w:r>
            <w:r>
              <w:rPr/>
              <w:t xml:space="preserve">    </w:t>
            </w:r>
            <w:r>
              <w:rPr/>
              <w:drawing>
                <wp:inline distT="0" distB="0" distL="0" distR="0">
                  <wp:extent cx="20955" cy="23495"/>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20955" cy="23495"/>
                          </a:xfrm>
                          <a:prstGeom prst="rect">
                            <a:avLst/>
                          </a:prstGeom>
                        </pic:spPr>
                      </pic:pic>
                    </a:graphicData>
                  </a:graphic>
                </wp:inline>
              </w:drawing>
            </w:r>
            <w:r>
              <w:rPr/>
              <w:t xml:space="preserve">    </w:t>
            </w:r>
            <w:r>
              <w:rPr/>
              <w:drawing>
                <wp:inline distT="0" distB="0" distL="0" distR="0">
                  <wp:extent cx="27940" cy="23495"/>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27940" cy="23495"/>
                          </a:xfrm>
                          <a:prstGeom prst="rect">
                            <a:avLst/>
                          </a:prstGeom>
                        </pic:spPr>
                      </pic:pic>
                    </a:graphicData>
                  </a:graphic>
                </wp:inline>
              </w:drawing>
            </w:r>
            <w:r>
              <w:rPr/>
              <w:t xml:space="preserve"> </w:t>
            </w:r>
          </w:p>
          <w:p>
            <w:pPr>
              <w:pStyle w:val="TableContents"/>
              <w:spacing w:before="0" w:after="20"/>
              <w:rPr>
                <w:rFonts w:ascii="ARIAL" w:hAnsi="ARIAL"/>
                <w:color w:val="007CBA"/>
                <w:sz w:val="20"/>
              </w:rPr>
            </w:pPr>
            <w:r>
              <w:rPr>
                <w:rFonts w:ascii="ARIAL" w:hAnsi="ARIAL"/>
                <w:color w:val="007CBA"/>
                <w:sz w:val="20"/>
              </w:rPr>
              <w:t>Chair</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0"/>
              <w:rPr>
                <w:rFonts w:ascii="ARIAL" w:hAnsi="ARIAL"/>
                <w:sz w:val="17"/>
              </w:rPr>
            </w:pPr>
            <w:r>
              <w:rPr>
                <w:rFonts w:ascii="ARIAL" w:hAnsi="ARIAL"/>
                <w:sz w:val="17"/>
              </w:rPr>
              <w:t xml:space="preserve">Mr. Quillen was the founder and served as Chief Executive Officer of Alpha Natural Resources, Inc. (NYSE: ANR), a leading eastern United States coal supplier, from its formation in 2004 until its merger with Foundation Coal Holdings, Inc. in July 2009, and served as President and Chairman of ANR from 2006 to 2009, and non-Executive Chairman until May 2012. Mr. Quillen held senior executive positions in the coal industry throughout his career at Pittston/Pittston Coal Sales Corp., AMVEST Corporation, NERCO Coal Corporation, Addington, Inc. and Mid-Vol Leasing, Inc. Mr. Quillen also serves as an independent director of Alpha Metallurgical Resources, Inc., a leading coal supplier with underground and surface coal mining complexes across Northern and Central Appalachia. He has also served as Chairman (Rector) of the Board of Visitors of Virginia Polytechnic Institute and State University from July 2012 to June 2018. He was Chairman of the audit and finance committee of Virginia Polytechnic Institute and State University from July 2010 to June 2012. He also served on the Virginia Port Authority from 2003 to 2012 and as Chairman from July 2011 to December 2012. Mr. Quillen currently serves as Chairman of the Southwest Virginia Energy Authority, created by the Virginia General Assembly to review and promote the development of alternate energy sources. Mr. Quillen attended Virginia Polytechnic Institute and State University, earning both Bachelor’s and Master’s degrees in Civil Engineering. </w:t>
            </w:r>
          </w:p>
        </w:tc>
        <w:tc>
          <w:tcPr>
            <w:tcW w:w="60" w:type="dxa"/>
            <w:tcBorders>
              <w:left w:val="dotted" w:sz="8" w:space="0" w:color="CCCCCC"/>
            </w:tcBorders>
            <w:shd w:fill="auto" w:val="clear"/>
            <w:tcMar>
              <w:left w:w="28" w:type="dxa"/>
            </w:tcMar>
            <w:vAlign w:val="center"/>
          </w:tcPr>
          <w:p>
            <w:pPr>
              <w:pStyle w:val="TableContents"/>
              <w:spacing w:before="0" w:after="283"/>
              <w:rPr/>
            </w:pPr>
            <w:r>
              <w:rPr/>
              <w:t> </w:t>
            </w:r>
          </w:p>
        </w:tc>
        <w:tc>
          <w:tcPr>
            <w:tcW w:w="1433" w:type="dxa"/>
            <w:tcBorders/>
            <w:shd w:fill="auto" w:val="clear"/>
            <w:vAlign w:val="center"/>
          </w:tcPr>
          <w:p>
            <w:pPr>
              <w:pStyle w:val="TableContents"/>
              <w:spacing w:before="0" w:after="0"/>
              <w:rPr>
                <w:rFonts w:ascii="ARIAL" w:hAnsi="ARIAL"/>
                <w:b/>
                <w:color w:val="71BE9A"/>
                <w:sz w:val="22"/>
              </w:rPr>
            </w:pPr>
            <w:r>
              <w:rPr>
                <w:rFonts w:ascii="ARIAL" w:hAnsi="ARIAL"/>
                <w:b/>
                <w:color w:val="71BE9A"/>
                <w:sz w:val="22"/>
              </w:rPr>
              <w:t>Key attributes, experience and skills:</w:t>
            </w:r>
          </w:p>
          <w:p>
            <w:pPr>
              <w:pStyle w:val="TableContents"/>
              <w:spacing w:before="0" w:after="0"/>
              <w:rPr/>
            </w:pPr>
            <w:r>
              <w:rPr/>
              <w:t> </w:t>
            </w:r>
          </w:p>
          <w:p>
            <w:pPr>
              <w:pStyle w:val="TableContents"/>
              <w:spacing w:before="0" w:after="0"/>
              <w:rPr/>
            </w:pPr>
            <w:r>
              <w:rPr/>
              <w:t>•  </w:t>
            </w:r>
            <w:r>
              <w:rPr>
                <w:rFonts w:ascii="ARIAL" w:hAnsi="ARIAL"/>
                <w:sz w:val="17"/>
              </w:rPr>
              <w:t xml:space="preserve">Valuable business, leadership, management, financial, and mergers and acquisitions experience </w:t>
            </w:r>
          </w:p>
          <w:p>
            <w:pPr>
              <w:pStyle w:val="TableContents"/>
              <w:spacing w:before="0" w:after="0"/>
              <w:rPr/>
            </w:pPr>
            <w:r>
              <w:rPr/>
              <w:t> </w:t>
            </w:r>
          </w:p>
          <w:p>
            <w:pPr>
              <w:pStyle w:val="TableContents"/>
              <w:spacing w:before="0" w:after="0"/>
              <w:rPr/>
            </w:pPr>
            <w:r>
              <w:rPr/>
              <w:t>•  </w:t>
            </w:r>
            <w:r>
              <w:rPr>
                <w:rFonts w:ascii="ARIAL" w:hAnsi="ARIAL"/>
                <w:sz w:val="17"/>
              </w:rPr>
              <w:t xml:space="preserve">Extensive experience related to mining companies, governmental and regulatory issues, safety, health and environmental matters </w:t>
            </w:r>
          </w:p>
          <w:p>
            <w:pPr>
              <w:pStyle w:val="TableContents"/>
              <w:spacing w:before="0" w:after="0"/>
              <w:rPr/>
            </w:pPr>
            <w:r>
              <w:rPr/>
              <w:t> </w:t>
            </w:r>
          </w:p>
          <w:p>
            <w:pPr>
              <w:pStyle w:val="TableContents"/>
              <w:spacing w:before="0" w:after="0"/>
              <w:rPr/>
            </w:pPr>
            <w:r>
              <w:rPr/>
              <w:t>•  </w:t>
            </w:r>
            <w:r>
              <w:rPr>
                <w:rFonts w:ascii="ARIAL" w:hAnsi="ARIAL"/>
                <w:sz w:val="17"/>
              </w:rPr>
              <w:t xml:space="preserve">Tremendous insight and expertise with respect to strategic analysis, the natural resources industry, and energy </w:t>
            </w:r>
          </w:p>
          <w:p>
            <w:pPr>
              <w:pStyle w:val="TableContents"/>
              <w:spacing w:before="0" w:after="0"/>
              <w:rPr/>
            </w:pPr>
            <w:r>
              <w:rPr/>
              <w:t> </w:t>
            </w:r>
          </w:p>
          <w:p>
            <w:pPr>
              <w:pStyle w:val="TableContents"/>
              <w:spacing w:before="0" w:after="20"/>
              <w:rPr/>
            </w:pPr>
            <w:r>
              <w:rPr/>
              <w:t>•  </w:t>
            </w:r>
            <w:r>
              <w:rPr>
                <w:rFonts w:ascii="ARIAL" w:hAnsi="ARIAL"/>
                <w:sz w:val="17"/>
              </w:rPr>
              <w:t xml:space="preserve">Wealth of knowledge related to transportation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64845" cy="45720"/>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664845" cy="45720"/>
                    </a:xfrm>
                    <a:prstGeom prst="rect">
                      <a:avLst/>
                    </a:prstGeom>
                  </pic:spPr>
                </pic:pic>
              </a:graphicData>
            </a:graphic>
          </wp:inline>
        </w:drawing>
      </w:r>
      <w:r>
        <w:rPr/>
        <w:t xml:space="preserve">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26</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DIRECTOR NOMINEES   </w:t>
      </w:r>
      <w:r>
        <w:rPr>
          <w:rFonts w:ascii="ARIAL" w:hAnsi="ARIAL"/>
          <w:color w:val="007CBA"/>
          <w:sz w:val="16"/>
        </w:rPr>
        <w:t xml:space="preserve">◆  PROPOSAL 1: ELECTION OF DIRECTORS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95"/>
        <w:gridCol w:w="120"/>
        <w:gridCol w:w="6529"/>
        <w:gridCol w:w="60"/>
        <w:gridCol w:w="1601"/>
      </w:tblGrid>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r>
      <w:tr>
        <w:trPr/>
        <w:tc>
          <w:tcPr>
            <w:tcW w:w="1895" w:type="dxa"/>
            <w:tcBorders>
              <w:top w:val="single" w:sz="32" w:space="0" w:color="007CBA"/>
            </w:tcBorders>
            <w:shd w:fill="auto" w:val="clear"/>
            <w:tcMar>
              <w:top w:w="28" w:type="dxa"/>
            </w:tcMar>
            <w:vAlign w:val="center"/>
          </w:tcPr>
          <w:p>
            <w:pPr>
              <w:pStyle w:val="TableContents"/>
              <w:spacing w:before="0" w:after="283"/>
              <w:rPr/>
            </w:pPr>
            <w:r>
              <w:rPr/>
              <w:t> </w:t>
            </w:r>
          </w:p>
        </w:tc>
        <w:tc>
          <w:tcPr>
            <w:tcW w:w="6649" w:type="dxa"/>
            <w:gridSpan w:val="2"/>
            <w:tcBorders>
              <w:top w:val="single" w:sz="32" w:space="0" w:color="007CBA"/>
            </w:tcBorders>
            <w:shd w:fill="auto" w:val="clear"/>
            <w:tcMar>
              <w:top w:w="28" w:type="dxa"/>
            </w:tcMar>
            <w:vAlign w:val="center"/>
          </w:tcPr>
          <w:p>
            <w:pPr>
              <w:pStyle w:val="TableContents"/>
              <w:spacing w:before="0" w:after="283"/>
              <w:rPr/>
            </w:pPr>
            <w:r>
              <w:rPr/>
              <w:t> </w:t>
            </w:r>
          </w:p>
        </w:tc>
        <w:tc>
          <w:tcPr>
            <w:tcW w:w="1661" w:type="dxa"/>
            <w:gridSpan w:val="2"/>
            <w:tcBorders>
              <w:top w:val="single" w:sz="32" w:space="0" w:color="007CBA"/>
              <w:left w:val="dotted" w:sz="8" w:space="0" w:color="CCCCCC"/>
            </w:tcBorders>
            <w:shd w:fill="auto" w:val="clear"/>
            <w:tcMar>
              <w:top w:w="28" w:type="dxa"/>
              <w:left w:w="28" w:type="dxa"/>
            </w:tcMar>
            <w:vAlign w:val="center"/>
          </w:tcPr>
          <w:p>
            <w:pPr>
              <w:pStyle w:val="TableContents"/>
              <w:spacing w:before="0" w:after="283"/>
              <w:rPr/>
            </w:pPr>
            <w:r>
              <w:rPr/>
              <w:t> </w:t>
            </w:r>
          </w:p>
        </w:tc>
      </w:tr>
      <w:tr>
        <w:trPr/>
        <w:tc>
          <w:tcPr>
            <w:tcW w:w="1895" w:type="dxa"/>
            <w:tcBorders/>
            <w:shd w:fill="auto" w:val="clear"/>
            <w:vAlign w:val="center"/>
          </w:tcPr>
          <w:p>
            <w:pPr>
              <w:pStyle w:val="TableContents"/>
              <w:rPr/>
            </w:pPr>
            <w:r>
              <w:rPr/>
              <w:drawing>
                <wp:inline distT="0" distB="0" distL="0" distR="0">
                  <wp:extent cx="111760" cy="144780"/>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111760" cy="14478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007CBA"/>
                <w:sz w:val="30"/>
              </w:rPr>
            </w:pPr>
            <w:r>
              <w:rPr>
                <w:rFonts w:ascii="ARIAL" w:hAnsi="ARIAL"/>
                <w:b/>
                <w:color w:val="007CBA"/>
                <w:sz w:val="30"/>
              </w:rPr>
              <w:t>DONALD W.</w:t>
              <w:br/>
              <w:t>SLAGER</w:t>
            </w:r>
          </w:p>
          <w:p>
            <w:pPr>
              <w:pStyle w:val="TableContents"/>
              <w:spacing w:before="0" w:after="0"/>
              <w:rPr/>
            </w:pPr>
            <w:r>
              <w:rPr/>
              <w:t> </w:t>
            </w:r>
          </w:p>
          <w:p>
            <w:pPr>
              <w:pStyle w:val="TableContents"/>
              <w:spacing w:before="0" w:after="0"/>
              <w:rPr>
                <w:rFonts w:ascii="ARIAL" w:hAnsi="ARIAL"/>
                <w:sz w:val="20"/>
              </w:rPr>
            </w:pPr>
            <w:r>
              <w:rPr>
                <w:rFonts w:ascii="ARIAL" w:hAnsi="ARIAL"/>
                <w:b/>
                <w:color w:val="71BE9A"/>
                <w:sz w:val="20"/>
              </w:rPr>
              <w:t>Director Since:</w:t>
            </w:r>
            <w:r>
              <w:rPr>
                <w:rFonts w:ascii="ARIAL" w:hAnsi="ARIAL"/>
                <w:color w:val="007CBA"/>
                <w:sz w:val="20"/>
              </w:rPr>
              <w:t> 2016</w:t>
            </w:r>
          </w:p>
          <w:p>
            <w:pPr>
              <w:pStyle w:val="TableContents"/>
              <w:spacing w:before="0" w:after="0"/>
              <w:rPr>
                <w:rFonts w:ascii="ARIAL" w:hAnsi="ARIAL"/>
                <w:sz w:val="20"/>
              </w:rPr>
            </w:pPr>
            <w:r>
              <w:rPr>
                <w:rFonts w:ascii="ARIAL" w:hAnsi="ARIAL"/>
                <w:b/>
                <w:color w:val="71BE9A"/>
                <w:sz w:val="20"/>
              </w:rPr>
              <w:t>Age:</w:t>
            </w:r>
            <w:r>
              <w:rPr>
                <w:rFonts w:ascii="ARIAL" w:hAnsi="ARIAL"/>
                <w:color w:val="007CBA"/>
                <w:sz w:val="20"/>
              </w:rPr>
              <w:t xml:space="preserve"> 61</w:t>
            </w:r>
          </w:p>
          <w:p>
            <w:pPr>
              <w:pStyle w:val="TableContents"/>
              <w:spacing w:before="0" w:after="0"/>
              <w:rPr>
                <w:rFonts w:ascii="ARIAL" w:hAnsi="ARIAL"/>
                <w:b/>
                <w:color w:val="71BE9A"/>
                <w:sz w:val="20"/>
              </w:rPr>
            </w:pPr>
            <w:r>
              <w:rPr>
                <w:rFonts w:ascii="ARIAL" w:hAnsi="ARIAL"/>
                <w:b/>
                <w:color w:val="71BE9A"/>
                <w:sz w:val="20"/>
              </w:rPr>
              <w:t>Committees:</w:t>
            </w:r>
          </w:p>
          <w:p>
            <w:pPr>
              <w:pStyle w:val="TableContents"/>
              <w:spacing w:before="0" w:after="0"/>
              <w:rPr/>
            </w:pPr>
            <w:r>
              <w:rPr/>
              <w:t> </w:t>
            </w:r>
          </w:p>
          <w:p>
            <w:pPr>
              <w:pStyle w:val="TableContents"/>
              <w:spacing w:before="0" w:after="0"/>
              <w:rPr/>
            </w:pPr>
            <w:r>
              <w:rPr/>
              <w:t> </w:t>
            </w:r>
          </w:p>
          <w:p>
            <w:pPr>
              <w:pStyle w:val="TableContents"/>
              <w:spacing w:before="0" w:after="0"/>
              <w:rPr/>
            </w:pPr>
            <w:r>
              <w:rPr/>
              <w:drawing>
                <wp:inline distT="0" distB="0" distL="0" distR="0">
                  <wp:extent cx="29210" cy="22860"/>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29210" cy="22860"/>
                          </a:xfrm>
                          <a:prstGeom prst="rect">
                            <a:avLst/>
                          </a:prstGeom>
                        </pic:spPr>
                      </pic:pic>
                    </a:graphicData>
                  </a:graphic>
                </wp:inline>
              </w:drawing>
            </w:r>
            <w:r>
              <w:rPr/>
              <w:t xml:space="preserve">    </w:t>
            </w:r>
            <w:r>
              <w:rPr/>
              <w:drawing>
                <wp:inline distT="0" distB="0" distL="0" distR="0">
                  <wp:extent cx="19050" cy="33655"/>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19050" cy="33655"/>
                          </a:xfrm>
                          <a:prstGeom prst="rect">
                            <a:avLst/>
                          </a:prstGeom>
                        </pic:spPr>
                      </pic:pic>
                    </a:graphicData>
                  </a:graphic>
                </wp:inline>
              </w:drawing>
            </w:r>
            <w:r>
              <w:rPr/>
              <w:t xml:space="preserve"> </w:t>
            </w:r>
          </w:p>
          <w:p>
            <w:pPr>
              <w:pStyle w:val="TableContents"/>
              <w:spacing w:before="0" w:after="20"/>
              <w:rPr>
                <w:rFonts w:ascii="ARIAL" w:hAnsi="ARIAL"/>
                <w:color w:val="007CBA"/>
                <w:sz w:val="20"/>
              </w:rPr>
            </w:pPr>
            <w:r>
              <w:rPr>
                <w:rFonts w:ascii="ARIAL" w:hAnsi="ARIAL"/>
                <w:color w:val="007CBA"/>
                <w:sz w:val="20"/>
              </w:rPr>
              <w:t>Chair</w:t>
            </w:r>
          </w:p>
        </w:tc>
        <w:tc>
          <w:tcPr>
            <w:tcW w:w="120" w:type="dxa"/>
            <w:tcBorders/>
            <w:shd w:fill="auto" w:val="clear"/>
            <w:vAlign w:val="center"/>
          </w:tcPr>
          <w:p>
            <w:pPr>
              <w:pStyle w:val="TableContents"/>
              <w:spacing w:before="0" w:after="283"/>
              <w:rPr/>
            </w:pPr>
            <w:r>
              <w:rPr/>
              <w:t>  </w:t>
            </w:r>
          </w:p>
        </w:tc>
        <w:tc>
          <w:tcPr>
            <w:tcW w:w="6529" w:type="dxa"/>
            <w:tcBorders/>
            <w:shd w:fill="auto" w:val="clear"/>
            <w:vAlign w:val="center"/>
          </w:tcPr>
          <w:p>
            <w:pPr>
              <w:pStyle w:val="TableContents"/>
              <w:spacing w:before="0" w:after="0"/>
              <w:rPr>
                <w:rFonts w:ascii="ARIAL" w:hAnsi="ARIAL"/>
                <w:sz w:val="17"/>
              </w:rPr>
            </w:pPr>
            <w:r>
              <w:rPr>
                <w:rFonts w:ascii="ARIAL" w:hAnsi="ARIAL"/>
                <w:sz w:val="17"/>
              </w:rPr>
              <w:t xml:space="preserve">Mr. Slager was President and Chief Executive Officer of Republic Services, Inc. (Republic) (NYSE: RSG), a service provider in the non-hazardous solid waste industry, holding this position from 2011 through his retirement in 2021. Prior to this, he served as President and Chief Operating Officer of Republic from December 2008 until his promotion to CEO. Prior to that, Mr. Slager served in the same capacity for Allied Waste Industries, Inc. (Allied Waste), from 2005 to 2008, prior to its merger with Republic. Mr. Slager was Executive Vice President and Chief Operating Officer of Allied Waste between 2003 and 2004. Prior to that, Mr. Slager held varying positions of increasing responsibility with Allied Waste. Mr. Slager also has served as a Director of Republic since 2010. Mr. Slager previously served as an independent Director of UTi Worldwide Inc. (UTi) from 2009 to January 2016, where he served as Chairman of the nominating and corporate governance committee and as a member of both the compensation and risk committees. UTi, a former NYSE listed company, was an international, non-asset-based supply chain services and solutions company providing air and ocean freight forwarding, contract logistics, customs brokerage, distribution, inbound logistics, truckload brokerage and other supply chain management services until it was acquired by DSV A/S, a third-party logistics services provider, in January 2016. Mr. Slager also serves as a director on the Board for the Phoenix Children’s Hospital. Mr. Slager has completed the Northwestern University Kellogg School Advanced Executive Program and holds a certificate from the Stanford University Board Consortium Development Program. </w:t>
            </w:r>
          </w:p>
        </w:tc>
        <w:tc>
          <w:tcPr>
            <w:tcW w:w="60" w:type="dxa"/>
            <w:tcBorders>
              <w:left w:val="dotted" w:sz="8" w:space="0" w:color="CCCCCC"/>
            </w:tcBorders>
            <w:shd w:fill="auto" w:val="clear"/>
            <w:tcMar>
              <w:left w:w="28" w:type="dxa"/>
            </w:tcMar>
            <w:vAlign w:val="center"/>
          </w:tcPr>
          <w:p>
            <w:pPr>
              <w:pStyle w:val="TableContents"/>
              <w:spacing w:before="0" w:after="283"/>
              <w:rPr/>
            </w:pPr>
            <w:r>
              <w:rPr/>
              <w:t> </w:t>
            </w:r>
          </w:p>
        </w:tc>
        <w:tc>
          <w:tcPr>
            <w:tcW w:w="1601" w:type="dxa"/>
            <w:tcBorders/>
            <w:shd w:fill="auto" w:val="clear"/>
            <w:vAlign w:val="center"/>
          </w:tcPr>
          <w:p>
            <w:pPr>
              <w:pStyle w:val="TableContents"/>
              <w:spacing w:before="0" w:after="0"/>
              <w:rPr>
                <w:rFonts w:ascii="ARIAL" w:hAnsi="ARIAL"/>
                <w:b/>
                <w:color w:val="71BE9A"/>
                <w:sz w:val="22"/>
              </w:rPr>
            </w:pPr>
            <w:r>
              <w:rPr>
                <w:rFonts w:ascii="ARIAL" w:hAnsi="ARIAL"/>
                <w:b/>
                <w:color w:val="71BE9A"/>
                <w:sz w:val="22"/>
              </w:rPr>
              <w:t>Key attributes, experience and skills:</w:t>
            </w:r>
          </w:p>
          <w:p>
            <w:pPr>
              <w:pStyle w:val="TableContents"/>
              <w:spacing w:before="0" w:after="0"/>
              <w:rPr/>
            </w:pPr>
            <w:r>
              <w:rPr/>
              <w:t> </w:t>
            </w:r>
          </w:p>
          <w:p>
            <w:pPr>
              <w:pStyle w:val="TableContents"/>
              <w:spacing w:before="0" w:after="0"/>
              <w:rPr/>
            </w:pPr>
            <w:r>
              <w:rPr/>
              <w:t>•  </w:t>
            </w:r>
            <w:r>
              <w:rPr>
                <w:rFonts w:ascii="ARIAL" w:hAnsi="ARIAL"/>
                <w:sz w:val="17"/>
              </w:rPr>
              <w:t xml:space="preserve">More than 16 years of C-Suite experience </w:t>
            </w:r>
          </w:p>
          <w:p>
            <w:pPr>
              <w:pStyle w:val="TableContents"/>
              <w:spacing w:before="0" w:after="0"/>
              <w:rPr/>
            </w:pPr>
            <w:r>
              <w:rPr/>
              <w:t> </w:t>
            </w:r>
          </w:p>
          <w:p>
            <w:pPr>
              <w:pStyle w:val="TableContents"/>
              <w:spacing w:before="0" w:after="0"/>
              <w:rPr/>
            </w:pPr>
            <w:r>
              <w:rPr/>
              <w:t>•  </w:t>
            </w:r>
            <w:r>
              <w:rPr>
                <w:rFonts w:ascii="ARIAL" w:hAnsi="ARIAL"/>
                <w:sz w:val="17"/>
              </w:rPr>
              <w:t xml:space="preserve">More than 29 years of general management experience in a complex, capital intensive and logistics business </w:t>
            </w:r>
          </w:p>
          <w:p>
            <w:pPr>
              <w:pStyle w:val="TableContents"/>
              <w:spacing w:before="0" w:after="0"/>
              <w:rPr/>
            </w:pPr>
            <w:r>
              <w:rPr/>
              <w:t> </w:t>
            </w:r>
          </w:p>
          <w:p>
            <w:pPr>
              <w:pStyle w:val="TableContents"/>
              <w:spacing w:before="0" w:after="0"/>
              <w:rPr/>
            </w:pPr>
            <w:r>
              <w:rPr/>
              <w:t>•  </w:t>
            </w:r>
            <w:r>
              <w:rPr>
                <w:rFonts w:ascii="ARIAL" w:hAnsi="ARIAL"/>
                <w:sz w:val="17"/>
              </w:rPr>
              <w:t xml:space="preserve">Extensive experience in mergers and acquisitions, integration, and strategic development and analysis </w:t>
            </w:r>
          </w:p>
          <w:p>
            <w:pPr>
              <w:pStyle w:val="TableContents"/>
              <w:spacing w:before="0" w:after="0"/>
              <w:rPr/>
            </w:pPr>
            <w:r>
              <w:rPr/>
              <w:t> </w:t>
            </w:r>
          </w:p>
          <w:p>
            <w:pPr>
              <w:pStyle w:val="TableContents"/>
              <w:spacing w:before="0" w:after="20"/>
              <w:rPr/>
            </w:pPr>
            <w:r>
              <w:rPr/>
              <w:t>•  </w:t>
            </w:r>
            <w:r>
              <w:rPr>
                <w:rFonts w:ascii="ARIAL" w:hAnsi="ARIAL"/>
                <w:sz w:val="17"/>
              </w:rPr>
              <w:t xml:space="preserve">Valuable experience from his membership on the boards of directors of two publicly-traded companies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5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01" w:type="dxa"/>
            <w:tcBorders/>
            <w:shd w:fill="auto" w:val="clear"/>
            <w:vAlign w:val="center"/>
          </w:tcPr>
          <w:p>
            <w:pPr>
              <w:pStyle w:val="TableContents"/>
              <w:spacing w:before="0" w:after="283"/>
              <w:rPr>
                <w:sz w:val="4"/>
                <w:szCs w:val="4"/>
              </w:rPr>
            </w:pPr>
            <w:r>
              <w:rPr>
                <w:sz w:val="4"/>
                <w:szCs w:val="4"/>
              </w:rPr>
            </w:r>
          </w:p>
        </w:tc>
      </w:tr>
      <w:tr>
        <w:trPr/>
        <w:tc>
          <w:tcPr>
            <w:tcW w:w="1895" w:type="dxa"/>
            <w:tcBorders>
              <w:top w:val="single" w:sz="32" w:space="0" w:color="007CBA"/>
            </w:tcBorders>
            <w:shd w:fill="auto" w:val="clear"/>
            <w:tcMar>
              <w:top w:w="28" w:type="dxa"/>
            </w:tcMar>
            <w:vAlign w:val="center"/>
          </w:tcPr>
          <w:p>
            <w:pPr>
              <w:pStyle w:val="TableContents"/>
              <w:spacing w:before="0" w:after="283"/>
              <w:rPr/>
            </w:pPr>
            <w:r>
              <w:rPr/>
              <w:t> </w:t>
            </w:r>
          </w:p>
        </w:tc>
        <w:tc>
          <w:tcPr>
            <w:tcW w:w="6649" w:type="dxa"/>
            <w:gridSpan w:val="2"/>
            <w:tcBorders>
              <w:top w:val="single" w:sz="32" w:space="0" w:color="007CBA"/>
            </w:tcBorders>
            <w:shd w:fill="auto" w:val="clear"/>
            <w:tcMar>
              <w:top w:w="28" w:type="dxa"/>
            </w:tcMar>
            <w:vAlign w:val="center"/>
          </w:tcPr>
          <w:p>
            <w:pPr>
              <w:pStyle w:val="TableContents"/>
              <w:spacing w:before="0" w:after="283"/>
              <w:rPr/>
            </w:pPr>
            <w:r>
              <w:rPr/>
              <w:t> </w:t>
            </w:r>
          </w:p>
        </w:tc>
        <w:tc>
          <w:tcPr>
            <w:tcW w:w="1661" w:type="dxa"/>
            <w:gridSpan w:val="2"/>
            <w:tcBorders>
              <w:top w:val="single" w:sz="32" w:space="0" w:color="007CBA"/>
              <w:left w:val="dotted" w:sz="8" w:space="0" w:color="CCCCCC"/>
            </w:tcBorders>
            <w:shd w:fill="auto" w:val="clear"/>
            <w:tcMar>
              <w:top w:w="28" w:type="dxa"/>
              <w:left w:w="28" w:type="dxa"/>
            </w:tcMar>
            <w:vAlign w:val="center"/>
          </w:tcPr>
          <w:p>
            <w:pPr>
              <w:pStyle w:val="TableContents"/>
              <w:spacing w:before="0" w:after="283"/>
              <w:rPr/>
            </w:pPr>
            <w:r>
              <w:rPr/>
              <w:t> </w:t>
            </w:r>
          </w:p>
        </w:tc>
      </w:tr>
      <w:tr>
        <w:trPr/>
        <w:tc>
          <w:tcPr>
            <w:tcW w:w="1895" w:type="dxa"/>
            <w:tcBorders/>
            <w:shd w:fill="auto" w:val="clear"/>
            <w:vAlign w:val="center"/>
          </w:tcPr>
          <w:p>
            <w:pPr>
              <w:pStyle w:val="TableContents"/>
              <w:rPr/>
            </w:pPr>
            <w:r>
              <w:rPr/>
              <w:drawing>
                <wp:inline distT="0" distB="0" distL="0" distR="0">
                  <wp:extent cx="111760" cy="144780"/>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111760" cy="14478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007CBA"/>
                <w:sz w:val="30"/>
              </w:rPr>
            </w:pPr>
            <w:r>
              <w:rPr>
                <w:rFonts w:ascii="ARIAL" w:hAnsi="ARIAL"/>
                <w:b/>
                <w:color w:val="007CBA"/>
                <w:sz w:val="30"/>
              </w:rPr>
              <w:t>DAVID C.</w:t>
              <w:br/>
              <w:t>WAJSGRAS</w:t>
            </w:r>
          </w:p>
          <w:p>
            <w:pPr>
              <w:pStyle w:val="TableContents"/>
              <w:spacing w:before="0" w:after="0"/>
              <w:rPr/>
            </w:pPr>
            <w:r>
              <w:rPr/>
              <w:t> </w:t>
            </w:r>
          </w:p>
          <w:p>
            <w:pPr>
              <w:pStyle w:val="TableContents"/>
              <w:spacing w:before="0" w:after="0"/>
              <w:rPr>
                <w:rFonts w:ascii="ARIAL" w:hAnsi="ARIAL"/>
                <w:sz w:val="20"/>
              </w:rPr>
            </w:pPr>
            <w:r>
              <w:rPr>
                <w:rFonts w:ascii="ARIAL" w:hAnsi="ARIAL"/>
                <w:b/>
                <w:color w:val="71BE9A"/>
                <w:sz w:val="20"/>
              </w:rPr>
              <w:t>Director Since:</w:t>
            </w:r>
            <w:r>
              <w:rPr>
                <w:rFonts w:ascii="ARIAL" w:hAnsi="ARIAL"/>
                <w:color w:val="007CBA"/>
                <w:sz w:val="20"/>
              </w:rPr>
              <w:t> 2020</w:t>
            </w:r>
          </w:p>
          <w:p>
            <w:pPr>
              <w:pStyle w:val="TableContents"/>
              <w:spacing w:before="0" w:after="0"/>
              <w:rPr>
                <w:rFonts w:ascii="ARIAL" w:hAnsi="ARIAL"/>
                <w:sz w:val="20"/>
              </w:rPr>
            </w:pPr>
            <w:r>
              <w:rPr>
                <w:rFonts w:ascii="ARIAL" w:hAnsi="ARIAL"/>
                <w:b/>
                <w:color w:val="71BE9A"/>
                <w:sz w:val="20"/>
              </w:rPr>
              <w:t>Age:</w:t>
            </w:r>
            <w:r>
              <w:rPr>
                <w:rFonts w:ascii="ARIAL" w:hAnsi="ARIAL"/>
                <w:color w:val="007CBA"/>
                <w:sz w:val="20"/>
              </w:rPr>
              <w:t xml:space="preserve"> 63</w:t>
            </w:r>
          </w:p>
          <w:p>
            <w:pPr>
              <w:pStyle w:val="TableContents"/>
              <w:spacing w:before="0" w:after="0"/>
              <w:rPr>
                <w:rFonts w:ascii="ARIAL" w:hAnsi="ARIAL"/>
                <w:b/>
                <w:color w:val="71BE9A"/>
                <w:sz w:val="20"/>
              </w:rPr>
            </w:pPr>
            <w:r>
              <w:rPr>
                <w:rFonts w:ascii="ARIAL" w:hAnsi="ARIAL"/>
                <w:b/>
                <w:color w:val="71BE9A"/>
                <w:sz w:val="20"/>
              </w:rPr>
              <w:t>Committees:</w:t>
            </w:r>
          </w:p>
          <w:p>
            <w:pPr>
              <w:pStyle w:val="TableContents"/>
              <w:spacing w:before="0" w:after="0"/>
              <w:rPr/>
            </w:pPr>
            <w:r>
              <w:rPr/>
              <w:t> </w:t>
            </w:r>
          </w:p>
          <w:p>
            <w:pPr>
              <w:pStyle w:val="TableContents"/>
              <w:spacing w:before="0" w:after="0"/>
              <w:rPr/>
            </w:pPr>
            <w:r>
              <w:rPr/>
              <w:t> </w:t>
            </w:r>
          </w:p>
          <w:p>
            <w:pPr>
              <w:pStyle w:val="TableContents"/>
              <w:spacing w:before="0" w:after="0"/>
              <w:rPr/>
            </w:pPr>
            <w:r>
              <w:rPr/>
              <w:drawing>
                <wp:inline distT="0" distB="0" distL="0" distR="0">
                  <wp:extent cx="29210" cy="30480"/>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29210" cy="30480"/>
                          </a:xfrm>
                          <a:prstGeom prst="rect">
                            <a:avLst/>
                          </a:prstGeom>
                        </pic:spPr>
                      </pic:pic>
                    </a:graphicData>
                  </a:graphic>
                </wp:inline>
              </w:drawing>
            </w:r>
            <w:r>
              <w:rPr/>
              <w:t xml:space="preserve">    </w:t>
            </w:r>
            <w:r>
              <w:rPr/>
              <w:drawing>
                <wp:inline distT="0" distB="0" distL="0" distR="0">
                  <wp:extent cx="27940" cy="23495"/>
                  <wp:effectExtent l="0" t="0" r="0" b="0"/>
                  <wp:docPr id="1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5" descr=""/>
                          <pic:cNvPicPr>
                            <a:picLocks noChangeAspect="1" noChangeArrowheads="1"/>
                          </pic:cNvPicPr>
                        </pic:nvPicPr>
                        <pic:blipFill>
                          <a:blip r:embed="rId126"/>
                          <a:stretch>
                            <a:fillRect/>
                          </a:stretch>
                        </pic:blipFill>
                        <pic:spPr bwMode="auto">
                          <a:xfrm>
                            <a:off x="0" y="0"/>
                            <a:ext cx="27940" cy="23495"/>
                          </a:xfrm>
                          <a:prstGeom prst="rect">
                            <a:avLst/>
                          </a:prstGeom>
                        </pic:spPr>
                      </pic:pic>
                    </a:graphicData>
                  </a:graphic>
                </wp:inline>
              </w:drawing>
            </w:r>
            <w:r>
              <w:rPr/>
              <w:t xml:space="preserve"> </w:t>
            </w:r>
          </w:p>
          <w:p>
            <w:pPr>
              <w:pStyle w:val="TableContents"/>
              <w:spacing w:before="0" w:after="20"/>
              <w:rPr>
                <w:rFonts w:ascii="ARIAL" w:hAnsi="ARIAL"/>
                <w:color w:val="007CBA"/>
                <w:sz w:val="20"/>
              </w:rPr>
            </w:pPr>
            <w:r>
              <w:rPr>
                <w:rFonts w:ascii="ARIAL" w:hAnsi="ARIAL"/>
                <w:color w:val="007CBA"/>
                <w:sz w:val="20"/>
              </w:rPr>
              <w:t>Chair</w:t>
            </w:r>
          </w:p>
        </w:tc>
        <w:tc>
          <w:tcPr>
            <w:tcW w:w="120" w:type="dxa"/>
            <w:tcBorders/>
            <w:shd w:fill="auto" w:val="clear"/>
            <w:vAlign w:val="center"/>
          </w:tcPr>
          <w:p>
            <w:pPr>
              <w:pStyle w:val="TableContents"/>
              <w:spacing w:before="0" w:after="283"/>
              <w:rPr/>
            </w:pPr>
            <w:r>
              <w:rPr/>
              <w:t>  </w:t>
            </w:r>
          </w:p>
        </w:tc>
        <w:tc>
          <w:tcPr>
            <w:tcW w:w="6529" w:type="dxa"/>
            <w:tcBorders/>
            <w:shd w:fill="auto" w:val="clear"/>
            <w:vAlign w:val="center"/>
          </w:tcPr>
          <w:p>
            <w:pPr>
              <w:pStyle w:val="TableContents"/>
              <w:spacing w:before="0" w:after="0"/>
              <w:rPr>
                <w:rFonts w:ascii="ARIAL" w:hAnsi="ARIAL"/>
                <w:sz w:val="17"/>
              </w:rPr>
            </w:pPr>
            <w:r>
              <w:rPr>
                <w:rFonts w:ascii="ARIAL" w:hAnsi="ARIAL"/>
                <w:sz w:val="17"/>
              </w:rPr>
              <w:t xml:space="preserve">Mr. Wajsgras is Chief Executive Officer of Intelsat, the foundational architects of satellite communications technology with a globalized network of integrated satellite and terrestrial communications, delivering critical broadband connectivity and media content distribution that impacts and transforms businesses and communities in more than 200 countries. He previously served as Raytheon Company (NYSE: RTN) president of the Intelligence, Information and Services (IIS) business from March 2015 to April 2020. Raytheon is a major U.S. defense contractor and industrial corporation. IIS provides a full range of technical and professional services to intelligence, defense, federal and commercial customers worldwide. The business specializes in global Intelligence, Surveillance and Reconnaissance; navigation; Department of Defense space and weather solutions; cybersecurity; analytics; training; logistics; mission support; engineering; automation and sustainment solutions; and international and domestic Air Traffic Management systems. Prior to this role, he was senior vice president and chief financial officer (CFO) of Raytheon from March 2006 to March 2015. Mr. Wajsgras is also an independent director and a member of the audit committee and compensation committee at Parsons Corporation (NYSE: PSN), a digitally enabled solutions provider focused on the defense, intelligence, and critical infrastructure markets. He was named Federal Computer Week’s prestigious Industry Eagle Award winner in 2018 for his pivotal role in the U.S. government Information Technology community. In 2012, Mr. Wajsgras was named one of the Wall Street Journal’s 25 Best CFOs among the larger companies in the Standard &amp; Poor’s 500 Index. Mr. Wajsgras earned his Bachelor’s degree in accounting from the University of Maryland. He has a Masters in Business Administration from American University. </w:t>
            </w:r>
          </w:p>
        </w:tc>
        <w:tc>
          <w:tcPr>
            <w:tcW w:w="60" w:type="dxa"/>
            <w:tcBorders>
              <w:left w:val="dotted" w:sz="8" w:space="0" w:color="CCCCCC"/>
            </w:tcBorders>
            <w:shd w:fill="auto" w:val="clear"/>
            <w:tcMar>
              <w:left w:w="28" w:type="dxa"/>
            </w:tcMar>
            <w:vAlign w:val="center"/>
          </w:tcPr>
          <w:p>
            <w:pPr>
              <w:pStyle w:val="TableContents"/>
              <w:spacing w:before="0" w:after="283"/>
              <w:rPr/>
            </w:pPr>
            <w:r>
              <w:rPr/>
              <w:t> </w:t>
            </w:r>
          </w:p>
        </w:tc>
        <w:tc>
          <w:tcPr>
            <w:tcW w:w="1601" w:type="dxa"/>
            <w:tcBorders/>
            <w:shd w:fill="auto" w:val="clear"/>
            <w:vAlign w:val="center"/>
          </w:tcPr>
          <w:p>
            <w:pPr>
              <w:pStyle w:val="TableContents"/>
              <w:spacing w:before="0" w:after="0"/>
              <w:rPr>
                <w:rFonts w:ascii="ARIAL" w:hAnsi="ARIAL"/>
                <w:b/>
                <w:color w:val="71BE9A"/>
                <w:sz w:val="22"/>
              </w:rPr>
            </w:pPr>
            <w:r>
              <w:rPr>
                <w:rFonts w:ascii="ARIAL" w:hAnsi="ARIAL"/>
                <w:b/>
                <w:color w:val="71BE9A"/>
                <w:sz w:val="22"/>
              </w:rPr>
              <w:t>Key attributes, experience and skills:</w:t>
            </w:r>
          </w:p>
          <w:p>
            <w:pPr>
              <w:pStyle w:val="TableContents"/>
              <w:spacing w:before="0" w:after="0"/>
              <w:rPr/>
            </w:pPr>
            <w:r>
              <w:rPr/>
              <w:t> </w:t>
            </w:r>
          </w:p>
          <w:p>
            <w:pPr>
              <w:pStyle w:val="TableContents"/>
              <w:spacing w:before="0" w:after="0"/>
              <w:rPr/>
            </w:pPr>
            <w:r>
              <w:rPr/>
              <w:t>•  </w:t>
            </w:r>
            <w:r>
              <w:rPr>
                <w:rFonts w:ascii="ARIAL" w:hAnsi="ARIAL"/>
                <w:sz w:val="17"/>
              </w:rPr>
              <w:t xml:space="preserve">Extensive financial and operating experience </w:t>
            </w:r>
          </w:p>
          <w:p>
            <w:pPr>
              <w:pStyle w:val="TableContents"/>
              <w:spacing w:before="0" w:after="0"/>
              <w:rPr/>
            </w:pPr>
            <w:r>
              <w:rPr/>
              <w:t> </w:t>
            </w:r>
          </w:p>
          <w:p>
            <w:pPr>
              <w:pStyle w:val="TableContents"/>
              <w:spacing w:before="0" w:after="0"/>
              <w:rPr/>
            </w:pPr>
            <w:r>
              <w:rPr/>
              <w:t>•  </w:t>
            </w:r>
            <w:r>
              <w:rPr>
                <w:rFonts w:ascii="ARIAL" w:hAnsi="ARIAL"/>
                <w:sz w:val="17"/>
              </w:rPr>
              <w:t xml:space="preserve">Knowledge of corporate finance, strategic planning and risk management processes </w:t>
            </w:r>
          </w:p>
          <w:p>
            <w:pPr>
              <w:pStyle w:val="TableContents"/>
              <w:spacing w:before="0" w:after="0"/>
              <w:rPr/>
            </w:pPr>
            <w:r>
              <w:rPr/>
              <w:t> </w:t>
            </w:r>
          </w:p>
          <w:p>
            <w:pPr>
              <w:pStyle w:val="TableContents"/>
              <w:spacing w:before="0" w:after="0"/>
              <w:rPr/>
            </w:pPr>
            <w:r>
              <w:rPr/>
              <w:t>•  </w:t>
            </w:r>
            <w:r>
              <w:rPr>
                <w:rFonts w:ascii="ARIAL" w:hAnsi="ARIAL"/>
                <w:sz w:val="17"/>
              </w:rPr>
              <w:t xml:space="preserve">Experience as a public company CFO, as well as expansive knowledge of accounting principles and practices, auditing, internal control over financial reporting, and risk management processes </w:t>
            </w:r>
          </w:p>
          <w:p>
            <w:pPr>
              <w:pStyle w:val="TableContents"/>
              <w:spacing w:before="0" w:after="0"/>
              <w:rPr/>
            </w:pPr>
            <w:r>
              <w:rPr/>
              <w:t> </w:t>
            </w:r>
          </w:p>
          <w:p>
            <w:pPr>
              <w:pStyle w:val="TableContents"/>
              <w:spacing w:before="0" w:after="20"/>
              <w:rPr/>
            </w:pPr>
            <w:r>
              <w:rPr/>
              <w:t>•  </w:t>
            </w:r>
            <w:r>
              <w:rPr>
                <w:rFonts w:ascii="ARIAL" w:hAnsi="ARIAL"/>
                <w:sz w:val="17"/>
              </w:rPr>
              <w:t xml:space="preserve">Expertise in cybersecurity products and services </w:t>
            </w:r>
          </w:p>
        </w:tc>
      </w:tr>
    </w:tbl>
    <w:p>
      <w:pPr>
        <w:pStyle w:val="TextBody"/>
        <w:spacing w:before="0" w:after="0"/>
        <w:jc w:val="left"/>
        <w:rPr/>
      </w:pPr>
      <w:r>
        <w:rPr/>
        <w:t> </w:t>
      </w:r>
    </w:p>
    <w:p>
      <w:pPr>
        <w:pStyle w:val="TextBody"/>
        <w:spacing w:before="0" w:after="0"/>
        <w:jc w:val="center"/>
        <w:rPr/>
      </w:pPr>
      <w:r>
        <w:rPr/>
        <w:drawing>
          <wp:inline distT="0" distB="0" distL="0" distR="0">
            <wp:extent cx="664845" cy="45720"/>
            <wp:effectExtent l="0" t="0" r="0" b="0"/>
            <wp:docPr id="1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6" descr=""/>
                    <pic:cNvPicPr>
                      <a:picLocks noChangeAspect="1" noChangeArrowheads="1"/>
                    </pic:cNvPicPr>
                  </pic:nvPicPr>
                  <pic:blipFill>
                    <a:blip r:embed="rId127"/>
                    <a:stretch>
                      <a:fillRect/>
                    </a:stretch>
                  </pic:blipFill>
                  <pic:spPr bwMode="auto">
                    <a:xfrm>
                      <a:off x="0" y="0"/>
                      <a:ext cx="664845" cy="45720"/>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62"/>
        <w:gridCol w:w="60"/>
        <w:gridCol w:w="9783"/>
      </w:tblGrid>
      <w:tr>
        <w:trPr/>
        <w:tc>
          <w:tcPr>
            <w:tcW w:w="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783" w:type="dxa"/>
            <w:tcBorders/>
            <w:shd w:fill="auto" w:val="clear"/>
            <w:vAlign w:val="center"/>
          </w:tcPr>
          <w:p>
            <w:pPr>
              <w:pStyle w:val="TableContents"/>
              <w:spacing w:before="0" w:after="283"/>
              <w:rPr>
                <w:sz w:val="4"/>
                <w:szCs w:val="4"/>
              </w:rPr>
            </w:pPr>
            <w:r>
              <w:rPr>
                <w:sz w:val="4"/>
                <w:szCs w:val="4"/>
              </w:rPr>
            </w:r>
          </w:p>
        </w:tc>
      </w:tr>
      <w:tr>
        <w:trPr/>
        <w:tc>
          <w:tcPr>
            <w:tcW w:w="362" w:type="dxa"/>
            <w:tcBorders/>
            <w:shd w:fill="auto" w:val="clear"/>
            <w:vAlign w:val="center"/>
          </w:tcPr>
          <w:p>
            <w:pPr>
              <w:pStyle w:val="TableContents"/>
              <w:spacing w:before="0" w:after="283"/>
              <w:rPr/>
            </w:pPr>
            <w:r>
              <w:rPr/>
              <w:drawing>
                <wp:inline distT="0" distB="0" distL="0" distR="0">
                  <wp:extent cx="38100" cy="36830"/>
                  <wp:effectExtent l="0" t="0" r="0" b="0"/>
                  <wp:docPr id="1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7" descr=""/>
                          <pic:cNvPicPr>
                            <a:picLocks noChangeAspect="1" noChangeArrowheads="1"/>
                          </pic:cNvPicPr>
                        </pic:nvPicPr>
                        <pic:blipFill>
                          <a:blip r:embed="rId128"/>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9783" w:type="dxa"/>
            <w:tcBorders/>
            <w:shd w:fill="auto" w:val="clear"/>
            <w:vAlign w:val="center"/>
          </w:tcPr>
          <w:p>
            <w:pPr>
              <w:pStyle w:val="TableContents"/>
              <w:spacing w:before="0" w:after="0"/>
              <w:rPr>
                <w:rFonts w:ascii="ARIAL" w:hAnsi="ARIAL"/>
                <w:color w:val="007CBA"/>
                <w:sz w:val="20"/>
              </w:rPr>
            </w:pPr>
            <w:r>
              <w:rPr>
                <w:rFonts w:ascii="ARIAL" w:hAnsi="ARIAL"/>
                <w:color w:val="007CBA"/>
                <w:sz w:val="20"/>
              </w:rPr>
              <w:t>The Board Unanimously Recommends a Vote “</w:t>
            </w:r>
            <w:r>
              <w:rPr>
                <w:rFonts w:ascii="ARIAL" w:hAnsi="ARIAL"/>
                <w:b/>
                <w:color w:val="007CBA"/>
                <w:sz w:val="20"/>
              </w:rPr>
              <w:t>FOR”</w:t>
            </w:r>
            <w:r>
              <w:rPr>
                <w:rFonts w:ascii="ARIAL" w:hAnsi="ARIAL"/>
                <w:color w:val="007CBA"/>
                <w:sz w:val="20"/>
              </w:rPr>
              <w:t xml:space="preserve"> all Nominees for Election to the Board of Directors on this Proposal 1 </w:t>
            </w:r>
          </w:p>
          <w:p>
            <w:pPr>
              <w:pStyle w:val="TableContents"/>
              <w:spacing w:before="0" w:after="20"/>
              <w:rPr/>
            </w:pPr>
            <w:r>
              <w:rPr/>
              <w:t> </w:t>
            </w:r>
          </w:p>
        </w:tc>
      </w:tr>
      <w:tr>
        <w:trPr/>
        <w:tc>
          <w:tcPr>
            <w:tcW w:w="362" w:type="dxa"/>
            <w:tcBorders/>
            <w:shd w:fill="auto" w:val="clear"/>
            <w:vAlign w:val="center"/>
          </w:tcPr>
          <w:p>
            <w:pPr>
              <w:pStyle w:val="TableContents"/>
              <w:spacing w:before="0" w:after="283"/>
              <w:rPr>
                <w:sz w:val="4"/>
                <w:szCs w:val="4"/>
              </w:rPr>
            </w:pPr>
            <w:r>
              <w:rPr>
                <w:sz w:val="4"/>
                <w:szCs w:val="4"/>
              </w:rPr>
            </w:r>
          </w:p>
        </w:tc>
        <w:tc>
          <w:tcPr>
            <w:tcW w:w="60" w:type="dxa"/>
            <w:tcBorders/>
            <w:shd w:fill="007CBA" w:val="clear"/>
            <w:vAlign w:val="center"/>
          </w:tcPr>
          <w:p>
            <w:pPr>
              <w:pStyle w:val="TableContents"/>
              <w:spacing w:before="0" w:after="283"/>
              <w:rPr/>
            </w:pPr>
            <w:r>
              <w:rPr/>
              <w:t> </w:t>
            </w:r>
          </w:p>
        </w:tc>
        <w:tc>
          <w:tcPr>
            <w:tcW w:w="9783" w:type="dxa"/>
            <w:tcBorders/>
            <w:shd w:fill="007CBA"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8" descr=""/>
                          <pic:cNvPicPr>
                            <a:picLocks noChangeAspect="1" noChangeArrowheads="1"/>
                          </pic:cNvPicPr>
                        </pic:nvPicPr>
                        <pic:blipFill>
                          <a:blip r:embed="rId12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27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PROPOSAL 1: ELECTION OF DIRECTORS   ◆</w:t>
      </w:r>
      <w:r>
        <w:rPr>
          <w:rFonts w:ascii="ARIAL" w:hAnsi="ARIAL"/>
          <w:sz w:val="16"/>
        </w:rPr>
        <w:t xml:space="preserve">  DIRECTOR COMPENSATION </w:t>
      </w:r>
    </w:p>
    <w:p>
      <w:pPr>
        <w:pStyle w:val="TextBody"/>
        <w:spacing w:before="0" w:after="0"/>
        <w:jc w:val="left"/>
        <w:rPr/>
      </w:pPr>
      <w:r>
        <w:rPr/>
        <w:t> </w:t>
      </w:r>
    </w:p>
    <w:p>
      <w:pPr>
        <w:pStyle w:val="TextBody"/>
        <w:spacing w:before="0" w:after="0"/>
        <w:jc w:val="left"/>
        <w:rPr>
          <w:rFonts w:ascii="ARIAL" w:hAnsi="ARIAL"/>
          <w:b/>
          <w:color w:val="71BE9A"/>
          <w:sz w:val="26"/>
        </w:rPr>
      </w:pPr>
      <w:bookmarkStart w:id="13" w:name="toc390557_8"/>
      <w:bookmarkEnd w:id="13"/>
      <w:r>
        <w:rPr>
          <w:rFonts w:ascii="ARIAL" w:hAnsi="ARIAL"/>
          <w:b/>
          <w:color w:val="71BE9A"/>
          <w:sz w:val="26"/>
        </w:rPr>
        <w:t xml:space="preserve">Director Compensation </w:t>
      </w:r>
    </w:p>
    <w:p>
      <w:pPr>
        <w:pStyle w:val="TextBody"/>
        <w:spacing w:before="120" w:after="0"/>
        <w:jc w:val="left"/>
        <w:rPr>
          <w:rFonts w:ascii="ARIAL" w:hAnsi="ARIAL"/>
          <w:sz w:val="20"/>
        </w:rPr>
      </w:pPr>
      <w:r>
        <w:rPr>
          <w:rFonts w:ascii="ARIAL" w:hAnsi="ARIAL"/>
          <w:sz w:val="20"/>
        </w:rPr>
        <w:t xml:space="preserve">Martin Marietta uses a combination of cash and stock-based compensation to attract and retain qualified candidates to serve on the Board of Directors. In setting Director compensation, Martin Marietta considers the significant amount of time that Directors expend in fulfilling their duties to Martin Marietta as well as the skill level required by Martin Marietta of members of the Board. The Board determines reasonable compensation for Directors upon recommendation of the Management Development and Compensation Committee of the Board, which retains an independent compensation consultant to assist it in making each recommendation. </w:t>
      </w:r>
    </w:p>
    <w:p>
      <w:pPr>
        <w:pStyle w:val="TextBody"/>
        <w:spacing w:before="240" w:after="0"/>
        <w:jc w:val="left"/>
        <w:rPr>
          <w:rFonts w:ascii="ARIAL" w:hAnsi="ARIAL"/>
          <w:color w:val="007CBA"/>
          <w:sz w:val="26"/>
        </w:rPr>
      </w:pPr>
      <w:r>
        <w:rPr>
          <w:rFonts w:ascii="ARIAL" w:hAnsi="ARIAL"/>
          <w:color w:val="007CBA"/>
          <w:sz w:val="26"/>
        </w:rPr>
        <w:t xml:space="preserve">Cash Compensation Paid to Non-Employee Board Members </w:t>
      </w:r>
    </w:p>
    <w:p>
      <w:pPr>
        <w:pStyle w:val="TextBody"/>
        <w:spacing w:before="120" w:after="0"/>
        <w:jc w:val="left"/>
        <w:rPr>
          <w:rFonts w:ascii="ARIAL" w:hAnsi="ARIAL"/>
          <w:sz w:val="20"/>
        </w:rPr>
      </w:pPr>
      <w:r>
        <w:rPr>
          <w:rFonts w:ascii="ARIAL" w:hAnsi="ARIAL"/>
          <w:sz w:val="20"/>
        </w:rPr>
        <w:t xml:space="preserve">The cash-based elements of annual Director compensation for fiscal year 2022 paid in quarterly installments, measured from the end of the month during which the 2022 Annual Meeting of Shareholders was held, were as follows. </w:t>
      </w:r>
    </w:p>
    <w:p>
      <w:pPr>
        <w:pStyle w:val="TextBody"/>
        <w:spacing w:before="0" w:after="0"/>
        <w:jc w:val="left"/>
        <w:rPr/>
      </w:pPr>
      <w:r>
        <w:rPr/>
        <w:t> </w:t>
      </w:r>
    </w:p>
    <w:tbl>
      <w:tblPr>
        <w:tblW w:w="7785" w:type="dxa"/>
        <w:jc w:val="left"/>
        <w:tblInd w:w="0" w:type="dxa"/>
        <w:tblCellMar>
          <w:top w:w="0" w:type="dxa"/>
          <w:left w:w="0" w:type="dxa"/>
          <w:bottom w:w="0" w:type="dxa"/>
          <w:right w:w="0" w:type="dxa"/>
        </w:tblCellMar>
      </w:tblPr>
      <w:tblGrid>
        <w:gridCol w:w="6650"/>
        <w:gridCol w:w="120"/>
        <w:gridCol w:w="140"/>
        <w:gridCol w:w="800"/>
        <w:gridCol w:w="75"/>
      </w:tblGrid>
      <w:tr>
        <w:trPr/>
        <w:tc>
          <w:tcPr>
            <w:tcW w:w="66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785" w:type="dxa"/>
            <w:gridSpan w:val="5"/>
            <w:tcBorders/>
            <w:shd w:fill="EAEAEA" w:val="clear"/>
            <w:vAlign w:val="center"/>
          </w:tcPr>
          <w:p>
            <w:pPr>
              <w:pStyle w:val="TableContents"/>
              <w:spacing w:before="0" w:after="283"/>
              <w:rPr>
                <w:sz w:val="4"/>
                <w:szCs w:val="4"/>
              </w:rPr>
            </w:pPr>
            <w:r>
              <w:rPr>
                <w:sz w:val="4"/>
                <w:szCs w:val="4"/>
              </w:rPr>
            </w:r>
          </w:p>
        </w:tc>
      </w:tr>
      <w:tr>
        <w:trPr/>
        <w:tc>
          <w:tcPr>
            <w:tcW w:w="7710" w:type="dxa"/>
            <w:gridSpan w:val="4"/>
            <w:tcBorders/>
            <w:shd w:fill="EAEAEA" w:val="clear"/>
            <w:vAlign w:val="center"/>
          </w:tcPr>
          <w:p>
            <w:pPr>
              <w:pStyle w:val="TableContents"/>
              <w:spacing w:before="0" w:after="0"/>
              <w:rPr>
                <w:rFonts w:ascii="ARIAL" w:hAnsi="ARIAL"/>
                <w:b/>
                <w:sz w:val="16"/>
              </w:rPr>
            </w:pPr>
            <w:r>
              <w:rPr>
                <w:rFonts w:ascii="ARIAL" w:hAnsi="ARIAL"/>
                <w:b/>
                <w:sz w:val="16"/>
              </w:rPr>
              <w:t>Cash Component Amount</w:t>
            </w:r>
          </w:p>
        </w:tc>
        <w:tc>
          <w:tcPr>
            <w:tcW w:w="75" w:type="dxa"/>
            <w:tcBorders/>
            <w:shd w:fill="EAEAEA" w:val="clear"/>
            <w:vAlign w:val="center"/>
          </w:tcPr>
          <w:p>
            <w:pPr>
              <w:pStyle w:val="TableContents"/>
              <w:spacing w:before="0" w:after="283"/>
              <w:rPr/>
            </w:pPr>
            <w:r>
              <w:rPr/>
              <w:t> </w:t>
            </w:r>
          </w:p>
        </w:tc>
      </w:tr>
      <w:tr>
        <w:trPr/>
        <w:tc>
          <w:tcPr>
            <w:tcW w:w="6650" w:type="dxa"/>
            <w:tcBorders/>
            <w:shd w:fill="auto" w:val="clear"/>
            <w:vAlign w:val="center"/>
          </w:tcPr>
          <w:p>
            <w:pPr>
              <w:pStyle w:val="TableContents"/>
              <w:spacing w:before="0" w:after="283"/>
              <w:rPr>
                <w:sz w:val="4"/>
                <w:szCs w:val="4"/>
              </w:rPr>
            </w:pPr>
            <w:r>
              <w:rPr>
                <w:sz w:val="4"/>
                <w:szCs w:val="4"/>
              </w:rPr>
            </w:r>
          </w:p>
        </w:tc>
        <w:tc>
          <w:tcPr>
            <w:tcW w:w="1135" w:type="dxa"/>
            <w:gridSpan w:val="4"/>
            <w:tcBorders/>
            <w:shd w:fill="auto" w:val="clear"/>
            <w:vAlign w:val="center"/>
          </w:tcPr>
          <w:p>
            <w:pPr>
              <w:pStyle w:val="TableContents"/>
              <w:spacing w:before="0" w:after="283"/>
              <w:rPr>
                <w:sz w:val="4"/>
                <w:szCs w:val="4"/>
              </w:rPr>
            </w:pPr>
            <w:r>
              <w:rPr>
                <w:sz w:val="4"/>
                <w:szCs w:val="4"/>
              </w:rPr>
            </w:r>
          </w:p>
        </w:tc>
      </w:tr>
      <w:tr>
        <w:trPr/>
        <w:tc>
          <w:tcPr>
            <w:tcW w:w="66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Annual Board Cash retainer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120,000</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650" w:type="dxa"/>
            <w:tcBorders/>
            <w:shd w:fill="auto" w:val="clear"/>
            <w:vAlign w:val="center"/>
          </w:tcPr>
          <w:p>
            <w:pPr>
              <w:pStyle w:val="TableContents"/>
              <w:spacing w:before="0" w:after="283"/>
              <w:rPr>
                <w:sz w:val="4"/>
                <w:szCs w:val="4"/>
              </w:rPr>
            </w:pPr>
            <w:r>
              <w:rPr>
                <w:sz w:val="4"/>
                <w:szCs w:val="4"/>
              </w:rPr>
            </w:r>
          </w:p>
        </w:tc>
        <w:tc>
          <w:tcPr>
            <w:tcW w:w="1135" w:type="dxa"/>
            <w:gridSpan w:val="4"/>
            <w:tcBorders/>
            <w:shd w:fill="auto" w:val="clear"/>
            <w:vAlign w:val="center"/>
          </w:tcPr>
          <w:p>
            <w:pPr>
              <w:pStyle w:val="TableContents"/>
              <w:spacing w:before="0" w:after="283"/>
              <w:rPr>
                <w:sz w:val="4"/>
                <w:szCs w:val="4"/>
              </w:rPr>
            </w:pPr>
            <w:r>
              <w:rPr>
                <w:sz w:val="4"/>
                <w:szCs w:val="4"/>
              </w:rPr>
            </w:r>
          </w:p>
        </w:tc>
      </w:tr>
      <w:tr>
        <w:trPr/>
        <w:tc>
          <w:tcPr>
            <w:tcW w:w="66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Annual Audit Committee chair retainer1</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20,000</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650" w:type="dxa"/>
            <w:tcBorders/>
            <w:shd w:fill="auto" w:val="clear"/>
            <w:vAlign w:val="center"/>
          </w:tcPr>
          <w:p>
            <w:pPr>
              <w:pStyle w:val="TableContents"/>
              <w:spacing w:before="0" w:after="283"/>
              <w:rPr>
                <w:sz w:val="4"/>
                <w:szCs w:val="4"/>
              </w:rPr>
            </w:pPr>
            <w:r>
              <w:rPr>
                <w:sz w:val="4"/>
                <w:szCs w:val="4"/>
              </w:rPr>
            </w:r>
          </w:p>
        </w:tc>
        <w:tc>
          <w:tcPr>
            <w:tcW w:w="1135" w:type="dxa"/>
            <w:gridSpan w:val="4"/>
            <w:tcBorders/>
            <w:shd w:fill="auto" w:val="clear"/>
            <w:vAlign w:val="center"/>
          </w:tcPr>
          <w:p>
            <w:pPr>
              <w:pStyle w:val="TableContents"/>
              <w:spacing w:before="0" w:after="283"/>
              <w:rPr>
                <w:sz w:val="4"/>
                <w:szCs w:val="4"/>
              </w:rPr>
            </w:pPr>
            <w:r>
              <w:rPr>
                <w:sz w:val="4"/>
                <w:szCs w:val="4"/>
              </w:rPr>
            </w:r>
          </w:p>
        </w:tc>
      </w:tr>
      <w:tr>
        <w:trPr/>
        <w:tc>
          <w:tcPr>
            <w:tcW w:w="66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Annual Management Development and Compensation Committee chair retainer2</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20,000</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650" w:type="dxa"/>
            <w:tcBorders/>
            <w:shd w:fill="auto" w:val="clear"/>
            <w:vAlign w:val="center"/>
          </w:tcPr>
          <w:p>
            <w:pPr>
              <w:pStyle w:val="TableContents"/>
              <w:spacing w:before="0" w:after="283"/>
              <w:rPr>
                <w:sz w:val="4"/>
                <w:szCs w:val="4"/>
              </w:rPr>
            </w:pPr>
            <w:r>
              <w:rPr>
                <w:sz w:val="4"/>
                <w:szCs w:val="4"/>
              </w:rPr>
            </w:r>
          </w:p>
        </w:tc>
        <w:tc>
          <w:tcPr>
            <w:tcW w:w="1135" w:type="dxa"/>
            <w:gridSpan w:val="4"/>
            <w:tcBorders/>
            <w:shd w:fill="auto" w:val="clear"/>
            <w:vAlign w:val="center"/>
          </w:tcPr>
          <w:p>
            <w:pPr>
              <w:pStyle w:val="TableContents"/>
              <w:spacing w:before="0" w:after="283"/>
              <w:rPr>
                <w:sz w:val="4"/>
                <w:szCs w:val="4"/>
              </w:rPr>
            </w:pPr>
            <w:r>
              <w:rPr>
                <w:sz w:val="4"/>
                <w:szCs w:val="4"/>
              </w:rPr>
            </w:r>
          </w:p>
        </w:tc>
      </w:tr>
      <w:tr>
        <w:trPr/>
        <w:tc>
          <w:tcPr>
            <w:tcW w:w="66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Annual Finance Committee chair retainer2</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15,000</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650" w:type="dxa"/>
            <w:tcBorders/>
            <w:shd w:fill="auto" w:val="clear"/>
            <w:vAlign w:val="center"/>
          </w:tcPr>
          <w:p>
            <w:pPr>
              <w:pStyle w:val="TableContents"/>
              <w:spacing w:before="0" w:after="283"/>
              <w:rPr>
                <w:sz w:val="4"/>
                <w:szCs w:val="4"/>
              </w:rPr>
            </w:pPr>
            <w:r>
              <w:rPr>
                <w:sz w:val="4"/>
                <w:szCs w:val="4"/>
              </w:rPr>
            </w:r>
          </w:p>
        </w:tc>
        <w:tc>
          <w:tcPr>
            <w:tcW w:w="1135" w:type="dxa"/>
            <w:gridSpan w:val="4"/>
            <w:tcBorders/>
            <w:shd w:fill="auto" w:val="clear"/>
            <w:vAlign w:val="center"/>
          </w:tcPr>
          <w:p>
            <w:pPr>
              <w:pStyle w:val="TableContents"/>
              <w:spacing w:before="0" w:after="283"/>
              <w:rPr>
                <w:sz w:val="4"/>
                <w:szCs w:val="4"/>
              </w:rPr>
            </w:pPr>
            <w:r>
              <w:rPr>
                <w:sz w:val="4"/>
                <w:szCs w:val="4"/>
              </w:rPr>
            </w:r>
          </w:p>
        </w:tc>
      </w:tr>
      <w:tr>
        <w:trPr/>
        <w:tc>
          <w:tcPr>
            <w:tcW w:w="66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Annual Nominating and Corporate Governance Committee chair retainer2</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15,000</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650" w:type="dxa"/>
            <w:tcBorders/>
            <w:shd w:fill="auto" w:val="clear"/>
            <w:vAlign w:val="center"/>
          </w:tcPr>
          <w:p>
            <w:pPr>
              <w:pStyle w:val="TableContents"/>
              <w:spacing w:before="0" w:after="283"/>
              <w:rPr>
                <w:sz w:val="4"/>
                <w:szCs w:val="4"/>
              </w:rPr>
            </w:pPr>
            <w:r>
              <w:rPr>
                <w:sz w:val="4"/>
                <w:szCs w:val="4"/>
              </w:rPr>
            </w:r>
          </w:p>
        </w:tc>
        <w:tc>
          <w:tcPr>
            <w:tcW w:w="1135" w:type="dxa"/>
            <w:gridSpan w:val="4"/>
            <w:tcBorders/>
            <w:shd w:fill="auto" w:val="clear"/>
            <w:vAlign w:val="center"/>
          </w:tcPr>
          <w:p>
            <w:pPr>
              <w:pStyle w:val="TableContents"/>
              <w:spacing w:before="0" w:after="283"/>
              <w:rPr>
                <w:sz w:val="4"/>
                <w:szCs w:val="4"/>
              </w:rPr>
            </w:pPr>
            <w:r>
              <w:rPr>
                <w:sz w:val="4"/>
                <w:szCs w:val="4"/>
              </w:rPr>
            </w:r>
          </w:p>
        </w:tc>
      </w:tr>
      <w:tr>
        <w:trPr/>
        <w:tc>
          <w:tcPr>
            <w:tcW w:w="66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Annual Ethics, Environment, Safety and Health Committee chair retainer2</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15,000</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650" w:type="dxa"/>
            <w:tcBorders/>
            <w:shd w:fill="auto" w:val="clear"/>
            <w:vAlign w:val="center"/>
          </w:tcPr>
          <w:p>
            <w:pPr>
              <w:pStyle w:val="TableContents"/>
              <w:spacing w:before="0" w:after="283"/>
              <w:rPr>
                <w:sz w:val="4"/>
                <w:szCs w:val="4"/>
              </w:rPr>
            </w:pPr>
            <w:r>
              <w:rPr>
                <w:sz w:val="4"/>
                <w:szCs w:val="4"/>
              </w:rPr>
            </w:r>
          </w:p>
        </w:tc>
        <w:tc>
          <w:tcPr>
            <w:tcW w:w="1135" w:type="dxa"/>
            <w:gridSpan w:val="4"/>
            <w:tcBorders/>
            <w:shd w:fill="auto" w:val="clear"/>
            <w:vAlign w:val="center"/>
          </w:tcPr>
          <w:p>
            <w:pPr>
              <w:pStyle w:val="TableContents"/>
              <w:spacing w:before="0" w:after="283"/>
              <w:rPr>
                <w:sz w:val="4"/>
                <w:szCs w:val="4"/>
              </w:rPr>
            </w:pPr>
            <w:r>
              <w:rPr>
                <w:sz w:val="4"/>
                <w:szCs w:val="4"/>
              </w:rPr>
            </w:r>
          </w:p>
        </w:tc>
      </w:tr>
      <w:tr>
        <w:trPr/>
        <w:tc>
          <w:tcPr>
            <w:tcW w:w="66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Annual Audit Committee member retainer2</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5,000</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650" w:type="dxa"/>
            <w:tcBorders/>
            <w:shd w:fill="auto" w:val="clear"/>
            <w:vAlign w:val="center"/>
          </w:tcPr>
          <w:p>
            <w:pPr>
              <w:pStyle w:val="TableContents"/>
              <w:spacing w:before="0" w:after="283"/>
              <w:rPr>
                <w:sz w:val="4"/>
                <w:szCs w:val="4"/>
              </w:rPr>
            </w:pPr>
            <w:r>
              <w:rPr>
                <w:sz w:val="4"/>
                <w:szCs w:val="4"/>
              </w:rPr>
            </w:r>
          </w:p>
        </w:tc>
        <w:tc>
          <w:tcPr>
            <w:tcW w:w="1135" w:type="dxa"/>
            <w:gridSpan w:val="4"/>
            <w:tcBorders/>
            <w:shd w:fill="auto" w:val="clear"/>
            <w:vAlign w:val="center"/>
          </w:tcPr>
          <w:p>
            <w:pPr>
              <w:pStyle w:val="TableContents"/>
              <w:spacing w:before="0" w:after="283"/>
              <w:rPr>
                <w:sz w:val="4"/>
                <w:szCs w:val="4"/>
              </w:rPr>
            </w:pPr>
            <w:r>
              <w:rPr>
                <w:sz w:val="4"/>
                <w:szCs w:val="4"/>
              </w:rPr>
            </w:r>
          </w:p>
        </w:tc>
      </w:tr>
      <w:tr>
        <w:trPr/>
        <w:tc>
          <w:tcPr>
            <w:tcW w:w="6650" w:type="dxa"/>
            <w:tcBorders>
              <w:bottom w:val="single" w:sz="6"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Annual Lead Independent Director retainer3</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w:t>
            </w:r>
          </w:p>
        </w:tc>
        <w:tc>
          <w:tcPr>
            <w:tcW w:w="800" w:type="dxa"/>
            <w:tcBorders>
              <w:bottom w:val="single" w:sz="6" w:space="0" w:color="000000"/>
            </w:tcBorders>
            <w:shd w:fill="auto" w:val="clear"/>
            <w:tcMar>
              <w:bottom w:w="100" w:type="dxa"/>
            </w:tcMar>
            <w:vAlign w:val="center"/>
          </w:tcPr>
          <w:p>
            <w:pPr>
              <w:pStyle w:val="TableContents"/>
              <w:spacing w:before="0" w:after="283"/>
              <w:jc w:val="right"/>
              <w:rPr/>
            </w:pPr>
            <w:r>
              <w:rPr/>
              <w:t>30,250</w:t>
            </w:r>
          </w:p>
        </w:tc>
        <w:tc>
          <w:tcPr>
            <w:tcW w:w="75"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0" w:after="0"/>
        <w:jc w:val="left"/>
        <w:rPr/>
      </w:pPr>
      <w:r>
        <w:rPr/>
        <w:t> </w:t>
      </w:r>
    </w:p>
    <w:tbl>
      <w:tblPr>
        <w:tblW w:w="7510" w:type="dxa"/>
        <w:jc w:val="left"/>
        <w:tblInd w:w="0" w:type="dxa"/>
        <w:tblCellMar>
          <w:top w:w="0" w:type="dxa"/>
          <w:left w:w="0" w:type="dxa"/>
          <w:bottom w:w="0" w:type="dxa"/>
          <w:right w:w="0" w:type="dxa"/>
        </w:tblCellMar>
      </w:tblPr>
      <w:tblGrid>
        <w:gridCol w:w="155"/>
        <w:gridCol w:w="7355"/>
      </w:tblGrid>
      <w:tr>
        <w:trPr/>
        <w:tc>
          <w:tcPr>
            <w:tcW w:w="155" w:type="dxa"/>
            <w:tcBorders/>
            <w:shd w:fill="auto" w:val="clear"/>
            <w:vAlign w:val="center"/>
          </w:tcPr>
          <w:p>
            <w:pPr>
              <w:pStyle w:val="TableContents"/>
              <w:spacing w:before="0" w:after="283"/>
              <w:jc w:val="left"/>
              <w:rPr/>
            </w:pPr>
            <w:r>
              <w:rPr/>
              <w:t>1</w:t>
            </w:r>
          </w:p>
        </w:tc>
        <w:tc>
          <w:tcPr>
            <w:tcW w:w="7355" w:type="dxa"/>
            <w:tcBorders/>
            <w:shd w:fill="auto" w:val="clear"/>
            <w:vAlign w:val="center"/>
          </w:tcPr>
          <w:p>
            <w:pPr>
              <w:pStyle w:val="TableContents"/>
              <w:spacing w:before="0" w:after="0"/>
              <w:jc w:val="left"/>
              <w:rPr>
                <w:rFonts w:ascii="ARIAL" w:hAnsi="ARIAL"/>
                <w:sz w:val="18"/>
              </w:rPr>
            </w:pPr>
            <w:r>
              <w:rPr>
                <w:rFonts w:ascii="ARIAL" w:hAnsi="ARIAL"/>
                <w:sz w:val="18"/>
              </w:rPr>
              <w:t xml:space="preserve">This is in addition to the annual retainer and the annual Audit Committee member retainer </w:t>
            </w:r>
          </w:p>
        </w:tc>
      </w:tr>
    </w:tbl>
    <w:tbl>
      <w:tblPr>
        <w:tblW w:w="6385" w:type="dxa"/>
        <w:jc w:val="left"/>
        <w:tblInd w:w="0" w:type="dxa"/>
        <w:tblCellMar>
          <w:top w:w="0" w:type="dxa"/>
          <w:left w:w="0" w:type="dxa"/>
          <w:bottom w:w="0" w:type="dxa"/>
          <w:right w:w="0" w:type="dxa"/>
        </w:tblCellMar>
      </w:tblPr>
      <w:tblGrid>
        <w:gridCol w:w="155"/>
        <w:gridCol w:w="6230"/>
      </w:tblGrid>
      <w:tr>
        <w:trPr/>
        <w:tc>
          <w:tcPr>
            <w:tcW w:w="155" w:type="dxa"/>
            <w:tcBorders/>
            <w:shd w:fill="auto" w:val="clear"/>
            <w:vAlign w:val="center"/>
          </w:tcPr>
          <w:p>
            <w:pPr>
              <w:pStyle w:val="TableContents"/>
              <w:spacing w:before="0" w:after="283"/>
              <w:jc w:val="left"/>
              <w:rPr/>
            </w:pPr>
            <w:r>
              <w:rPr/>
              <w:t>2</w:t>
            </w:r>
          </w:p>
        </w:tc>
        <w:tc>
          <w:tcPr>
            <w:tcW w:w="623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This is in addition to the annual retainer in view of increased responsibilities </w:t>
            </w:r>
          </w:p>
        </w:tc>
      </w:tr>
    </w:tbl>
    <w:tbl>
      <w:tblPr>
        <w:tblW w:w="9805" w:type="dxa"/>
        <w:jc w:val="left"/>
        <w:tblInd w:w="0" w:type="dxa"/>
        <w:tblCellMar>
          <w:top w:w="0" w:type="dxa"/>
          <w:left w:w="0" w:type="dxa"/>
          <w:bottom w:w="0" w:type="dxa"/>
          <w:right w:w="0" w:type="dxa"/>
        </w:tblCellMar>
      </w:tblPr>
      <w:tblGrid>
        <w:gridCol w:w="155"/>
        <w:gridCol w:w="9650"/>
      </w:tblGrid>
      <w:tr>
        <w:trPr/>
        <w:tc>
          <w:tcPr>
            <w:tcW w:w="155" w:type="dxa"/>
            <w:tcBorders/>
            <w:shd w:fill="auto" w:val="clear"/>
            <w:vAlign w:val="center"/>
          </w:tcPr>
          <w:p>
            <w:pPr>
              <w:pStyle w:val="TableContents"/>
              <w:spacing w:before="0" w:after="283"/>
              <w:jc w:val="left"/>
              <w:rPr/>
            </w:pPr>
            <w:r>
              <w:rPr/>
              <w:t>3</w:t>
            </w:r>
          </w:p>
        </w:tc>
        <w:tc>
          <w:tcPr>
            <w:tcW w:w="965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This is in addition to the annual retainer and the annual Committee chair retainers in view of increased responsibilities </w:t>
            </w:r>
          </w:p>
        </w:tc>
      </w:tr>
    </w:tbl>
    <w:p>
      <w:pPr>
        <w:pStyle w:val="TextBody"/>
        <w:spacing w:before="240" w:after="0"/>
        <w:jc w:val="left"/>
        <w:rPr>
          <w:rFonts w:ascii="ARIAL" w:hAnsi="ARIAL"/>
          <w:sz w:val="20"/>
        </w:rPr>
      </w:pPr>
      <w:r>
        <w:rPr>
          <w:rFonts w:ascii="ARIAL" w:hAnsi="ARIAL"/>
          <w:sz w:val="20"/>
        </w:rPr>
        <w:t xml:space="preserve">The Company reimburses Directors for the travel expenses of, or provides transportation on Company aircraft for, Board and Committee meetings, meetings with management or independent consultants or advisors, and other Company-related events, such as Investor Day and meetings with potential Board candidates. No non-employee Directors received personal use of Martin Marietta’s aircraft or other perquisites or personal benefits in 2022. </w:t>
      </w:r>
    </w:p>
    <w:p>
      <w:pPr>
        <w:pStyle w:val="TextBody"/>
        <w:spacing w:before="240" w:after="0"/>
        <w:jc w:val="left"/>
        <w:rPr>
          <w:rFonts w:ascii="ARIAL" w:hAnsi="ARIAL"/>
          <w:color w:val="007CBA"/>
          <w:sz w:val="26"/>
        </w:rPr>
      </w:pPr>
      <w:r>
        <w:rPr>
          <w:rFonts w:ascii="ARIAL" w:hAnsi="ARIAL"/>
          <w:color w:val="007CBA"/>
          <w:sz w:val="26"/>
        </w:rPr>
        <w:t xml:space="preserve">Equity Compensation Paid to Non-Employee Board Members </w:t>
      </w:r>
    </w:p>
    <w:p>
      <w:pPr>
        <w:pStyle w:val="TextBody"/>
        <w:spacing w:before="120" w:after="0"/>
        <w:jc w:val="left"/>
        <w:rPr>
          <w:rFonts w:ascii="ARIAL" w:hAnsi="ARIAL"/>
          <w:sz w:val="20"/>
        </w:rPr>
      </w:pPr>
      <w:r>
        <w:rPr>
          <w:rFonts w:ascii="ARIAL" w:hAnsi="ARIAL"/>
          <w:sz w:val="20"/>
        </w:rPr>
        <w:t xml:space="preserve">Non-employee Directors received an award of restricted stock units (RSUs) with a value of $145,000 (rounded up to the nearest RSU) based on the closing price as of the date of grant, which was generally immediately following the 2022 Annual Meeting of Shareholders in May 2022. In May 2022, this award was 443 RSUs. The RSUs granted to the Directors in 2022 were fully vested upon award. Directors are required to defer at least 50% of the RSUs until retirement from the Board. Directors may choose to voluntarily defer an additional portion of their RSUs, and any RSUs that are not so deferred are settled in shares of common stock of Martin Marietta as soon as practicable following the grant date. The RSUs were awarded under the Martin Marietta Amended and Restated Stock-Based Award Plan (the Stock Plan), which was approved by shareholders on May 19, 2016. The Stock Plan provides that, during any calendar year, no non-employee Director may be granted (i) restricted shares and other full-value stock-based awards, including RSUs, in respect of more than 7,000 shares of common stock of Martin Marietta or (ii) options or stock appreciation rights in respect of more than 20,000 shares of common stock of Martin Marietta. </w:t>
      </w:r>
    </w:p>
    <w:p>
      <w:pPr>
        <w:pStyle w:val="TextBody"/>
        <w:spacing w:before="240" w:after="0"/>
        <w:jc w:val="left"/>
        <w:rPr>
          <w:rFonts w:ascii="ARIAL" w:hAnsi="ARIAL"/>
          <w:sz w:val="20"/>
        </w:rPr>
      </w:pPr>
      <w:r>
        <w:rPr>
          <w:rFonts w:ascii="ARIAL" w:hAnsi="ARIAL"/>
          <w:sz w:val="20"/>
        </w:rPr>
        <w:t xml:space="preserve">The Directors do not have voting or investment power for their respective RSUs. </w:t>
      </w:r>
    </w:p>
    <w:p>
      <w:pPr>
        <w:pStyle w:val="TextBody"/>
        <w:spacing w:before="240" w:after="0"/>
        <w:jc w:val="left"/>
        <w:rPr>
          <w:rFonts w:ascii="ARIAL" w:hAnsi="ARIAL"/>
          <w:color w:val="007CBA"/>
          <w:sz w:val="26"/>
        </w:rPr>
      </w:pPr>
      <w:r>
        <w:rPr>
          <w:rFonts w:ascii="ARIAL" w:hAnsi="ARIAL"/>
          <w:color w:val="007CBA"/>
          <w:sz w:val="26"/>
        </w:rPr>
        <w:t xml:space="preserve">Deferred Compensation Program for Non-Employee Board Members </w:t>
      </w:r>
    </w:p>
    <w:p>
      <w:pPr>
        <w:pStyle w:val="TextBody"/>
        <w:spacing w:before="120" w:after="0"/>
        <w:jc w:val="left"/>
        <w:rPr>
          <w:rFonts w:ascii="ARIAL" w:hAnsi="ARIAL"/>
          <w:sz w:val="20"/>
        </w:rPr>
      </w:pPr>
      <w:r>
        <w:rPr>
          <w:rFonts w:ascii="ARIAL" w:hAnsi="ARIAL"/>
          <w:sz w:val="20"/>
        </w:rPr>
        <w:t xml:space="preserve">The Common Stock Purchase Plan for Directors provides that non-employee Directors may elect to receive all or a portion of their fees earned in 2022 in the form of Martin Marietta common stock units. If deferral is elected, there is a mandatory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28</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9" descr=""/>
                          <pic:cNvPicPr>
                            <a:picLocks noChangeAspect="1" noChangeArrowheads="1"/>
                          </pic:cNvPicPr>
                        </pic:nvPicPr>
                        <pic:blipFill>
                          <a:blip r:embed="rId13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DIRECTOR COMPENSATION   </w:t>
      </w:r>
      <w:r>
        <w:rPr>
          <w:rFonts w:ascii="ARIAL" w:hAnsi="ARIAL"/>
          <w:color w:val="007CBA"/>
          <w:sz w:val="16"/>
        </w:rPr>
        <w:t xml:space="preserve">◆  PROPOSAL 1: ELECTION OF DIRECTORS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minimum deferral time of three years with, subject to certain restrictions, redeferrals at each Director’s election up to the date the person ceases to be a Director or the date that is one year and one month following the date that the person ceases to be a Director. Directors may elect to receive payment of the deferred amount in a single lump sum or in equal annual installments for a period of up to ten years. All deferrals in common stock are credited at 100% of the fair market value of the common stock (the closing price of the common stock as reported in The Wall Street Journal). There are no matching contributions made by Martin Marietta. Dividend equivalents are paid on the units at the same rate as dividends are paid to all shareholders. The Directors do not have voting or investment power for their respective common stock units. Directors may also elect to defer their fees into a cash-based account on the same basis. Amounts deferred under the plan in cash are credited with interest at the prime rate as of January 1 of that year. </w:t>
      </w:r>
    </w:p>
    <w:p>
      <w:pPr>
        <w:pStyle w:val="TextBody"/>
        <w:spacing w:before="240" w:after="0"/>
        <w:jc w:val="left"/>
        <w:rPr>
          <w:rFonts w:ascii="ARIAL" w:hAnsi="ARIAL"/>
          <w:color w:val="007CBA"/>
          <w:sz w:val="26"/>
        </w:rPr>
      </w:pPr>
      <w:bookmarkStart w:id="14" w:name="toc390557_9"/>
      <w:bookmarkEnd w:id="14"/>
      <w:r>
        <w:rPr>
          <w:rFonts w:ascii="ARIAL" w:hAnsi="ARIAL"/>
          <w:color w:val="007CBA"/>
          <w:sz w:val="26"/>
        </w:rPr>
        <w:t xml:space="preserve">Director Compensation Table </w:t>
      </w:r>
    </w:p>
    <w:p>
      <w:pPr>
        <w:pStyle w:val="TextBody"/>
        <w:spacing w:before="120" w:after="0"/>
        <w:jc w:val="left"/>
        <w:rPr>
          <w:rFonts w:ascii="ARIAL" w:hAnsi="ARIAL"/>
          <w:sz w:val="20"/>
        </w:rPr>
      </w:pPr>
      <w:r>
        <w:rPr>
          <w:rFonts w:ascii="ARIAL" w:hAnsi="ARIAL"/>
          <w:sz w:val="20"/>
        </w:rPr>
        <w:t xml:space="preserve">The table below summarizes the compensation paid by Martin Marietta to each person who served as a non-employee Director during the fiscal year ended December 31, 2022. </w:t>
      </w:r>
    </w:p>
    <w:p>
      <w:pPr>
        <w:pStyle w:val="TextBody"/>
        <w:spacing w:before="0" w:after="0"/>
        <w:jc w:val="left"/>
        <w:rPr/>
      </w:pPr>
      <w:r>
        <w:rPr/>
        <w:t> </w:t>
      </w:r>
    </w:p>
    <w:tbl>
      <w:tblPr>
        <w:tblW w:w="9843" w:type="dxa"/>
        <w:jc w:val="left"/>
        <w:tblInd w:w="0" w:type="dxa"/>
        <w:tblCellMar>
          <w:top w:w="0" w:type="dxa"/>
          <w:left w:w="0" w:type="dxa"/>
          <w:bottom w:w="0" w:type="dxa"/>
          <w:right w:w="0" w:type="dxa"/>
        </w:tblCellMar>
      </w:tblPr>
      <w:tblGrid>
        <w:gridCol w:w="1460"/>
        <w:gridCol w:w="23"/>
        <w:gridCol w:w="43"/>
        <w:gridCol w:w="112"/>
        <w:gridCol w:w="1505"/>
        <w:gridCol w:w="115"/>
        <w:gridCol w:w="23"/>
        <w:gridCol w:w="31"/>
        <w:gridCol w:w="81"/>
        <w:gridCol w:w="1085"/>
        <w:gridCol w:w="83"/>
        <w:gridCol w:w="23"/>
        <w:gridCol w:w="64"/>
        <w:gridCol w:w="168"/>
        <w:gridCol w:w="1912"/>
        <w:gridCol w:w="171"/>
        <w:gridCol w:w="23"/>
        <w:gridCol w:w="54"/>
        <w:gridCol w:w="141"/>
        <w:gridCol w:w="1602"/>
        <w:gridCol w:w="143"/>
        <w:gridCol w:w="23"/>
        <w:gridCol w:w="23"/>
        <w:gridCol w:w="60"/>
        <w:gridCol w:w="800"/>
        <w:gridCol w:w="75"/>
      </w:tblGrid>
      <w:tr>
        <w:trPr/>
        <w:tc>
          <w:tcPr>
            <w:tcW w:w="14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60" w:type="dxa"/>
            <w:tcBorders/>
            <w:shd w:fill="DBDBDB" w:val="clear"/>
            <w:vAlign w:val="center"/>
          </w:tcPr>
          <w:p>
            <w:pPr>
              <w:pStyle w:val="TableContents"/>
              <w:spacing w:before="0" w:after="283"/>
              <w:rPr>
                <w:sz w:val="4"/>
                <w:szCs w:val="4"/>
              </w:rPr>
            </w:pPr>
            <w:r>
              <w:rPr>
                <w:sz w:val="4"/>
                <w:szCs w:val="4"/>
              </w:rPr>
            </w:r>
          </w:p>
        </w:tc>
        <w:tc>
          <w:tcPr>
            <w:tcW w:w="1798" w:type="dxa"/>
            <w:gridSpan w:val="5"/>
            <w:tcBorders/>
            <w:shd w:fill="DBDBDB" w:val="clear"/>
            <w:vAlign w:val="center"/>
          </w:tcPr>
          <w:p>
            <w:pPr>
              <w:pStyle w:val="TableContents"/>
              <w:spacing w:before="0" w:after="283"/>
              <w:rPr>
                <w:sz w:val="4"/>
                <w:szCs w:val="4"/>
              </w:rPr>
            </w:pPr>
            <w:r>
              <w:rPr>
                <w:sz w:val="4"/>
                <w:szCs w:val="4"/>
              </w:rPr>
            </w:r>
          </w:p>
        </w:tc>
        <w:tc>
          <w:tcPr>
            <w:tcW w:w="1303" w:type="dxa"/>
            <w:gridSpan w:val="5"/>
            <w:tcBorders/>
            <w:shd w:fill="DBDBDB" w:val="clear"/>
            <w:vAlign w:val="center"/>
          </w:tcPr>
          <w:p>
            <w:pPr>
              <w:pStyle w:val="TableContents"/>
              <w:spacing w:before="0" w:after="283"/>
              <w:rPr>
                <w:sz w:val="4"/>
                <w:szCs w:val="4"/>
              </w:rPr>
            </w:pPr>
            <w:r>
              <w:rPr>
                <w:sz w:val="4"/>
                <w:szCs w:val="4"/>
              </w:rPr>
            </w:r>
          </w:p>
        </w:tc>
        <w:tc>
          <w:tcPr>
            <w:tcW w:w="2338" w:type="dxa"/>
            <w:gridSpan w:val="5"/>
            <w:tcBorders/>
            <w:shd w:fill="DBDBDB" w:val="clear"/>
            <w:vAlign w:val="center"/>
          </w:tcPr>
          <w:p>
            <w:pPr>
              <w:pStyle w:val="TableContents"/>
              <w:spacing w:before="0" w:after="283"/>
              <w:rPr>
                <w:sz w:val="4"/>
                <w:szCs w:val="4"/>
              </w:rPr>
            </w:pPr>
            <w:r>
              <w:rPr>
                <w:sz w:val="4"/>
                <w:szCs w:val="4"/>
              </w:rPr>
            </w:r>
          </w:p>
        </w:tc>
        <w:tc>
          <w:tcPr>
            <w:tcW w:w="1963" w:type="dxa"/>
            <w:gridSpan w:val="5"/>
            <w:tcBorders/>
            <w:shd w:fill="DBDBDB" w:val="clear"/>
            <w:vAlign w:val="center"/>
          </w:tcPr>
          <w:p>
            <w:pPr>
              <w:pStyle w:val="TableContents"/>
              <w:spacing w:before="0" w:after="283"/>
              <w:rPr>
                <w:sz w:val="4"/>
                <w:szCs w:val="4"/>
              </w:rPr>
            </w:pPr>
            <w:r>
              <w:rPr>
                <w:sz w:val="4"/>
                <w:szCs w:val="4"/>
              </w:rPr>
            </w:r>
          </w:p>
        </w:tc>
        <w:tc>
          <w:tcPr>
            <w:tcW w:w="981" w:type="dxa"/>
            <w:gridSpan w:val="5"/>
            <w:tcBorders/>
            <w:shd w:fill="DBDBDB" w:val="clear"/>
            <w:vAlign w:val="center"/>
          </w:tcPr>
          <w:p>
            <w:pPr>
              <w:pStyle w:val="TableContents"/>
              <w:spacing w:before="0" w:after="283"/>
              <w:rPr>
                <w:sz w:val="4"/>
                <w:szCs w:val="4"/>
              </w:rPr>
            </w:pPr>
            <w:r>
              <w:rPr>
                <w:sz w:val="4"/>
                <w:szCs w:val="4"/>
              </w:rPr>
            </w:r>
          </w:p>
        </w:tc>
      </w:tr>
      <w:tr>
        <w:trPr/>
        <w:tc>
          <w:tcPr>
            <w:tcW w:w="1460" w:type="dxa"/>
            <w:tcBorders/>
            <w:shd w:fill="DBDBDB" w:val="clear"/>
            <w:vAlign w:val="center"/>
          </w:tcPr>
          <w:p>
            <w:pPr>
              <w:pStyle w:val="TableContents"/>
              <w:spacing w:before="0" w:after="0"/>
              <w:rPr>
                <w:rFonts w:ascii="ARIAL" w:hAnsi="ARIAL"/>
                <w:b/>
                <w:sz w:val="16"/>
              </w:rPr>
            </w:pPr>
            <w:r>
              <w:rPr>
                <w:rFonts w:ascii="ARIAL" w:hAnsi="ARIAL"/>
                <w:b/>
                <w:sz w:val="16"/>
              </w:rPr>
              <w:t>Name1</w:t>
            </w:r>
          </w:p>
        </w:tc>
        <w:tc>
          <w:tcPr>
            <w:tcW w:w="23" w:type="dxa"/>
            <w:tcBorders/>
            <w:shd w:fill="DBDBDB" w:val="clear"/>
            <w:vAlign w:val="center"/>
          </w:tcPr>
          <w:p>
            <w:pPr>
              <w:pStyle w:val="TableContents"/>
              <w:spacing w:before="0" w:after="283"/>
              <w:rPr>
                <w:sz w:val="4"/>
                <w:szCs w:val="4"/>
              </w:rPr>
            </w:pPr>
            <w:r>
              <w:rPr>
                <w:sz w:val="4"/>
                <w:szCs w:val="4"/>
              </w:rPr>
            </w:r>
          </w:p>
        </w:tc>
        <w:tc>
          <w:tcPr>
            <w:tcW w:w="1775" w:type="dxa"/>
            <w:gridSpan w:val="4"/>
            <w:tcBorders/>
            <w:shd w:fill="DBDBDB" w:val="clear"/>
            <w:vAlign w:val="center"/>
          </w:tcPr>
          <w:p>
            <w:pPr>
              <w:pStyle w:val="TableContents"/>
              <w:spacing w:before="0" w:after="283"/>
              <w:jc w:val="center"/>
              <w:rPr>
                <w:b/>
              </w:rPr>
            </w:pPr>
            <w:r>
              <w:rPr>
                <w:b/>
              </w:rPr>
              <w:t>Fees Earned or</w:t>
              <w:br/>
              <w:t>Paid in Cash ($)2</w:t>
            </w:r>
          </w:p>
        </w:tc>
        <w:tc>
          <w:tcPr>
            <w:tcW w:w="23" w:type="dxa"/>
            <w:tcBorders/>
            <w:shd w:fill="DBDBDB" w:val="clear"/>
            <w:vAlign w:val="center"/>
          </w:tcPr>
          <w:p>
            <w:pPr>
              <w:pStyle w:val="TableContents"/>
              <w:spacing w:before="0" w:after="283"/>
              <w:rPr>
                <w:sz w:val="4"/>
                <w:szCs w:val="4"/>
              </w:rPr>
            </w:pPr>
            <w:r>
              <w:rPr>
                <w:sz w:val="4"/>
                <w:szCs w:val="4"/>
              </w:rPr>
            </w:r>
          </w:p>
        </w:tc>
        <w:tc>
          <w:tcPr>
            <w:tcW w:w="1280" w:type="dxa"/>
            <w:gridSpan w:val="4"/>
            <w:tcBorders/>
            <w:shd w:fill="DBDBDB" w:val="clear"/>
            <w:vAlign w:val="center"/>
          </w:tcPr>
          <w:p>
            <w:pPr>
              <w:pStyle w:val="TableContents"/>
              <w:spacing w:before="0" w:after="283"/>
              <w:jc w:val="center"/>
              <w:rPr>
                <w:b/>
              </w:rPr>
            </w:pPr>
            <w:r>
              <w:rPr>
                <w:b/>
              </w:rPr>
              <w:t>Stock</w:t>
              <w:br/>
              <w:t>Awards ($)3</w:t>
            </w:r>
          </w:p>
        </w:tc>
        <w:tc>
          <w:tcPr>
            <w:tcW w:w="23" w:type="dxa"/>
            <w:tcBorders/>
            <w:shd w:fill="DBDBDB" w:val="clear"/>
            <w:vAlign w:val="center"/>
          </w:tcPr>
          <w:p>
            <w:pPr>
              <w:pStyle w:val="TableContents"/>
              <w:spacing w:before="0" w:after="283"/>
              <w:rPr>
                <w:sz w:val="4"/>
                <w:szCs w:val="4"/>
              </w:rPr>
            </w:pPr>
            <w:r>
              <w:rPr>
                <w:sz w:val="4"/>
                <w:szCs w:val="4"/>
              </w:rPr>
            </w:r>
          </w:p>
        </w:tc>
        <w:tc>
          <w:tcPr>
            <w:tcW w:w="2315" w:type="dxa"/>
            <w:gridSpan w:val="4"/>
            <w:tcBorders/>
            <w:shd w:fill="DBDBDB" w:val="clear"/>
            <w:vAlign w:val="center"/>
          </w:tcPr>
          <w:p>
            <w:pPr>
              <w:pStyle w:val="TableContents"/>
              <w:spacing w:before="0" w:after="283"/>
              <w:jc w:val="center"/>
              <w:rPr>
                <w:b/>
              </w:rPr>
            </w:pPr>
            <w:r>
              <w:rPr>
                <w:b/>
              </w:rPr>
              <w:t>Change in Pension</w:t>
              <w:br/>
              <w:t>Value and</w:t>
              <w:br/>
              <w:t>Nonqualified Deferred</w:t>
              <w:br/>
              <w:t>Compensation</w:t>
              <w:br/>
              <w:t>Earnings ($)4</w:t>
            </w:r>
          </w:p>
        </w:tc>
        <w:tc>
          <w:tcPr>
            <w:tcW w:w="23" w:type="dxa"/>
            <w:tcBorders/>
            <w:shd w:fill="DBDBDB" w:val="clear"/>
            <w:vAlign w:val="center"/>
          </w:tcPr>
          <w:p>
            <w:pPr>
              <w:pStyle w:val="TableContents"/>
              <w:spacing w:before="0" w:after="283"/>
              <w:rPr>
                <w:sz w:val="4"/>
                <w:szCs w:val="4"/>
              </w:rPr>
            </w:pPr>
            <w:r>
              <w:rPr>
                <w:sz w:val="4"/>
                <w:szCs w:val="4"/>
              </w:rPr>
            </w:r>
          </w:p>
        </w:tc>
        <w:tc>
          <w:tcPr>
            <w:tcW w:w="1940" w:type="dxa"/>
            <w:gridSpan w:val="4"/>
            <w:tcBorders/>
            <w:shd w:fill="DBDBDB" w:val="clear"/>
            <w:vAlign w:val="center"/>
          </w:tcPr>
          <w:p>
            <w:pPr>
              <w:pStyle w:val="TableContents"/>
              <w:spacing w:before="0" w:after="283"/>
              <w:jc w:val="center"/>
              <w:rPr>
                <w:b/>
              </w:rPr>
            </w:pPr>
            <w:r>
              <w:rPr>
                <w:b/>
              </w:rPr>
              <w:t>All Other</w:t>
              <w:br/>
              <w:t>Compensation ($)5</w:t>
            </w:r>
          </w:p>
        </w:tc>
        <w:tc>
          <w:tcPr>
            <w:tcW w:w="23" w:type="dxa"/>
            <w:tcBorders/>
            <w:shd w:fill="DBDBDB" w:val="clear"/>
            <w:vAlign w:val="center"/>
          </w:tcPr>
          <w:p>
            <w:pPr>
              <w:pStyle w:val="TableContents"/>
              <w:spacing w:before="0" w:after="283"/>
              <w:rPr>
                <w:sz w:val="4"/>
                <w:szCs w:val="4"/>
              </w:rPr>
            </w:pPr>
            <w:r>
              <w:rPr>
                <w:sz w:val="4"/>
                <w:szCs w:val="4"/>
              </w:rPr>
            </w:r>
          </w:p>
        </w:tc>
        <w:tc>
          <w:tcPr>
            <w:tcW w:w="958" w:type="dxa"/>
            <w:gridSpan w:val="4"/>
            <w:tcBorders/>
            <w:shd w:fill="DBDBDB" w:val="clear"/>
            <w:vAlign w:val="center"/>
          </w:tcPr>
          <w:p>
            <w:pPr>
              <w:pStyle w:val="TableContents"/>
              <w:spacing w:before="0" w:after="283"/>
              <w:jc w:val="center"/>
              <w:rPr>
                <w:b/>
              </w:rPr>
            </w:pPr>
            <w:r>
              <w:rPr>
                <w:b/>
              </w:rPr>
              <w:t>Total ($)</w:t>
            </w:r>
          </w:p>
        </w:tc>
      </w:tr>
      <w:tr>
        <w:trPr/>
        <w:tc>
          <w:tcPr>
            <w:tcW w:w="1460" w:type="dxa"/>
            <w:tcBorders/>
            <w:shd w:fill="DBDBDB" w:val="clear"/>
            <w:vAlign w:val="center"/>
          </w:tcPr>
          <w:p>
            <w:pPr>
              <w:pStyle w:val="TableContents"/>
              <w:spacing w:before="0" w:after="0"/>
              <w:rPr>
                <w:rFonts w:ascii="ARIAL" w:hAnsi="ARIAL"/>
                <w:sz w:val="16"/>
              </w:rPr>
            </w:pPr>
            <w:r>
              <w:rPr>
                <w:rFonts w:ascii="ARIAL" w:hAnsi="ARIAL"/>
                <w:sz w:val="16"/>
              </w:rPr>
              <w:t>(a)</w:t>
            </w:r>
          </w:p>
        </w:tc>
        <w:tc>
          <w:tcPr>
            <w:tcW w:w="23" w:type="dxa"/>
            <w:tcBorders/>
            <w:shd w:fill="DBDBDB" w:val="clear"/>
            <w:vAlign w:val="center"/>
          </w:tcPr>
          <w:p>
            <w:pPr>
              <w:pStyle w:val="TableContents"/>
              <w:spacing w:before="0" w:after="283"/>
              <w:rPr>
                <w:sz w:val="4"/>
                <w:szCs w:val="4"/>
              </w:rPr>
            </w:pPr>
            <w:r>
              <w:rPr>
                <w:sz w:val="4"/>
                <w:szCs w:val="4"/>
              </w:rPr>
            </w:r>
          </w:p>
        </w:tc>
        <w:tc>
          <w:tcPr>
            <w:tcW w:w="1775" w:type="dxa"/>
            <w:gridSpan w:val="4"/>
            <w:tcBorders/>
            <w:shd w:fill="DBDBDB" w:val="clear"/>
            <w:vAlign w:val="center"/>
          </w:tcPr>
          <w:p>
            <w:pPr>
              <w:pStyle w:val="TableContents"/>
              <w:spacing w:before="0" w:after="283"/>
              <w:jc w:val="center"/>
              <w:rPr/>
            </w:pPr>
            <w:r>
              <w:rPr/>
              <w:t>(b)</w:t>
            </w:r>
          </w:p>
        </w:tc>
        <w:tc>
          <w:tcPr>
            <w:tcW w:w="23" w:type="dxa"/>
            <w:tcBorders/>
            <w:shd w:fill="DBDBDB" w:val="clear"/>
            <w:vAlign w:val="center"/>
          </w:tcPr>
          <w:p>
            <w:pPr>
              <w:pStyle w:val="TableContents"/>
              <w:spacing w:before="0" w:after="283"/>
              <w:rPr>
                <w:sz w:val="4"/>
                <w:szCs w:val="4"/>
              </w:rPr>
            </w:pPr>
            <w:r>
              <w:rPr>
                <w:sz w:val="4"/>
                <w:szCs w:val="4"/>
              </w:rPr>
            </w:r>
          </w:p>
        </w:tc>
        <w:tc>
          <w:tcPr>
            <w:tcW w:w="1280" w:type="dxa"/>
            <w:gridSpan w:val="4"/>
            <w:tcBorders/>
            <w:shd w:fill="DBDBDB" w:val="clear"/>
            <w:vAlign w:val="center"/>
          </w:tcPr>
          <w:p>
            <w:pPr>
              <w:pStyle w:val="TableContents"/>
              <w:spacing w:before="0" w:after="283"/>
              <w:jc w:val="center"/>
              <w:rPr/>
            </w:pPr>
            <w:r>
              <w:rPr/>
              <w:t>(c)</w:t>
            </w:r>
          </w:p>
        </w:tc>
        <w:tc>
          <w:tcPr>
            <w:tcW w:w="23" w:type="dxa"/>
            <w:tcBorders/>
            <w:shd w:fill="DBDBDB" w:val="clear"/>
            <w:vAlign w:val="center"/>
          </w:tcPr>
          <w:p>
            <w:pPr>
              <w:pStyle w:val="TableContents"/>
              <w:spacing w:before="0" w:after="283"/>
              <w:rPr>
                <w:sz w:val="4"/>
                <w:szCs w:val="4"/>
              </w:rPr>
            </w:pPr>
            <w:r>
              <w:rPr>
                <w:sz w:val="4"/>
                <w:szCs w:val="4"/>
              </w:rPr>
            </w:r>
          </w:p>
        </w:tc>
        <w:tc>
          <w:tcPr>
            <w:tcW w:w="2315" w:type="dxa"/>
            <w:gridSpan w:val="4"/>
            <w:tcBorders/>
            <w:shd w:fill="DBDBDB" w:val="clear"/>
            <w:vAlign w:val="center"/>
          </w:tcPr>
          <w:p>
            <w:pPr>
              <w:pStyle w:val="TableContents"/>
              <w:spacing w:before="0" w:after="283"/>
              <w:jc w:val="center"/>
              <w:rPr/>
            </w:pPr>
            <w:r>
              <w:rPr/>
              <w:t>(f)</w:t>
            </w:r>
          </w:p>
        </w:tc>
        <w:tc>
          <w:tcPr>
            <w:tcW w:w="23" w:type="dxa"/>
            <w:tcBorders/>
            <w:shd w:fill="DBDBDB" w:val="clear"/>
            <w:vAlign w:val="center"/>
          </w:tcPr>
          <w:p>
            <w:pPr>
              <w:pStyle w:val="TableContents"/>
              <w:spacing w:before="0" w:after="283"/>
              <w:rPr>
                <w:sz w:val="4"/>
                <w:szCs w:val="4"/>
              </w:rPr>
            </w:pPr>
            <w:r>
              <w:rPr>
                <w:sz w:val="4"/>
                <w:szCs w:val="4"/>
              </w:rPr>
            </w:r>
          </w:p>
        </w:tc>
        <w:tc>
          <w:tcPr>
            <w:tcW w:w="1940" w:type="dxa"/>
            <w:gridSpan w:val="4"/>
            <w:tcBorders/>
            <w:shd w:fill="DBDBDB" w:val="clear"/>
            <w:vAlign w:val="center"/>
          </w:tcPr>
          <w:p>
            <w:pPr>
              <w:pStyle w:val="TableContents"/>
              <w:spacing w:before="0" w:after="283"/>
              <w:jc w:val="center"/>
              <w:rPr/>
            </w:pPr>
            <w:r>
              <w:rPr/>
              <w:t>(g)</w:t>
            </w:r>
          </w:p>
        </w:tc>
        <w:tc>
          <w:tcPr>
            <w:tcW w:w="23" w:type="dxa"/>
            <w:tcBorders/>
            <w:shd w:fill="DBDBDB" w:val="clear"/>
            <w:vAlign w:val="center"/>
          </w:tcPr>
          <w:p>
            <w:pPr>
              <w:pStyle w:val="TableContents"/>
              <w:spacing w:before="0" w:after="283"/>
              <w:rPr>
                <w:sz w:val="4"/>
                <w:szCs w:val="4"/>
              </w:rPr>
            </w:pPr>
            <w:r>
              <w:rPr>
                <w:sz w:val="4"/>
                <w:szCs w:val="4"/>
              </w:rPr>
            </w:r>
          </w:p>
        </w:tc>
        <w:tc>
          <w:tcPr>
            <w:tcW w:w="958" w:type="dxa"/>
            <w:gridSpan w:val="4"/>
            <w:tcBorders/>
            <w:shd w:fill="DBDBDB" w:val="clear"/>
            <w:vAlign w:val="center"/>
          </w:tcPr>
          <w:p>
            <w:pPr>
              <w:pStyle w:val="TableContents"/>
              <w:spacing w:before="0" w:after="283"/>
              <w:jc w:val="center"/>
              <w:rPr/>
            </w:pPr>
            <w:r>
              <w:rPr/>
              <w:t>(h)</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60" w:type="dxa"/>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1303" w:type="dxa"/>
            <w:gridSpan w:val="5"/>
            <w:tcBorders/>
            <w:shd w:fill="auto" w:val="clear"/>
            <w:vAlign w:val="center"/>
          </w:tcPr>
          <w:p>
            <w:pPr>
              <w:pStyle w:val="TableContents"/>
              <w:spacing w:before="0" w:after="283"/>
              <w:rPr>
                <w:sz w:val="4"/>
                <w:szCs w:val="4"/>
              </w:rPr>
            </w:pPr>
            <w:r>
              <w:rPr>
                <w:sz w:val="4"/>
                <w:szCs w:val="4"/>
              </w:rPr>
            </w:r>
          </w:p>
        </w:tc>
        <w:tc>
          <w:tcPr>
            <w:tcW w:w="2338" w:type="dxa"/>
            <w:gridSpan w:val="5"/>
            <w:tcBorders/>
            <w:shd w:fill="auto" w:val="clear"/>
            <w:vAlign w:val="center"/>
          </w:tcPr>
          <w:p>
            <w:pPr>
              <w:pStyle w:val="TableContents"/>
              <w:spacing w:before="0" w:after="283"/>
              <w:rPr>
                <w:sz w:val="4"/>
                <w:szCs w:val="4"/>
              </w:rPr>
            </w:pPr>
            <w:r>
              <w:rPr>
                <w:sz w:val="4"/>
                <w:szCs w:val="4"/>
              </w:rPr>
            </w:r>
          </w:p>
        </w:tc>
        <w:tc>
          <w:tcPr>
            <w:tcW w:w="1963"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Dorothy M. Ables</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 w:type="dxa"/>
            <w:tcBorders>
              <w:bottom w:val="dotted" w:sz="8" w:space="0" w:color="000000"/>
            </w:tcBorders>
            <w:shd w:fill="auto" w:val="clear"/>
            <w:tcMar>
              <w:bottom w:w="80" w:type="dxa"/>
            </w:tcMar>
            <w:vAlign w:val="center"/>
          </w:tcPr>
          <w:p>
            <w:pPr>
              <w:pStyle w:val="TableContents"/>
              <w:spacing w:before="0" w:after="283"/>
              <w:rPr/>
            </w:pPr>
            <w:r>
              <w:rPr/>
              <w:t> </w:t>
            </w:r>
          </w:p>
        </w:tc>
        <w:tc>
          <w:tcPr>
            <w:tcW w:w="1505" w:type="dxa"/>
            <w:tcBorders>
              <w:bottom w:val="dotted" w:sz="8" w:space="0" w:color="000000"/>
            </w:tcBorders>
            <w:shd w:fill="auto" w:val="clear"/>
            <w:tcMar>
              <w:bottom w:w="80" w:type="dxa"/>
            </w:tcMar>
            <w:vAlign w:val="center"/>
          </w:tcPr>
          <w:p>
            <w:pPr>
              <w:pStyle w:val="TableContents"/>
              <w:spacing w:before="0" w:after="283"/>
              <w:jc w:val="right"/>
              <w:rPr/>
            </w:pPr>
            <w:r>
              <w:rPr/>
              <w:t>128,750</w:t>
            </w:r>
          </w:p>
        </w:tc>
        <w:tc>
          <w:tcPr>
            <w:tcW w:w="115"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 w:type="dxa"/>
            <w:tcBorders>
              <w:bottom w:val="dotted" w:sz="8" w:space="0" w:color="000000"/>
            </w:tcBorders>
            <w:shd w:fill="auto" w:val="clear"/>
            <w:tcMar>
              <w:bottom w:w="80" w:type="dxa"/>
            </w:tcMar>
            <w:vAlign w:val="center"/>
          </w:tcPr>
          <w:p>
            <w:pPr>
              <w:pStyle w:val="TableContents"/>
              <w:spacing w:before="0" w:after="283"/>
              <w:rPr/>
            </w:pPr>
            <w:r>
              <w:rPr/>
              <w:t> </w:t>
            </w:r>
          </w:p>
        </w:tc>
        <w:tc>
          <w:tcPr>
            <w:tcW w:w="1085" w:type="dxa"/>
            <w:tcBorders>
              <w:bottom w:val="dotted" w:sz="8" w:space="0" w:color="000000"/>
            </w:tcBorders>
            <w:shd w:fill="auto" w:val="clear"/>
            <w:tcMar>
              <w:bottom w:w="80" w:type="dxa"/>
            </w:tcMar>
            <w:vAlign w:val="center"/>
          </w:tcPr>
          <w:p>
            <w:pPr>
              <w:pStyle w:val="TableContents"/>
              <w:spacing w:before="0" w:after="283"/>
              <w:jc w:val="right"/>
              <w:rPr/>
            </w:pPr>
            <w:r>
              <w:rPr/>
              <w:t>145,114</w:t>
            </w:r>
          </w:p>
        </w:tc>
        <w:tc>
          <w:tcPr>
            <w:tcW w:w="8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8" w:type="dxa"/>
            <w:tcBorders>
              <w:bottom w:val="dotted" w:sz="8" w:space="0" w:color="000000"/>
            </w:tcBorders>
            <w:shd w:fill="auto" w:val="clear"/>
            <w:tcMar>
              <w:bottom w:w="80" w:type="dxa"/>
            </w:tcMar>
            <w:vAlign w:val="center"/>
          </w:tcPr>
          <w:p>
            <w:pPr>
              <w:pStyle w:val="TableContents"/>
              <w:spacing w:before="0" w:after="283"/>
              <w:rPr/>
            </w:pPr>
            <w:r>
              <w:rPr/>
              <w:t> </w:t>
            </w:r>
          </w:p>
        </w:tc>
        <w:tc>
          <w:tcPr>
            <w:tcW w:w="1912" w:type="dxa"/>
            <w:tcBorders>
              <w:bottom w:val="dotted" w:sz="8" w:space="0" w:color="000000"/>
            </w:tcBorders>
            <w:shd w:fill="auto" w:val="clear"/>
            <w:tcMar>
              <w:bottom w:w="80" w:type="dxa"/>
            </w:tcMar>
            <w:vAlign w:val="center"/>
          </w:tcPr>
          <w:p>
            <w:pPr>
              <w:pStyle w:val="TableContents"/>
              <w:spacing w:before="0" w:after="283"/>
              <w:jc w:val="right"/>
              <w:rPr/>
            </w:pPr>
            <w:r>
              <w:rPr/>
              <w:t>527</w:t>
            </w:r>
          </w:p>
        </w:tc>
        <w:tc>
          <w:tcPr>
            <w:tcW w:w="171"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 w:type="dxa"/>
            <w:tcBorders>
              <w:bottom w:val="dotted" w:sz="8" w:space="0" w:color="000000"/>
            </w:tcBorders>
            <w:shd w:fill="auto" w:val="clear"/>
            <w:tcMar>
              <w:bottom w:w="80" w:type="dxa"/>
            </w:tcMar>
            <w:vAlign w:val="center"/>
          </w:tcPr>
          <w:p>
            <w:pPr>
              <w:pStyle w:val="TableContents"/>
              <w:spacing w:before="0" w:after="283"/>
              <w:rPr/>
            </w:pPr>
            <w:r>
              <w:rPr/>
              <w:t> </w:t>
            </w:r>
          </w:p>
        </w:tc>
        <w:tc>
          <w:tcPr>
            <w:tcW w:w="1602" w:type="dxa"/>
            <w:tcBorders>
              <w:bottom w:val="dotted" w:sz="8" w:space="0" w:color="000000"/>
            </w:tcBorders>
            <w:shd w:fill="auto" w:val="clear"/>
            <w:tcMar>
              <w:bottom w:w="80" w:type="dxa"/>
            </w:tcMar>
            <w:vAlign w:val="center"/>
          </w:tcPr>
          <w:p>
            <w:pPr>
              <w:pStyle w:val="TableContents"/>
              <w:spacing w:before="0" w:after="283"/>
              <w:jc w:val="right"/>
              <w:rPr/>
            </w:pPr>
            <w:r>
              <w:rPr/>
              <w:t>7,210</w:t>
            </w:r>
          </w:p>
        </w:tc>
        <w:tc>
          <w:tcPr>
            <w:tcW w:w="14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800" w:type="dxa"/>
            <w:tcBorders>
              <w:bottom w:val="dotted" w:sz="8" w:space="0" w:color="000000"/>
            </w:tcBorders>
            <w:shd w:fill="auto" w:val="clear"/>
            <w:tcMar>
              <w:bottom w:w="80" w:type="dxa"/>
            </w:tcMar>
            <w:vAlign w:val="center"/>
          </w:tcPr>
          <w:p>
            <w:pPr>
              <w:pStyle w:val="TableContents"/>
              <w:spacing w:before="0" w:after="283"/>
              <w:jc w:val="right"/>
              <w:rPr/>
            </w:pPr>
            <w:r>
              <w:rPr/>
              <w:t>281,601</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1303" w:type="dxa"/>
            <w:gridSpan w:val="5"/>
            <w:tcBorders/>
            <w:shd w:fill="auto" w:val="clear"/>
            <w:vAlign w:val="center"/>
          </w:tcPr>
          <w:p>
            <w:pPr>
              <w:pStyle w:val="TableContents"/>
              <w:spacing w:before="0" w:after="283"/>
              <w:rPr>
                <w:sz w:val="4"/>
                <w:szCs w:val="4"/>
              </w:rPr>
            </w:pPr>
            <w:r>
              <w:rPr>
                <w:sz w:val="4"/>
                <w:szCs w:val="4"/>
              </w:rPr>
            </w:r>
          </w:p>
        </w:tc>
        <w:tc>
          <w:tcPr>
            <w:tcW w:w="2338" w:type="dxa"/>
            <w:gridSpan w:val="5"/>
            <w:tcBorders/>
            <w:shd w:fill="auto" w:val="clear"/>
            <w:vAlign w:val="center"/>
          </w:tcPr>
          <w:p>
            <w:pPr>
              <w:pStyle w:val="TableContents"/>
              <w:spacing w:before="0" w:after="283"/>
              <w:rPr>
                <w:sz w:val="4"/>
                <w:szCs w:val="4"/>
              </w:rPr>
            </w:pPr>
            <w:r>
              <w:rPr>
                <w:sz w:val="4"/>
                <w:szCs w:val="4"/>
              </w:rPr>
            </w:r>
          </w:p>
        </w:tc>
        <w:tc>
          <w:tcPr>
            <w:tcW w:w="1963"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Sue W. Cole</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 w:type="dxa"/>
            <w:tcBorders>
              <w:bottom w:val="dotted" w:sz="8" w:space="0" w:color="000000"/>
            </w:tcBorders>
            <w:shd w:fill="auto" w:val="clear"/>
            <w:tcMar>
              <w:bottom w:w="80" w:type="dxa"/>
            </w:tcMar>
            <w:vAlign w:val="center"/>
          </w:tcPr>
          <w:p>
            <w:pPr>
              <w:pStyle w:val="TableContents"/>
              <w:spacing w:before="0" w:after="283"/>
              <w:rPr/>
            </w:pPr>
            <w:r>
              <w:rPr/>
              <w:t> </w:t>
            </w:r>
          </w:p>
        </w:tc>
        <w:tc>
          <w:tcPr>
            <w:tcW w:w="1505" w:type="dxa"/>
            <w:tcBorders>
              <w:bottom w:val="dotted" w:sz="8" w:space="0" w:color="000000"/>
            </w:tcBorders>
            <w:shd w:fill="auto" w:val="clear"/>
            <w:tcMar>
              <w:bottom w:w="80" w:type="dxa"/>
            </w:tcMar>
            <w:vAlign w:val="center"/>
          </w:tcPr>
          <w:p>
            <w:pPr>
              <w:pStyle w:val="TableContents"/>
              <w:spacing w:before="0" w:after="283"/>
              <w:jc w:val="right"/>
              <w:rPr/>
            </w:pPr>
            <w:r>
              <w:rPr/>
              <w:t>120,000</w:t>
            </w:r>
          </w:p>
        </w:tc>
        <w:tc>
          <w:tcPr>
            <w:tcW w:w="115"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 w:type="dxa"/>
            <w:tcBorders>
              <w:bottom w:val="dotted" w:sz="8" w:space="0" w:color="000000"/>
            </w:tcBorders>
            <w:shd w:fill="auto" w:val="clear"/>
            <w:tcMar>
              <w:bottom w:w="80" w:type="dxa"/>
            </w:tcMar>
            <w:vAlign w:val="center"/>
          </w:tcPr>
          <w:p>
            <w:pPr>
              <w:pStyle w:val="TableContents"/>
              <w:spacing w:before="0" w:after="283"/>
              <w:rPr/>
            </w:pPr>
            <w:r>
              <w:rPr/>
              <w:t> </w:t>
            </w:r>
          </w:p>
        </w:tc>
        <w:tc>
          <w:tcPr>
            <w:tcW w:w="1085" w:type="dxa"/>
            <w:tcBorders>
              <w:bottom w:val="dotted" w:sz="8" w:space="0" w:color="000000"/>
            </w:tcBorders>
            <w:shd w:fill="auto" w:val="clear"/>
            <w:tcMar>
              <w:bottom w:w="80" w:type="dxa"/>
            </w:tcMar>
            <w:vAlign w:val="center"/>
          </w:tcPr>
          <w:p>
            <w:pPr>
              <w:pStyle w:val="TableContents"/>
              <w:spacing w:before="0" w:after="283"/>
              <w:jc w:val="right"/>
              <w:rPr/>
            </w:pPr>
            <w:r>
              <w:rPr/>
              <w:t>145,114</w:t>
            </w:r>
          </w:p>
        </w:tc>
        <w:tc>
          <w:tcPr>
            <w:tcW w:w="8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8" w:type="dxa"/>
            <w:tcBorders>
              <w:bottom w:val="dotted" w:sz="8" w:space="0" w:color="000000"/>
            </w:tcBorders>
            <w:shd w:fill="auto" w:val="clear"/>
            <w:tcMar>
              <w:bottom w:w="80" w:type="dxa"/>
            </w:tcMar>
            <w:vAlign w:val="center"/>
          </w:tcPr>
          <w:p>
            <w:pPr>
              <w:pStyle w:val="TableContents"/>
              <w:spacing w:before="0" w:after="283"/>
              <w:rPr/>
            </w:pPr>
            <w:r>
              <w:rPr/>
              <w:t> </w:t>
            </w:r>
          </w:p>
        </w:tc>
        <w:tc>
          <w:tcPr>
            <w:tcW w:w="1912" w:type="dxa"/>
            <w:tcBorders>
              <w:bottom w:val="dotted" w:sz="8" w:space="0" w:color="000000"/>
            </w:tcBorders>
            <w:shd w:fill="auto" w:val="clear"/>
            <w:tcMar>
              <w:bottom w:w="80" w:type="dxa"/>
            </w:tcMar>
            <w:vAlign w:val="center"/>
          </w:tcPr>
          <w:p>
            <w:pPr>
              <w:pStyle w:val="TableContents"/>
              <w:spacing w:before="0" w:after="283"/>
              <w:jc w:val="right"/>
              <w:rPr/>
            </w:pPr>
            <w:r>
              <w:rPr/>
              <w:t>23,178</w:t>
            </w:r>
          </w:p>
        </w:tc>
        <w:tc>
          <w:tcPr>
            <w:tcW w:w="171"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 w:type="dxa"/>
            <w:tcBorders>
              <w:bottom w:val="dotted" w:sz="8" w:space="0" w:color="000000"/>
            </w:tcBorders>
            <w:shd w:fill="auto" w:val="clear"/>
            <w:tcMar>
              <w:bottom w:w="80" w:type="dxa"/>
            </w:tcMar>
            <w:vAlign w:val="center"/>
          </w:tcPr>
          <w:p>
            <w:pPr>
              <w:pStyle w:val="TableContents"/>
              <w:spacing w:before="0" w:after="283"/>
              <w:rPr/>
            </w:pPr>
            <w:r>
              <w:rPr/>
              <w:t> </w:t>
            </w:r>
          </w:p>
        </w:tc>
        <w:tc>
          <w:tcPr>
            <w:tcW w:w="1602" w:type="dxa"/>
            <w:tcBorders>
              <w:bottom w:val="dotted" w:sz="8" w:space="0" w:color="000000"/>
            </w:tcBorders>
            <w:shd w:fill="auto" w:val="clear"/>
            <w:tcMar>
              <w:bottom w:w="80" w:type="dxa"/>
            </w:tcMar>
            <w:vAlign w:val="center"/>
          </w:tcPr>
          <w:p>
            <w:pPr>
              <w:pStyle w:val="TableContents"/>
              <w:spacing w:before="0" w:after="283"/>
              <w:jc w:val="right"/>
              <w:rPr/>
            </w:pPr>
            <w:r>
              <w:rPr/>
              <w:t>65,726</w:t>
            </w:r>
          </w:p>
        </w:tc>
        <w:tc>
          <w:tcPr>
            <w:tcW w:w="14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800" w:type="dxa"/>
            <w:tcBorders>
              <w:bottom w:val="dotted" w:sz="8" w:space="0" w:color="000000"/>
            </w:tcBorders>
            <w:shd w:fill="auto" w:val="clear"/>
            <w:tcMar>
              <w:bottom w:w="80" w:type="dxa"/>
            </w:tcMar>
            <w:vAlign w:val="center"/>
          </w:tcPr>
          <w:p>
            <w:pPr>
              <w:pStyle w:val="TableContents"/>
              <w:spacing w:before="0" w:after="283"/>
              <w:jc w:val="right"/>
              <w:rPr/>
            </w:pPr>
            <w:r>
              <w:rPr/>
              <w:t>354,018</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1303" w:type="dxa"/>
            <w:gridSpan w:val="5"/>
            <w:tcBorders/>
            <w:shd w:fill="auto" w:val="clear"/>
            <w:vAlign w:val="center"/>
          </w:tcPr>
          <w:p>
            <w:pPr>
              <w:pStyle w:val="TableContents"/>
              <w:spacing w:before="0" w:after="283"/>
              <w:rPr>
                <w:sz w:val="4"/>
                <w:szCs w:val="4"/>
              </w:rPr>
            </w:pPr>
            <w:r>
              <w:rPr>
                <w:sz w:val="4"/>
                <w:szCs w:val="4"/>
              </w:rPr>
            </w:r>
          </w:p>
        </w:tc>
        <w:tc>
          <w:tcPr>
            <w:tcW w:w="2338" w:type="dxa"/>
            <w:gridSpan w:val="5"/>
            <w:tcBorders/>
            <w:shd w:fill="auto" w:val="clear"/>
            <w:vAlign w:val="center"/>
          </w:tcPr>
          <w:p>
            <w:pPr>
              <w:pStyle w:val="TableContents"/>
              <w:spacing w:before="0" w:after="283"/>
              <w:rPr>
                <w:sz w:val="4"/>
                <w:szCs w:val="4"/>
              </w:rPr>
            </w:pPr>
            <w:r>
              <w:rPr>
                <w:sz w:val="4"/>
                <w:szCs w:val="4"/>
              </w:rPr>
            </w:r>
          </w:p>
        </w:tc>
        <w:tc>
          <w:tcPr>
            <w:tcW w:w="1963"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Smith W. Davis</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 w:type="dxa"/>
            <w:tcBorders>
              <w:bottom w:val="dotted" w:sz="8" w:space="0" w:color="000000"/>
            </w:tcBorders>
            <w:shd w:fill="auto" w:val="clear"/>
            <w:tcMar>
              <w:bottom w:w="80" w:type="dxa"/>
            </w:tcMar>
            <w:vAlign w:val="center"/>
          </w:tcPr>
          <w:p>
            <w:pPr>
              <w:pStyle w:val="TableContents"/>
              <w:spacing w:before="0" w:after="283"/>
              <w:rPr/>
            </w:pPr>
            <w:r>
              <w:rPr/>
              <w:t> </w:t>
            </w:r>
          </w:p>
        </w:tc>
        <w:tc>
          <w:tcPr>
            <w:tcW w:w="1505" w:type="dxa"/>
            <w:tcBorders>
              <w:bottom w:val="dotted" w:sz="8" w:space="0" w:color="000000"/>
            </w:tcBorders>
            <w:shd w:fill="auto" w:val="clear"/>
            <w:tcMar>
              <w:bottom w:w="80" w:type="dxa"/>
            </w:tcMar>
            <w:vAlign w:val="center"/>
          </w:tcPr>
          <w:p>
            <w:pPr>
              <w:pStyle w:val="TableContents"/>
              <w:spacing w:before="0" w:after="283"/>
              <w:jc w:val="right"/>
              <w:rPr/>
            </w:pPr>
            <w:r>
              <w:rPr/>
              <w:t>135,000</w:t>
            </w:r>
          </w:p>
        </w:tc>
        <w:tc>
          <w:tcPr>
            <w:tcW w:w="115"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 w:type="dxa"/>
            <w:tcBorders>
              <w:bottom w:val="dotted" w:sz="8" w:space="0" w:color="000000"/>
            </w:tcBorders>
            <w:shd w:fill="auto" w:val="clear"/>
            <w:tcMar>
              <w:bottom w:w="80" w:type="dxa"/>
            </w:tcMar>
            <w:vAlign w:val="center"/>
          </w:tcPr>
          <w:p>
            <w:pPr>
              <w:pStyle w:val="TableContents"/>
              <w:spacing w:before="0" w:after="283"/>
              <w:rPr/>
            </w:pPr>
            <w:r>
              <w:rPr/>
              <w:t> </w:t>
            </w:r>
          </w:p>
        </w:tc>
        <w:tc>
          <w:tcPr>
            <w:tcW w:w="1085" w:type="dxa"/>
            <w:tcBorders>
              <w:bottom w:val="dotted" w:sz="8" w:space="0" w:color="000000"/>
            </w:tcBorders>
            <w:shd w:fill="auto" w:val="clear"/>
            <w:tcMar>
              <w:bottom w:w="80" w:type="dxa"/>
            </w:tcMar>
            <w:vAlign w:val="center"/>
          </w:tcPr>
          <w:p>
            <w:pPr>
              <w:pStyle w:val="TableContents"/>
              <w:spacing w:before="0" w:after="283"/>
              <w:jc w:val="right"/>
              <w:rPr/>
            </w:pPr>
            <w:r>
              <w:rPr/>
              <w:t>145,114</w:t>
            </w:r>
          </w:p>
        </w:tc>
        <w:tc>
          <w:tcPr>
            <w:tcW w:w="8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8" w:type="dxa"/>
            <w:tcBorders>
              <w:bottom w:val="dotted" w:sz="8" w:space="0" w:color="000000"/>
            </w:tcBorders>
            <w:shd w:fill="auto" w:val="clear"/>
            <w:tcMar>
              <w:bottom w:w="80" w:type="dxa"/>
            </w:tcMar>
            <w:vAlign w:val="center"/>
          </w:tcPr>
          <w:p>
            <w:pPr>
              <w:pStyle w:val="TableContents"/>
              <w:spacing w:before="0" w:after="283"/>
              <w:rPr/>
            </w:pPr>
            <w:r>
              <w:rPr/>
              <w:t> </w:t>
            </w:r>
          </w:p>
        </w:tc>
        <w:tc>
          <w:tcPr>
            <w:tcW w:w="1912" w:type="dxa"/>
            <w:tcBorders>
              <w:bottom w:val="dotted" w:sz="8" w:space="0" w:color="000000"/>
            </w:tcBorders>
            <w:shd w:fill="auto" w:val="clear"/>
            <w:tcMar>
              <w:bottom w:w="80" w:type="dxa"/>
            </w:tcMar>
            <w:vAlign w:val="center"/>
          </w:tcPr>
          <w:p>
            <w:pPr>
              <w:pStyle w:val="TableContents"/>
              <w:spacing w:before="0" w:after="283"/>
              <w:jc w:val="right"/>
              <w:rPr/>
            </w:pPr>
            <w:r>
              <w:rPr/>
              <w:t>909</w:t>
            </w:r>
          </w:p>
        </w:tc>
        <w:tc>
          <w:tcPr>
            <w:tcW w:w="171"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 w:type="dxa"/>
            <w:tcBorders>
              <w:bottom w:val="dotted" w:sz="8" w:space="0" w:color="000000"/>
            </w:tcBorders>
            <w:shd w:fill="auto" w:val="clear"/>
            <w:tcMar>
              <w:bottom w:w="80" w:type="dxa"/>
            </w:tcMar>
            <w:vAlign w:val="center"/>
          </w:tcPr>
          <w:p>
            <w:pPr>
              <w:pStyle w:val="TableContents"/>
              <w:spacing w:before="0" w:after="283"/>
              <w:rPr/>
            </w:pPr>
            <w:r>
              <w:rPr/>
              <w:t> </w:t>
            </w:r>
          </w:p>
        </w:tc>
        <w:tc>
          <w:tcPr>
            <w:tcW w:w="1602" w:type="dxa"/>
            <w:tcBorders>
              <w:bottom w:val="dotted" w:sz="8" w:space="0" w:color="000000"/>
            </w:tcBorders>
            <w:shd w:fill="auto" w:val="clear"/>
            <w:tcMar>
              <w:bottom w:w="80" w:type="dxa"/>
            </w:tcMar>
            <w:vAlign w:val="center"/>
          </w:tcPr>
          <w:p>
            <w:pPr>
              <w:pStyle w:val="TableContents"/>
              <w:spacing w:before="0" w:after="283"/>
              <w:jc w:val="right"/>
              <w:rPr/>
            </w:pPr>
            <w:r>
              <w:rPr/>
              <w:t>13,346</w:t>
            </w:r>
          </w:p>
        </w:tc>
        <w:tc>
          <w:tcPr>
            <w:tcW w:w="14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800" w:type="dxa"/>
            <w:tcBorders>
              <w:bottom w:val="dotted" w:sz="8" w:space="0" w:color="000000"/>
            </w:tcBorders>
            <w:shd w:fill="auto" w:val="clear"/>
            <w:tcMar>
              <w:bottom w:w="80" w:type="dxa"/>
            </w:tcMar>
            <w:vAlign w:val="center"/>
          </w:tcPr>
          <w:p>
            <w:pPr>
              <w:pStyle w:val="TableContents"/>
              <w:spacing w:before="0" w:after="283"/>
              <w:jc w:val="right"/>
              <w:rPr/>
            </w:pPr>
            <w:r>
              <w:rPr/>
              <w:t>294,369</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1303" w:type="dxa"/>
            <w:gridSpan w:val="5"/>
            <w:tcBorders/>
            <w:shd w:fill="auto" w:val="clear"/>
            <w:vAlign w:val="center"/>
          </w:tcPr>
          <w:p>
            <w:pPr>
              <w:pStyle w:val="TableContents"/>
              <w:spacing w:before="0" w:after="283"/>
              <w:rPr>
                <w:sz w:val="4"/>
                <w:szCs w:val="4"/>
              </w:rPr>
            </w:pPr>
            <w:r>
              <w:rPr>
                <w:sz w:val="4"/>
                <w:szCs w:val="4"/>
              </w:rPr>
            </w:r>
          </w:p>
        </w:tc>
        <w:tc>
          <w:tcPr>
            <w:tcW w:w="2338" w:type="dxa"/>
            <w:gridSpan w:val="5"/>
            <w:tcBorders/>
            <w:shd w:fill="auto" w:val="clear"/>
            <w:vAlign w:val="center"/>
          </w:tcPr>
          <w:p>
            <w:pPr>
              <w:pStyle w:val="TableContents"/>
              <w:spacing w:before="0" w:after="283"/>
              <w:rPr>
                <w:sz w:val="4"/>
                <w:szCs w:val="4"/>
              </w:rPr>
            </w:pPr>
            <w:r>
              <w:rPr>
                <w:sz w:val="4"/>
                <w:szCs w:val="4"/>
              </w:rPr>
            </w:r>
          </w:p>
        </w:tc>
        <w:tc>
          <w:tcPr>
            <w:tcW w:w="1963"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R. Foxx</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 w:type="dxa"/>
            <w:tcBorders>
              <w:bottom w:val="dotted" w:sz="8" w:space="0" w:color="000000"/>
            </w:tcBorders>
            <w:shd w:fill="auto" w:val="clear"/>
            <w:tcMar>
              <w:bottom w:w="80" w:type="dxa"/>
            </w:tcMar>
            <w:vAlign w:val="center"/>
          </w:tcPr>
          <w:p>
            <w:pPr>
              <w:pStyle w:val="TableContents"/>
              <w:spacing w:before="0" w:after="283"/>
              <w:rPr/>
            </w:pPr>
            <w:r>
              <w:rPr/>
              <w:t> </w:t>
            </w:r>
          </w:p>
        </w:tc>
        <w:tc>
          <w:tcPr>
            <w:tcW w:w="1505" w:type="dxa"/>
            <w:tcBorders>
              <w:bottom w:val="dotted" w:sz="8" w:space="0" w:color="000000"/>
            </w:tcBorders>
            <w:shd w:fill="auto" w:val="clear"/>
            <w:tcMar>
              <w:bottom w:w="80" w:type="dxa"/>
            </w:tcMar>
            <w:vAlign w:val="center"/>
          </w:tcPr>
          <w:p>
            <w:pPr>
              <w:pStyle w:val="TableContents"/>
              <w:spacing w:before="0" w:after="283"/>
              <w:jc w:val="right"/>
              <w:rPr/>
            </w:pPr>
            <w:r>
              <w:rPr/>
              <w:t>120,000</w:t>
            </w:r>
          </w:p>
        </w:tc>
        <w:tc>
          <w:tcPr>
            <w:tcW w:w="115"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 w:type="dxa"/>
            <w:tcBorders>
              <w:bottom w:val="dotted" w:sz="8" w:space="0" w:color="000000"/>
            </w:tcBorders>
            <w:shd w:fill="auto" w:val="clear"/>
            <w:tcMar>
              <w:bottom w:w="80" w:type="dxa"/>
            </w:tcMar>
            <w:vAlign w:val="center"/>
          </w:tcPr>
          <w:p>
            <w:pPr>
              <w:pStyle w:val="TableContents"/>
              <w:spacing w:before="0" w:after="283"/>
              <w:rPr/>
            </w:pPr>
            <w:r>
              <w:rPr/>
              <w:t> </w:t>
            </w:r>
          </w:p>
        </w:tc>
        <w:tc>
          <w:tcPr>
            <w:tcW w:w="1085" w:type="dxa"/>
            <w:tcBorders>
              <w:bottom w:val="dotted" w:sz="8" w:space="0" w:color="000000"/>
            </w:tcBorders>
            <w:shd w:fill="auto" w:val="clear"/>
            <w:tcMar>
              <w:bottom w:w="80" w:type="dxa"/>
            </w:tcMar>
            <w:vAlign w:val="center"/>
          </w:tcPr>
          <w:p>
            <w:pPr>
              <w:pStyle w:val="TableContents"/>
              <w:spacing w:before="0" w:after="283"/>
              <w:jc w:val="right"/>
              <w:rPr/>
            </w:pPr>
            <w:r>
              <w:rPr/>
              <w:t>145,114</w:t>
            </w:r>
          </w:p>
        </w:tc>
        <w:tc>
          <w:tcPr>
            <w:tcW w:w="8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8" w:type="dxa"/>
            <w:tcBorders>
              <w:bottom w:val="dotted" w:sz="8" w:space="0" w:color="000000"/>
            </w:tcBorders>
            <w:shd w:fill="auto" w:val="clear"/>
            <w:tcMar>
              <w:bottom w:w="80" w:type="dxa"/>
            </w:tcMar>
            <w:vAlign w:val="center"/>
          </w:tcPr>
          <w:p>
            <w:pPr>
              <w:pStyle w:val="TableContents"/>
              <w:spacing w:before="0" w:after="283"/>
              <w:rPr/>
            </w:pPr>
            <w:r>
              <w:rPr/>
              <w:t> </w:t>
            </w:r>
          </w:p>
        </w:tc>
        <w:tc>
          <w:tcPr>
            <w:tcW w:w="1912" w:type="dxa"/>
            <w:tcBorders>
              <w:bottom w:val="dotted" w:sz="8" w:space="0" w:color="000000"/>
            </w:tcBorders>
            <w:shd w:fill="auto" w:val="clear"/>
            <w:tcMar>
              <w:bottom w:w="80" w:type="dxa"/>
            </w:tcMar>
            <w:vAlign w:val="center"/>
          </w:tcPr>
          <w:p>
            <w:pPr>
              <w:pStyle w:val="TableContents"/>
              <w:spacing w:before="0" w:after="283"/>
              <w:jc w:val="right"/>
              <w:rPr/>
            </w:pPr>
            <w:r>
              <w:rPr/>
              <w:t>5,153</w:t>
            </w:r>
          </w:p>
        </w:tc>
        <w:tc>
          <w:tcPr>
            <w:tcW w:w="171"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 w:type="dxa"/>
            <w:tcBorders>
              <w:bottom w:val="dotted" w:sz="8" w:space="0" w:color="000000"/>
            </w:tcBorders>
            <w:shd w:fill="auto" w:val="clear"/>
            <w:tcMar>
              <w:bottom w:w="80" w:type="dxa"/>
            </w:tcMar>
            <w:vAlign w:val="center"/>
          </w:tcPr>
          <w:p>
            <w:pPr>
              <w:pStyle w:val="TableContents"/>
              <w:spacing w:before="0" w:after="283"/>
              <w:rPr/>
            </w:pPr>
            <w:r>
              <w:rPr/>
              <w:t> </w:t>
            </w:r>
          </w:p>
        </w:tc>
        <w:tc>
          <w:tcPr>
            <w:tcW w:w="1602" w:type="dxa"/>
            <w:tcBorders>
              <w:bottom w:val="dotted" w:sz="8" w:space="0" w:color="000000"/>
            </w:tcBorders>
            <w:shd w:fill="auto" w:val="clear"/>
            <w:tcMar>
              <w:bottom w:w="80" w:type="dxa"/>
            </w:tcMar>
            <w:vAlign w:val="center"/>
          </w:tcPr>
          <w:p>
            <w:pPr>
              <w:pStyle w:val="TableContents"/>
              <w:spacing w:before="0" w:after="283"/>
              <w:jc w:val="right"/>
              <w:rPr/>
            </w:pPr>
            <w:r>
              <w:rPr/>
              <w:t>3,131</w:t>
            </w:r>
          </w:p>
        </w:tc>
        <w:tc>
          <w:tcPr>
            <w:tcW w:w="14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800" w:type="dxa"/>
            <w:tcBorders>
              <w:bottom w:val="dotted" w:sz="8" w:space="0" w:color="000000"/>
            </w:tcBorders>
            <w:shd w:fill="auto" w:val="clear"/>
            <w:tcMar>
              <w:bottom w:w="80" w:type="dxa"/>
            </w:tcMar>
            <w:vAlign w:val="center"/>
          </w:tcPr>
          <w:p>
            <w:pPr>
              <w:pStyle w:val="TableContents"/>
              <w:spacing w:before="0" w:after="283"/>
              <w:jc w:val="right"/>
              <w:rPr/>
            </w:pPr>
            <w:r>
              <w:rPr/>
              <w:t>273,398</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1303" w:type="dxa"/>
            <w:gridSpan w:val="5"/>
            <w:tcBorders/>
            <w:shd w:fill="auto" w:val="clear"/>
            <w:vAlign w:val="center"/>
          </w:tcPr>
          <w:p>
            <w:pPr>
              <w:pStyle w:val="TableContents"/>
              <w:spacing w:before="0" w:after="283"/>
              <w:rPr>
                <w:sz w:val="4"/>
                <w:szCs w:val="4"/>
              </w:rPr>
            </w:pPr>
            <w:r>
              <w:rPr>
                <w:sz w:val="4"/>
                <w:szCs w:val="4"/>
              </w:rPr>
            </w:r>
          </w:p>
        </w:tc>
        <w:tc>
          <w:tcPr>
            <w:tcW w:w="2338" w:type="dxa"/>
            <w:gridSpan w:val="5"/>
            <w:tcBorders/>
            <w:shd w:fill="auto" w:val="clear"/>
            <w:vAlign w:val="center"/>
          </w:tcPr>
          <w:p>
            <w:pPr>
              <w:pStyle w:val="TableContents"/>
              <w:spacing w:before="0" w:after="283"/>
              <w:rPr>
                <w:sz w:val="4"/>
                <w:szCs w:val="4"/>
              </w:rPr>
            </w:pPr>
            <w:r>
              <w:rPr>
                <w:sz w:val="4"/>
                <w:szCs w:val="4"/>
              </w:rPr>
            </w:r>
          </w:p>
        </w:tc>
        <w:tc>
          <w:tcPr>
            <w:tcW w:w="1963"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John J. Koraleski</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 w:type="dxa"/>
            <w:tcBorders>
              <w:bottom w:val="dotted" w:sz="8" w:space="0" w:color="000000"/>
            </w:tcBorders>
            <w:shd w:fill="auto" w:val="clear"/>
            <w:tcMar>
              <w:bottom w:w="80" w:type="dxa"/>
            </w:tcMar>
            <w:vAlign w:val="center"/>
          </w:tcPr>
          <w:p>
            <w:pPr>
              <w:pStyle w:val="TableContents"/>
              <w:spacing w:before="0" w:after="283"/>
              <w:rPr/>
            </w:pPr>
            <w:r>
              <w:rPr/>
              <w:t> </w:t>
            </w:r>
          </w:p>
        </w:tc>
        <w:tc>
          <w:tcPr>
            <w:tcW w:w="1505" w:type="dxa"/>
            <w:tcBorders>
              <w:bottom w:val="dotted" w:sz="8" w:space="0" w:color="000000"/>
            </w:tcBorders>
            <w:shd w:fill="auto" w:val="clear"/>
            <w:tcMar>
              <w:bottom w:w="80" w:type="dxa"/>
            </w:tcMar>
            <w:vAlign w:val="center"/>
          </w:tcPr>
          <w:p>
            <w:pPr>
              <w:pStyle w:val="TableContents"/>
              <w:spacing w:before="0" w:after="283"/>
              <w:jc w:val="right"/>
              <w:rPr/>
            </w:pPr>
            <w:r>
              <w:rPr/>
              <w:t>175,252</w:t>
            </w:r>
          </w:p>
        </w:tc>
        <w:tc>
          <w:tcPr>
            <w:tcW w:w="115"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 w:type="dxa"/>
            <w:tcBorders>
              <w:bottom w:val="dotted" w:sz="8" w:space="0" w:color="000000"/>
            </w:tcBorders>
            <w:shd w:fill="auto" w:val="clear"/>
            <w:tcMar>
              <w:bottom w:w="80" w:type="dxa"/>
            </w:tcMar>
            <w:vAlign w:val="center"/>
          </w:tcPr>
          <w:p>
            <w:pPr>
              <w:pStyle w:val="TableContents"/>
              <w:spacing w:before="0" w:after="283"/>
              <w:rPr/>
            </w:pPr>
            <w:r>
              <w:rPr/>
              <w:t> </w:t>
            </w:r>
          </w:p>
        </w:tc>
        <w:tc>
          <w:tcPr>
            <w:tcW w:w="1085" w:type="dxa"/>
            <w:tcBorders>
              <w:bottom w:val="dotted" w:sz="8" w:space="0" w:color="000000"/>
            </w:tcBorders>
            <w:shd w:fill="auto" w:val="clear"/>
            <w:tcMar>
              <w:bottom w:w="80" w:type="dxa"/>
            </w:tcMar>
            <w:vAlign w:val="center"/>
          </w:tcPr>
          <w:p>
            <w:pPr>
              <w:pStyle w:val="TableContents"/>
              <w:spacing w:before="0" w:after="283"/>
              <w:jc w:val="right"/>
              <w:rPr/>
            </w:pPr>
            <w:r>
              <w:rPr/>
              <w:t>145,114</w:t>
            </w:r>
          </w:p>
        </w:tc>
        <w:tc>
          <w:tcPr>
            <w:tcW w:w="8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8" w:type="dxa"/>
            <w:tcBorders>
              <w:bottom w:val="dotted" w:sz="8" w:space="0" w:color="000000"/>
            </w:tcBorders>
            <w:shd w:fill="auto" w:val="clear"/>
            <w:tcMar>
              <w:bottom w:w="80" w:type="dxa"/>
            </w:tcMar>
            <w:vAlign w:val="center"/>
          </w:tcPr>
          <w:p>
            <w:pPr>
              <w:pStyle w:val="TableContents"/>
              <w:spacing w:before="0" w:after="283"/>
              <w:rPr/>
            </w:pPr>
            <w:r>
              <w:rPr/>
              <w:t> </w:t>
            </w:r>
          </w:p>
        </w:tc>
        <w:tc>
          <w:tcPr>
            <w:tcW w:w="1912" w:type="dxa"/>
            <w:tcBorders>
              <w:bottom w:val="dotted" w:sz="8" w:space="0" w:color="000000"/>
            </w:tcBorders>
            <w:shd w:fill="auto" w:val="clear"/>
            <w:tcMar>
              <w:bottom w:w="80" w:type="dxa"/>
            </w:tcMar>
            <w:vAlign w:val="center"/>
          </w:tcPr>
          <w:p>
            <w:pPr>
              <w:pStyle w:val="TableContents"/>
              <w:spacing w:before="0" w:after="283"/>
              <w:jc w:val="right"/>
              <w:rPr/>
            </w:pPr>
            <w:r>
              <w:rPr/>
              <w:t>1,399</w:t>
            </w:r>
          </w:p>
        </w:tc>
        <w:tc>
          <w:tcPr>
            <w:tcW w:w="171"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 w:type="dxa"/>
            <w:tcBorders>
              <w:bottom w:val="dotted" w:sz="8" w:space="0" w:color="000000"/>
            </w:tcBorders>
            <w:shd w:fill="auto" w:val="clear"/>
            <w:tcMar>
              <w:bottom w:w="80" w:type="dxa"/>
            </w:tcMar>
            <w:vAlign w:val="center"/>
          </w:tcPr>
          <w:p>
            <w:pPr>
              <w:pStyle w:val="TableContents"/>
              <w:spacing w:before="0" w:after="283"/>
              <w:rPr/>
            </w:pPr>
            <w:r>
              <w:rPr/>
              <w:t> </w:t>
            </w:r>
          </w:p>
        </w:tc>
        <w:tc>
          <w:tcPr>
            <w:tcW w:w="1602" w:type="dxa"/>
            <w:tcBorders>
              <w:bottom w:val="dotted" w:sz="8" w:space="0" w:color="000000"/>
            </w:tcBorders>
            <w:shd w:fill="auto" w:val="clear"/>
            <w:tcMar>
              <w:bottom w:w="80" w:type="dxa"/>
            </w:tcMar>
            <w:vAlign w:val="center"/>
          </w:tcPr>
          <w:p>
            <w:pPr>
              <w:pStyle w:val="TableContents"/>
              <w:spacing w:before="0" w:after="283"/>
              <w:jc w:val="right"/>
              <w:rPr/>
            </w:pPr>
            <w:r>
              <w:rPr/>
              <w:t>17,325</w:t>
            </w:r>
          </w:p>
        </w:tc>
        <w:tc>
          <w:tcPr>
            <w:tcW w:w="14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800" w:type="dxa"/>
            <w:tcBorders>
              <w:bottom w:val="dotted" w:sz="8" w:space="0" w:color="000000"/>
            </w:tcBorders>
            <w:shd w:fill="auto" w:val="clear"/>
            <w:tcMar>
              <w:bottom w:w="80" w:type="dxa"/>
            </w:tcMar>
            <w:vAlign w:val="center"/>
          </w:tcPr>
          <w:p>
            <w:pPr>
              <w:pStyle w:val="TableContents"/>
              <w:spacing w:before="0" w:after="283"/>
              <w:jc w:val="right"/>
              <w:rPr/>
            </w:pPr>
            <w:r>
              <w:rPr/>
              <w:t>339,090</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1303" w:type="dxa"/>
            <w:gridSpan w:val="5"/>
            <w:tcBorders/>
            <w:shd w:fill="auto" w:val="clear"/>
            <w:vAlign w:val="center"/>
          </w:tcPr>
          <w:p>
            <w:pPr>
              <w:pStyle w:val="TableContents"/>
              <w:spacing w:before="0" w:after="283"/>
              <w:rPr>
                <w:sz w:val="4"/>
                <w:szCs w:val="4"/>
              </w:rPr>
            </w:pPr>
            <w:r>
              <w:rPr>
                <w:sz w:val="4"/>
                <w:szCs w:val="4"/>
              </w:rPr>
            </w:r>
          </w:p>
        </w:tc>
        <w:tc>
          <w:tcPr>
            <w:tcW w:w="2338" w:type="dxa"/>
            <w:gridSpan w:val="5"/>
            <w:tcBorders/>
            <w:shd w:fill="auto" w:val="clear"/>
            <w:vAlign w:val="center"/>
          </w:tcPr>
          <w:p>
            <w:pPr>
              <w:pStyle w:val="TableContents"/>
              <w:spacing w:before="0" w:after="283"/>
              <w:rPr>
                <w:sz w:val="4"/>
                <w:szCs w:val="4"/>
              </w:rPr>
            </w:pPr>
            <w:r>
              <w:rPr>
                <w:sz w:val="4"/>
                <w:szCs w:val="4"/>
              </w:rPr>
            </w:r>
          </w:p>
        </w:tc>
        <w:tc>
          <w:tcPr>
            <w:tcW w:w="1963"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Laree E. Perez</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 w:type="dxa"/>
            <w:tcBorders>
              <w:bottom w:val="dotted" w:sz="8" w:space="0" w:color="000000"/>
            </w:tcBorders>
            <w:shd w:fill="auto" w:val="clear"/>
            <w:tcMar>
              <w:bottom w:w="80" w:type="dxa"/>
            </w:tcMar>
            <w:vAlign w:val="center"/>
          </w:tcPr>
          <w:p>
            <w:pPr>
              <w:pStyle w:val="TableContents"/>
              <w:spacing w:before="0" w:after="283"/>
              <w:rPr/>
            </w:pPr>
            <w:r>
              <w:rPr/>
              <w:t> </w:t>
            </w:r>
          </w:p>
        </w:tc>
        <w:tc>
          <w:tcPr>
            <w:tcW w:w="1505" w:type="dxa"/>
            <w:tcBorders>
              <w:bottom w:val="dotted" w:sz="8" w:space="0" w:color="000000"/>
            </w:tcBorders>
            <w:shd w:fill="auto" w:val="clear"/>
            <w:tcMar>
              <w:bottom w:w="80" w:type="dxa"/>
            </w:tcMar>
            <w:vAlign w:val="center"/>
          </w:tcPr>
          <w:p>
            <w:pPr>
              <w:pStyle w:val="TableContents"/>
              <w:spacing w:before="0" w:after="283"/>
              <w:jc w:val="right"/>
              <w:rPr/>
            </w:pPr>
            <w:r>
              <w:rPr/>
              <w:t>145,000</w:t>
            </w:r>
          </w:p>
        </w:tc>
        <w:tc>
          <w:tcPr>
            <w:tcW w:w="115"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 w:type="dxa"/>
            <w:tcBorders>
              <w:bottom w:val="dotted" w:sz="8" w:space="0" w:color="000000"/>
            </w:tcBorders>
            <w:shd w:fill="auto" w:val="clear"/>
            <w:tcMar>
              <w:bottom w:w="80" w:type="dxa"/>
            </w:tcMar>
            <w:vAlign w:val="center"/>
          </w:tcPr>
          <w:p>
            <w:pPr>
              <w:pStyle w:val="TableContents"/>
              <w:spacing w:before="0" w:after="283"/>
              <w:rPr/>
            </w:pPr>
            <w:r>
              <w:rPr/>
              <w:t> </w:t>
            </w:r>
          </w:p>
        </w:tc>
        <w:tc>
          <w:tcPr>
            <w:tcW w:w="1085" w:type="dxa"/>
            <w:tcBorders>
              <w:bottom w:val="dotted" w:sz="8" w:space="0" w:color="000000"/>
            </w:tcBorders>
            <w:shd w:fill="auto" w:val="clear"/>
            <w:tcMar>
              <w:bottom w:w="80" w:type="dxa"/>
            </w:tcMar>
            <w:vAlign w:val="center"/>
          </w:tcPr>
          <w:p>
            <w:pPr>
              <w:pStyle w:val="TableContents"/>
              <w:spacing w:before="0" w:after="283"/>
              <w:jc w:val="right"/>
              <w:rPr/>
            </w:pPr>
            <w:r>
              <w:rPr/>
              <w:t>145,114</w:t>
            </w:r>
          </w:p>
        </w:tc>
        <w:tc>
          <w:tcPr>
            <w:tcW w:w="8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8" w:type="dxa"/>
            <w:tcBorders>
              <w:bottom w:val="dotted" w:sz="8" w:space="0" w:color="000000"/>
            </w:tcBorders>
            <w:shd w:fill="auto" w:val="clear"/>
            <w:tcMar>
              <w:bottom w:w="80" w:type="dxa"/>
            </w:tcMar>
            <w:vAlign w:val="center"/>
          </w:tcPr>
          <w:p>
            <w:pPr>
              <w:pStyle w:val="TableContents"/>
              <w:spacing w:before="0" w:after="283"/>
              <w:rPr/>
            </w:pPr>
            <w:r>
              <w:rPr/>
              <w:t> </w:t>
            </w:r>
          </w:p>
        </w:tc>
        <w:tc>
          <w:tcPr>
            <w:tcW w:w="1912" w:type="dxa"/>
            <w:tcBorders>
              <w:bottom w:val="dotted" w:sz="8" w:space="0" w:color="000000"/>
            </w:tcBorders>
            <w:shd w:fill="auto" w:val="clear"/>
            <w:tcMar>
              <w:bottom w:w="80" w:type="dxa"/>
            </w:tcMar>
            <w:vAlign w:val="center"/>
          </w:tcPr>
          <w:p>
            <w:pPr>
              <w:pStyle w:val="TableContents"/>
              <w:spacing w:before="0" w:after="283"/>
              <w:jc w:val="right"/>
              <w:rPr/>
            </w:pPr>
            <w:r>
              <w:rPr/>
              <w:t>11,668</w:t>
            </w:r>
          </w:p>
        </w:tc>
        <w:tc>
          <w:tcPr>
            <w:tcW w:w="171"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 w:type="dxa"/>
            <w:tcBorders>
              <w:bottom w:val="dotted" w:sz="8" w:space="0" w:color="000000"/>
            </w:tcBorders>
            <w:shd w:fill="auto" w:val="clear"/>
            <w:tcMar>
              <w:bottom w:w="80" w:type="dxa"/>
            </w:tcMar>
            <w:vAlign w:val="center"/>
          </w:tcPr>
          <w:p>
            <w:pPr>
              <w:pStyle w:val="TableContents"/>
              <w:spacing w:before="0" w:after="283"/>
              <w:rPr/>
            </w:pPr>
            <w:r>
              <w:rPr/>
              <w:t> </w:t>
            </w:r>
          </w:p>
        </w:tc>
        <w:tc>
          <w:tcPr>
            <w:tcW w:w="1602" w:type="dxa"/>
            <w:tcBorders>
              <w:bottom w:val="dotted" w:sz="8" w:space="0" w:color="000000"/>
            </w:tcBorders>
            <w:shd w:fill="auto" w:val="clear"/>
            <w:tcMar>
              <w:bottom w:w="80" w:type="dxa"/>
            </w:tcMar>
            <w:vAlign w:val="center"/>
          </w:tcPr>
          <w:p>
            <w:pPr>
              <w:pStyle w:val="TableContents"/>
              <w:spacing w:before="0" w:after="283"/>
              <w:jc w:val="right"/>
              <w:rPr/>
            </w:pPr>
            <w:r>
              <w:rPr/>
              <w:t>38,948</w:t>
            </w:r>
          </w:p>
        </w:tc>
        <w:tc>
          <w:tcPr>
            <w:tcW w:w="14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800" w:type="dxa"/>
            <w:tcBorders>
              <w:bottom w:val="dotted" w:sz="8" w:space="0" w:color="000000"/>
            </w:tcBorders>
            <w:shd w:fill="auto" w:val="clear"/>
            <w:tcMar>
              <w:bottom w:w="80" w:type="dxa"/>
            </w:tcMar>
            <w:vAlign w:val="center"/>
          </w:tcPr>
          <w:p>
            <w:pPr>
              <w:pStyle w:val="TableContents"/>
              <w:spacing w:before="0" w:after="283"/>
              <w:jc w:val="right"/>
              <w:rPr/>
            </w:pPr>
            <w:r>
              <w:rPr/>
              <w:t>340,730</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1303" w:type="dxa"/>
            <w:gridSpan w:val="5"/>
            <w:tcBorders/>
            <w:shd w:fill="auto" w:val="clear"/>
            <w:vAlign w:val="center"/>
          </w:tcPr>
          <w:p>
            <w:pPr>
              <w:pStyle w:val="TableContents"/>
              <w:spacing w:before="0" w:after="283"/>
              <w:rPr>
                <w:sz w:val="4"/>
                <w:szCs w:val="4"/>
              </w:rPr>
            </w:pPr>
            <w:r>
              <w:rPr>
                <w:sz w:val="4"/>
                <w:szCs w:val="4"/>
              </w:rPr>
            </w:r>
          </w:p>
        </w:tc>
        <w:tc>
          <w:tcPr>
            <w:tcW w:w="2338" w:type="dxa"/>
            <w:gridSpan w:val="5"/>
            <w:tcBorders/>
            <w:shd w:fill="auto" w:val="clear"/>
            <w:vAlign w:val="center"/>
          </w:tcPr>
          <w:p>
            <w:pPr>
              <w:pStyle w:val="TableContents"/>
              <w:spacing w:before="0" w:after="283"/>
              <w:rPr>
                <w:sz w:val="4"/>
                <w:szCs w:val="4"/>
              </w:rPr>
            </w:pPr>
            <w:r>
              <w:rPr>
                <w:sz w:val="4"/>
                <w:szCs w:val="4"/>
              </w:rPr>
            </w:r>
          </w:p>
        </w:tc>
        <w:tc>
          <w:tcPr>
            <w:tcW w:w="1963"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H. Pike</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 w:type="dxa"/>
            <w:tcBorders>
              <w:bottom w:val="dotted" w:sz="8" w:space="0" w:color="000000"/>
            </w:tcBorders>
            <w:shd w:fill="auto" w:val="clear"/>
            <w:tcMar>
              <w:bottom w:w="80" w:type="dxa"/>
            </w:tcMar>
            <w:vAlign w:val="center"/>
          </w:tcPr>
          <w:p>
            <w:pPr>
              <w:pStyle w:val="TableContents"/>
              <w:spacing w:before="0" w:after="283"/>
              <w:rPr/>
            </w:pPr>
            <w:r>
              <w:rPr/>
              <w:t> </w:t>
            </w:r>
          </w:p>
        </w:tc>
        <w:tc>
          <w:tcPr>
            <w:tcW w:w="1505" w:type="dxa"/>
            <w:tcBorders>
              <w:bottom w:val="dotted" w:sz="8" w:space="0" w:color="000000"/>
            </w:tcBorders>
            <w:shd w:fill="auto" w:val="clear"/>
            <w:tcMar>
              <w:bottom w:w="80" w:type="dxa"/>
            </w:tcMar>
            <w:vAlign w:val="center"/>
          </w:tcPr>
          <w:p>
            <w:pPr>
              <w:pStyle w:val="TableContents"/>
              <w:spacing w:before="0" w:after="283"/>
              <w:jc w:val="right"/>
              <w:rPr/>
            </w:pPr>
            <w:r>
              <w:rPr/>
              <w:t>120,000</w:t>
            </w:r>
          </w:p>
        </w:tc>
        <w:tc>
          <w:tcPr>
            <w:tcW w:w="115"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 w:type="dxa"/>
            <w:tcBorders>
              <w:bottom w:val="dotted" w:sz="8" w:space="0" w:color="000000"/>
            </w:tcBorders>
            <w:shd w:fill="auto" w:val="clear"/>
            <w:tcMar>
              <w:bottom w:w="80" w:type="dxa"/>
            </w:tcMar>
            <w:vAlign w:val="center"/>
          </w:tcPr>
          <w:p>
            <w:pPr>
              <w:pStyle w:val="TableContents"/>
              <w:spacing w:before="0" w:after="283"/>
              <w:rPr/>
            </w:pPr>
            <w:r>
              <w:rPr/>
              <w:t> </w:t>
            </w:r>
          </w:p>
        </w:tc>
        <w:tc>
          <w:tcPr>
            <w:tcW w:w="1085" w:type="dxa"/>
            <w:tcBorders>
              <w:bottom w:val="dotted" w:sz="8" w:space="0" w:color="000000"/>
            </w:tcBorders>
            <w:shd w:fill="auto" w:val="clear"/>
            <w:tcMar>
              <w:bottom w:w="80" w:type="dxa"/>
            </w:tcMar>
            <w:vAlign w:val="center"/>
          </w:tcPr>
          <w:p>
            <w:pPr>
              <w:pStyle w:val="TableContents"/>
              <w:spacing w:before="0" w:after="283"/>
              <w:jc w:val="right"/>
              <w:rPr/>
            </w:pPr>
            <w:r>
              <w:rPr/>
              <w:t>145,114</w:t>
            </w:r>
          </w:p>
        </w:tc>
        <w:tc>
          <w:tcPr>
            <w:tcW w:w="8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8" w:type="dxa"/>
            <w:tcBorders>
              <w:bottom w:val="dotted" w:sz="8" w:space="0" w:color="000000"/>
            </w:tcBorders>
            <w:shd w:fill="auto" w:val="clear"/>
            <w:tcMar>
              <w:bottom w:w="80" w:type="dxa"/>
            </w:tcMar>
            <w:vAlign w:val="center"/>
          </w:tcPr>
          <w:p>
            <w:pPr>
              <w:pStyle w:val="TableContents"/>
              <w:spacing w:before="0" w:after="283"/>
              <w:rPr/>
            </w:pPr>
            <w:r>
              <w:rPr/>
              <w:t> </w:t>
            </w:r>
          </w:p>
        </w:tc>
        <w:tc>
          <w:tcPr>
            <w:tcW w:w="1912" w:type="dxa"/>
            <w:tcBorders>
              <w:bottom w:val="dotted" w:sz="8" w:space="0" w:color="000000"/>
            </w:tcBorders>
            <w:shd w:fill="auto" w:val="clear"/>
            <w:tcMar>
              <w:bottom w:w="80" w:type="dxa"/>
            </w:tcMar>
            <w:vAlign w:val="center"/>
          </w:tcPr>
          <w:p>
            <w:pPr>
              <w:pStyle w:val="TableContents"/>
              <w:spacing w:before="0" w:after="283"/>
              <w:jc w:val="right"/>
              <w:rPr/>
            </w:pPr>
            <w:r>
              <w:rPr/>
              <w:t>334</w:t>
            </w:r>
          </w:p>
        </w:tc>
        <w:tc>
          <w:tcPr>
            <w:tcW w:w="171"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 w:type="dxa"/>
            <w:tcBorders>
              <w:bottom w:val="dotted" w:sz="8" w:space="0" w:color="000000"/>
            </w:tcBorders>
            <w:shd w:fill="auto" w:val="clear"/>
            <w:tcMar>
              <w:bottom w:w="80" w:type="dxa"/>
            </w:tcMar>
            <w:vAlign w:val="center"/>
          </w:tcPr>
          <w:p>
            <w:pPr>
              <w:pStyle w:val="TableContents"/>
              <w:spacing w:before="0" w:after="283"/>
              <w:rPr/>
            </w:pPr>
            <w:r>
              <w:rPr/>
              <w:t> </w:t>
            </w:r>
          </w:p>
        </w:tc>
        <w:tc>
          <w:tcPr>
            <w:tcW w:w="1602" w:type="dxa"/>
            <w:tcBorders>
              <w:bottom w:val="dotted" w:sz="8" w:space="0" w:color="000000"/>
            </w:tcBorders>
            <w:shd w:fill="auto" w:val="clear"/>
            <w:tcMar>
              <w:bottom w:w="80" w:type="dxa"/>
            </w:tcMar>
            <w:vAlign w:val="center"/>
          </w:tcPr>
          <w:p>
            <w:pPr>
              <w:pStyle w:val="TableContents"/>
              <w:spacing w:before="0" w:after="283"/>
              <w:jc w:val="right"/>
              <w:rPr/>
            </w:pPr>
            <w:r>
              <w:rPr/>
              <w:t>7,498</w:t>
            </w:r>
          </w:p>
        </w:tc>
        <w:tc>
          <w:tcPr>
            <w:tcW w:w="14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800" w:type="dxa"/>
            <w:tcBorders>
              <w:bottom w:val="dotted" w:sz="8" w:space="0" w:color="000000"/>
            </w:tcBorders>
            <w:shd w:fill="auto" w:val="clear"/>
            <w:tcMar>
              <w:bottom w:w="80" w:type="dxa"/>
            </w:tcMar>
            <w:vAlign w:val="center"/>
          </w:tcPr>
          <w:p>
            <w:pPr>
              <w:pStyle w:val="TableContents"/>
              <w:spacing w:before="0" w:after="283"/>
              <w:jc w:val="right"/>
              <w:rPr/>
            </w:pPr>
            <w:r>
              <w:rPr/>
              <w:t>272,946</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1303" w:type="dxa"/>
            <w:gridSpan w:val="5"/>
            <w:tcBorders/>
            <w:shd w:fill="auto" w:val="clear"/>
            <w:vAlign w:val="center"/>
          </w:tcPr>
          <w:p>
            <w:pPr>
              <w:pStyle w:val="TableContents"/>
              <w:spacing w:before="0" w:after="283"/>
              <w:rPr>
                <w:sz w:val="4"/>
                <w:szCs w:val="4"/>
              </w:rPr>
            </w:pPr>
            <w:r>
              <w:rPr>
                <w:sz w:val="4"/>
                <w:szCs w:val="4"/>
              </w:rPr>
            </w:r>
          </w:p>
        </w:tc>
        <w:tc>
          <w:tcPr>
            <w:tcW w:w="2338" w:type="dxa"/>
            <w:gridSpan w:val="5"/>
            <w:tcBorders/>
            <w:shd w:fill="auto" w:val="clear"/>
            <w:vAlign w:val="center"/>
          </w:tcPr>
          <w:p>
            <w:pPr>
              <w:pStyle w:val="TableContents"/>
              <w:spacing w:before="0" w:after="283"/>
              <w:rPr>
                <w:sz w:val="4"/>
                <w:szCs w:val="4"/>
              </w:rPr>
            </w:pPr>
            <w:r>
              <w:rPr>
                <w:sz w:val="4"/>
                <w:szCs w:val="4"/>
              </w:rPr>
            </w:r>
          </w:p>
        </w:tc>
        <w:tc>
          <w:tcPr>
            <w:tcW w:w="1963"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Michael J. Quillen</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 w:type="dxa"/>
            <w:tcBorders>
              <w:bottom w:val="dotted" w:sz="8" w:space="0" w:color="000000"/>
            </w:tcBorders>
            <w:shd w:fill="auto" w:val="clear"/>
            <w:tcMar>
              <w:bottom w:w="80" w:type="dxa"/>
            </w:tcMar>
            <w:vAlign w:val="center"/>
          </w:tcPr>
          <w:p>
            <w:pPr>
              <w:pStyle w:val="TableContents"/>
              <w:spacing w:before="0" w:after="283"/>
              <w:rPr/>
            </w:pPr>
            <w:r>
              <w:rPr/>
              <w:t> </w:t>
            </w:r>
          </w:p>
        </w:tc>
        <w:tc>
          <w:tcPr>
            <w:tcW w:w="1505" w:type="dxa"/>
            <w:tcBorders>
              <w:bottom w:val="dotted" w:sz="8" w:space="0" w:color="000000"/>
            </w:tcBorders>
            <w:shd w:fill="auto" w:val="clear"/>
            <w:tcMar>
              <w:bottom w:w="80" w:type="dxa"/>
            </w:tcMar>
            <w:vAlign w:val="center"/>
          </w:tcPr>
          <w:p>
            <w:pPr>
              <w:pStyle w:val="TableContents"/>
              <w:spacing w:before="0" w:after="283"/>
              <w:jc w:val="right"/>
              <w:rPr/>
            </w:pPr>
            <w:r>
              <w:rPr/>
              <w:t>135,000</w:t>
            </w:r>
          </w:p>
        </w:tc>
        <w:tc>
          <w:tcPr>
            <w:tcW w:w="115"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 w:type="dxa"/>
            <w:tcBorders>
              <w:bottom w:val="dotted" w:sz="8" w:space="0" w:color="000000"/>
            </w:tcBorders>
            <w:shd w:fill="auto" w:val="clear"/>
            <w:tcMar>
              <w:bottom w:w="80" w:type="dxa"/>
            </w:tcMar>
            <w:vAlign w:val="center"/>
          </w:tcPr>
          <w:p>
            <w:pPr>
              <w:pStyle w:val="TableContents"/>
              <w:spacing w:before="0" w:after="283"/>
              <w:rPr/>
            </w:pPr>
            <w:r>
              <w:rPr/>
              <w:t> </w:t>
            </w:r>
          </w:p>
        </w:tc>
        <w:tc>
          <w:tcPr>
            <w:tcW w:w="1085" w:type="dxa"/>
            <w:tcBorders>
              <w:bottom w:val="dotted" w:sz="8" w:space="0" w:color="000000"/>
            </w:tcBorders>
            <w:shd w:fill="auto" w:val="clear"/>
            <w:tcMar>
              <w:bottom w:w="80" w:type="dxa"/>
            </w:tcMar>
            <w:vAlign w:val="center"/>
          </w:tcPr>
          <w:p>
            <w:pPr>
              <w:pStyle w:val="TableContents"/>
              <w:spacing w:before="0" w:after="283"/>
              <w:jc w:val="right"/>
              <w:rPr/>
            </w:pPr>
            <w:r>
              <w:rPr/>
              <w:t>145,114</w:t>
            </w:r>
          </w:p>
        </w:tc>
        <w:tc>
          <w:tcPr>
            <w:tcW w:w="8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8" w:type="dxa"/>
            <w:tcBorders>
              <w:bottom w:val="dotted" w:sz="8" w:space="0" w:color="000000"/>
            </w:tcBorders>
            <w:shd w:fill="auto" w:val="clear"/>
            <w:tcMar>
              <w:bottom w:w="80" w:type="dxa"/>
            </w:tcMar>
            <w:vAlign w:val="center"/>
          </w:tcPr>
          <w:p>
            <w:pPr>
              <w:pStyle w:val="TableContents"/>
              <w:spacing w:before="0" w:after="283"/>
              <w:rPr/>
            </w:pPr>
            <w:r>
              <w:rPr/>
              <w:t> </w:t>
            </w:r>
          </w:p>
        </w:tc>
        <w:tc>
          <w:tcPr>
            <w:tcW w:w="1912" w:type="dxa"/>
            <w:tcBorders>
              <w:bottom w:val="dotted" w:sz="8" w:space="0" w:color="000000"/>
            </w:tcBorders>
            <w:shd w:fill="auto" w:val="clear"/>
            <w:tcMar>
              <w:bottom w:w="80" w:type="dxa"/>
            </w:tcMar>
            <w:vAlign w:val="center"/>
          </w:tcPr>
          <w:p>
            <w:pPr>
              <w:pStyle w:val="TableContents"/>
              <w:spacing w:before="0" w:after="283"/>
              <w:jc w:val="right"/>
              <w:rPr/>
            </w:pPr>
            <w:r>
              <w:rPr/>
              <w:t>12,015</w:t>
            </w:r>
          </w:p>
        </w:tc>
        <w:tc>
          <w:tcPr>
            <w:tcW w:w="171"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 w:type="dxa"/>
            <w:tcBorders>
              <w:bottom w:val="dotted" w:sz="8" w:space="0" w:color="000000"/>
            </w:tcBorders>
            <w:shd w:fill="auto" w:val="clear"/>
            <w:tcMar>
              <w:bottom w:w="80" w:type="dxa"/>
            </w:tcMar>
            <w:vAlign w:val="center"/>
          </w:tcPr>
          <w:p>
            <w:pPr>
              <w:pStyle w:val="TableContents"/>
              <w:spacing w:before="0" w:after="283"/>
              <w:rPr/>
            </w:pPr>
            <w:r>
              <w:rPr/>
              <w:t> </w:t>
            </w:r>
          </w:p>
        </w:tc>
        <w:tc>
          <w:tcPr>
            <w:tcW w:w="1602" w:type="dxa"/>
            <w:tcBorders>
              <w:bottom w:val="dotted" w:sz="8" w:space="0" w:color="000000"/>
            </w:tcBorders>
            <w:shd w:fill="auto" w:val="clear"/>
            <w:tcMar>
              <w:bottom w:w="80" w:type="dxa"/>
            </w:tcMar>
            <w:vAlign w:val="center"/>
          </w:tcPr>
          <w:p>
            <w:pPr>
              <w:pStyle w:val="TableContents"/>
              <w:spacing w:before="0" w:after="283"/>
              <w:jc w:val="right"/>
              <w:rPr/>
            </w:pPr>
            <w:r>
              <w:rPr/>
              <w:t>42,342</w:t>
            </w:r>
          </w:p>
        </w:tc>
        <w:tc>
          <w:tcPr>
            <w:tcW w:w="14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800" w:type="dxa"/>
            <w:tcBorders>
              <w:bottom w:val="dotted" w:sz="8" w:space="0" w:color="000000"/>
            </w:tcBorders>
            <w:shd w:fill="auto" w:val="clear"/>
            <w:tcMar>
              <w:bottom w:w="80" w:type="dxa"/>
            </w:tcMar>
            <w:vAlign w:val="center"/>
          </w:tcPr>
          <w:p>
            <w:pPr>
              <w:pStyle w:val="TableContents"/>
              <w:spacing w:before="0" w:after="283"/>
              <w:jc w:val="right"/>
              <w:rPr/>
            </w:pPr>
            <w:r>
              <w:rPr/>
              <w:t>334,471</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1303" w:type="dxa"/>
            <w:gridSpan w:val="5"/>
            <w:tcBorders/>
            <w:shd w:fill="auto" w:val="clear"/>
            <w:vAlign w:val="center"/>
          </w:tcPr>
          <w:p>
            <w:pPr>
              <w:pStyle w:val="TableContents"/>
              <w:spacing w:before="0" w:after="283"/>
              <w:rPr>
                <w:sz w:val="4"/>
                <w:szCs w:val="4"/>
              </w:rPr>
            </w:pPr>
            <w:r>
              <w:rPr>
                <w:sz w:val="4"/>
                <w:szCs w:val="4"/>
              </w:rPr>
            </w:r>
          </w:p>
        </w:tc>
        <w:tc>
          <w:tcPr>
            <w:tcW w:w="2338" w:type="dxa"/>
            <w:gridSpan w:val="5"/>
            <w:tcBorders/>
            <w:shd w:fill="auto" w:val="clear"/>
            <w:vAlign w:val="center"/>
          </w:tcPr>
          <w:p>
            <w:pPr>
              <w:pStyle w:val="TableContents"/>
              <w:spacing w:before="0" w:after="283"/>
              <w:rPr>
                <w:sz w:val="4"/>
                <w:szCs w:val="4"/>
              </w:rPr>
            </w:pPr>
            <w:r>
              <w:rPr>
                <w:sz w:val="4"/>
                <w:szCs w:val="4"/>
              </w:rPr>
            </w:r>
          </w:p>
        </w:tc>
        <w:tc>
          <w:tcPr>
            <w:tcW w:w="1963"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Donald W. Slager</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 w:type="dxa"/>
            <w:tcBorders>
              <w:bottom w:val="dotted" w:sz="8" w:space="0" w:color="000000"/>
            </w:tcBorders>
            <w:shd w:fill="auto" w:val="clear"/>
            <w:tcMar>
              <w:bottom w:w="80" w:type="dxa"/>
            </w:tcMar>
            <w:vAlign w:val="center"/>
          </w:tcPr>
          <w:p>
            <w:pPr>
              <w:pStyle w:val="TableContents"/>
              <w:spacing w:before="0" w:after="283"/>
              <w:rPr/>
            </w:pPr>
            <w:r>
              <w:rPr/>
              <w:t> </w:t>
            </w:r>
          </w:p>
        </w:tc>
        <w:tc>
          <w:tcPr>
            <w:tcW w:w="1505" w:type="dxa"/>
            <w:tcBorders>
              <w:bottom w:val="dotted" w:sz="8" w:space="0" w:color="000000"/>
            </w:tcBorders>
            <w:shd w:fill="auto" w:val="clear"/>
            <w:tcMar>
              <w:bottom w:w="80" w:type="dxa"/>
            </w:tcMar>
            <w:vAlign w:val="center"/>
          </w:tcPr>
          <w:p>
            <w:pPr>
              <w:pStyle w:val="TableContents"/>
              <w:spacing w:before="0" w:after="283"/>
              <w:jc w:val="right"/>
              <w:rPr/>
            </w:pPr>
            <w:r>
              <w:rPr/>
              <w:t>135,000</w:t>
            </w:r>
          </w:p>
        </w:tc>
        <w:tc>
          <w:tcPr>
            <w:tcW w:w="115"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 w:type="dxa"/>
            <w:tcBorders>
              <w:bottom w:val="dotted" w:sz="8" w:space="0" w:color="000000"/>
            </w:tcBorders>
            <w:shd w:fill="auto" w:val="clear"/>
            <w:tcMar>
              <w:bottom w:w="80" w:type="dxa"/>
            </w:tcMar>
            <w:vAlign w:val="center"/>
          </w:tcPr>
          <w:p>
            <w:pPr>
              <w:pStyle w:val="TableContents"/>
              <w:spacing w:before="0" w:after="283"/>
              <w:rPr/>
            </w:pPr>
            <w:r>
              <w:rPr/>
              <w:t> </w:t>
            </w:r>
          </w:p>
        </w:tc>
        <w:tc>
          <w:tcPr>
            <w:tcW w:w="1085" w:type="dxa"/>
            <w:tcBorders>
              <w:bottom w:val="dotted" w:sz="8" w:space="0" w:color="000000"/>
            </w:tcBorders>
            <w:shd w:fill="auto" w:val="clear"/>
            <w:tcMar>
              <w:bottom w:w="80" w:type="dxa"/>
            </w:tcMar>
            <w:vAlign w:val="center"/>
          </w:tcPr>
          <w:p>
            <w:pPr>
              <w:pStyle w:val="TableContents"/>
              <w:spacing w:before="0" w:after="283"/>
              <w:jc w:val="right"/>
              <w:rPr/>
            </w:pPr>
            <w:r>
              <w:rPr/>
              <w:t>145,114</w:t>
            </w:r>
          </w:p>
        </w:tc>
        <w:tc>
          <w:tcPr>
            <w:tcW w:w="8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8" w:type="dxa"/>
            <w:tcBorders>
              <w:bottom w:val="dotted" w:sz="8" w:space="0" w:color="000000"/>
            </w:tcBorders>
            <w:shd w:fill="auto" w:val="clear"/>
            <w:tcMar>
              <w:bottom w:w="80" w:type="dxa"/>
            </w:tcMar>
            <w:vAlign w:val="center"/>
          </w:tcPr>
          <w:p>
            <w:pPr>
              <w:pStyle w:val="TableContents"/>
              <w:spacing w:before="0" w:after="283"/>
              <w:rPr/>
            </w:pPr>
            <w:r>
              <w:rPr/>
              <w:t> </w:t>
            </w:r>
          </w:p>
        </w:tc>
        <w:tc>
          <w:tcPr>
            <w:tcW w:w="1912" w:type="dxa"/>
            <w:tcBorders>
              <w:bottom w:val="dotted" w:sz="8" w:space="0" w:color="000000"/>
            </w:tcBorders>
            <w:shd w:fill="auto" w:val="clear"/>
            <w:tcMar>
              <w:bottom w:w="80" w:type="dxa"/>
            </w:tcMar>
            <w:vAlign w:val="center"/>
          </w:tcPr>
          <w:p>
            <w:pPr>
              <w:pStyle w:val="TableContents"/>
              <w:spacing w:before="0" w:after="283"/>
              <w:jc w:val="right"/>
              <w:rPr/>
            </w:pPr>
            <w:r>
              <w:rPr/>
              <w:t>924</w:t>
            </w:r>
          </w:p>
        </w:tc>
        <w:tc>
          <w:tcPr>
            <w:tcW w:w="171"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 w:type="dxa"/>
            <w:tcBorders>
              <w:bottom w:val="dotted" w:sz="8" w:space="0" w:color="000000"/>
            </w:tcBorders>
            <w:shd w:fill="auto" w:val="clear"/>
            <w:tcMar>
              <w:bottom w:w="80" w:type="dxa"/>
            </w:tcMar>
            <w:vAlign w:val="center"/>
          </w:tcPr>
          <w:p>
            <w:pPr>
              <w:pStyle w:val="TableContents"/>
              <w:spacing w:before="0" w:after="283"/>
              <w:rPr/>
            </w:pPr>
            <w:r>
              <w:rPr/>
              <w:t> </w:t>
            </w:r>
          </w:p>
        </w:tc>
        <w:tc>
          <w:tcPr>
            <w:tcW w:w="1602" w:type="dxa"/>
            <w:tcBorders>
              <w:bottom w:val="dotted" w:sz="8" w:space="0" w:color="000000"/>
            </w:tcBorders>
            <w:shd w:fill="auto" w:val="clear"/>
            <w:tcMar>
              <w:bottom w:w="80" w:type="dxa"/>
            </w:tcMar>
            <w:vAlign w:val="center"/>
          </w:tcPr>
          <w:p>
            <w:pPr>
              <w:pStyle w:val="TableContents"/>
              <w:spacing w:before="0" w:after="283"/>
              <w:jc w:val="right"/>
              <w:rPr/>
            </w:pPr>
            <w:r>
              <w:rPr/>
              <w:t>9,351</w:t>
            </w:r>
          </w:p>
        </w:tc>
        <w:tc>
          <w:tcPr>
            <w:tcW w:w="143" w:type="dxa"/>
            <w:tcBorders>
              <w:bottom w:val="dotted" w:sz="8" w:space="0" w:color="000000"/>
            </w:tcBorders>
            <w:shd w:fill="auto" w:val="clear"/>
            <w:tcMar>
              <w:bottom w:w="80" w:type="dxa"/>
            </w:tcMar>
            <w:vAlign w:val="center"/>
          </w:tcPr>
          <w:p>
            <w:pPr>
              <w:pStyle w:val="TableContents"/>
              <w:spacing w:before="0" w:after="283"/>
              <w:rPr/>
            </w:pPr>
            <w:r>
              <w:rPr/>
              <w:t>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800" w:type="dxa"/>
            <w:tcBorders>
              <w:bottom w:val="dotted" w:sz="8" w:space="0" w:color="000000"/>
            </w:tcBorders>
            <w:shd w:fill="auto" w:val="clear"/>
            <w:tcMar>
              <w:bottom w:w="80" w:type="dxa"/>
            </w:tcMar>
            <w:vAlign w:val="center"/>
          </w:tcPr>
          <w:p>
            <w:pPr>
              <w:pStyle w:val="TableContents"/>
              <w:spacing w:before="0" w:after="283"/>
              <w:jc w:val="right"/>
              <w:rPr/>
            </w:pPr>
            <w:r>
              <w:rPr/>
              <w:t>290,389</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1303" w:type="dxa"/>
            <w:gridSpan w:val="5"/>
            <w:tcBorders/>
            <w:shd w:fill="auto" w:val="clear"/>
            <w:vAlign w:val="center"/>
          </w:tcPr>
          <w:p>
            <w:pPr>
              <w:pStyle w:val="TableContents"/>
              <w:spacing w:before="0" w:after="283"/>
              <w:rPr>
                <w:sz w:val="4"/>
                <w:szCs w:val="4"/>
              </w:rPr>
            </w:pPr>
            <w:r>
              <w:rPr>
                <w:sz w:val="4"/>
                <w:szCs w:val="4"/>
              </w:rPr>
            </w:r>
          </w:p>
        </w:tc>
        <w:tc>
          <w:tcPr>
            <w:tcW w:w="2338" w:type="dxa"/>
            <w:gridSpan w:val="5"/>
            <w:tcBorders/>
            <w:shd w:fill="auto" w:val="clear"/>
            <w:vAlign w:val="center"/>
          </w:tcPr>
          <w:p>
            <w:pPr>
              <w:pStyle w:val="TableContents"/>
              <w:spacing w:before="0" w:after="283"/>
              <w:rPr>
                <w:sz w:val="4"/>
                <w:szCs w:val="4"/>
              </w:rPr>
            </w:pPr>
            <w:r>
              <w:rPr>
                <w:sz w:val="4"/>
                <w:szCs w:val="4"/>
              </w:rPr>
            </w:r>
          </w:p>
        </w:tc>
        <w:tc>
          <w:tcPr>
            <w:tcW w:w="1963"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r>
      <w:tr>
        <w:trPr/>
        <w:tc>
          <w:tcPr>
            <w:tcW w:w="1460"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David C. Wajsgras</w:t>
            </w:r>
          </w:p>
        </w:tc>
        <w:tc>
          <w:tcPr>
            <w:tcW w:w="2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 w:type="dxa"/>
            <w:tcBorders>
              <w:bottom w:val="single" w:sz="8" w:space="0" w:color="000000"/>
            </w:tcBorders>
            <w:shd w:fill="auto" w:val="clear"/>
            <w:tcMar>
              <w:bottom w:w="80" w:type="dxa"/>
            </w:tcMar>
            <w:vAlign w:val="center"/>
          </w:tcPr>
          <w:p>
            <w:pPr>
              <w:pStyle w:val="TableContents"/>
              <w:spacing w:before="0" w:after="283"/>
              <w:rPr/>
            </w:pPr>
            <w:r>
              <w:rPr/>
              <w:t> </w:t>
            </w:r>
          </w:p>
        </w:tc>
        <w:tc>
          <w:tcPr>
            <w:tcW w:w="1505" w:type="dxa"/>
            <w:tcBorders>
              <w:bottom w:val="single" w:sz="8" w:space="0" w:color="000000"/>
            </w:tcBorders>
            <w:shd w:fill="auto" w:val="clear"/>
            <w:tcMar>
              <w:bottom w:w="80" w:type="dxa"/>
            </w:tcMar>
            <w:vAlign w:val="center"/>
          </w:tcPr>
          <w:p>
            <w:pPr>
              <w:pStyle w:val="TableContents"/>
              <w:spacing w:before="0" w:after="283"/>
              <w:jc w:val="right"/>
              <w:rPr/>
            </w:pPr>
            <w:r>
              <w:rPr/>
              <w:t>130,000</w:t>
            </w:r>
          </w:p>
        </w:tc>
        <w:tc>
          <w:tcPr>
            <w:tcW w:w="115" w:type="dxa"/>
            <w:tcBorders>
              <w:bottom w:val="single" w:sz="8" w:space="0" w:color="000000"/>
            </w:tcBorders>
            <w:shd w:fill="auto" w:val="clear"/>
            <w:tcMar>
              <w:bottom w:w="80" w:type="dxa"/>
            </w:tcMar>
            <w:vAlign w:val="center"/>
          </w:tcPr>
          <w:p>
            <w:pPr>
              <w:pStyle w:val="TableContents"/>
              <w:spacing w:before="0" w:after="283"/>
              <w:rPr/>
            </w:pPr>
            <w:r>
              <w:rPr/>
              <w:t> </w:t>
            </w:r>
          </w:p>
        </w:tc>
        <w:tc>
          <w:tcPr>
            <w:tcW w:w="2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 w:type="dxa"/>
            <w:tcBorders>
              <w:bottom w:val="single" w:sz="8" w:space="0" w:color="000000"/>
            </w:tcBorders>
            <w:shd w:fill="auto" w:val="clear"/>
            <w:tcMar>
              <w:bottom w:w="80" w:type="dxa"/>
            </w:tcMar>
            <w:vAlign w:val="center"/>
          </w:tcPr>
          <w:p>
            <w:pPr>
              <w:pStyle w:val="TableContents"/>
              <w:spacing w:before="0" w:after="283"/>
              <w:rPr/>
            </w:pPr>
            <w:r>
              <w:rPr/>
              <w:t> </w:t>
            </w:r>
          </w:p>
        </w:tc>
        <w:tc>
          <w:tcPr>
            <w:tcW w:w="1085" w:type="dxa"/>
            <w:tcBorders>
              <w:bottom w:val="single" w:sz="8" w:space="0" w:color="000000"/>
            </w:tcBorders>
            <w:shd w:fill="auto" w:val="clear"/>
            <w:tcMar>
              <w:bottom w:w="80" w:type="dxa"/>
            </w:tcMar>
            <w:vAlign w:val="center"/>
          </w:tcPr>
          <w:p>
            <w:pPr>
              <w:pStyle w:val="TableContents"/>
              <w:spacing w:before="0" w:after="283"/>
              <w:jc w:val="right"/>
              <w:rPr/>
            </w:pPr>
            <w:r>
              <w:rPr/>
              <w:t>145,114</w:t>
            </w:r>
          </w:p>
        </w:tc>
        <w:tc>
          <w:tcPr>
            <w:tcW w:w="83" w:type="dxa"/>
            <w:tcBorders>
              <w:bottom w:val="single" w:sz="8" w:space="0" w:color="000000"/>
            </w:tcBorders>
            <w:shd w:fill="auto" w:val="clear"/>
            <w:tcMar>
              <w:bottom w:w="80" w:type="dxa"/>
            </w:tcMar>
            <w:vAlign w:val="center"/>
          </w:tcPr>
          <w:p>
            <w:pPr>
              <w:pStyle w:val="TableContents"/>
              <w:spacing w:before="0" w:after="283"/>
              <w:rPr/>
            </w:pPr>
            <w:r>
              <w:rPr/>
              <w:t> </w:t>
            </w:r>
          </w:p>
        </w:tc>
        <w:tc>
          <w:tcPr>
            <w:tcW w:w="2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8" w:type="dxa"/>
            <w:tcBorders>
              <w:bottom w:val="single" w:sz="8" w:space="0" w:color="000000"/>
            </w:tcBorders>
            <w:shd w:fill="auto" w:val="clear"/>
            <w:tcMar>
              <w:bottom w:w="80" w:type="dxa"/>
            </w:tcMar>
            <w:vAlign w:val="center"/>
          </w:tcPr>
          <w:p>
            <w:pPr>
              <w:pStyle w:val="TableContents"/>
              <w:spacing w:before="0" w:after="283"/>
              <w:rPr/>
            </w:pPr>
            <w:r>
              <w:rPr/>
              <w:t> </w:t>
            </w:r>
          </w:p>
        </w:tc>
        <w:tc>
          <w:tcPr>
            <w:tcW w:w="1912" w:type="dxa"/>
            <w:tcBorders>
              <w:bottom w:val="single" w:sz="8" w:space="0" w:color="000000"/>
            </w:tcBorders>
            <w:shd w:fill="auto" w:val="clear"/>
            <w:tcMar>
              <w:bottom w:w="80" w:type="dxa"/>
            </w:tcMar>
            <w:vAlign w:val="center"/>
          </w:tcPr>
          <w:p>
            <w:pPr>
              <w:pStyle w:val="TableContents"/>
              <w:spacing w:before="0" w:after="283"/>
              <w:jc w:val="right"/>
              <w:rPr/>
            </w:pPr>
            <w:r>
              <w:rPr/>
              <w:t>269</w:t>
            </w:r>
          </w:p>
        </w:tc>
        <w:tc>
          <w:tcPr>
            <w:tcW w:w="171" w:type="dxa"/>
            <w:tcBorders>
              <w:bottom w:val="single" w:sz="8" w:space="0" w:color="000000"/>
            </w:tcBorders>
            <w:shd w:fill="auto" w:val="clear"/>
            <w:tcMar>
              <w:bottom w:w="80" w:type="dxa"/>
            </w:tcMar>
            <w:vAlign w:val="center"/>
          </w:tcPr>
          <w:p>
            <w:pPr>
              <w:pStyle w:val="TableContents"/>
              <w:spacing w:before="0" w:after="283"/>
              <w:rPr/>
            </w:pPr>
            <w:r>
              <w:rPr/>
              <w:t> </w:t>
            </w:r>
          </w:p>
        </w:tc>
        <w:tc>
          <w:tcPr>
            <w:tcW w:w="2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 w:type="dxa"/>
            <w:tcBorders>
              <w:bottom w:val="single" w:sz="8" w:space="0" w:color="000000"/>
            </w:tcBorders>
            <w:shd w:fill="auto" w:val="clear"/>
            <w:tcMar>
              <w:bottom w:w="80" w:type="dxa"/>
            </w:tcMar>
            <w:vAlign w:val="center"/>
          </w:tcPr>
          <w:p>
            <w:pPr>
              <w:pStyle w:val="TableContents"/>
              <w:spacing w:before="0" w:after="283"/>
              <w:rPr/>
            </w:pPr>
            <w:r>
              <w:rPr/>
              <w:t> </w:t>
            </w:r>
          </w:p>
        </w:tc>
        <w:tc>
          <w:tcPr>
            <w:tcW w:w="1602" w:type="dxa"/>
            <w:tcBorders>
              <w:bottom w:val="single" w:sz="8" w:space="0" w:color="000000"/>
            </w:tcBorders>
            <w:shd w:fill="auto" w:val="clear"/>
            <w:tcMar>
              <w:bottom w:w="80" w:type="dxa"/>
            </w:tcMar>
            <w:vAlign w:val="center"/>
          </w:tcPr>
          <w:p>
            <w:pPr>
              <w:pStyle w:val="TableContents"/>
              <w:spacing w:before="0" w:after="283"/>
              <w:jc w:val="right"/>
              <w:rPr/>
            </w:pPr>
            <w:r>
              <w:rPr/>
              <w:t>6,967</w:t>
            </w:r>
          </w:p>
        </w:tc>
        <w:tc>
          <w:tcPr>
            <w:tcW w:w="143" w:type="dxa"/>
            <w:tcBorders>
              <w:bottom w:val="single" w:sz="8" w:space="0" w:color="000000"/>
            </w:tcBorders>
            <w:shd w:fill="auto" w:val="clear"/>
            <w:tcMar>
              <w:bottom w:w="80" w:type="dxa"/>
            </w:tcMar>
            <w:vAlign w:val="center"/>
          </w:tcPr>
          <w:p>
            <w:pPr>
              <w:pStyle w:val="TableContents"/>
              <w:spacing w:before="0" w:after="283"/>
              <w:rPr/>
            </w:pPr>
            <w:r>
              <w:rPr/>
              <w:t> </w:t>
            </w:r>
          </w:p>
        </w:tc>
        <w:tc>
          <w:tcPr>
            <w:tcW w:w="2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right"/>
              <w:rPr/>
            </w:pPr>
            <w:r>
              <w:rPr/>
              <w:t>282,350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1</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72.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2</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amounts in column (b) reflect fees earned in 2022. Some of these fees were deferred pursuant to the Common Stock Purchase Plan for Directors in the form of common stock units. The number of units of common stock credited in 2022 to each of the Directors under the Common Stock Purchase Plan for Directors and the grant date fair value for these awards determined in accordance with FASB ASC Topic 718, are as follows: Ms. Ables, 0; Ms. Cole, 0; Mr. Davis, 380 units and $135,683 value, respectively; Mr. Foxx, 0; Mr. Koraleski, 493 units and $176,267 value, respectively; Ms. Perez, 0; Mr. Pike, 338 units and $120,859 value, respectively; Mr. Quillen, 191 units and $68,304 value, respectively; Mr. Slager, 0; and Mr. Wajsgras, 365 units and $130,628 value, respectively. The number of units credited to each of the Directors as of December 31, 2022, including units accumulated under the plan for all years of service as a Director, is as follows: Ms. Ables, 0; Ms. Cole, 14,417; Mr. Davis, 2,351; Mr. Foxx, 0; Mr. Koraleski, 2,960; Ms. Perez, 5,258; Mr. Pike, 665; Mr. Quillen, 5,767; Mr. Slager, 0; and Mr. Wajsgras, 1,140.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3</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Each Director who was serving immediately following the 2022 Annual Meeting of Shareholder received 443 RSUs in May 2022. The amounts in column (c) reflect the grant date fair value for these awards determined in accordance with FASB ASC Topic 718. The RSUs fully vested upon award and will be distributed to the Director upon retirement, except Ms. Cole and Ms. Perez, who each received a distribution of 222 unrestricted shares of common stock and deferred the distribution of 221 RSUs until retirement. As of December 31, 2022, each Director held RSUs in the amounts as follows: Ms. Ables, 2,945; Ms. Cole, 11,338; Mr. Davis, 2,810; Mr. Foxx, 1,339; Mr. Koraleski, 3,749; Ms. Perez, 10,129; Mr. Pike, 2,179; Mr. Quillen, 10,545; Mr. Slager, 3,788; and Mr. Wajsgras, 1,601. As of December 31, 2022, none of the Directors held options for common stock. </w:t>
            </w:r>
          </w:p>
        </w:tc>
      </w:tr>
    </w:tbl>
    <w:tbl>
      <w:tblPr>
        <w:tblW w:w="9400" w:type="dxa"/>
        <w:jc w:val="left"/>
        <w:tblInd w:w="0" w:type="dxa"/>
        <w:tblCellMar>
          <w:top w:w="0" w:type="dxa"/>
          <w:left w:w="0" w:type="dxa"/>
          <w:bottom w:w="0" w:type="dxa"/>
          <w:right w:w="0" w:type="dxa"/>
        </w:tblCellMar>
      </w:tblPr>
      <w:tblGrid>
        <w:gridCol w:w="155"/>
        <w:gridCol w:w="9245"/>
      </w:tblGrid>
      <w:tr>
        <w:trPr/>
        <w:tc>
          <w:tcPr>
            <w:tcW w:w="155" w:type="dxa"/>
            <w:tcBorders/>
            <w:shd w:fill="auto" w:val="clear"/>
            <w:vAlign w:val="center"/>
          </w:tcPr>
          <w:p>
            <w:pPr>
              <w:pStyle w:val="TableContents"/>
              <w:spacing w:before="0" w:after="283"/>
              <w:jc w:val="left"/>
              <w:rPr/>
            </w:pPr>
            <w:r>
              <w:rPr/>
              <w:t>4</w:t>
            </w:r>
          </w:p>
        </w:tc>
        <w:tc>
          <w:tcPr>
            <w:tcW w:w="9245"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amounts in column (f) reflect interest paid on fees deferred in cash under the Common Stock Purchase Plan for Directors.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5</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amounts in column (g) reflect for each Director the dollar value of dividend equivalents paid in 2022 on common stock units held under the Common Stock Purchase Plan for Directors. The non-employee Directors did not receive perquisites or other personal benefits in 2022. </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0" descr=""/>
                          <pic:cNvPicPr>
                            <a:picLocks noChangeAspect="1" noChangeArrowheads="1"/>
                          </pic:cNvPicPr>
                        </pic:nvPicPr>
                        <pic:blipFill>
                          <a:blip r:embed="rId13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29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7CBA"/>
          <w:sz w:val="42"/>
        </w:rPr>
      </w:pPr>
      <w:bookmarkStart w:id="15" w:name="toc390557_10"/>
      <w:bookmarkEnd w:id="15"/>
      <w:r>
        <w:rPr>
          <w:rFonts w:ascii="ARIAL" w:hAnsi="ARIAL"/>
          <w:b/>
          <w:color w:val="007CBA"/>
          <w:sz w:val="42"/>
        </w:rPr>
        <w:t xml:space="preserve">Beneficial Owners and Management </w:t>
      </w:r>
    </w:p>
    <w:p>
      <w:pPr>
        <w:pStyle w:val="TextBody"/>
        <w:spacing w:before="240" w:after="0"/>
        <w:jc w:val="left"/>
        <w:rPr>
          <w:rFonts w:ascii="ARIAL" w:hAnsi="ARIAL"/>
          <w:b/>
          <w:color w:val="71BE9A"/>
          <w:sz w:val="26"/>
        </w:rPr>
      </w:pPr>
      <w:bookmarkStart w:id="16" w:name="toc390557_11"/>
      <w:bookmarkEnd w:id="16"/>
      <w:r>
        <w:rPr>
          <w:rFonts w:ascii="ARIAL" w:hAnsi="ARIAL"/>
          <w:b/>
          <w:color w:val="71BE9A"/>
          <w:sz w:val="26"/>
        </w:rPr>
        <w:t xml:space="preserve">Stock Ownership </w:t>
      </w:r>
    </w:p>
    <w:p>
      <w:pPr>
        <w:pStyle w:val="TextBody"/>
        <w:spacing w:before="240" w:after="0"/>
        <w:jc w:val="left"/>
        <w:rPr>
          <w:rFonts w:ascii="ARIAL" w:hAnsi="ARIAL"/>
          <w:b/>
          <w:sz w:val="20"/>
        </w:rPr>
      </w:pPr>
      <w:r>
        <w:rPr>
          <w:rFonts w:ascii="ARIAL" w:hAnsi="ARIAL"/>
          <w:b/>
          <w:sz w:val="20"/>
        </w:rPr>
        <w:t xml:space="preserve">How much stock do Martin Marietta’s Directors and executive officers own? </w:t>
      </w:r>
    </w:p>
    <w:p>
      <w:pPr>
        <w:pStyle w:val="TextBody"/>
        <w:spacing w:before="120" w:after="0"/>
        <w:jc w:val="left"/>
        <w:rPr>
          <w:rFonts w:ascii="ARIAL" w:hAnsi="ARIAL"/>
          <w:sz w:val="20"/>
        </w:rPr>
      </w:pPr>
      <w:r>
        <w:rPr>
          <w:rFonts w:ascii="ARIAL" w:hAnsi="ARIAL"/>
          <w:sz w:val="20"/>
        </w:rPr>
        <w:t xml:space="preserve">The following table sets forth information as of March 6, 2023 with respect to the shares of common stock that are beneficially owned by the Directors, the Chief Executive Officer, the Chief Financial Officer, and the three other named executive officers who are listed in the Summary Compensation Table on page 72 of this Proxy Statement, individually, and by all Directors and executive officers of Martin Marietta as a group. The address of each beneficial owner below is Martin Marietta’s principal executive office.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350"/>
        <w:gridCol w:w="23"/>
        <w:gridCol w:w="38"/>
        <w:gridCol w:w="99"/>
        <w:gridCol w:w="1323"/>
        <w:gridCol w:w="630"/>
        <w:gridCol w:w="23"/>
        <w:gridCol w:w="51"/>
        <w:gridCol w:w="135"/>
        <w:gridCol w:w="1535"/>
        <w:gridCol w:w="54"/>
        <w:gridCol w:w="23"/>
        <w:gridCol w:w="23"/>
        <w:gridCol w:w="60"/>
        <w:gridCol w:w="800"/>
        <w:gridCol w:w="38"/>
      </w:tblGrid>
      <w:tr>
        <w:trPr/>
        <w:tc>
          <w:tcPr>
            <w:tcW w:w="535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5350" w:type="dxa"/>
            <w:tcBorders/>
            <w:shd w:fill="DBDBDB" w:val="clear"/>
            <w:vAlign w:val="center"/>
          </w:tcPr>
          <w:p>
            <w:pPr>
              <w:pStyle w:val="TableContents"/>
              <w:spacing w:before="0" w:after="283"/>
              <w:rPr>
                <w:sz w:val="4"/>
                <w:szCs w:val="4"/>
              </w:rPr>
            </w:pPr>
            <w:r>
              <w:rPr>
                <w:sz w:val="4"/>
                <w:szCs w:val="4"/>
              </w:rPr>
            </w:r>
          </w:p>
        </w:tc>
        <w:tc>
          <w:tcPr>
            <w:tcW w:w="2113" w:type="dxa"/>
            <w:gridSpan w:val="5"/>
            <w:tcBorders/>
            <w:shd w:fill="DBDBDB" w:val="clear"/>
            <w:vAlign w:val="center"/>
          </w:tcPr>
          <w:p>
            <w:pPr>
              <w:pStyle w:val="TableContents"/>
              <w:spacing w:before="0" w:after="283"/>
              <w:rPr>
                <w:sz w:val="4"/>
                <w:szCs w:val="4"/>
              </w:rPr>
            </w:pPr>
            <w:r>
              <w:rPr>
                <w:sz w:val="4"/>
                <w:szCs w:val="4"/>
              </w:rPr>
            </w:r>
          </w:p>
        </w:tc>
        <w:tc>
          <w:tcPr>
            <w:tcW w:w="1798" w:type="dxa"/>
            <w:gridSpan w:val="5"/>
            <w:tcBorders/>
            <w:shd w:fill="DBDBDB" w:val="clear"/>
            <w:vAlign w:val="center"/>
          </w:tcPr>
          <w:p>
            <w:pPr>
              <w:pStyle w:val="TableContents"/>
              <w:spacing w:before="0" w:after="283"/>
              <w:rPr>
                <w:sz w:val="4"/>
                <w:szCs w:val="4"/>
              </w:rPr>
            </w:pPr>
            <w:r>
              <w:rPr>
                <w:sz w:val="4"/>
                <w:szCs w:val="4"/>
              </w:rPr>
            </w:r>
          </w:p>
        </w:tc>
        <w:tc>
          <w:tcPr>
            <w:tcW w:w="944" w:type="dxa"/>
            <w:gridSpan w:val="5"/>
            <w:tcBorders/>
            <w:shd w:fill="DBDBDB" w:val="clear"/>
            <w:vAlign w:val="center"/>
          </w:tcPr>
          <w:p>
            <w:pPr>
              <w:pStyle w:val="TableContents"/>
              <w:spacing w:before="0" w:after="283"/>
              <w:rPr>
                <w:sz w:val="4"/>
                <w:szCs w:val="4"/>
              </w:rPr>
            </w:pPr>
            <w:r>
              <w:rPr>
                <w:sz w:val="4"/>
                <w:szCs w:val="4"/>
              </w:rPr>
            </w:r>
          </w:p>
        </w:tc>
      </w:tr>
      <w:tr>
        <w:trPr/>
        <w:tc>
          <w:tcPr>
            <w:tcW w:w="5350" w:type="dxa"/>
            <w:tcBorders/>
            <w:shd w:fill="DBDBDB" w:val="clear"/>
            <w:vAlign w:val="center"/>
          </w:tcPr>
          <w:p>
            <w:pPr>
              <w:pStyle w:val="TableContents"/>
              <w:spacing w:before="0" w:after="0"/>
              <w:rPr>
                <w:rFonts w:ascii="ARIAL" w:hAnsi="ARIAL"/>
                <w:b/>
                <w:sz w:val="18"/>
              </w:rPr>
            </w:pPr>
            <w:r>
              <w:rPr>
                <w:rFonts w:ascii="ARIAL" w:hAnsi="ARIAL"/>
                <w:b/>
                <w:sz w:val="18"/>
              </w:rPr>
              <w:t>Name of Beneficial Owner</w:t>
            </w:r>
          </w:p>
        </w:tc>
        <w:tc>
          <w:tcPr>
            <w:tcW w:w="23" w:type="dxa"/>
            <w:tcBorders/>
            <w:shd w:fill="DBDBDB" w:val="clear"/>
            <w:vAlign w:val="center"/>
          </w:tcPr>
          <w:p>
            <w:pPr>
              <w:pStyle w:val="TableContents"/>
              <w:spacing w:before="0" w:after="283"/>
              <w:rPr>
                <w:sz w:val="4"/>
                <w:szCs w:val="4"/>
              </w:rPr>
            </w:pPr>
            <w:r>
              <w:rPr>
                <w:sz w:val="4"/>
                <w:szCs w:val="4"/>
              </w:rPr>
            </w:r>
          </w:p>
        </w:tc>
        <w:tc>
          <w:tcPr>
            <w:tcW w:w="2090" w:type="dxa"/>
            <w:gridSpan w:val="4"/>
            <w:tcBorders/>
            <w:shd w:fill="DBDBDB" w:val="clear"/>
            <w:vAlign w:val="center"/>
          </w:tcPr>
          <w:p>
            <w:pPr>
              <w:pStyle w:val="TableContents"/>
              <w:spacing w:before="0" w:after="283"/>
              <w:jc w:val="center"/>
              <w:rPr>
                <w:b/>
              </w:rPr>
            </w:pPr>
            <w:r>
              <w:rPr>
                <w:b/>
              </w:rPr>
              <w:t>Amount and Nature</w:t>
              <w:br/>
              <w:t>of Beneficial</w:t>
              <w:br/>
              <w:t>Ownership1</w:t>
            </w:r>
          </w:p>
        </w:tc>
        <w:tc>
          <w:tcPr>
            <w:tcW w:w="23" w:type="dxa"/>
            <w:tcBorders/>
            <w:shd w:fill="DBDBDB" w:val="clear"/>
            <w:vAlign w:val="center"/>
          </w:tcPr>
          <w:p>
            <w:pPr>
              <w:pStyle w:val="TableContents"/>
              <w:spacing w:before="0" w:after="283"/>
              <w:rPr>
                <w:sz w:val="4"/>
                <w:szCs w:val="4"/>
              </w:rPr>
            </w:pPr>
            <w:r>
              <w:rPr>
                <w:sz w:val="4"/>
                <w:szCs w:val="4"/>
              </w:rPr>
            </w:r>
          </w:p>
        </w:tc>
        <w:tc>
          <w:tcPr>
            <w:tcW w:w="1775" w:type="dxa"/>
            <w:gridSpan w:val="4"/>
            <w:tcBorders/>
            <w:shd w:fill="DBDBDB" w:val="clear"/>
            <w:vAlign w:val="center"/>
          </w:tcPr>
          <w:p>
            <w:pPr>
              <w:pStyle w:val="TableContents"/>
              <w:spacing w:before="0" w:after="283"/>
              <w:jc w:val="center"/>
              <w:rPr>
                <w:b/>
              </w:rPr>
            </w:pPr>
            <w:r>
              <w:rPr>
                <w:b/>
              </w:rPr>
              <w:t>Deferred and</w:t>
              <w:br/>
              <w:t>Restricted Units5</w:t>
            </w:r>
          </w:p>
        </w:tc>
        <w:tc>
          <w:tcPr>
            <w:tcW w:w="23" w:type="dxa"/>
            <w:tcBorders/>
            <w:shd w:fill="DBDBDB" w:val="clear"/>
            <w:vAlign w:val="center"/>
          </w:tcPr>
          <w:p>
            <w:pPr>
              <w:pStyle w:val="TableContents"/>
              <w:spacing w:before="0" w:after="283"/>
              <w:rPr>
                <w:sz w:val="4"/>
                <w:szCs w:val="4"/>
              </w:rPr>
            </w:pPr>
            <w:r>
              <w:rPr>
                <w:sz w:val="4"/>
                <w:szCs w:val="4"/>
              </w:rPr>
            </w:r>
          </w:p>
        </w:tc>
        <w:tc>
          <w:tcPr>
            <w:tcW w:w="921" w:type="dxa"/>
            <w:gridSpan w:val="4"/>
            <w:tcBorders/>
            <w:shd w:fill="DBDBDB" w:val="clear"/>
            <w:vAlign w:val="center"/>
          </w:tcPr>
          <w:p>
            <w:pPr>
              <w:pStyle w:val="TableContents"/>
              <w:spacing w:before="0" w:after="283"/>
              <w:jc w:val="center"/>
              <w:rPr>
                <w:b/>
              </w:rPr>
            </w:pPr>
            <w:r>
              <w:rPr>
                <w:b/>
              </w:rPr>
              <w:t>Total</w:t>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Dorothy M. Ables</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2,945</w:t>
            </w:r>
          </w:p>
        </w:tc>
        <w:tc>
          <w:tcPr>
            <w:tcW w:w="630" w:type="dxa"/>
            <w:tcBorders>
              <w:bottom w:val="dotted" w:sz="8" w:space="0" w:color="000000"/>
            </w:tcBorders>
            <w:shd w:fill="auto" w:val="clear"/>
            <w:tcMar>
              <w:bottom w:w="100" w:type="dxa"/>
            </w:tcMar>
            <w:vAlign w:val="center"/>
          </w:tcPr>
          <w:p>
            <w:pPr>
              <w:pStyle w:val="TableContents"/>
              <w:spacing w:before="0" w:after="283"/>
              <w:rPr/>
            </w:pPr>
            <w:r>
              <w:rPr/>
              <w:t>2 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Roselyn R. Bar</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59,876</w:t>
            </w:r>
          </w:p>
        </w:tc>
        <w:tc>
          <w:tcPr>
            <w:tcW w:w="630" w:type="dxa"/>
            <w:tcBorders>
              <w:bottom w:val="dotted" w:sz="8" w:space="0" w:color="000000"/>
            </w:tcBorders>
            <w:shd w:fill="auto" w:val="clear"/>
            <w:tcMar>
              <w:bottom w:w="100" w:type="dxa"/>
            </w:tcMar>
            <w:vAlign w:val="center"/>
          </w:tcPr>
          <w:p>
            <w:pPr>
              <w:pStyle w:val="TableContents"/>
              <w:spacing w:before="0" w:after="283"/>
              <w:rPr/>
            </w:pPr>
            <w:r>
              <w:rPr/>
              <w:t>3 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6,029</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65,905</w:t>
            </w:r>
          </w:p>
        </w:tc>
        <w:tc>
          <w:tcPr>
            <w:tcW w:w="38"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Sue W. Cole</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30,998</w:t>
            </w:r>
          </w:p>
        </w:tc>
        <w:tc>
          <w:tcPr>
            <w:tcW w:w="630" w:type="dxa"/>
            <w:tcBorders>
              <w:bottom w:val="dotted" w:sz="8" w:space="0" w:color="000000"/>
            </w:tcBorders>
            <w:shd w:fill="auto" w:val="clear"/>
            <w:tcMar>
              <w:bottom w:w="100" w:type="dxa"/>
            </w:tcMar>
            <w:vAlign w:val="center"/>
          </w:tcPr>
          <w:p>
            <w:pPr>
              <w:pStyle w:val="TableContents"/>
              <w:spacing w:before="0" w:after="283"/>
              <w:rPr/>
            </w:pPr>
            <w:r>
              <w:rPr/>
              <w:t>2,4 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Smith W. Davis</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5,225</w:t>
            </w:r>
          </w:p>
        </w:tc>
        <w:tc>
          <w:tcPr>
            <w:tcW w:w="630" w:type="dxa"/>
            <w:tcBorders>
              <w:bottom w:val="dotted" w:sz="8" w:space="0" w:color="000000"/>
            </w:tcBorders>
            <w:shd w:fill="auto" w:val="clear"/>
            <w:tcMar>
              <w:bottom w:w="100" w:type="dxa"/>
            </w:tcMar>
            <w:vAlign w:val="center"/>
          </w:tcPr>
          <w:p>
            <w:pPr>
              <w:pStyle w:val="TableContents"/>
              <w:spacing w:before="0" w:after="283"/>
              <w:rPr/>
            </w:pPr>
            <w:r>
              <w:rPr/>
              <w:t>2 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Anthony R. Foxx</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1,339</w:t>
            </w:r>
          </w:p>
        </w:tc>
        <w:tc>
          <w:tcPr>
            <w:tcW w:w="630" w:type="dxa"/>
            <w:tcBorders>
              <w:bottom w:val="dotted" w:sz="8" w:space="0" w:color="000000"/>
            </w:tcBorders>
            <w:shd w:fill="auto" w:val="clear"/>
            <w:tcMar>
              <w:bottom w:w="100" w:type="dxa"/>
            </w:tcMar>
            <w:vAlign w:val="center"/>
          </w:tcPr>
          <w:p>
            <w:pPr>
              <w:pStyle w:val="TableContents"/>
              <w:spacing w:before="0" w:after="283"/>
              <w:rPr/>
            </w:pPr>
            <w:r>
              <w:rPr/>
              <w:t>2 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John J. Koraleski</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13,731</w:t>
            </w:r>
          </w:p>
        </w:tc>
        <w:tc>
          <w:tcPr>
            <w:tcW w:w="630" w:type="dxa"/>
            <w:tcBorders>
              <w:bottom w:val="dotted" w:sz="8" w:space="0" w:color="000000"/>
            </w:tcBorders>
            <w:shd w:fill="auto" w:val="clear"/>
            <w:tcMar>
              <w:bottom w:w="100" w:type="dxa"/>
            </w:tcMar>
            <w:vAlign w:val="center"/>
          </w:tcPr>
          <w:p>
            <w:pPr>
              <w:pStyle w:val="TableContents"/>
              <w:spacing w:before="0" w:after="283"/>
              <w:rPr/>
            </w:pPr>
            <w:r>
              <w:rPr/>
              <w:t>2 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Craig M. LaTorre</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8,078</w:t>
            </w:r>
          </w:p>
        </w:tc>
        <w:tc>
          <w:tcPr>
            <w:tcW w:w="630" w:type="dxa"/>
            <w:tcBorders>
              <w:bottom w:val="dotted" w:sz="8" w:space="0" w:color="000000"/>
            </w:tcBorders>
            <w:shd w:fill="auto" w:val="clear"/>
            <w:tcMar>
              <w:bottom w:w="100" w:type="dxa"/>
            </w:tcMar>
            <w:vAlign w:val="center"/>
          </w:tcPr>
          <w:p>
            <w:pPr>
              <w:pStyle w:val="TableContents"/>
              <w:spacing w:before="0" w:after="283"/>
              <w:rPr/>
            </w:pPr>
            <w:r>
              <w:rPr/>
              <w:t>3 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4,087</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12,165</w:t>
            </w:r>
          </w:p>
        </w:tc>
        <w:tc>
          <w:tcPr>
            <w:tcW w:w="38"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John P. Mohr</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11,241</w:t>
            </w:r>
          </w:p>
        </w:tc>
        <w:tc>
          <w:tcPr>
            <w:tcW w:w="630" w:type="dxa"/>
            <w:tcBorders>
              <w:bottom w:val="dotted" w:sz="8" w:space="0" w:color="000000"/>
            </w:tcBorders>
            <w:shd w:fill="auto" w:val="clear"/>
            <w:tcMar>
              <w:bottom w:w="100" w:type="dxa"/>
            </w:tcMar>
            <w:vAlign w:val="center"/>
          </w:tcPr>
          <w:p>
            <w:pPr>
              <w:pStyle w:val="TableContents"/>
              <w:spacing w:before="0" w:after="283"/>
              <w:rPr/>
            </w:pPr>
            <w:r>
              <w:rPr/>
              <w:t>3 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3,910</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15,151</w:t>
            </w:r>
          </w:p>
        </w:tc>
        <w:tc>
          <w:tcPr>
            <w:tcW w:w="38"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James A. J. Nickolas</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16,488</w:t>
            </w:r>
          </w:p>
        </w:tc>
        <w:tc>
          <w:tcPr>
            <w:tcW w:w="630" w:type="dxa"/>
            <w:tcBorders>
              <w:bottom w:val="dotted" w:sz="8" w:space="0" w:color="000000"/>
            </w:tcBorders>
            <w:shd w:fill="auto" w:val="clear"/>
            <w:tcMar>
              <w:bottom w:w="100" w:type="dxa"/>
            </w:tcMar>
            <w:vAlign w:val="center"/>
          </w:tcPr>
          <w:p>
            <w:pPr>
              <w:pStyle w:val="TableContents"/>
              <w:spacing w:before="0" w:after="283"/>
              <w:rPr/>
            </w:pPr>
            <w:r>
              <w:rPr/>
              <w:t>3 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3,612</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20,100</w:t>
            </w:r>
          </w:p>
        </w:tc>
        <w:tc>
          <w:tcPr>
            <w:tcW w:w="38"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C. Howard Nye</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178,189</w:t>
            </w:r>
          </w:p>
        </w:tc>
        <w:tc>
          <w:tcPr>
            <w:tcW w:w="630" w:type="dxa"/>
            <w:tcBorders>
              <w:bottom w:val="dotted" w:sz="8" w:space="0" w:color="000000"/>
            </w:tcBorders>
            <w:shd w:fill="auto" w:val="clear"/>
            <w:tcMar>
              <w:bottom w:w="100" w:type="dxa"/>
            </w:tcMar>
            <w:vAlign w:val="center"/>
          </w:tcPr>
          <w:p>
            <w:pPr>
              <w:pStyle w:val="TableContents"/>
              <w:spacing w:before="0" w:after="283"/>
              <w:rPr/>
            </w:pPr>
            <w:r>
              <w:rPr/>
              <w:t>3 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27,635</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800" w:type="dxa"/>
            <w:tcBorders>
              <w:bottom w:val="dotted" w:sz="8" w:space="0" w:color="000000"/>
            </w:tcBorders>
            <w:shd w:fill="auto" w:val="clear"/>
            <w:tcMar>
              <w:bottom w:w="100" w:type="dxa"/>
            </w:tcMar>
            <w:vAlign w:val="center"/>
          </w:tcPr>
          <w:p>
            <w:pPr>
              <w:pStyle w:val="TableContents"/>
              <w:spacing w:before="0" w:after="283"/>
              <w:jc w:val="right"/>
              <w:rPr/>
            </w:pPr>
            <w:r>
              <w:rPr/>
              <w:t>205,824</w:t>
            </w:r>
          </w:p>
        </w:tc>
        <w:tc>
          <w:tcPr>
            <w:tcW w:w="38"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Laree E. Perez</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15,943</w:t>
            </w:r>
          </w:p>
        </w:tc>
        <w:tc>
          <w:tcPr>
            <w:tcW w:w="630" w:type="dxa"/>
            <w:tcBorders>
              <w:bottom w:val="dotted" w:sz="8" w:space="0" w:color="000000"/>
            </w:tcBorders>
            <w:shd w:fill="auto" w:val="clear"/>
            <w:tcMar>
              <w:bottom w:w="100" w:type="dxa"/>
            </w:tcMar>
            <w:vAlign w:val="center"/>
          </w:tcPr>
          <w:p>
            <w:pPr>
              <w:pStyle w:val="TableContents"/>
              <w:spacing w:before="0" w:after="283"/>
              <w:rPr/>
            </w:pPr>
            <w:r>
              <w:rPr/>
              <w:t>2 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Thomas H. Pike</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2,928</w:t>
            </w:r>
          </w:p>
        </w:tc>
        <w:tc>
          <w:tcPr>
            <w:tcW w:w="630" w:type="dxa"/>
            <w:tcBorders>
              <w:bottom w:val="dotted" w:sz="8" w:space="0" w:color="000000"/>
            </w:tcBorders>
            <w:shd w:fill="auto" w:val="clear"/>
            <w:tcMar>
              <w:bottom w:w="100" w:type="dxa"/>
            </w:tcMar>
            <w:vAlign w:val="center"/>
          </w:tcPr>
          <w:p>
            <w:pPr>
              <w:pStyle w:val="TableContents"/>
              <w:spacing w:before="0" w:after="283"/>
              <w:rPr/>
            </w:pPr>
            <w:r>
              <w:rPr/>
              <w:t>2 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Michael J. Quillen</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22,467</w:t>
            </w:r>
          </w:p>
        </w:tc>
        <w:tc>
          <w:tcPr>
            <w:tcW w:w="630" w:type="dxa"/>
            <w:tcBorders>
              <w:bottom w:val="dotted" w:sz="8" w:space="0" w:color="000000"/>
            </w:tcBorders>
            <w:shd w:fill="auto" w:val="clear"/>
            <w:tcMar>
              <w:bottom w:w="100" w:type="dxa"/>
            </w:tcMar>
            <w:vAlign w:val="center"/>
          </w:tcPr>
          <w:p>
            <w:pPr>
              <w:pStyle w:val="TableContents"/>
              <w:spacing w:before="0" w:after="283"/>
              <w:rPr/>
            </w:pPr>
            <w:r>
              <w:rPr/>
              <w:t>2 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Donald W. Slager</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3,788</w:t>
            </w:r>
          </w:p>
        </w:tc>
        <w:tc>
          <w:tcPr>
            <w:tcW w:w="630" w:type="dxa"/>
            <w:tcBorders>
              <w:bottom w:val="dotted" w:sz="8" w:space="0" w:color="000000"/>
            </w:tcBorders>
            <w:shd w:fill="auto" w:val="clear"/>
            <w:tcMar>
              <w:bottom w:w="100" w:type="dxa"/>
            </w:tcMar>
            <w:vAlign w:val="center"/>
          </w:tcPr>
          <w:p>
            <w:pPr>
              <w:pStyle w:val="TableContents"/>
              <w:spacing w:before="0" w:after="283"/>
              <w:rPr/>
            </w:pPr>
            <w:r>
              <w:rPr/>
              <w:t>2 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David C. Wajsgras</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dotted" w:sz="8" w:space="0" w:color="000000"/>
            </w:tcBorders>
            <w:shd w:fill="auto" w:val="clear"/>
            <w:tcMar>
              <w:bottom w:w="100" w:type="dxa"/>
            </w:tcMar>
            <w:vAlign w:val="center"/>
          </w:tcPr>
          <w:p>
            <w:pPr>
              <w:pStyle w:val="TableContents"/>
              <w:spacing w:before="0" w:after="283"/>
              <w:rPr/>
            </w:pPr>
            <w:r>
              <w:rPr/>
              <w:t> </w:t>
            </w:r>
          </w:p>
        </w:tc>
        <w:tc>
          <w:tcPr>
            <w:tcW w:w="1323" w:type="dxa"/>
            <w:tcBorders>
              <w:bottom w:val="dotted" w:sz="8" w:space="0" w:color="000000"/>
            </w:tcBorders>
            <w:shd w:fill="auto" w:val="clear"/>
            <w:tcMar>
              <w:bottom w:w="100" w:type="dxa"/>
            </w:tcMar>
            <w:vAlign w:val="center"/>
          </w:tcPr>
          <w:p>
            <w:pPr>
              <w:pStyle w:val="TableContents"/>
              <w:spacing w:before="0" w:after="283"/>
              <w:jc w:val="right"/>
              <w:rPr/>
            </w:pPr>
            <w:r>
              <w:rPr/>
              <w:t>2,842</w:t>
            </w:r>
          </w:p>
        </w:tc>
        <w:tc>
          <w:tcPr>
            <w:tcW w:w="630" w:type="dxa"/>
            <w:tcBorders>
              <w:bottom w:val="dotted" w:sz="8" w:space="0" w:color="000000"/>
            </w:tcBorders>
            <w:shd w:fill="auto" w:val="clear"/>
            <w:tcMar>
              <w:bottom w:w="100" w:type="dxa"/>
            </w:tcMar>
            <w:vAlign w:val="center"/>
          </w:tcPr>
          <w:p>
            <w:pPr>
              <w:pStyle w:val="TableContents"/>
              <w:spacing w:before="0" w:after="283"/>
              <w:rPr/>
            </w:pPr>
            <w:r>
              <w:rPr/>
              <w:t>2 </w:t>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dotted" w:sz="8" w:space="0" w:color="000000"/>
            </w:tcBorders>
            <w:shd w:fill="auto" w:val="clear"/>
            <w:tcMar>
              <w:bottom w:w="100" w:type="dxa"/>
            </w:tcMar>
            <w:vAlign w:val="center"/>
          </w:tcPr>
          <w:p>
            <w:pPr>
              <w:pStyle w:val="TableContents"/>
              <w:spacing w:before="0" w:after="283"/>
              <w:rPr/>
            </w:pPr>
            <w:r>
              <w:rPr/>
              <w:t> </w:t>
            </w:r>
          </w:p>
        </w:tc>
        <w:tc>
          <w:tcPr>
            <w:tcW w:w="153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54" w:type="dxa"/>
            <w:tcBorders>
              <w:bottom w:val="dotted" w:sz="8"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dotted"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2113" w:type="dxa"/>
            <w:gridSpan w:val="5"/>
            <w:tcBorders/>
            <w:shd w:fill="auto" w:val="clear"/>
            <w:vAlign w:val="center"/>
          </w:tcPr>
          <w:p>
            <w:pPr>
              <w:pStyle w:val="TableContents"/>
              <w:spacing w:before="0" w:after="283"/>
              <w:rPr>
                <w:sz w:val="4"/>
                <w:szCs w:val="4"/>
              </w:rPr>
            </w:pPr>
            <w:r>
              <w:rPr>
                <w:sz w:val="4"/>
                <w:szCs w:val="4"/>
              </w:rPr>
            </w:r>
          </w:p>
        </w:tc>
        <w:tc>
          <w:tcPr>
            <w:tcW w:w="1798" w:type="dxa"/>
            <w:gridSpan w:val="5"/>
            <w:tcBorders/>
            <w:shd w:fill="auto" w:val="clear"/>
            <w:vAlign w:val="center"/>
          </w:tcPr>
          <w:p>
            <w:pPr>
              <w:pStyle w:val="TableContents"/>
              <w:spacing w:before="0" w:after="283"/>
              <w:rPr>
                <w:sz w:val="4"/>
                <w:szCs w:val="4"/>
              </w:rPr>
            </w:pPr>
            <w:r>
              <w:rPr>
                <w:sz w:val="4"/>
                <w:szCs w:val="4"/>
              </w:rPr>
            </w:r>
          </w:p>
        </w:tc>
        <w:tc>
          <w:tcPr>
            <w:tcW w:w="944" w:type="dxa"/>
            <w:gridSpan w:val="5"/>
            <w:tcBorders/>
            <w:shd w:fill="auto" w:val="clear"/>
            <w:vAlign w:val="center"/>
          </w:tcPr>
          <w:p>
            <w:pPr>
              <w:pStyle w:val="TableContents"/>
              <w:spacing w:before="0" w:after="283"/>
              <w:rPr>
                <w:sz w:val="4"/>
                <w:szCs w:val="4"/>
              </w:rPr>
            </w:pPr>
            <w:r>
              <w:rPr>
                <w:sz w:val="4"/>
                <w:szCs w:val="4"/>
              </w:rPr>
            </w:r>
          </w:p>
        </w:tc>
      </w:tr>
      <w:tr>
        <w:trPr/>
        <w:tc>
          <w:tcPr>
            <w:tcW w:w="5350" w:type="dxa"/>
            <w:tcBorders>
              <w:bottom w:val="single" w:sz="6"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All Directors and executive officers as a group (17 individuals including those named above)</w:t>
            </w:r>
          </w:p>
        </w:tc>
        <w:tc>
          <w:tcPr>
            <w:tcW w:w="23"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8"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 w:type="dxa"/>
            <w:tcBorders>
              <w:bottom w:val="single" w:sz="6" w:space="0" w:color="000000"/>
            </w:tcBorders>
            <w:shd w:fill="auto" w:val="clear"/>
            <w:tcMar>
              <w:bottom w:w="100" w:type="dxa"/>
            </w:tcMar>
            <w:vAlign w:val="center"/>
          </w:tcPr>
          <w:p>
            <w:pPr>
              <w:pStyle w:val="TableContents"/>
              <w:spacing w:before="0" w:after="283"/>
              <w:rPr/>
            </w:pPr>
            <w:r>
              <w:rPr/>
              <w:t> </w:t>
            </w:r>
          </w:p>
        </w:tc>
        <w:tc>
          <w:tcPr>
            <w:tcW w:w="1323" w:type="dxa"/>
            <w:tcBorders>
              <w:bottom w:val="single" w:sz="6" w:space="0" w:color="000000"/>
            </w:tcBorders>
            <w:shd w:fill="auto" w:val="clear"/>
            <w:tcMar>
              <w:bottom w:w="100" w:type="dxa"/>
            </w:tcMar>
            <w:vAlign w:val="center"/>
          </w:tcPr>
          <w:p>
            <w:pPr>
              <w:pStyle w:val="TableContents"/>
              <w:spacing w:before="0" w:after="283"/>
              <w:jc w:val="right"/>
              <w:rPr/>
            </w:pPr>
            <w:r>
              <w:rPr/>
              <w:t>380,258</w:t>
            </w:r>
          </w:p>
        </w:tc>
        <w:tc>
          <w:tcPr>
            <w:tcW w:w="630" w:type="dxa"/>
            <w:tcBorders>
              <w:bottom w:val="single" w:sz="6" w:space="0" w:color="000000"/>
            </w:tcBorders>
            <w:shd w:fill="auto" w:val="clear"/>
            <w:tcMar>
              <w:bottom w:w="100" w:type="dxa"/>
            </w:tcMar>
            <w:vAlign w:val="center"/>
          </w:tcPr>
          <w:p>
            <w:pPr>
              <w:pStyle w:val="TableContents"/>
              <w:spacing w:before="0" w:after="283"/>
              <w:rPr/>
            </w:pPr>
            <w:r>
              <w:rPr/>
              <w:t>3,4 </w:t>
            </w:r>
          </w:p>
        </w:tc>
        <w:tc>
          <w:tcPr>
            <w:tcW w:w="23"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1"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5" w:type="dxa"/>
            <w:tcBorders>
              <w:bottom w:val="single" w:sz="6" w:space="0" w:color="000000"/>
            </w:tcBorders>
            <w:shd w:fill="auto" w:val="clear"/>
            <w:tcMar>
              <w:bottom w:w="100" w:type="dxa"/>
            </w:tcMar>
            <w:vAlign w:val="center"/>
          </w:tcPr>
          <w:p>
            <w:pPr>
              <w:pStyle w:val="TableContents"/>
              <w:spacing w:before="0" w:after="283"/>
              <w:rPr/>
            </w:pPr>
            <w:r>
              <w:rPr/>
              <w:t> </w:t>
            </w:r>
          </w:p>
        </w:tc>
        <w:tc>
          <w:tcPr>
            <w:tcW w:w="1535" w:type="dxa"/>
            <w:tcBorders>
              <w:bottom w:val="single" w:sz="6" w:space="0" w:color="000000"/>
            </w:tcBorders>
            <w:shd w:fill="auto" w:val="clear"/>
            <w:tcMar>
              <w:bottom w:w="100" w:type="dxa"/>
            </w:tcMar>
            <w:vAlign w:val="center"/>
          </w:tcPr>
          <w:p>
            <w:pPr>
              <w:pStyle w:val="TableContents"/>
              <w:spacing w:before="0" w:after="283"/>
              <w:jc w:val="right"/>
              <w:rPr/>
            </w:pPr>
            <w:r>
              <w:rPr/>
              <w:t>57,196</w:t>
            </w:r>
          </w:p>
        </w:tc>
        <w:tc>
          <w:tcPr>
            <w:tcW w:w="54" w:type="dxa"/>
            <w:tcBorders>
              <w:bottom w:val="single" w:sz="6"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23"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800" w:type="dxa"/>
            <w:tcBorders>
              <w:bottom w:val="single" w:sz="6" w:space="0" w:color="000000"/>
            </w:tcBorders>
            <w:shd w:fill="auto" w:val="clear"/>
            <w:tcMar>
              <w:bottom w:w="100" w:type="dxa"/>
            </w:tcMar>
            <w:vAlign w:val="center"/>
          </w:tcPr>
          <w:p>
            <w:pPr>
              <w:pStyle w:val="TableContents"/>
              <w:spacing w:before="0" w:after="283"/>
              <w:jc w:val="right"/>
              <w:rPr/>
            </w:pPr>
            <w:r>
              <w:rPr/>
              <w:t>437,454</w:t>
            </w:r>
          </w:p>
        </w:tc>
        <w:tc>
          <w:tcPr>
            <w:tcW w:w="38" w:type="dxa"/>
            <w:tcBorders>
              <w:bottom w:val="single" w:sz="6" w:space="0" w:color="000000"/>
            </w:tcBorders>
            <w:shd w:fill="auto" w:val="clear"/>
            <w:tcMar>
              <w:bottom w:w="100"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1</w:t>
            </w:r>
          </w:p>
        </w:tc>
        <w:tc>
          <w:tcPr>
            <w:tcW w:w="10050" w:type="dxa"/>
            <w:tcBorders/>
            <w:shd w:fill="auto" w:val="clear"/>
            <w:vAlign w:val="center"/>
          </w:tcPr>
          <w:p>
            <w:pPr>
              <w:pStyle w:val="TableContents"/>
              <w:spacing w:before="0" w:after="0"/>
              <w:jc w:val="left"/>
              <w:rPr>
                <w:rFonts w:ascii="ARIAL" w:hAnsi="ARIAL"/>
                <w:sz w:val="18"/>
              </w:rPr>
            </w:pPr>
            <w:r>
              <w:rPr>
                <w:rFonts w:ascii="ARIAL" w:hAnsi="ARIAL"/>
                <w:sz w:val="18"/>
              </w:rPr>
              <w:t xml:space="preserve">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.61% of the shares of common stock outstanding as of March 6, 2023. None of the shares reported are pledged as security.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2</w:t>
            </w:r>
          </w:p>
        </w:tc>
        <w:tc>
          <w:tcPr>
            <w:tcW w:w="10050" w:type="dxa"/>
            <w:tcBorders/>
            <w:shd w:fill="auto" w:val="clear"/>
            <w:vAlign w:val="center"/>
          </w:tcPr>
          <w:p>
            <w:pPr>
              <w:pStyle w:val="TableContents"/>
              <w:spacing w:before="0" w:after="0"/>
              <w:jc w:val="left"/>
              <w:rPr>
                <w:rFonts w:ascii="ARIAL" w:hAnsi="ARIAL"/>
                <w:sz w:val="18"/>
              </w:rPr>
            </w:pPr>
            <w:r>
              <w:rPr>
                <w:rFonts w:ascii="ARIAL" w:hAnsi="ARIAL"/>
                <w:sz w:val="18"/>
              </w:rPr>
              <w:t xml:space="preserve">Amounts reported include (1) compensation paid on an annual basis that Directors have received in common stock units that are deferred pursuant to the Amended and Restated Martin Marietta Materials, Inc. Common Stock Purchase Plan for Directors and (2) RSUs that each Director received in 2022 as part of their compensation. The Directors do not have voting or investment power for their respective common stock units and RSUs. The number of common stock units credited to each of the Directors pursuant to the Common Stock Purchase Plan as of March 6, 2023 is as follows: Ms. Ables, 0; Ms. Cole, 14,285; Mr. Davis, 2,445; Mr. Foxx, 0; Mr. Koraleski, 3,082; Ms. Perez, 5,258; Mr. Pike, 749; Mr. Quillen, 5,648; Mr. Slager, 0; and Mr. Wajsgras, 1,241.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3</w:t>
            </w:r>
          </w:p>
        </w:tc>
        <w:tc>
          <w:tcPr>
            <w:tcW w:w="1005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number of shares owned for each of Mr. Nye, Ms. Bar, Mr. LaTorre, Mr. Mohr, Mr. Nickolas and all Directors and executive officers as a group assumes that options held by each of them covering shares of common stock in the amounts indicated, which are currently exercisable within 60 days of March 6, 2023, have been exercised: Mr. Nye, 0; Ms. Bar, 0; Mr. LaTorre, 0; Mr. Mohr, 0; Mr. Nickolas, 0; and all Directors and executive officers as a group, 0. </w:t>
            </w:r>
          </w:p>
        </w:tc>
      </w:tr>
    </w:tbl>
    <w:tbl>
      <w:tblPr>
        <w:tblW w:w="5890" w:type="dxa"/>
        <w:jc w:val="left"/>
        <w:tblInd w:w="0" w:type="dxa"/>
        <w:tblCellMar>
          <w:top w:w="0" w:type="dxa"/>
          <w:left w:w="0" w:type="dxa"/>
          <w:bottom w:w="0" w:type="dxa"/>
          <w:right w:w="0" w:type="dxa"/>
        </w:tblCellMar>
      </w:tblPr>
      <w:tblGrid>
        <w:gridCol w:w="155"/>
        <w:gridCol w:w="5735"/>
      </w:tblGrid>
      <w:tr>
        <w:trPr/>
        <w:tc>
          <w:tcPr>
            <w:tcW w:w="155" w:type="dxa"/>
            <w:tcBorders/>
            <w:shd w:fill="auto" w:val="clear"/>
            <w:vAlign w:val="center"/>
          </w:tcPr>
          <w:p>
            <w:pPr>
              <w:pStyle w:val="TableContents"/>
              <w:spacing w:before="0" w:after="283"/>
              <w:jc w:val="left"/>
              <w:rPr/>
            </w:pPr>
            <w:r>
              <w:rPr/>
              <w:t>4</w:t>
            </w:r>
          </w:p>
        </w:tc>
        <w:tc>
          <w:tcPr>
            <w:tcW w:w="5735" w:type="dxa"/>
            <w:tcBorders/>
            <w:shd w:fill="auto" w:val="clear"/>
            <w:vAlign w:val="center"/>
          </w:tcPr>
          <w:p>
            <w:pPr>
              <w:pStyle w:val="TableContents"/>
              <w:spacing w:before="0" w:after="0"/>
              <w:jc w:val="left"/>
              <w:rPr>
                <w:rFonts w:ascii="ARIAL" w:hAnsi="ARIAL"/>
                <w:sz w:val="18"/>
              </w:rPr>
            </w:pPr>
            <w:r>
              <w:rPr>
                <w:rFonts w:ascii="ARIAL" w:hAnsi="ARIAL"/>
                <w:sz w:val="18"/>
              </w:rPr>
              <w:t xml:space="preserve">Includes an approximation of the number of shares in an IRA account.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5</w:t>
            </w:r>
          </w:p>
        </w:tc>
        <w:tc>
          <w:tcPr>
            <w:tcW w:w="1005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amounts reported include common stock units credited to each of the NEOs in connection with (i) their deferral of a portion of their cash bonus under the Martin Marietta Materials, Inc. Incentive Stock Plan, and (ii) RSUs (not including any performance-based share units (PSUs) granted under the Martin Marietta Amended and Restated Stock-Based Award Plan (the Plan) that are subject to forfeiture in accordance with the terms of the Stock Plan and are scheduled to vest within 60 days of March 6, 2023), each in the following amounts: Mr. Nye, 10,491 and 17,144, respectively; Ms. Bar, 2,970 and 3,059, respectively; Mr. Nickolas, 612 and 3,000, respectively; Mr. LaTorre, 998 and 3,089, respectively; Mr. Mohr, 411 and 3,499, respectively; and all Directors and executive officers as a group, 15,969 and 41,227, respectively. There are no voting rights associated with the stock units or RSUs. </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30</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1" descr=""/>
                          <pic:cNvPicPr>
                            <a:picLocks noChangeAspect="1" noChangeArrowheads="1"/>
                          </pic:cNvPicPr>
                        </pic:nvPicPr>
                        <pic:blipFill>
                          <a:blip r:embed="rId13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 xml:space="preserve">BENEFICIAL OWNERS AND MANAGEMENT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Who are the largest owners of Martin Marietta’s stock? </w:t>
      </w:r>
    </w:p>
    <w:p>
      <w:pPr>
        <w:pStyle w:val="TextBody"/>
        <w:spacing w:before="120" w:after="0"/>
        <w:jc w:val="left"/>
        <w:rPr>
          <w:rFonts w:ascii="ARIAL" w:hAnsi="ARIAL"/>
          <w:sz w:val="20"/>
        </w:rPr>
      </w:pPr>
      <w:r>
        <w:rPr>
          <w:rFonts w:ascii="ARIAL" w:hAnsi="ARIAL"/>
          <w:sz w:val="20"/>
        </w:rPr>
        <w:t xml:space="preserve">The following table sets forth information with respect to the shares of common stock which are held by persons known to Martin Marietta to be the beneficial owners of more than 5% of such stock as of March 6, 2023. To the best of Martin Marietta’s knowledge, based on filings with the Securities and Exchange Commission as noted below, no person beneficially owned more than 5% of any class of Martin Marietta’s outstanding voting securities at the close of business on March 6, 2023, except for those shown below. </w:t>
      </w:r>
    </w:p>
    <w:p>
      <w:pPr>
        <w:pStyle w:val="TextBody"/>
        <w:spacing w:before="0" w:after="0"/>
        <w:jc w:val="left"/>
        <w:rPr/>
      </w:pPr>
      <w:r>
        <w:rPr/>
        <w:t> </w:t>
      </w:r>
    </w:p>
    <w:tbl>
      <w:tblPr>
        <w:tblW w:w="8225" w:type="dxa"/>
        <w:jc w:val="left"/>
        <w:tblInd w:w="0" w:type="dxa"/>
        <w:tblCellMar>
          <w:top w:w="0" w:type="dxa"/>
          <w:left w:w="0" w:type="dxa"/>
          <w:bottom w:w="0" w:type="dxa"/>
          <w:right w:w="0" w:type="dxa"/>
        </w:tblCellMar>
      </w:tblPr>
      <w:tblGrid>
        <w:gridCol w:w="3395"/>
        <w:gridCol w:w="120"/>
        <w:gridCol w:w="142"/>
        <w:gridCol w:w="2323"/>
        <w:gridCol w:w="60"/>
        <w:gridCol w:w="120"/>
        <w:gridCol w:w="171"/>
        <w:gridCol w:w="1604"/>
        <w:gridCol w:w="290"/>
      </w:tblGrid>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3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395" w:type="dxa"/>
            <w:tcBorders/>
            <w:shd w:fill="DBDBDB" w:val="clear"/>
            <w:vAlign w:val="center"/>
          </w:tcPr>
          <w:p>
            <w:pPr>
              <w:pStyle w:val="TableContents"/>
              <w:spacing w:before="0" w:after="283"/>
              <w:rPr>
                <w:sz w:val="4"/>
                <w:szCs w:val="4"/>
              </w:rPr>
            </w:pPr>
            <w:r>
              <w:rPr>
                <w:sz w:val="4"/>
                <w:szCs w:val="4"/>
              </w:rPr>
            </w:r>
          </w:p>
        </w:tc>
        <w:tc>
          <w:tcPr>
            <w:tcW w:w="2645" w:type="dxa"/>
            <w:gridSpan w:val="4"/>
            <w:tcBorders/>
            <w:shd w:fill="DBDBDB" w:val="clear"/>
            <w:vAlign w:val="center"/>
          </w:tcPr>
          <w:p>
            <w:pPr>
              <w:pStyle w:val="TableContents"/>
              <w:spacing w:before="0" w:after="283"/>
              <w:rPr>
                <w:sz w:val="4"/>
                <w:szCs w:val="4"/>
              </w:rPr>
            </w:pPr>
            <w:r>
              <w:rPr>
                <w:sz w:val="4"/>
                <w:szCs w:val="4"/>
              </w:rPr>
            </w:r>
          </w:p>
        </w:tc>
        <w:tc>
          <w:tcPr>
            <w:tcW w:w="2185" w:type="dxa"/>
            <w:gridSpan w:val="4"/>
            <w:tcBorders/>
            <w:shd w:fill="DBDBDB" w:val="clear"/>
            <w:vAlign w:val="center"/>
          </w:tcPr>
          <w:p>
            <w:pPr>
              <w:pStyle w:val="TableContents"/>
              <w:spacing w:before="0" w:after="283"/>
              <w:rPr>
                <w:sz w:val="4"/>
                <w:szCs w:val="4"/>
              </w:rPr>
            </w:pPr>
            <w:r>
              <w:rPr>
                <w:sz w:val="4"/>
                <w:szCs w:val="4"/>
              </w:rPr>
            </w:r>
          </w:p>
        </w:tc>
      </w:tr>
      <w:tr>
        <w:trPr/>
        <w:tc>
          <w:tcPr>
            <w:tcW w:w="3395" w:type="dxa"/>
            <w:tcBorders/>
            <w:shd w:fill="DBDBDB" w:val="clear"/>
            <w:vAlign w:val="center"/>
          </w:tcPr>
          <w:p>
            <w:pPr>
              <w:pStyle w:val="TableContents"/>
              <w:spacing w:before="0" w:after="0"/>
              <w:rPr>
                <w:rFonts w:ascii="ARIAL" w:hAnsi="ARIAL"/>
                <w:b/>
                <w:sz w:val="18"/>
              </w:rPr>
            </w:pPr>
            <w:r>
              <w:rPr>
                <w:rFonts w:ascii="ARIAL" w:hAnsi="ARIAL"/>
                <w:b/>
                <w:sz w:val="18"/>
              </w:rPr>
              <w:t>Name and Address of Beneficial Owner</w:t>
            </w:r>
          </w:p>
        </w:tc>
        <w:tc>
          <w:tcPr>
            <w:tcW w:w="120" w:type="dxa"/>
            <w:tcBorders/>
            <w:shd w:fill="DBDBDB" w:val="clear"/>
            <w:vAlign w:val="center"/>
          </w:tcPr>
          <w:p>
            <w:pPr>
              <w:pStyle w:val="TableContents"/>
              <w:spacing w:before="0" w:after="283"/>
              <w:rPr/>
            </w:pPr>
            <w:r>
              <w:rPr/>
              <w:t>  </w:t>
            </w:r>
          </w:p>
        </w:tc>
        <w:tc>
          <w:tcPr>
            <w:tcW w:w="2465" w:type="dxa"/>
            <w:gridSpan w:val="2"/>
            <w:tcBorders/>
            <w:shd w:fill="DBDBDB" w:val="clear"/>
            <w:vAlign w:val="center"/>
          </w:tcPr>
          <w:p>
            <w:pPr>
              <w:pStyle w:val="TableContents"/>
              <w:spacing w:before="0" w:after="283"/>
              <w:rPr>
                <w:b/>
              </w:rPr>
            </w:pPr>
            <w:r>
              <w:rPr>
                <w:b/>
              </w:rPr>
              <w:t>Amount and Nature of  </w:t>
              <w:br/>
              <w:t>Beneficial Ownership</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775" w:type="dxa"/>
            <w:gridSpan w:val="2"/>
            <w:tcBorders/>
            <w:shd w:fill="DBDBDB" w:val="clear"/>
            <w:vAlign w:val="center"/>
          </w:tcPr>
          <w:p>
            <w:pPr>
              <w:pStyle w:val="TableContents"/>
              <w:spacing w:before="0" w:after="283"/>
              <w:rPr>
                <w:b/>
              </w:rPr>
            </w:pPr>
            <w:r>
              <w:rPr>
                <w:b/>
              </w:rPr>
              <w:t>Percent of Class  </w:t>
            </w:r>
          </w:p>
        </w:tc>
        <w:tc>
          <w:tcPr>
            <w:tcW w:w="290" w:type="dxa"/>
            <w:tcBorders/>
            <w:shd w:fill="DBDBDB"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2645" w:type="dxa"/>
            <w:gridSpan w:val="4"/>
            <w:tcBorders/>
            <w:shd w:fill="auto" w:val="clear"/>
            <w:vAlign w:val="center"/>
          </w:tcPr>
          <w:p>
            <w:pPr>
              <w:pStyle w:val="TableContents"/>
              <w:spacing w:before="0" w:after="283"/>
              <w:rPr>
                <w:sz w:val="4"/>
                <w:szCs w:val="4"/>
              </w:rPr>
            </w:pPr>
            <w:r>
              <w:rPr>
                <w:sz w:val="4"/>
                <w:szCs w:val="4"/>
              </w:rPr>
            </w:r>
          </w:p>
        </w:tc>
        <w:tc>
          <w:tcPr>
            <w:tcW w:w="2185" w:type="dxa"/>
            <w:gridSpan w:val="4"/>
            <w:tcBorders/>
            <w:shd w:fill="auto" w:val="clear"/>
            <w:vAlign w:val="center"/>
          </w:tcPr>
          <w:p>
            <w:pPr>
              <w:pStyle w:val="TableContents"/>
              <w:spacing w:before="0" w:after="283"/>
              <w:rPr>
                <w:sz w:val="4"/>
                <w:szCs w:val="4"/>
              </w:rPr>
            </w:pPr>
            <w:r>
              <w:rPr>
                <w:sz w:val="4"/>
                <w:szCs w:val="4"/>
              </w:rPr>
            </w:r>
          </w:p>
        </w:tc>
      </w:tr>
      <w:tr>
        <w:trPr/>
        <w:tc>
          <w:tcPr>
            <w:tcW w:w="339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The Vanguard Group, Inc.1</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2" w:type="dxa"/>
            <w:tcBorders>
              <w:bottom w:val="dotted" w:sz="8" w:space="0" w:color="000000"/>
            </w:tcBorders>
            <w:shd w:fill="auto" w:val="clear"/>
            <w:tcMar>
              <w:bottom w:w="100" w:type="dxa"/>
            </w:tcMar>
            <w:vAlign w:val="center"/>
          </w:tcPr>
          <w:p>
            <w:pPr>
              <w:pStyle w:val="TableContents"/>
              <w:spacing w:before="0" w:after="283"/>
              <w:rPr/>
            </w:pPr>
            <w:r>
              <w:rPr/>
              <w:t> </w:t>
            </w:r>
          </w:p>
        </w:tc>
        <w:tc>
          <w:tcPr>
            <w:tcW w:w="2323" w:type="dxa"/>
            <w:tcBorders>
              <w:bottom w:val="dotted" w:sz="8" w:space="0" w:color="000000"/>
            </w:tcBorders>
            <w:shd w:fill="auto" w:val="clear"/>
            <w:tcMar>
              <w:bottom w:w="100" w:type="dxa"/>
            </w:tcMar>
            <w:vAlign w:val="center"/>
          </w:tcPr>
          <w:p>
            <w:pPr>
              <w:pStyle w:val="TableContents"/>
              <w:spacing w:before="0" w:after="283"/>
              <w:jc w:val="right"/>
              <w:rPr/>
            </w:pPr>
            <w:r>
              <w:rPr/>
              <w:t>7,004,469</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604" w:type="dxa"/>
            <w:tcBorders>
              <w:bottom w:val="dotted" w:sz="8" w:space="0" w:color="000000"/>
            </w:tcBorders>
            <w:shd w:fill="auto" w:val="clear"/>
            <w:tcMar>
              <w:bottom w:w="100" w:type="dxa"/>
            </w:tcMar>
            <w:vAlign w:val="center"/>
          </w:tcPr>
          <w:p>
            <w:pPr>
              <w:pStyle w:val="TableContents"/>
              <w:spacing w:before="0" w:after="283"/>
              <w:jc w:val="right"/>
              <w:rPr/>
            </w:pPr>
            <w:r>
              <w:rPr/>
              <w:t>11.28</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2645" w:type="dxa"/>
            <w:gridSpan w:val="4"/>
            <w:tcBorders/>
            <w:shd w:fill="auto" w:val="clear"/>
            <w:vAlign w:val="center"/>
          </w:tcPr>
          <w:p>
            <w:pPr>
              <w:pStyle w:val="TableContents"/>
              <w:spacing w:before="0" w:after="283"/>
              <w:rPr>
                <w:sz w:val="4"/>
                <w:szCs w:val="4"/>
              </w:rPr>
            </w:pPr>
            <w:r>
              <w:rPr>
                <w:sz w:val="4"/>
                <w:szCs w:val="4"/>
              </w:rPr>
            </w:r>
          </w:p>
        </w:tc>
        <w:tc>
          <w:tcPr>
            <w:tcW w:w="2185" w:type="dxa"/>
            <w:gridSpan w:val="4"/>
            <w:tcBorders/>
            <w:shd w:fill="auto" w:val="clear"/>
            <w:vAlign w:val="center"/>
          </w:tcPr>
          <w:p>
            <w:pPr>
              <w:pStyle w:val="TableContents"/>
              <w:spacing w:before="0" w:after="283"/>
              <w:rPr>
                <w:sz w:val="4"/>
                <w:szCs w:val="4"/>
              </w:rPr>
            </w:pPr>
            <w:r>
              <w:rPr>
                <w:sz w:val="4"/>
                <w:szCs w:val="4"/>
              </w:rPr>
            </w:r>
          </w:p>
        </w:tc>
      </w:tr>
      <w:tr>
        <w:trPr/>
        <w:tc>
          <w:tcPr>
            <w:tcW w:w="339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BlackRock, Inc.2</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2" w:type="dxa"/>
            <w:tcBorders>
              <w:bottom w:val="dotted" w:sz="8" w:space="0" w:color="000000"/>
            </w:tcBorders>
            <w:shd w:fill="auto" w:val="clear"/>
            <w:tcMar>
              <w:bottom w:w="100" w:type="dxa"/>
            </w:tcMar>
            <w:vAlign w:val="center"/>
          </w:tcPr>
          <w:p>
            <w:pPr>
              <w:pStyle w:val="TableContents"/>
              <w:spacing w:before="0" w:after="283"/>
              <w:rPr/>
            </w:pPr>
            <w:r>
              <w:rPr/>
              <w:t> </w:t>
            </w:r>
          </w:p>
        </w:tc>
        <w:tc>
          <w:tcPr>
            <w:tcW w:w="2323" w:type="dxa"/>
            <w:tcBorders>
              <w:bottom w:val="dotted" w:sz="8" w:space="0" w:color="000000"/>
            </w:tcBorders>
            <w:shd w:fill="auto" w:val="clear"/>
            <w:tcMar>
              <w:bottom w:w="100" w:type="dxa"/>
            </w:tcMar>
            <w:vAlign w:val="center"/>
          </w:tcPr>
          <w:p>
            <w:pPr>
              <w:pStyle w:val="TableContents"/>
              <w:spacing w:before="0" w:after="283"/>
              <w:jc w:val="right"/>
              <w:rPr/>
            </w:pPr>
            <w:r>
              <w:rPr/>
              <w:t>4,025,394</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604" w:type="dxa"/>
            <w:tcBorders>
              <w:bottom w:val="dotted" w:sz="8" w:space="0" w:color="000000"/>
            </w:tcBorders>
            <w:shd w:fill="auto" w:val="clear"/>
            <w:tcMar>
              <w:bottom w:w="100" w:type="dxa"/>
            </w:tcMar>
            <w:vAlign w:val="center"/>
          </w:tcPr>
          <w:p>
            <w:pPr>
              <w:pStyle w:val="TableContents"/>
              <w:spacing w:before="0" w:after="283"/>
              <w:jc w:val="right"/>
              <w:rPr/>
            </w:pPr>
            <w:r>
              <w:rPr/>
              <w:t>6.50</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2645" w:type="dxa"/>
            <w:gridSpan w:val="4"/>
            <w:tcBorders/>
            <w:shd w:fill="auto" w:val="clear"/>
            <w:vAlign w:val="center"/>
          </w:tcPr>
          <w:p>
            <w:pPr>
              <w:pStyle w:val="TableContents"/>
              <w:spacing w:before="0" w:after="283"/>
              <w:rPr>
                <w:sz w:val="4"/>
                <w:szCs w:val="4"/>
              </w:rPr>
            </w:pPr>
            <w:r>
              <w:rPr>
                <w:sz w:val="4"/>
                <w:szCs w:val="4"/>
              </w:rPr>
            </w:r>
          </w:p>
        </w:tc>
        <w:tc>
          <w:tcPr>
            <w:tcW w:w="2185" w:type="dxa"/>
            <w:gridSpan w:val="4"/>
            <w:tcBorders/>
            <w:shd w:fill="auto" w:val="clear"/>
            <w:vAlign w:val="center"/>
          </w:tcPr>
          <w:p>
            <w:pPr>
              <w:pStyle w:val="TableContents"/>
              <w:spacing w:before="0" w:after="283"/>
              <w:rPr>
                <w:sz w:val="4"/>
                <w:szCs w:val="4"/>
              </w:rPr>
            </w:pPr>
            <w:r>
              <w:rPr>
                <w:sz w:val="4"/>
                <w:szCs w:val="4"/>
              </w:rPr>
            </w:r>
          </w:p>
        </w:tc>
      </w:tr>
      <w:tr>
        <w:trPr/>
        <w:tc>
          <w:tcPr>
            <w:tcW w:w="339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Select Equity Group, L.P.3</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2" w:type="dxa"/>
            <w:tcBorders>
              <w:bottom w:val="dotted" w:sz="8" w:space="0" w:color="000000"/>
            </w:tcBorders>
            <w:shd w:fill="auto" w:val="clear"/>
            <w:tcMar>
              <w:bottom w:w="100" w:type="dxa"/>
            </w:tcMar>
            <w:vAlign w:val="center"/>
          </w:tcPr>
          <w:p>
            <w:pPr>
              <w:pStyle w:val="TableContents"/>
              <w:spacing w:before="0" w:after="283"/>
              <w:rPr/>
            </w:pPr>
            <w:r>
              <w:rPr/>
              <w:t> </w:t>
            </w:r>
          </w:p>
        </w:tc>
        <w:tc>
          <w:tcPr>
            <w:tcW w:w="2323" w:type="dxa"/>
            <w:tcBorders>
              <w:bottom w:val="dotted" w:sz="8" w:space="0" w:color="000000"/>
            </w:tcBorders>
            <w:shd w:fill="auto" w:val="clear"/>
            <w:tcMar>
              <w:bottom w:w="100" w:type="dxa"/>
            </w:tcMar>
            <w:vAlign w:val="center"/>
          </w:tcPr>
          <w:p>
            <w:pPr>
              <w:pStyle w:val="TableContents"/>
              <w:spacing w:before="0" w:after="283"/>
              <w:jc w:val="right"/>
              <w:rPr/>
            </w:pPr>
            <w:r>
              <w:rPr/>
              <w:t>3,610,893</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604" w:type="dxa"/>
            <w:tcBorders>
              <w:bottom w:val="dotted" w:sz="8" w:space="0" w:color="000000"/>
            </w:tcBorders>
            <w:shd w:fill="auto" w:val="clear"/>
            <w:tcMar>
              <w:bottom w:w="100" w:type="dxa"/>
            </w:tcMar>
            <w:vAlign w:val="center"/>
          </w:tcPr>
          <w:p>
            <w:pPr>
              <w:pStyle w:val="TableContents"/>
              <w:spacing w:before="0" w:after="283"/>
              <w:jc w:val="right"/>
              <w:rPr/>
            </w:pPr>
            <w:r>
              <w:rPr/>
              <w:t>5.80</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2645" w:type="dxa"/>
            <w:gridSpan w:val="4"/>
            <w:tcBorders/>
            <w:shd w:fill="auto" w:val="clear"/>
            <w:vAlign w:val="center"/>
          </w:tcPr>
          <w:p>
            <w:pPr>
              <w:pStyle w:val="TableContents"/>
              <w:spacing w:before="0" w:after="283"/>
              <w:rPr>
                <w:sz w:val="4"/>
                <w:szCs w:val="4"/>
              </w:rPr>
            </w:pPr>
            <w:r>
              <w:rPr>
                <w:sz w:val="4"/>
                <w:szCs w:val="4"/>
              </w:rPr>
            </w:r>
          </w:p>
        </w:tc>
        <w:tc>
          <w:tcPr>
            <w:tcW w:w="2185" w:type="dxa"/>
            <w:gridSpan w:val="4"/>
            <w:tcBorders/>
            <w:shd w:fill="auto" w:val="clear"/>
            <w:vAlign w:val="center"/>
          </w:tcPr>
          <w:p>
            <w:pPr>
              <w:pStyle w:val="TableContents"/>
              <w:spacing w:before="0" w:after="283"/>
              <w:rPr>
                <w:sz w:val="4"/>
                <w:szCs w:val="4"/>
              </w:rPr>
            </w:pPr>
            <w:r>
              <w:rPr>
                <w:sz w:val="4"/>
                <w:szCs w:val="4"/>
              </w:rPr>
            </w:r>
          </w:p>
        </w:tc>
      </w:tr>
      <w:tr>
        <w:trPr/>
        <w:tc>
          <w:tcPr>
            <w:tcW w:w="3395" w:type="dxa"/>
            <w:tcBorders>
              <w:bottom w:val="single" w:sz="6"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Aristotle Capital Management, LLC4</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2" w:type="dxa"/>
            <w:tcBorders>
              <w:bottom w:val="single" w:sz="6" w:space="0" w:color="000000"/>
            </w:tcBorders>
            <w:shd w:fill="auto" w:val="clear"/>
            <w:tcMar>
              <w:bottom w:w="100" w:type="dxa"/>
            </w:tcMar>
            <w:vAlign w:val="center"/>
          </w:tcPr>
          <w:p>
            <w:pPr>
              <w:pStyle w:val="TableContents"/>
              <w:spacing w:before="0" w:after="283"/>
              <w:rPr/>
            </w:pPr>
            <w:r>
              <w:rPr/>
              <w:t> </w:t>
            </w:r>
          </w:p>
        </w:tc>
        <w:tc>
          <w:tcPr>
            <w:tcW w:w="2323" w:type="dxa"/>
            <w:tcBorders>
              <w:bottom w:val="single" w:sz="6" w:space="0" w:color="000000"/>
            </w:tcBorders>
            <w:shd w:fill="auto" w:val="clear"/>
            <w:tcMar>
              <w:bottom w:w="100" w:type="dxa"/>
            </w:tcMar>
            <w:vAlign w:val="center"/>
          </w:tcPr>
          <w:p>
            <w:pPr>
              <w:pStyle w:val="TableContents"/>
              <w:spacing w:before="0" w:after="283"/>
              <w:jc w:val="right"/>
              <w:rPr/>
            </w:pPr>
            <w:r>
              <w:rPr/>
              <w:t>3,302,718</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71" w:type="dxa"/>
            <w:tcBorders>
              <w:bottom w:val="single" w:sz="6" w:space="0" w:color="000000"/>
            </w:tcBorders>
            <w:shd w:fill="auto" w:val="clear"/>
            <w:tcMar>
              <w:bottom w:w="100" w:type="dxa"/>
            </w:tcMar>
            <w:vAlign w:val="center"/>
          </w:tcPr>
          <w:p>
            <w:pPr>
              <w:pStyle w:val="TableContents"/>
              <w:spacing w:before="0" w:after="283"/>
              <w:rPr/>
            </w:pPr>
            <w:r>
              <w:rPr/>
              <w:t> </w:t>
            </w:r>
          </w:p>
        </w:tc>
        <w:tc>
          <w:tcPr>
            <w:tcW w:w="1604" w:type="dxa"/>
            <w:tcBorders>
              <w:bottom w:val="single" w:sz="6" w:space="0" w:color="000000"/>
            </w:tcBorders>
            <w:shd w:fill="auto" w:val="clear"/>
            <w:tcMar>
              <w:bottom w:w="100" w:type="dxa"/>
            </w:tcMar>
            <w:vAlign w:val="center"/>
          </w:tcPr>
          <w:p>
            <w:pPr>
              <w:pStyle w:val="TableContents"/>
              <w:spacing w:before="0" w:after="283"/>
              <w:jc w:val="right"/>
              <w:rPr/>
            </w:pPr>
            <w:r>
              <w:rPr/>
              <w:t>5.32</w:t>
            </w:r>
          </w:p>
        </w:tc>
        <w:tc>
          <w:tcPr>
            <w:tcW w:w="290"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1</w:t>
            </w:r>
          </w:p>
        </w:tc>
        <w:tc>
          <w:tcPr>
            <w:tcW w:w="10050" w:type="dxa"/>
            <w:tcBorders/>
            <w:shd w:fill="auto" w:val="clear"/>
            <w:vAlign w:val="center"/>
          </w:tcPr>
          <w:p>
            <w:pPr>
              <w:pStyle w:val="TableContents"/>
              <w:spacing w:before="0" w:after="0"/>
              <w:jc w:val="left"/>
              <w:rPr>
                <w:rFonts w:ascii="ARIAL" w:hAnsi="ARIAL"/>
                <w:sz w:val="18"/>
              </w:rPr>
            </w:pPr>
            <w:r>
              <w:rPr>
                <w:rFonts w:ascii="ARIAL" w:hAnsi="ARIAL"/>
                <w:sz w:val="18"/>
              </w:rPr>
              <w:t xml:space="preserve">As reported in Schedule 13G/A reporting beneficial ownership as of December 31, 2022 filed with the SEC on February 9, 2023, indicating sole power to vote 0 shares, shared power to vote 86,505 shares, sole power to dispose of 6,749,487 shares, and shared power to dispose of 254,982 shares. The Vanguard Group, Inc.’s address is 100 Vanguard Blvd., Malvern, Pennsylvania 19355.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2</w:t>
            </w:r>
          </w:p>
        </w:tc>
        <w:tc>
          <w:tcPr>
            <w:tcW w:w="10050" w:type="dxa"/>
            <w:tcBorders/>
            <w:shd w:fill="auto" w:val="clear"/>
            <w:vAlign w:val="center"/>
          </w:tcPr>
          <w:p>
            <w:pPr>
              <w:pStyle w:val="TableContents"/>
              <w:spacing w:before="0" w:after="0"/>
              <w:jc w:val="left"/>
              <w:rPr>
                <w:rFonts w:ascii="ARIAL" w:hAnsi="ARIAL"/>
                <w:sz w:val="18"/>
              </w:rPr>
            </w:pPr>
            <w:r>
              <w:rPr>
                <w:rFonts w:ascii="ARIAL" w:hAnsi="ARIAL"/>
                <w:sz w:val="18"/>
              </w:rPr>
              <w:t xml:space="preserve">As reported in Schedule 13G reporting beneficial ownership as of December 31, 2022 filed with the SEC on February 1, 2023, indicating sole power to vote 3,672,758 shares, shared power to vote 0 shares, sole power to dispose of 4,025,394 shares, and shared power to dispose of 0 shares. BlackRock, Inc.’s address is 55 East 52nd Street, New York, New York 10055.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3</w:t>
            </w:r>
          </w:p>
        </w:tc>
        <w:tc>
          <w:tcPr>
            <w:tcW w:w="10050" w:type="dxa"/>
            <w:tcBorders/>
            <w:shd w:fill="auto" w:val="clear"/>
            <w:vAlign w:val="center"/>
          </w:tcPr>
          <w:p>
            <w:pPr>
              <w:pStyle w:val="TableContents"/>
              <w:spacing w:before="0" w:after="0"/>
              <w:jc w:val="left"/>
              <w:rPr>
                <w:rFonts w:ascii="ARIAL" w:hAnsi="ARIAL"/>
                <w:sz w:val="18"/>
              </w:rPr>
            </w:pPr>
            <w:r>
              <w:rPr>
                <w:rFonts w:ascii="ARIAL" w:hAnsi="ARIAL"/>
                <w:sz w:val="18"/>
              </w:rPr>
              <w:t xml:space="preserve">As reported in Schedule 13G reporting beneficial ownership as of December 31, 2022 filed with the SEC on February 14, 2023, indicating sole power to vote 0 shares, shared power to vote 3,610,893 shares, sole power to dispose of 0 shares, and shared power to dispose of 3,610,893 shares. Select Equity Group, L.P.’s address is 380 Lafayette Street, 6th Floor, New York, New York 10003.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4</w:t>
            </w:r>
          </w:p>
        </w:tc>
        <w:tc>
          <w:tcPr>
            <w:tcW w:w="10050" w:type="dxa"/>
            <w:tcBorders/>
            <w:shd w:fill="auto" w:val="clear"/>
            <w:vAlign w:val="center"/>
          </w:tcPr>
          <w:p>
            <w:pPr>
              <w:pStyle w:val="TableContents"/>
              <w:spacing w:before="0" w:after="0"/>
              <w:jc w:val="left"/>
              <w:rPr>
                <w:rFonts w:ascii="ARIAL" w:hAnsi="ARIAL"/>
                <w:sz w:val="18"/>
              </w:rPr>
            </w:pPr>
            <w:r>
              <w:rPr>
                <w:rFonts w:ascii="ARIAL" w:hAnsi="ARIAL"/>
                <w:sz w:val="18"/>
              </w:rPr>
              <w:t xml:space="preserve">As reported in Schedule 13G reporting beneficial ownership as of December 31, 2022 filed with the SEC on February 14, 2023, indicating sole power to vote 2,922,756 shares, shared power to vote 0 shares, sole power to dispose of 3,302,718 shares, and shared power to dispose of 0 shares. Aristotle Capital Management, LLC’s address is 11100 Santa Monica Blvd., Suite 1700, Los Angeles, California 90025. </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2" descr=""/>
                          <pic:cNvPicPr>
                            <a:picLocks noChangeAspect="1" noChangeArrowheads="1"/>
                          </pic:cNvPicPr>
                        </pic:nvPicPr>
                        <pic:blipFill>
                          <a:blip r:embed="rId13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31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7CBA"/>
          <w:sz w:val="42"/>
        </w:rPr>
      </w:pPr>
      <w:bookmarkStart w:id="17" w:name="toc390557_12"/>
      <w:bookmarkEnd w:id="17"/>
      <w:r>
        <w:rPr>
          <w:rFonts w:ascii="ARIAL" w:hAnsi="ARIAL"/>
          <w:b/>
          <w:color w:val="007CBA"/>
          <w:sz w:val="42"/>
        </w:rPr>
        <w:t xml:space="preserve">Corporate Governance Matters </w:t>
      </w:r>
    </w:p>
    <w:p>
      <w:pPr>
        <w:pStyle w:val="TextBody"/>
        <w:spacing w:before="240" w:after="0"/>
        <w:jc w:val="left"/>
        <w:rPr>
          <w:rFonts w:ascii="ARIAL" w:hAnsi="ARIAL"/>
          <w:b/>
          <w:color w:val="71BE9A"/>
          <w:sz w:val="26"/>
        </w:rPr>
      </w:pPr>
      <w:bookmarkStart w:id="18" w:name="toc390557_13"/>
      <w:bookmarkEnd w:id="18"/>
      <w:r>
        <w:rPr>
          <w:rFonts w:ascii="ARIAL" w:hAnsi="ARIAL"/>
          <w:b/>
          <w:color w:val="71BE9A"/>
          <w:sz w:val="26"/>
        </w:rPr>
        <w:t xml:space="preserve">Corporate Governance Philosophy </w:t>
      </w:r>
    </w:p>
    <w:p>
      <w:pPr>
        <w:pStyle w:val="TextBody"/>
        <w:spacing w:before="120" w:after="0"/>
        <w:jc w:val="left"/>
        <w:rPr>
          <w:rFonts w:ascii="ARIAL" w:hAnsi="ARIAL"/>
          <w:sz w:val="20"/>
        </w:rPr>
      </w:pPr>
      <w:r>
        <w:rPr>
          <w:rFonts w:ascii="ARIAL" w:hAnsi="ARIAL"/>
          <w:sz w:val="20"/>
        </w:rPr>
        <w:t xml:space="preserve">Martin Marietta has a culture dedicated to ethical business behavior and responsible corporate activity, which we believe promotes the long-term interests of shareholders. This commitment is reflected in our Corporate Governance Guidelines, posted and available for public viewing on Martin Marietta’s website at https://ir.martinmarietta.com/corporate-governance/governance-documents-and-charters, which set forth a flexible framework within which the Board, assisted by its Committees, directs the affairs of Martin Marietta. The Guidelines address, among other things, the composition and functions of the Board of Directors, director qualifications and independence, Chief Executive Officer performance evaluation and management succession, Board Committees and the selection of new Directors. </w:t>
      </w:r>
    </w:p>
    <w:p>
      <w:pPr>
        <w:pStyle w:val="TextBody"/>
        <w:spacing w:before="240" w:after="0"/>
        <w:jc w:val="left"/>
        <w:rPr>
          <w:rFonts w:ascii="ARIAL" w:hAnsi="ARIAL"/>
          <w:sz w:val="20"/>
        </w:rPr>
      </w:pPr>
      <w:r>
        <w:rPr>
          <w:rFonts w:ascii="ARIAL" w:hAnsi="ARIAL"/>
          <w:sz w:val="20"/>
        </w:rPr>
        <w:t xml:space="preserve">Martin Marietta’s </w:t>
      </w:r>
      <w:r>
        <w:rPr>
          <w:rFonts w:ascii="ARIAL" w:hAnsi="ARIAL"/>
          <w:i/>
          <w:sz w:val="20"/>
        </w:rPr>
        <w:t>Code of Ethical Business Conduct</w:t>
      </w:r>
      <w:r>
        <w:rPr>
          <w:rFonts w:ascii="ARIAL" w:hAnsi="ARIAL"/>
          <w:sz w:val="20"/>
        </w:rPr>
        <w:t xml:space="preserve"> has been in place since the 1980s and is regularly updated. It applies to all Board members, officers, and employees, providing our policies and expectations on a number of topics, including our commitment to good citizenship, promoting a positive and safe work environment, avoiding conflicts of interest, honoring the confidentiality of sensitive information, preservation and use of Company assets, compliance with all laws, and operating with integrity in all that we do. To implement the </w:t>
      </w:r>
      <w:r>
        <w:rPr>
          <w:rFonts w:ascii="ARIAL" w:hAnsi="ARIAL"/>
          <w:i/>
          <w:sz w:val="20"/>
        </w:rPr>
        <w:t>Code of Ethical Business Conduct</w:t>
      </w:r>
      <w:r>
        <w:rPr>
          <w:rFonts w:ascii="ARIAL" w:hAnsi="ARIAL"/>
          <w:sz w:val="20"/>
        </w:rPr>
        <w:t xml:space="preserve">, Board members, officers, and employees participate regularly in ethics training. There have been no waivers from any provisions of our </w:t>
      </w:r>
      <w:r>
        <w:rPr>
          <w:rFonts w:ascii="ARIAL" w:hAnsi="ARIAL"/>
          <w:i/>
          <w:sz w:val="20"/>
        </w:rPr>
        <w:t>Code of Ethical Business Conduct</w:t>
      </w:r>
      <w:r>
        <w:rPr>
          <w:rFonts w:ascii="ARIAL" w:hAnsi="ARIAL"/>
          <w:sz w:val="20"/>
        </w:rPr>
        <w:t xml:space="preserve"> to any Board member or executive officer. </w:t>
      </w:r>
    </w:p>
    <w:p>
      <w:pPr>
        <w:pStyle w:val="TextBody"/>
        <w:spacing w:before="240" w:after="0"/>
        <w:jc w:val="left"/>
        <w:rPr>
          <w:rFonts w:ascii="ARIAL" w:hAnsi="ARIAL"/>
          <w:sz w:val="20"/>
        </w:rPr>
      </w:pPr>
      <w:r>
        <w:rPr>
          <w:rFonts w:ascii="ARIAL" w:hAnsi="ARIAL"/>
          <w:sz w:val="20"/>
        </w:rPr>
        <w:t xml:space="preserve">In addition, the Board believes that accountability to shareholders is a hallmark of good governance and critical to Martin Marietta’s success. To that end, management regularly engages with shareholders on a variety of topics throughout the year, including sustainability and governance, to ensure we are addressing their questions, thoughts and concerns, to seek input and to provide perspective on Company policies and practices. Feedback received during these discussions is shared with the Board and directly impacts deliberations on material topics. See discussion of our shareholder outreach on pages 11, 45 and 49.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32</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3" descr=""/>
                          <pic:cNvPicPr>
                            <a:picLocks noChangeAspect="1" noChangeArrowheads="1"/>
                          </pic:cNvPicPr>
                        </pic:nvPicPr>
                        <pic:blipFill>
                          <a:blip r:embed="rId13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CORPORATE GOVERNANCE BOARD PRACTICES  </w:t>
      </w:r>
      <w:r>
        <w:rPr>
          <w:rFonts w:ascii="ARIAL" w:hAnsi="ARIAL"/>
          <w:color w:val="007CBA"/>
          <w:sz w:val="16"/>
        </w:rPr>
        <w:t>◆  CORPORATE GOVERNANCE MATTERS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chart below provides a snapshot of Martin Marietta’s governance highlights. </w:t>
      </w:r>
    </w:p>
    <w:p>
      <w:pPr>
        <w:pStyle w:val="TextBody"/>
        <w:spacing w:before="0" w:after="0"/>
        <w:jc w:val="left"/>
        <w:rPr/>
      </w:pPr>
      <w:r>
        <w:rPr/>
        <w:t> </w:t>
      </w:r>
    </w:p>
    <w:p>
      <w:pPr>
        <w:pStyle w:val="TextBody"/>
        <w:spacing w:before="0" w:after="0"/>
        <w:jc w:val="center"/>
        <w:rPr/>
      </w:pPr>
      <w:r>
        <w:rPr/>
        <w:drawing>
          <wp:inline distT="0" distB="0" distL="0" distR="0">
            <wp:extent cx="530860" cy="478155"/>
            <wp:effectExtent l="0" t="0" r="0" b="0"/>
            <wp:docPr id="1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4" descr=""/>
                    <pic:cNvPicPr>
                      <a:picLocks noChangeAspect="1" noChangeArrowheads="1"/>
                    </pic:cNvPicPr>
                  </pic:nvPicPr>
                  <pic:blipFill>
                    <a:blip r:embed="rId135"/>
                    <a:stretch>
                      <a:fillRect/>
                    </a:stretch>
                  </pic:blipFill>
                  <pic:spPr bwMode="auto">
                    <a:xfrm>
                      <a:off x="0" y="0"/>
                      <a:ext cx="530860" cy="478155"/>
                    </a:xfrm>
                    <a:prstGeom prst="rect">
                      <a:avLst/>
                    </a:prstGeom>
                  </pic:spPr>
                </pic:pic>
              </a:graphicData>
            </a:graphic>
          </wp:inline>
        </w:drawing>
      </w:r>
      <w:r>
        <w:rPr/>
        <w:t xml:space="preserve"> </w:t>
      </w:r>
    </w:p>
    <w:p>
      <w:pPr>
        <w:pStyle w:val="TextBody"/>
        <w:spacing w:before="240" w:after="0"/>
        <w:jc w:val="left"/>
        <w:rPr>
          <w:rFonts w:ascii="ARIAL" w:hAnsi="ARIAL"/>
          <w:b/>
          <w:color w:val="71BE9A"/>
          <w:sz w:val="26"/>
        </w:rPr>
      </w:pPr>
      <w:bookmarkStart w:id="19" w:name="toc390557_14"/>
      <w:bookmarkEnd w:id="19"/>
      <w:r>
        <w:rPr>
          <w:rFonts w:ascii="ARIAL" w:hAnsi="ARIAL"/>
          <w:b/>
          <w:color w:val="71BE9A"/>
          <w:sz w:val="26"/>
        </w:rPr>
        <w:t xml:space="preserve">Corporate Governance Board Practices </w:t>
      </w:r>
    </w:p>
    <w:p>
      <w:pPr>
        <w:pStyle w:val="TextBody"/>
        <w:spacing w:before="240" w:after="0"/>
        <w:jc w:val="left"/>
        <w:rPr>
          <w:rFonts w:ascii="ARIAL" w:hAnsi="ARIAL"/>
          <w:b/>
          <w:sz w:val="20"/>
        </w:rPr>
      </w:pPr>
      <w:r>
        <w:rPr>
          <w:rFonts w:ascii="ARIAL" w:hAnsi="ARIAL"/>
          <w:b/>
          <w:sz w:val="20"/>
        </w:rPr>
        <w:t xml:space="preserve">Who are Martin Marietta’s independent Directors? </w:t>
      </w:r>
    </w:p>
    <w:p>
      <w:pPr>
        <w:pStyle w:val="TextBody"/>
        <w:spacing w:before="120" w:after="0"/>
        <w:jc w:val="left"/>
        <w:rPr>
          <w:rFonts w:ascii="ARIAL" w:hAnsi="ARIAL"/>
          <w:sz w:val="20"/>
        </w:rPr>
      </w:pPr>
      <w:r>
        <w:rPr>
          <w:rFonts w:ascii="ARIAL" w:hAnsi="ARIAL"/>
          <w:sz w:val="20"/>
        </w:rPr>
        <w:t xml:space="preserve">All of Martin Marietta’s Directors are non-employee Directors except Mr. Nye. Mr. Nye neither sits in the executive sessions of the independent Directors (unless invited to attend for a specific discussion) nor does he participate in any action of the Board relating to any executive compensation which he may receive. </w:t>
      </w:r>
    </w:p>
    <w:p>
      <w:pPr>
        <w:pStyle w:val="TextBody"/>
        <w:spacing w:before="240" w:after="0"/>
        <w:jc w:val="left"/>
        <w:rPr>
          <w:rFonts w:ascii="ARIAL" w:hAnsi="ARIAL"/>
          <w:sz w:val="20"/>
        </w:rPr>
      </w:pPr>
      <w:r>
        <w:rPr>
          <w:rFonts w:ascii="ARIAL" w:hAnsi="ARIAL"/>
          <w:sz w:val="20"/>
        </w:rPr>
        <w:t xml:space="preserve">In assessing the independence of its members and nominees, the Board has adopted for Martin Marietta a set of </w:t>
      </w:r>
      <w:r>
        <w:rPr>
          <w:rFonts w:ascii="ARIAL" w:hAnsi="ARIAL"/>
          <w:i/>
          <w:sz w:val="20"/>
        </w:rPr>
        <w:t>Guidelines for Director’s Independence</w:t>
      </w:r>
      <w:r>
        <w:rPr>
          <w:rFonts w:ascii="ARIAL" w:hAnsi="ARIAL"/>
          <w:sz w:val="20"/>
        </w:rPr>
        <w:t xml:space="preserve"> (Guidelines). The Guidelines are posted and available for public viewing on Martin Marietta’s website at https://ir.martinmarietta.com/corporate-governance/governance-documents-and-charters. These Guidelines reflect the rules of the NYSE, applicable requirements of the SEC, and other standards determined by the Board to be important in assessing the independence of Board members. The Board has determined that, other than Mr. Nye, all members of the Board are “independent” under these Guidelines, resulting in 91% of the Board being independent. The Board of Directors has determined that no Director (except Mr. Nye), or any person or organization with which the Director has any affiliation, has a relationship with Martin Marietta that may interfere with his or her independence from Martin Marietta and its management. In making this “independence” determination, the Board considered other entities with which the Directors were affiliated and any business Martin Marietta had done with such entities.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5" descr=""/>
                          <pic:cNvPicPr>
                            <a:picLocks noChangeAspect="1" noChangeArrowheads="1"/>
                          </pic:cNvPicPr>
                        </pic:nvPicPr>
                        <pic:blipFill>
                          <a:blip r:embed="rId13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33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CORPORATE GOVERNANCE MATTERS  ◆</w:t>
      </w:r>
      <w:r>
        <w:rPr>
          <w:rFonts w:ascii="ARIAL" w:hAnsi="ARIAL"/>
          <w:sz w:val="16"/>
        </w:rPr>
        <w:t xml:space="preserve">  CORPORATE GOVERNANCE BOARD PRACTICES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Do the independent Directors ever meet without management? </w:t>
      </w:r>
    </w:p>
    <w:p>
      <w:pPr>
        <w:pStyle w:val="TextBody"/>
        <w:spacing w:before="120" w:after="0"/>
        <w:jc w:val="left"/>
        <w:rPr>
          <w:rFonts w:ascii="ARIAL" w:hAnsi="ARIAL"/>
          <w:sz w:val="20"/>
        </w:rPr>
      </w:pPr>
      <w:r>
        <w:rPr>
          <w:rFonts w:ascii="ARIAL" w:hAnsi="ARIAL"/>
          <w:sz w:val="20"/>
        </w:rPr>
        <w:t xml:space="preserve">Martin Marietta’s </w:t>
      </w:r>
      <w:r>
        <w:rPr>
          <w:rFonts w:ascii="ARIAL" w:hAnsi="ARIAL"/>
          <w:i/>
          <w:sz w:val="20"/>
        </w:rPr>
        <w:t>Corporate Governance Guidelines</w:t>
      </w:r>
      <w:r>
        <w:rPr>
          <w:rFonts w:ascii="ARIAL" w:hAnsi="ARIAL"/>
          <w:sz w:val="20"/>
        </w:rPr>
        <w:t xml:space="preserve"> adopted by the Board provide that at least two Board meetings each year will include an executive session of the non-employee Directors to discuss such topics as they may choose, including a discussion of the performance of Martin Marietta’s Chairman and Chief Executive Officer. In 2022, Martin Marietta’s independent Directors met at each regularly scheduled Board meeting, consisting of four times in executive session without management, in addition to executive sessions held by Committees of the Board. In 2022, all the independent Directors were non-employees. </w:t>
      </w:r>
    </w:p>
    <w:p>
      <w:pPr>
        <w:pStyle w:val="TextBody"/>
        <w:spacing w:before="240" w:after="0"/>
        <w:jc w:val="left"/>
        <w:rPr>
          <w:rFonts w:ascii="ARIAL" w:hAnsi="ARIAL"/>
          <w:b/>
          <w:sz w:val="20"/>
        </w:rPr>
      </w:pPr>
      <w:r>
        <w:rPr>
          <w:rFonts w:ascii="ARIAL" w:hAnsi="ARIAL"/>
          <w:b/>
          <w:sz w:val="20"/>
        </w:rPr>
        <w:t xml:space="preserve">What is the Board’s leadership structure? </w:t>
      </w:r>
    </w:p>
    <w:p>
      <w:pPr>
        <w:pStyle w:val="TextBody"/>
        <w:spacing w:before="120" w:after="0"/>
        <w:jc w:val="left"/>
        <w:rPr>
          <w:rFonts w:ascii="ARIAL" w:hAnsi="ARIAL"/>
          <w:sz w:val="20"/>
        </w:rPr>
      </w:pPr>
      <w:r>
        <w:rPr>
          <w:rFonts w:ascii="ARIAL" w:hAnsi="ARIAL"/>
          <w:sz w:val="20"/>
        </w:rPr>
        <w:t xml:space="preserve">Our </w:t>
      </w:r>
      <w:r>
        <w:rPr>
          <w:rFonts w:ascii="ARIAL" w:hAnsi="ARIAL"/>
          <w:i/>
          <w:sz w:val="20"/>
        </w:rPr>
        <w:t>Corporate Governance Guidelines</w:t>
      </w:r>
      <w:r>
        <w:rPr>
          <w:rFonts w:ascii="ARIAL" w:hAnsi="ARIAL"/>
          <w:sz w:val="20"/>
        </w:rPr>
        <w:t xml:space="preserve"> provide that the Board’s policy as to whether the Chairman and CEO positions should be separate is to adopt the practice that best serves the Company’s needs at any particular time. The Nominating and Corporate Governance Committee and the Board discussed Board leadership alternatives in connection with combining the Chairman and CEO roles. </w:t>
      </w:r>
    </w:p>
    <w:p>
      <w:pPr>
        <w:pStyle w:val="TextBody"/>
        <w:spacing w:before="240" w:after="0"/>
        <w:jc w:val="left"/>
        <w:rPr>
          <w:rFonts w:ascii="ARIAL" w:hAnsi="ARIAL"/>
          <w:sz w:val="20"/>
        </w:rPr>
      </w:pPr>
      <w:r>
        <w:rPr>
          <w:rFonts w:ascii="ARIAL" w:hAnsi="ARIAL"/>
          <w:sz w:val="20"/>
        </w:rPr>
        <w:t xml:space="preserve">The Board believes that, at the present time, the Company is best served by allocating governance responsibilities between a combined Chairman and CEO and a Lead Independent Director with robust responsibilities. This structure allows the Company to present a single face to our constituencies through the combined Chairman and CEO position while at the same time providing an active role and voice for the independent directors through the Lead Independent Director. </w:t>
      </w:r>
    </w:p>
    <w:p>
      <w:pPr>
        <w:pStyle w:val="TextBody"/>
        <w:spacing w:before="0" w:after="0"/>
        <w:jc w:val="left"/>
        <w:rPr/>
      </w:pPr>
      <w:r>
        <w:rPr/>
        <w:t> </w:t>
      </w:r>
    </w:p>
    <w:tbl>
      <w:tblPr>
        <w:tblW w:w="10205" w:type="dxa"/>
        <w:jc w:val="left"/>
        <w:tblInd w:w="0" w:type="dxa"/>
        <w:shd w:fill="DBDBDB" w:val="clear"/>
        <w:tblCellMar>
          <w:top w:w="0" w:type="dxa"/>
          <w:left w:w="0" w:type="dxa"/>
          <w:bottom w:w="0" w:type="dxa"/>
          <w:right w:w="0" w:type="dxa"/>
        </w:tblCellMar>
      </w:tblPr>
      <w:tblGrid>
        <w:gridCol w:w="10205"/>
      </w:tblGrid>
      <w:tr>
        <w:trPr/>
        <w:tc>
          <w:tcPr>
            <w:tcW w:w="10205" w:type="dxa"/>
            <w:tcBorders/>
            <w:shd w:fill="DBDBDB" w:val="clear"/>
            <w:vAlign w:val="center"/>
          </w:tcPr>
          <w:p>
            <w:pPr>
              <w:pStyle w:val="TableContents"/>
              <w:spacing w:before="0" w:after="283"/>
              <w:rPr>
                <w:sz w:val="4"/>
                <w:szCs w:val="4"/>
              </w:rPr>
            </w:pPr>
            <w:r>
              <w:rPr>
                <w:sz w:val="4"/>
                <w:szCs w:val="4"/>
              </w:rPr>
            </w:r>
          </w:p>
        </w:tc>
      </w:tr>
      <w:tr>
        <w:trPr/>
        <w:tc>
          <w:tcPr>
            <w:tcW w:w="10205" w:type="dxa"/>
            <w:tcBorders/>
            <w:shd w:fill="DBDBDB" w:val="clear"/>
            <w:vAlign w:val="center"/>
          </w:tcPr>
          <w:p>
            <w:pPr>
              <w:pStyle w:val="TableContents"/>
              <w:spacing w:before="0" w:after="283"/>
              <w:rPr>
                <w:sz w:val="4"/>
                <w:szCs w:val="4"/>
              </w:rPr>
            </w:pPr>
            <w:r>
              <w:rPr>
                <w:sz w:val="4"/>
                <w:szCs w:val="4"/>
              </w:rPr>
            </w:r>
          </w:p>
        </w:tc>
      </w:tr>
      <w:tr>
        <w:trPr/>
        <w:tc>
          <w:tcPr>
            <w:tcW w:w="10205" w:type="dxa"/>
            <w:tcBorders>
              <w:bottom w:val="single" w:sz="6" w:space="0" w:color="000000"/>
            </w:tcBorders>
            <w:shd w:fill="DBDBDB" w:val="clear"/>
            <w:tcMar>
              <w:bottom w:w="80" w:type="dxa"/>
            </w:tcMar>
            <w:vAlign w:val="center"/>
          </w:tcPr>
          <w:p>
            <w:pPr>
              <w:pStyle w:val="TableContents"/>
              <w:spacing w:before="0" w:after="0"/>
              <w:rPr>
                <w:rFonts w:ascii="ARIAL" w:hAnsi="ARIAL"/>
                <w:b/>
                <w:color w:val="71BE9A"/>
                <w:sz w:val="26"/>
              </w:rPr>
            </w:pPr>
            <w:r>
              <w:rPr>
                <w:rFonts w:ascii="ARIAL" w:hAnsi="ARIAL"/>
                <w:b/>
                <w:color w:val="71BE9A"/>
                <w:sz w:val="26"/>
              </w:rPr>
              <w:t>Reasons for Combined Chair and CEO</w:t>
            </w:r>
          </w:p>
        </w:tc>
      </w:tr>
      <w:tr>
        <w:trPr/>
        <w:tc>
          <w:tcPr>
            <w:tcW w:w="10205" w:type="dxa"/>
            <w:tcBorders/>
            <w:shd w:fill="DBDBDB" w:val="clear"/>
            <w:vAlign w:val="center"/>
          </w:tcPr>
          <w:p>
            <w:pPr>
              <w:pStyle w:val="TableContents"/>
              <w:spacing w:before="0" w:after="283"/>
              <w:rPr>
                <w:sz w:val="4"/>
                <w:szCs w:val="4"/>
              </w:rPr>
            </w:pPr>
            <w:r>
              <w:rPr>
                <w:sz w:val="4"/>
                <w:szCs w:val="4"/>
              </w:rPr>
            </w:r>
          </w:p>
        </w:tc>
      </w:tr>
      <w:tr>
        <w:trPr/>
        <w:tc>
          <w:tcPr>
            <w:tcW w:w="10205" w:type="dxa"/>
            <w:tcBorders/>
            <w:shd w:fill="DBDBDB" w:val="clear"/>
            <w:vAlign w:val="center"/>
          </w:tcPr>
          <w:p>
            <w:pPr>
              <w:pStyle w:val="TableContents"/>
              <w:spacing w:before="0" w:after="0"/>
              <w:rPr>
                <w:rFonts w:ascii="ARIAL" w:hAnsi="ARIAL"/>
                <w:b/>
                <w:i/>
                <w:color w:val="71BE9A"/>
                <w:sz w:val="26"/>
              </w:rPr>
            </w:pPr>
            <w:r>
              <w:rPr>
                <w:rFonts w:ascii="ARIAL" w:hAnsi="ARIAL"/>
                <w:b/>
                <w:i/>
                <w:color w:val="71BE9A"/>
                <w:sz w:val="26"/>
              </w:rPr>
              <w:t>Key highlights</w:t>
            </w:r>
          </w:p>
        </w:tc>
      </w:tr>
      <w:tr>
        <w:trPr/>
        <w:tc>
          <w:tcPr>
            <w:tcW w:w="10205" w:type="dxa"/>
            <w:tcBorders/>
            <w:shd w:fill="DBDBDB" w:val="clear"/>
            <w:vAlign w:val="center"/>
          </w:tcPr>
          <w:p>
            <w:pPr>
              <w:pStyle w:val="TableContents"/>
              <w:spacing w:before="0" w:after="283"/>
              <w:rPr>
                <w:sz w:val="4"/>
                <w:szCs w:val="4"/>
              </w:rPr>
            </w:pPr>
            <w:r>
              <w:rPr>
                <w:sz w:val="4"/>
                <w:szCs w:val="4"/>
              </w:rPr>
            </w:r>
          </w:p>
        </w:tc>
      </w:tr>
      <w:tr>
        <w:trPr/>
        <w:tc>
          <w:tcPr>
            <w:tcW w:w="10205" w:type="dxa"/>
            <w:tcBorders/>
            <w:shd w:fill="DBDBDB" w:val="clear"/>
            <w:vAlign w:val="center"/>
          </w:tcPr>
          <w:p>
            <w:pPr>
              <w:pStyle w:val="TableContents"/>
              <w:spacing w:before="0" w:after="0"/>
              <w:rPr>
                <w:color w:val="007CBA"/>
              </w:rPr>
            </w:pPr>
            <w:r>
              <w:rPr>
                <w:color w:val="007CBA"/>
              </w:rPr>
              <w:t>•  </w:t>
            </w:r>
            <w:r>
              <w:rPr>
                <w:rFonts w:ascii="ARIAL" w:hAnsi="ARIAL"/>
                <w:color w:val="007CBA"/>
                <w:sz w:val="20"/>
              </w:rPr>
              <w:t>The independent Board members believe that Mr. Nye has extensive experience in all facets of the building materials industry, in both the U.S. and with global competitors.</w:t>
            </w:r>
          </w:p>
        </w:tc>
      </w:tr>
      <w:tr>
        <w:trPr/>
        <w:tc>
          <w:tcPr>
            <w:tcW w:w="10205" w:type="dxa"/>
            <w:tcBorders/>
            <w:shd w:fill="DBDBDB" w:val="clear"/>
            <w:vAlign w:val="center"/>
          </w:tcPr>
          <w:p>
            <w:pPr>
              <w:pStyle w:val="TableContents"/>
              <w:spacing w:before="0" w:after="283"/>
              <w:rPr>
                <w:sz w:val="4"/>
                <w:szCs w:val="4"/>
              </w:rPr>
            </w:pPr>
            <w:r>
              <w:rPr>
                <w:sz w:val="4"/>
                <w:szCs w:val="4"/>
              </w:rPr>
            </w:r>
          </w:p>
        </w:tc>
      </w:tr>
      <w:tr>
        <w:trPr/>
        <w:tc>
          <w:tcPr>
            <w:tcW w:w="10205" w:type="dxa"/>
            <w:tcBorders/>
            <w:shd w:fill="DBDBDB" w:val="clear"/>
            <w:vAlign w:val="center"/>
          </w:tcPr>
          <w:p>
            <w:pPr>
              <w:pStyle w:val="TableContents"/>
              <w:spacing w:before="0" w:after="0"/>
              <w:rPr>
                <w:color w:val="007CBA"/>
              </w:rPr>
            </w:pPr>
            <w:r>
              <w:rPr>
                <w:color w:val="007CBA"/>
              </w:rPr>
              <w:t>•  </w:t>
            </w:r>
            <w:r>
              <w:rPr>
                <w:rFonts w:ascii="ARIAL" w:hAnsi="ARIAL"/>
                <w:color w:val="007CBA"/>
                <w:sz w:val="20"/>
              </w:rPr>
              <w:t>Mr. Nye has been effective in creating shareholder value through strategic acquisitions and divestitures, with achievement of expected synergies.</w:t>
            </w:r>
          </w:p>
        </w:tc>
      </w:tr>
      <w:tr>
        <w:trPr/>
        <w:tc>
          <w:tcPr>
            <w:tcW w:w="10205" w:type="dxa"/>
            <w:tcBorders/>
            <w:shd w:fill="DBDBDB" w:val="clear"/>
            <w:vAlign w:val="center"/>
          </w:tcPr>
          <w:p>
            <w:pPr>
              <w:pStyle w:val="TableContents"/>
              <w:spacing w:before="0" w:after="283"/>
              <w:rPr>
                <w:sz w:val="4"/>
                <w:szCs w:val="4"/>
              </w:rPr>
            </w:pPr>
            <w:r>
              <w:rPr>
                <w:sz w:val="4"/>
                <w:szCs w:val="4"/>
              </w:rPr>
            </w:r>
          </w:p>
        </w:tc>
      </w:tr>
      <w:tr>
        <w:trPr/>
        <w:tc>
          <w:tcPr>
            <w:tcW w:w="10205" w:type="dxa"/>
            <w:tcBorders/>
            <w:shd w:fill="DBDBDB" w:val="clear"/>
            <w:vAlign w:val="center"/>
          </w:tcPr>
          <w:p>
            <w:pPr>
              <w:pStyle w:val="TableContents"/>
              <w:spacing w:before="0" w:after="0"/>
              <w:rPr>
                <w:color w:val="007CBA"/>
              </w:rPr>
            </w:pPr>
            <w:r>
              <w:rPr>
                <w:color w:val="007CBA"/>
              </w:rPr>
              <w:t>•  </w:t>
            </w:r>
            <w:r>
              <w:rPr>
                <w:rFonts w:ascii="ARIAL" w:hAnsi="ARIAL"/>
                <w:color w:val="007CBA"/>
                <w:sz w:val="20"/>
              </w:rPr>
              <w:t>Mr. Nye has in-depth knowledge of safety, health, operational, environmental, and regulatory considerations that impact the business and oversight of management.</w:t>
            </w:r>
          </w:p>
        </w:tc>
      </w:tr>
      <w:tr>
        <w:trPr/>
        <w:tc>
          <w:tcPr>
            <w:tcW w:w="10205" w:type="dxa"/>
            <w:tcBorders/>
            <w:shd w:fill="DBDBDB" w:val="clear"/>
            <w:vAlign w:val="center"/>
          </w:tcPr>
          <w:p>
            <w:pPr>
              <w:pStyle w:val="TableContents"/>
              <w:spacing w:before="0" w:after="283"/>
              <w:rPr>
                <w:sz w:val="4"/>
                <w:szCs w:val="4"/>
              </w:rPr>
            </w:pPr>
            <w:r>
              <w:rPr>
                <w:sz w:val="4"/>
                <w:szCs w:val="4"/>
              </w:rPr>
            </w:r>
          </w:p>
        </w:tc>
      </w:tr>
      <w:tr>
        <w:trPr/>
        <w:tc>
          <w:tcPr>
            <w:tcW w:w="10205" w:type="dxa"/>
            <w:tcBorders/>
            <w:shd w:fill="DBDBDB" w:val="clear"/>
            <w:vAlign w:val="center"/>
          </w:tcPr>
          <w:p>
            <w:pPr>
              <w:pStyle w:val="TableContents"/>
              <w:spacing w:before="0" w:after="0"/>
              <w:rPr>
                <w:color w:val="007CBA"/>
              </w:rPr>
            </w:pPr>
            <w:r>
              <w:rPr>
                <w:color w:val="007CBA"/>
              </w:rPr>
              <w:t>•  </w:t>
            </w:r>
            <w:r>
              <w:rPr>
                <w:rFonts w:ascii="ARIAL" w:hAnsi="ARIAL"/>
                <w:color w:val="007CBA"/>
                <w:sz w:val="20"/>
              </w:rPr>
              <w:t>Mr. Nye has demonstrated his leadership and vision to guide the Board in its oversight of management with the development of three five-year strategic plans, with the current Strategic Operating Analysis and Review (SOAR 2025) discussed with and approved by the Board in August 2020.</w:t>
            </w:r>
          </w:p>
        </w:tc>
      </w:tr>
      <w:tr>
        <w:trPr/>
        <w:tc>
          <w:tcPr>
            <w:tcW w:w="10205" w:type="dxa"/>
            <w:tcBorders/>
            <w:shd w:fill="DBDBDB" w:val="clear"/>
            <w:vAlign w:val="center"/>
          </w:tcPr>
          <w:p>
            <w:pPr>
              <w:pStyle w:val="TableContents"/>
              <w:spacing w:before="0" w:after="283"/>
              <w:rPr>
                <w:sz w:val="4"/>
                <w:szCs w:val="4"/>
              </w:rPr>
            </w:pPr>
            <w:r>
              <w:rPr>
                <w:sz w:val="4"/>
                <w:szCs w:val="4"/>
              </w:rPr>
            </w:r>
          </w:p>
        </w:tc>
      </w:tr>
      <w:tr>
        <w:trPr/>
        <w:tc>
          <w:tcPr>
            <w:tcW w:w="10205" w:type="dxa"/>
            <w:tcBorders/>
            <w:shd w:fill="DBDBDB" w:val="clear"/>
            <w:vAlign w:val="center"/>
          </w:tcPr>
          <w:p>
            <w:pPr>
              <w:pStyle w:val="TableContents"/>
              <w:spacing w:before="0" w:after="0"/>
              <w:rPr>
                <w:color w:val="007CBA"/>
              </w:rPr>
            </w:pPr>
            <w:r>
              <w:rPr>
                <w:color w:val="007CBA"/>
              </w:rPr>
              <w:t>•  </w:t>
            </w:r>
            <w:r>
              <w:rPr>
                <w:rFonts w:ascii="ARIAL" w:hAnsi="ARIAL"/>
                <w:color w:val="007CBA"/>
                <w:sz w:val="20"/>
              </w:rPr>
              <w:t>Mr. Nye has engaged in an active investor relations program, including the Company’s Investor Day presentations, and leads the Board in understanding the perspective of the Company’s shareholders.</w:t>
            </w:r>
          </w:p>
        </w:tc>
      </w:tr>
      <w:tr>
        <w:trPr/>
        <w:tc>
          <w:tcPr>
            <w:tcW w:w="10205" w:type="dxa"/>
            <w:tcBorders/>
            <w:shd w:fill="DBDBDB" w:val="clear"/>
            <w:vAlign w:val="center"/>
          </w:tcPr>
          <w:p>
            <w:pPr>
              <w:pStyle w:val="TableContents"/>
              <w:spacing w:before="0" w:after="283"/>
              <w:rPr>
                <w:sz w:val="4"/>
                <w:szCs w:val="4"/>
              </w:rPr>
            </w:pPr>
            <w:r>
              <w:rPr>
                <w:sz w:val="4"/>
                <w:szCs w:val="4"/>
              </w:rPr>
            </w:r>
          </w:p>
        </w:tc>
      </w:tr>
      <w:tr>
        <w:trPr/>
        <w:tc>
          <w:tcPr>
            <w:tcW w:w="10205" w:type="dxa"/>
            <w:tcBorders/>
            <w:shd w:fill="DBDBDB" w:val="clear"/>
            <w:vAlign w:val="center"/>
          </w:tcPr>
          <w:p>
            <w:pPr>
              <w:pStyle w:val="TableContents"/>
              <w:spacing w:before="0" w:after="0"/>
              <w:rPr>
                <w:color w:val="007CBA"/>
              </w:rPr>
            </w:pPr>
            <w:r>
              <w:rPr>
                <w:color w:val="007CBA"/>
              </w:rPr>
              <w:t>•  </w:t>
            </w:r>
            <w:r>
              <w:rPr>
                <w:rFonts w:ascii="ARIAL" w:hAnsi="ARIAL"/>
                <w:color w:val="007CBA"/>
                <w:sz w:val="20"/>
              </w:rPr>
              <w:t>Mr. Nye is the only member of management on the Board.</w:t>
            </w:r>
          </w:p>
        </w:tc>
      </w:tr>
      <w:tr>
        <w:trPr/>
        <w:tc>
          <w:tcPr>
            <w:tcW w:w="10205" w:type="dxa"/>
            <w:tcBorders/>
            <w:shd w:fill="DBDBDB" w:val="clear"/>
            <w:vAlign w:val="center"/>
          </w:tcPr>
          <w:p>
            <w:pPr>
              <w:pStyle w:val="TableContents"/>
              <w:spacing w:before="0" w:after="283"/>
              <w:rPr>
                <w:sz w:val="4"/>
                <w:szCs w:val="4"/>
              </w:rPr>
            </w:pPr>
            <w:r>
              <w:rPr>
                <w:sz w:val="4"/>
                <w:szCs w:val="4"/>
              </w:rPr>
            </w:r>
          </w:p>
        </w:tc>
      </w:tr>
      <w:tr>
        <w:trPr/>
        <w:tc>
          <w:tcPr>
            <w:tcW w:w="10205" w:type="dxa"/>
            <w:tcBorders/>
            <w:shd w:fill="DBDBDB" w:val="clear"/>
            <w:vAlign w:val="center"/>
          </w:tcPr>
          <w:p>
            <w:pPr>
              <w:pStyle w:val="TableContents"/>
              <w:spacing w:before="0" w:after="0"/>
              <w:rPr>
                <w:color w:val="007CBA"/>
              </w:rPr>
            </w:pPr>
            <w:r>
              <w:rPr>
                <w:color w:val="007CBA"/>
              </w:rPr>
              <w:t>•  </w:t>
            </w:r>
            <w:r>
              <w:rPr>
                <w:rFonts w:ascii="ARIAL" w:hAnsi="ARIAL"/>
                <w:color w:val="007CBA"/>
                <w:sz w:val="20"/>
              </w:rPr>
              <w:t>Strong independent directors comprise 91% of the current Board, and open communications exist between Mr. Nye and the independent directors.</w:t>
            </w:r>
          </w:p>
        </w:tc>
      </w:tr>
    </w:tbl>
    <w:p>
      <w:pPr>
        <w:pStyle w:val="TextBody"/>
        <w:spacing w:before="240" w:after="0"/>
        <w:jc w:val="left"/>
        <w:rPr>
          <w:rFonts w:ascii="ARIAL" w:hAnsi="ARIAL"/>
          <w:sz w:val="20"/>
        </w:rPr>
      </w:pPr>
      <w:r>
        <w:rPr>
          <w:rFonts w:ascii="ARIAL" w:hAnsi="ARIAL"/>
          <w:sz w:val="20"/>
        </w:rPr>
        <w:t xml:space="preserve">As a result of Mr. Nye’s tenure at Martin Marietta and strong performance as a leader since his election as CEO, the Board believes he is uniquely qualified through his experience, education and expertise to be the person who promotes strong and visionary leadership for our Board, as well as important recognition as the leader of Martin Marietta by our customers, employees and other constituencies. The Board also believes that Mr. Nye’s serving as both Chairman and CEO is appropriate taking into consideration the size and nature of our business, Mr. Nye’s effective and careful formulation and execution of our strategic plan, his established working relationship and open communication with our other Directors, both during meetings and in the intervals between meetings, the significant board-level experience of our independent Directors as a whole, the strong independent leadership and accountability to shareholders provided by 91% of our Directors being independent, the independent leadership provided by our Committee chairs, and our Board culture in which Mr. Nye and the other Directors are able to thoughtfully debate different points of view and reach consensus in an efficient manner.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34</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6" descr=""/>
                          <pic:cNvPicPr>
                            <a:picLocks noChangeAspect="1" noChangeArrowheads="1"/>
                          </pic:cNvPicPr>
                        </pic:nvPicPr>
                        <pic:blipFill>
                          <a:blip r:embed="rId13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CORPORATE GOVERNANCE BOARD PRACTICES  </w:t>
      </w:r>
      <w:r>
        <w:rPr>
          <w:rFonts w:ascii="ARIAL" w:hAnsi="ARIAL"/>
          <w:color w:val="007CBA"/>
          <w:sz w:val="16"/>
        </w:rPr>
        <w:t>◆  CORPORATE GOVERNANCE MATTERS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Does the Board have a Lead Independent Director? </w:t>
      </w:r>
    </w:p>
    <w:p>
      <w:pPr>
        <w:pStyle w:val="TextBody"/>
        <w:spacing w:before="120" w:after="0"/>
        <w:jc w:val="left"/>
        <w:rPr>
          <w:rFonts w:ascii="ARIAL" w:hAnsi="ARIAL"/>
          <w:sz w:val="20"/>
        </w:rPr>
      </w:pPr>
      <w:r>
        <w:rPr>
          <w:rFonts w:ascii="ARIAL" w:hAnsi="ARIAL"/>
          <w:sz w:val="20"/>
        </w:rPr>
        <w:t xml:space="preserve">In deciding that a combined Chairman and Chief Executive Officer position is the appropriate leadership structure for the Company at this time, the Nominating and Corporate Governance Committee and Board also recognized the benefit of independent leadership to enhance the effectiveness of the Board’s oversight role and communications between the Board and Mr. Nye. Accordingly, in November 2014, our Corporate Governance Guidelines were revised to provide that in the event the Chairman and Chief Executive Officer positions are held by one person, our independent Directors may designate a Lead Independent Director from among the independent Directors. The designation of the Lead Independent Director is to be made annually, with the expectation of the Board that the Lead Independent Director will be re-appointed for multiple, consecutive one-year terms. John J. Koraleski currently serves as the Lead Independent Director. </w:t>
      </w:r>
    </w:p>
    <w:p>
      <w:pPr>
        <w:pStyle w:val="TextBody"/>
        <w:spacing w:before="240" w:after="0"/>
        <w:jc w:val="left"/>
        <w:rPr>
          <w:rFonts w:ascii="ARIAL" w:hAnsi="ARIAL"/>
          <w:sz w:val="20"/>
        </w:rPr>
      </w:pPr>
      <w:r>
        <w:rPr>
          <w:rFonts w:ascii="ARIAL" w:hAnsi="ARIAL"/>
          <w:sz w:val="20"/>
        </w:rPr>
        <w:t xml:space="preserve">The responsibilities of the Lead Independent Director include: </w:t>
      </w:r>
    </w:p>
    <w:p>
      <w:pPr>
        <w:pStyle w:val="TextBody"/>
        <w:spacing w:before="0" w:after="0"/>
        <w:jc w:val="left"/>
        <w:rPr/>
      </w:pPr>
      <w:r>
        <w:rPr/>
        <w:t> </w:t>
      </w:r>
    </w:p>
    <w:tbl>
      <w:tblPr>
        <w:tblW w:w="5770" w:type="dxa"/>
        <w:jc w:val="left"/>
        <w:tblInd w:w="0" w:type="dxa"/>
        <w:tblCellMar>
          <w:top w:w="0" w:type="dxa"/>
          <w:left w:w="0" w:type="dxa"/>
          <w:bottom w:w="0" w:type="dxa"/>
          <w:right w:w="0" w:type="dxa"/>
        </w:tblCellMar>
      </w:tblPr>
      <w:tblGrid>
        <w:gridCol w:w="125"/>
        <w:gridCol w:w="60"/>
        <w:gridCol w:w="558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5585" w:type="dxa"/>
            <w:tcBorders/>
            <w:shd w:fill="auto" w:val="clear"/>
            <w:vAlign w:val="center"/>
          </w:tcPr>
          <w:p>
            <w:pPr>
              <w:pStyle w:val="TableContents"/>
              <w:spacing w:before="0" w:after="0"/>
              <w:jc w:val="left"/>
              <w:rPr>
                <w:rFonts w:ascii="ARIAL" w:hAnsi="ARIAL"/>
                <w:sz w:val="20"/>
              </w:rPr>
            </w:pPr>
            <w:r>
              <w:rPr>
                <w:rFonts w:ascii="ARIAL" w:hAnsi="ARIAL"/>
                <w:sz w:val="20"/>
              </w:rPr>
              <w:t xml:space="preserve">Presiding at Board meetings when the Chairman is not present.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Presiding at executive sessions of the independent Directors, and meeting separately with the Chairman after executive sessions to review the matters discussed during the executive sessions. </w:t>
            </w:r>
          </w:p>
        </w:tc>
      </w:tr>
    </w:tbl>
    <w:p>
      <w:pPr>
        <w:pStyle w:val="TextBody"/>
        <w:spacing w:before="0" w:after="0"/>
        <w:jc w:val="left"/>
        <w:rPr/>
      </w:pPr>
      <w:r>
        <w:rPr/>
        <w:t> </w:t>
      </w:r>
    </w:p>
    <w:tbl>
      <w:tblPr>
        <w:tblW w:w="6595" w:type="dxa"/>
        <w:jc w:val="left"/>
        <w:tblInd w:w="0" w:type="dxa"/>
        <w:tblCellMar>
          <w:top w:w="0" w:type="dxa"/>
          <w:left w:w="0" w:type="dxa"/>
          <w:bottom w:w="0" w:type="dxa"/>
          <w:right w:w="0" w:type="dxa"/>
        </w:tblCellMar>
      </w:tblPr>
      <w:tblGrid>
        <w:gridCol w:w="125"/>
        <w:gridCol w:w="60"/>
        <w:gridCol w:w="641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410" w:type="dxa"/>
            <w:tcBorders/>
            <w:shd w:fill="auto" w:val="clear"/>
            <w:vAlign w:val="center"/>
          </w:tcPr>
          <w:p>
            <w:pPr>
              <w:pStyle w:val="TableContents"/>
              <w:spacing w:before="0" w:after="0"/>
              <w:jc w:val="left"/>
              <w:rPr>
                <w:rFonts w:ascii="ARIAL" w:hAnsi="ARIAL"/>
                <w:sz w:val="20"/>
              </w:rPr>
            </w:pPr>
            <w:r>
              <w:rPr>
                <w:rFonts w:ascii="ARIAL" w:hAnsi="ARIAL"/>
                <w:sz w:val="20"/>
              </w:rPr>
              <w:t xml:space="preserve">Acting as a liaison between the Chairman and the independent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Suggesting to the Chairman agenda items for Board meetings and consulting with the Chairman regarding Board meeting schedules. </w:t>
            </w:r>
          </w:p>
        </w:tc>
      </w:tr>
    </w:tbl>
    <w:p>
      <w:pPr>
        <w:pStyle w:val="TextBody"/>
        <w:spacing w:before="0" w:after="0"/>
        <w:jc w:val="left"/>
        <w:rPr/>
      </w:pPr>
      <w:r>
        <w:rPr/>
        <w:t> </w:t>
      </w:r>
    </w:p>
    <w:tbl>
      <w:tblPr>
        <w:tblW w:w="6490" w:type="dxa"/>
        <w:jc w:val="left"/>
        <w:tblInd w:w="0" w:type="dxa"/>
        <w:tblCellMar>
          <w:top w:w="0" w:type="dxa"/>
          <w:left w:w="0" w:type="dxa"/>
          <w:bottom w:w="0" w:type="dxa"/>
          <w:right w:w="0" w:type="dxa"/>
        </w:tblCellMar>
      </w:tblPr>
      <w:tblGrid>
        <w:gridCol w:w="125"/>
        <w:gridCol w:w="60"/>
        <w:gridCol w:w="630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305" w:type="dxa"/>
            <w:tcBorders/>
            <w:shd w:fill="auto" w:val="clear"/>
            <w:vAlign w:val="center"/>
          </w:tcPr>
          <w:p>
            <w:pPr>
              <w:pStyle w:val="TableContents"/>
              <w:spacing w:before="0" w:after="0"/>
              <w:jc w:val="left"/>
              <w:rPr>
                <w:rFonts w:ascii="ARIAL" w:hAnsi="ARIAL"/>
                <w:sz w:val="20"/>
              </w:rPr>
            </w:pPr>
            <w:r>
              <w:rPr>
                <w:rFonts w:ascii="ARIAL" w:hAnsi="ARIAL"/>
                <w:sz w:val="20"/>
              </w:rPr>
              <w:t xml:space="preserve">Calling, where necessary, executive sessions of independent Directors. </w:t>
            </w:r>
          </w:p>
        </w:tc>
      </w:tr>
    </w:tbl>
    <w:p>
      <w:pPr>
        <w:pStyle w:val="TextBody"/>
        <w:spacing w:before="0" w:after="0"/>
        <w:jc w:val="left"/>
        <w:rPr/>
      </w:pPr>
      <w:r>
        <w:rPr/>
        <w:t> </w:t>
      </w:r>
    </w:p>
    <w:tbl>
      <w:tblPr>
        <w:tblW w:w="6325" w:type="dxa"/>
        <w:jc w:val="left"/>
        <w:tblInd w:w="0" w:type="dxa"/>
        <w:tblCellMar>
          <w:top w:w="0" w:type="dxa"/>
          <w:left w:w="0" w:type="dxa"/>
          <w:bottom w:w="0" w:type="dxa"/>
          <w:right w:w="0" w:type="dxa"/>
        </w:tblCellMar>
      </w:tblPr>
      <w:tblGrid>
        <w:gridCol w:w="125"/>
        <w:gridCol w:w="60"/>
        <w:gridCol w:w="614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140" w:type="dxa"/>
            <w:tcBorders/>
            <w:shd w:fill="auto" w:val="clear"/>
            <w:vAlign w:val="center"/>
          </w:tcPr>
          <w:p>
            <w:pPr>
              <w:pStyle w:val="TableContents"/>
              <w:spacing w:before="0" w:after="0"/>
              <w:jc w:val="left"/>
              <w:rPr>
                <w:rFonts w:ascii="ARIAL" w:hAnsi="ARIAL"/>
                <w:sz w:val="20"/>
              </w:rPr>
            </w:pPr>
            <w:r>
              <w:rPr>
                <w:rFonts w:ascii="ARIAL" w:hAnsi="ARIAL"/>
                <w:sz w:val="20"/>
              </w:rPr>
              <w:t xml:space="preserve">Being available to meet with shareholders and other key constituents. </w:t>
            </w:r>
          </w:p>
        </w:tc>
      </w:tr>
    </w:tbl>
    <w:p>
      <w:pPr>
        <w:pStyle w:val="TextBody"/>
        <w:spacing w:before="0" w:after="0"/>
        <w:jc w:val="left"/>
        <w:rPr/>
      </w:pPr>
      <w:r>
        <w:rPr/>
        <w:t> </w:t>
      </w:r>
    </w:p>
    <w:tbl>
      <w:tblPr>
        <w:tblW w:w="5095" w:type="dxa"/>
        <w:jc w:val="left"/>
        <w:tblInd w:w="0" w:type="dxa"/>
        <w:tblCellMar>
          <w:top w:w="0" w:type="dxa"/>
          <w:left w:w="0" w:type="dxa"/>
          <w:bottom w:w="0" w:type="dxa"/>
          <w:right w:w="0" w:type="dxa"/>
        </w:tblCellMar>
      </w:tblPr>
      <w:tblGrid>
        <w:gridCol w:w="125"/>
        <w:gridCol w:w="60"/>
        <w:gridCol w:w="491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4910" w:type="dxa"/>
            <w:tcBorders/>
            <w:shd w:fill="auto" w:val="clear"/>
            <w:vAlign w:val="center"/>
          </w:tcPr>
          <w:p>
            <w:pPr>
              <w:pStyle w:val="TableContents"/>
              <w:spacing w:before="0" w:after="0"/>
              <w:jc w:val="left"/>
              <w:rPr>
                <w:rFonts w:ascii="ARIAL" w:hAnsi="ARIAL"/>
                <w:sz w:val="20"/>
              </w:rPr>
            </w:pPr>
            <w:r>
              <w:rPr>
                <w:rFonts w:ascii="ARIAL" w:hAnsi="ARIAL"/>
                <w:sz w:val="20"/>
              </w:rPr>
              <w:t xml:space="preserve">Acting as a resource for, and counsel to, the Chairman.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In addition, the Lead Independent Director attends and meets with shareholders at Company-sponsored Investor Days. </w:t>
            </w:r>
          </w:p>
        </w:tc>
      </w:tr>
    </w:tbl>
    <w:p>
      <w:pPr>
        <w:pStyle w:val="TextBody"/>
        <w:spacing w:before="240" w:after="0"/>
        <w:jc w:val="left"/>
        <w:rPr>
          <w:rFonts w:ascii="ARIAL" w:hAnsi="ARIAL"/>
          <w:b/>
          <w:sz w:val="20"/>
        </w:rPr>
      </w:pPr>
      <w:r>
        <w:rPr>
          <w:rFonts w:ascii="ARIAL" w:hAnsi="ARIAL"/>
          <w:b/>
          <w:sz w:val="20"/>
        </w:rPr>
        <w:t xml:space="preserve">How would interested parties make their concerns known to the independent Directors? </w:t>
      </w:r>
    </w:p>
    <w:p>
      <w:pPr>
        <w:pStyle w:val="TextBody"/>
        <w:spacing w:before="120" w:after="0"/>
        <w:jc w:val="left"/>
        <w:rPr>
          <w:rFonts w:ascii="ARIAL" w:hAnsi="ARIAL"/>
          <w:sz w:val="20"/>
        </w:rPr>
      </w:pPr>
      <w:r>
        <w:rPr>
          <w:rFonts w:ascii="ARIAL" w:hAnsi="ARIAL"/>
          <w:sz w:val="20"/>
        </w:rPr>
        <w:t xml:space="preserve">The Board of Directors provides a process for shareholders and other interested parties to send communications to the Board. Shareholders and other interested parties may communicate anonymously and confidentially with the Board through Martin Marietta’s Ethics Hotline at +1 (800) 209-4508. The Board has also designated the Corporate Secretary to facilitate communications to the Board. Shareholders and other interested parties may communicate directly with the Board of Directors, or directly with the independent Directors, or an individual Director, including the Lead Independent Director, by writing to Martin Marietta, Attn: Corporate Secretary, 4123 Parklake Avenue, Raleigh, North Carolina 27612. </w:t>
      </w:r>
    </w:p>
    <w:p>
      <w:pPr>
        <w:pStyle w:val="TextBody"/>
        <w:spacing w:before="240" w:after="0"/>
        <w:jc w:val="left"/>
        <w:rPr>
          <w:rFonts w:ascii="ARIAL" w:hAnsi="ARIAL"/>
          <w:sz w:val="20"/>
        </w:rPr>
      </w:pPr>
      <w:r>
        <w:rPr>
          <w:rFonts w:ascii="ARIAL" w:hAnsi="ARIAL"/>
          <w:sz w:val="20"/>
        </w:rPr>
        <w:t xml:space="preserve">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independent Directors unless there is instruction from them to filter such communications (and in such event, any communication that has been filtered out will be made available to any independent Director who wishes to review it). </w:t>
      </w:r>
    </w:p>
    <w:p>
      <w:pPr>
        <w:pStyle w:val="TextBody"/>
        <w:spacing w:before="240" w:after="0"/>
        <w:jc w:val="left"/>
        <w:rPr>
          <w:rFonts w:ascii="ARIAL" w:hAnsi="ARIAL"/>
          <w:sz w:val="20"/>
        </w:rPr>
      </w:pPr>
      <w:r>
        <w:rPr>
          <w:rFonts w:ascii="ARIAL" w:hAnsi="ARIAL"/>
          <w:sz w:val="20"/>
        </w:rPr>
        <w:t xml:space="preserve">Martin Marietta and its Board of Directors will continue to review and evaluate the process by which shareholders or other interested persons communicate with Martin Marietta and the Board and may adopt other or further processes and procedures in this regard. If so, we will identify those policies and procedures on our website at </w:t>
      </w:r>
      <w:r>
        <w:rPr>
          <w:rFonts w:ascii="ARIAL" w:hAnsi="ARIAL"/>
          <w:i/>
          <w:sz w:val="20"/>
        </w:rPr>
        <w:t>www.martinmarietta.com</w:t>
      </w:r>
      <w:r>
        <w:rPr>
          <w:rFonts w:ascii="ARIAL" w:hAnsi="ARIAL"/>
          <w:sz w:val="20"/>
        </w:rPr>
        <w:t xml:space="preserve">. </w:t>
      </w:r>
    </w:p>
    <w:p>
      <w:pPr>
        <w:pStyle w:val="TextBody"/>
        <w:spacing w:before="240" w:after="0"/>
        <w:jc w:val="left"/>
        <w:rPr>
          <w:rFonts w:ascii="ARIAL" w:hAnsi="ARIAL"/>
          <w:b/>
          <w:sz w:val="20"/>
        </w:rPr>
      </w:pPr>
      <w:r>
        <w:rPr>
          <w:rFonts w:ascii="ARIAL" w:hAnsi="ARIAL"/>
          <w:b/>
          <w:sz w:val="20"/>
        </w:rPr>
        <w:t xml:space="preserve">How often did the Board meet during 2022? </w:t>
      </w:r>
    </w:p>
    <w:p>
      <w:pPr>
        <w:pStyle w:val="TextBody"/>
        <w:spacing w:before="120" w:after="0"/>
        <w:jc w:val="left"/>
        <w:rPr>
          <w:rFonts w:ascii="ARIAL" w:hAnsi="ARIAL"/>
          <w:sz w:val="20"/>
        </w:rPr>
      </w:pPr>
      <w:r>
        <w:rPr>
          <w:rFonts w:ascii="ARIAL" w:hAnsi="ARIAL"/>
          <w:sz w:val="20"/>
        </w:rPr>
        <w:t xml:space="preserve">Martin Marietta’s Board of Directors held four regularly scheduled meetings during 2022. There were no special meetings of the Board of Directors in 2022. There were also a total of 20 Committee meetings in 2022. In addition, management confers frequently with its Directors on an informal basis to discuss Company affairs. </w:t>
      </w:r>
    </w:p>
    <w:p>
      <w:pPr>
        <w:pStyle w:val="TextBody"/>
        <w:spacing w:before="240" w:after="0"/>
        <w:jc w:val="left"/>
        <w:rPr>
          <w:rFonts w:ascii="ARIAL" w:hAnsi="ARIAL"/>
          <w:b/>
          <w:sz w:val="20"/>
        </w:rPr>
      </w:pPr>
      <w:r>
        <w:rPr>
          <w:rFonts w:ascii="ARIAL" w:hAnsi="ARIAL"/>
          <w:b/>
          <w:sz w:val="20"/>
        </w:rPr>
        <w:t xml:space="preserve">How many times did Directors attend meetings of the Board and its Committees? </w:t>
      </w:r>
    </w:p>
    <w:p>
      <w:pPr>
        <w:pStyle w:val="TextBody"/>
        <w:spacing w:before="120" w:after="0"/>
        <w:jc w:val="left"/>
        <w:rPr>
          <w:rFonts w:ascii="ARIAL" w:hAnsi="ARIAL"/>
          <w:sz w:val="20"/>
        </w:rPr>
      </w:pPr>
      <w:r>
        <w:rPr>
          <w:rFonts w:ascii="ARIAL" w:hAnsi="ARIAL"/>
          <w:sz w:val="20"/>
        </w:rPr>
        <w:t xml:space="preserve">Martin Marietta’s Directors are expected to attend 100% of the meetings of the Board and Committees of the Board on which they serve unless there is a good reason otherwise. In 2022, all Directors attended 100% of the meetings of the Board of Directors during their term of service on the Board. All Directors attended at least 75% of the meetings of the Committees of the Board on which they served (during the periods that they served).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7" descr=""/>
                          <pic:cNvPicPr>
                            <a:picLocks noChangeAspect="1" noChangeArrowheads="1"/>
                          </pic:cNvPicPr>
                        </pic:nvPicPr>
                        <pic:blipFill>
                          <a:blip r:embed="rId13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35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CORPORATE GOVERNANCE MATTERS  ◆</w:t>
      </w:r>
      <w:r>
        <w:rPr>
          <w:rFonts w:ascii="ARIAL" w:hAnsi="ARIAL"/>
          <w:sz w:val="16"/>
        </w:rPr>
        <w:t xml:space="preserve">  CORPORATE GOVERNANCE BOARD PRACTICES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Will the Directors attend the Annual Meeting? </w:t>
      </w:r>
    </w:p>
    <w:p>
      <w:pPr>
        <w:pStyle w:val="TextBody"/>
        <w:spacing w:before="120" w:after="0"/>
        <w:jc w:val="left"/>
        <w:rPr>
          <w:rFonts w:ascii="ARIAL" w:hAnsi="ARIAL"/>
          <w:sz w:val="20"/>
        </w:rPr>
      </w:pPr>
      <w:r>
        <w:rPr>
          <w:rFonts w:ascii="ARIAL" w:hAnsi="ARIAL"/>
          <w:sz w:val="20"/>
        </w:rPr>
        <w:t xml:space="preserve">Martin Marietta’s Directors are expected to be available to respond to questions and react to comments at the Martin Marietta’s Annual Meeting of Shareholders although frequently no shareholders other than Directors and Officers attend these meetings. In 2022, all then-current Directors attended the Annual Meeting in May. </w:t>
      </w:r>
    </w:p>
    <w:p>
      <w:pPr>
        <w:pStyle w:val="TextBody"/>
        <w:spacing w:before="240" w:after="0"/>
        <w:jc w:val="left"/>
        <w:rPr>
          <w:rFonts w:ascii="ARIAL" w:hAnsi="ARIAL"/>
          <w:b/>
          <w:sz w:val="20"/>
        </w:rPr>
      </w:pPr>
      <w:r>
        <w:rPr>
          <w:rFonts w:ascii="ARIAL" w:hAnsi="ARIAL"/>
          <w:b/>
          <w:sz w:val="20"/>
        </w:rPr>
        <w:t xml:space="preserve">Will the Nominating and Corporate Governance Committee consider any Director candidates recommended by shareholders? </w:t>
      </w:r>
    </w:p>
    <w:p>
      <w:pPr>
        <w:pStyle w:val="TextBody"/>
        <w:spacing w:before="120" w:after="0"/>
        <w:jc w:val="left"/>
        <w:rPr>
          <w:rFonts w:ascii="ARIAL" w:hAnsi="ARIAL"/>
          <w:sz w:val="20"/>
        </w:rPr>
      </w:pPr>
      <w:r>
        <w:rPr>
          <w:rFonts w:ascii="ARIAL" w:hAnsi="ARIAL"/>
          <w:sz w:val="20"/>
        </w:rPr>
        <w:t xml:space="preserve">The Nominating and Corporate Governance Committee will consider nominees recommended by shareholders for election as a Director at an Annual Meeting of Shareholders of Martin Marietta, if the shareholder making such recommendation complies with the advance notice provisions and other criteria specified in the Bylaws of Martin Marietta. The Bylaws of Martin Marietta require advance notice for any proposal for the nomination for election as a Director at an Annual Meeting of Shareholders that is not included in Martin Marietta’s Notice of Meeting or made by or at the direction of the Board of Directors. In general, nominations must be delivered to the Secretary of Martin Marietta at its principal executive offices, 4123 Parklake Avenue, Raleigh, North Carolina 27612,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Secretary of Martin Marietta. In November 2022, Martin Marietta amended and restated its Bylaws to implement certain “universal proxy” rules adopted by the SEC, to update certain procedural requirements relating to director nominations by shareholders set forth in Rule 14a-19 under the Securities Exchange Act of 1934, as amended. The amendments effected by the amended Bylaws also include: (i) enhanced requirements regarding the information shareholders must submit and representations shareholders must make in connection with providing advance notice of shareholder meeting proposals and director nominations, including a representation that the shareholder intends or is part of a group that intends to solicit proxies with respect to such proposal or nomination; (ii) requirements for shareholders submitting such proposals or director nominations to supplement the information provided in the notice as of the record date of the shareholder meeting and, generally, as of ten (10) days prior to the shareholder meeting; (iii) a requirement that a shareholder or a qualified representative of the shareholder appear at the shareholder meeting to present a nomination or other business; (iv) a prohibition against a shareholder nominating a greater number of persons for election to the board of directors than are subject to election at the shareholder meeting; (v) a requirement that for an individual to be eligible for election as a director the individual must complete a questionnaire in a form provided by the Company to provide information relevant to election as a director, including with respect to background, qualifications, stock ownership and independence, and represent that he or she is not and, if elected as a director during his or her term of office, will not become a party to any agreement, arrangement or understanding specifying how he or she is to act or vote as a director on any issue or question unless disclosed to the Company or that would interfere with the ability of the individual to comply with fiduciary duties as a director; and (vi) a requirement that a shareholder soliciting proxies from other shareholders use a proxy card color other than white. In addition to satisfying the foregoing requirements under our amended Bylaws, to comply with the SEC’s universal proxy rules, shareholders who intend to solicit proxies in support of director nominees other than the Board of Directors’ nominees must provide notice that sets forth the information required by SEC Rule 14a-19 no later than 60 calendar days prior to the anniversary of the 2023 Annual Meeting date. Additional information is contained in the section entitled Shareholders’ Proposals For 2023 Annual Meeting below. </w:t>
      </w:r>
    </w:p>
    <w:p>
      <w:pPr>
        <w:pStyle w:val="TextBody"/>
        <w:spacing w:before="240" w:after="0"/>
        <w:jc w:val="left"/>
        <w:rPr>
          <w:rFonts w:ascii="ARIAL" w:hAnsi="ARIAL"/>
          <w:b/>
          <w:sz w:val="20"/>
        </w:rPr>
      </w:pPr>
      <w:r>
        <w:rPr>
          <w:rFonts w:ascii="ARIAL" w:hAnsi="ARIAL"/>
          <w:b/>
          <w:sz w:val="20"/>
        </w:rPr>
        <w:t xml:space="preserve">How does the Board select nominees for the Board? </w:t>
      </w:r>
    </w:p>
    <w:p>
      <w:pPr>
        <w:pStyle w:val="TextBody"/>
        <w:spacing w:before="120" w:after="0"/>
        <w:jc w:val="left"/>
        <w:rPr>
          <w:rFonts w:ascii="ARIAL" w:hAnsi="ARIAL"/>
          <w:sz w:val="20"/>
        </w:rPr>
      </w:pPr>
      <w:r>
        <w:rPr>
          <w:rFonts w:ascii="ARIAL" w:hAnsi="ARIAL"/>
          <w:sz w:val="20"/>
        </w:rPr>
        <w:t xml:space="preserve">The Nominating and Corporate Governance Committee will consider candidates for Board membership suggested by its members and other Board members, as well as management and shareholders. The Committee may also retain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36</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8" descr=""/>
                          <pic:cNvPicPr>
                            <a:picLocks noChangeAspect="1" noChangeArrowheads="1"/>
                          </pic:cNvPicPr>
                        </pic:nvPicPr>
                        <pic:blipFill>
                          <a:blip r:embed="rId13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w:t>
      </w:r>
      <w:r>
        <w:rPr/>
        <w:t>  </w:t>
      </w:r>
      <w:r>
        <w:rPr>
          <w:rFonts w:ascii="ARIAL" w:hAnsi="ARIAL"/>
          <w:color w:val="007CBA"/>
          <w:sz w:val="16"/>
        </w:rPr>
        <w:t>PROPOSAL 2: INDEPENDENT AUDITORS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In evaluating any potential candidate, the Nominating and Corporate Governance Committee considers the extent to which the candidate has the personal characteristics and core competencies outlined in the Guidelines for Potential New Board Members adopted by the Committee, and takes into account all other factors it considers appropriate. A copy of these Guidelines is attached to this Proxy Statement as Appendix A. </w:t>
      </w:r>
    </w:p>
    <w:p>
      <w:pPr>
        <w:pStyle w:val="TextBody"/>
        <w:spacing w:before="240" w:after="0"/>
        <w:jc w:val="left"/>
        <w:rPr>
          <w:rFonts w:ascii="ARIAL" w:hAnsi="ARIAL"/>
          <w:b/>
          <w:sz w:val="20"/>
        </w:rPr>
      </w:pPr>
      <w:r>
        <w:rPr>
          <w:rFonts w:ascii="ARIAL" w:hAnsi="ARIAL"/>
          <w:b/>
          <w:sz w:val="20"/>
        </w:rPr>
        <w:t xml:space="preserve">Do the Board Committees have charters? How can shareholders obtain them? </w:t>
      </w:r>
    </w:p>
    <w:p>
      <w:pPr>
        <w:pStyle w:val="TextBody"/>
        <w:spacing w:before="120" w:after="0"/>
        <w:jc w:val="left"/>
        <w:rPr>
          <w:rFonts w:ascii="ARIAL" w:hAnsi="ARIAL"/>
          <w:sz w:val="20"/>
        </w:rPr>
      </w:pPr>
      <w:r>
        <w:rPr>
          <w:rFonts w:ascii="ARIAL" w:hAnsi="ARIAL"/>
          <w:sz w:val="20"/>
        </w:rPr>
        <w:t xml:space="preserve">Martin Marietta’s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and the charters of the other Committees of the Board, are posted on Martin Marietta’s website at https://ir.martinmarietta.com/corporate-governance/governance-documents-and-charters, along with copies of Martin Marietta’s Corporate Governance Guidelines, Code of Ethical Business Conduct, and Guidelines for Director’s Independence. </w:t>
      </w:r>
    </w:p>
    <w:p>
      <w:pPr>
        <w:pStyle w:val="TextBody"/>
        <w:spacing w:before="240" w:after="0"/>
        <w:jc w:val="left"/>
        <w:rPr>
          <w:rFonts w:ascii="ARIAL" w:hAnsi="ARIAL"/>
          <w:b/>
          <w:sz w:val="20"/>
        </w:rPr>
      </w:pPr>
      <w:r>
        <w:rPr>
          <w:rFonts w:ascii="ARIAL" w:hAnsi="ARIAL"/>
          <w:b/>
          <w:sz w:val="20"/>
        </w:rPr>
        <w:t xml:space="preserve">How are transactions with persons related to Martin Marietta reviewed? </w:t>
      </w:r>
    </w:p>
    <w:p>
      <w:pPr>
        <w:pStyle w:val="TextBody"/>
        <w:spacing w:before="120" w:after="0"/>
        <w:jc w:val="left"/>
        <w:rPr>
          <w:rFonts w:ascii="ARIAL" w:hAnsi="ARIAL"/>
          <w:sz w:val="20"/>
        </w:rPr>
      </w:pPr>
      <w:r>
        <w:rPr>
          <w:rFonts w:ascii="ARIAL" w:hAnsi="ARIAL"/>
          <w:sz w:val="20"/>
        </w:rPr>
        <w:t xml:space="preserve">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 Since January 1, 2022, there have been no such transactions. </w:t>
      </w:r>
    </w:p>
    <w:p>
      <w:pPr>
        <w:pStyle w:val="TextBody"/>
        <w:spacing w:before="240" w:after="0"/>
        <w:jc w:val="left"/>
        <w:rPr>
          <w:rFonts w:ascii="ARIAL" w:hAnsi="ARIAL"/>
          <w:sz w:val="20"/>
        </w:rPr>
      </w:pPr>
      <w:r>
        <w:rPr>
          <w:rFonts w:ascii="ARIAL" w:hAnsi="ARIAL"/>
          <w:sz w:val="20"/>
        </w:rPr>
        <w:t xml:space="preserve">Each Director, executive officer, and nominee for Director of Martin Marietta receives and agrees to abide by Martin Marietta’s Code of Ethical Business Conduct. Martin Marietta considers that any transaction in which Martin Marietta participates and in which any related person of Martin Marietta has a direct or indirect material interest will be subject to review, approval or ratification, as appropriate under the circumstances, by Martin Marietta under the standards enumerated in Martin Marietta’s Code of Ethical Business Conduct. If a proposed transaction is one in which a Director of Martin Marietta has an actual or potential conflict of interest, it will be subject to review by the Chairman of the Board of Directors and the Chairman of the Nominating and Corporate Governance Committee. </w:t>
      </w:r>
    </w:p>
    <w:p>
      <w:pPr>
        <w:pStyle w:val="TextBody"/>
        <w:spacing w:before="240" w:after="0"/>
        <w:jc w:val="left"/>
        <w:rPr>
          <w:rFonts w:ascii="ARIAL" w:hAnsi="ARIAL"/>
          <w:sz w:val="20"/>
        </w:rPr>
      </w:pPr>
      <w:r>
        <w:rPr>
          <w:rFonts w:ascii="ARIAL" w:hAnsi="ARIAL"/>
          <w:sz w:val="20"/>
        </w:rPr>
        <w:t xml:space="preserve">Any waivers of the Code of Ethical Business Conduct for Directors and executive officers may be made only by Martin Marietta’s Board of Directors or any Committee to which it delegates that authority. Any waivers for Directors and executive officers and any amendments to the Code of Ethical Business Conduct will be promptly disclosed on our website, </w:t>
      </w:r>
      <w:r>
        <w:rPr>
          <w:rFonts w:ascii="ARIAL" w:hAnsi="ARIAL"/>
          <w:i/>
          <w:sz w:val="20"/>
        </w:rPr>
        <w:t>www.martinmarietta.com</w:t>
      </w:r>
      <w:r>
        <w:rPr>
          <w:rFonts w:ascii="ARIAL" w:hAnsi="ARIAL"/>
          <w:sz w:val="20"/>
        </w:rPr>
        <w:t xml:space="preserve">. </w:t>
      </w:r>
    </w:p>
    <w:p>
      <w:pPr>
        <w:pStyle w:val="TextBody"/>
        <w:spacing w:before="240" w:after="0"/>
        <w:jc w:val="left"/>
        <w:rPr>
          <w:rFonts w:ascii="ARIAL" w:hAnsi="ARIAL"/>
          <w:sz w:val="20"/>
        </w:rPr>
      </w:pPr>
      <w:r>
        <w:rPr>
          <w:rFonts w:ascii="ARIAL" w:hAnsi="ARIAL"/>
          <w:sz w:val="20"/>
        </w:rPr>
        <w:t xml:space="preserve">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 </w:t>
      </w:r>
    </w:p>
    <w:p>
      <w:pPr>
        <w:pStyle w:val="TextBody"/>
        <w:spacing w:before="0" w:after="0"/>
        <w:jc w:val="left"/>
        <w:rPr/>
      </w:pPr>
      <w:r>
        <w:rPr/>
        <w:t> </w:t>
      </w:r>
    </w:p>
    <w:tbl>
      <w:tblPr>
        <w:tblW w:w="6970" w:type="dxa"/>
        <w:jc w:val="left"/>
        <w:tblInd w:w="0" w:type="dxa"/>
        <w:tblCellMar>
          <w:top w:w="0" w:type="dxa"/>
          <w:left w:w="0" w:type="dxa"/>
          <w:bottom w:w="0" w:type="dxa"/>
          <w:right w:w="0" w:type="dxa"/>
        </w:tblCellMar>
      </w:tblPr>
      <w:tblGrid>
        <w:gridCol w:w="2525"/>
        <w:gridCol w:w="60"/>
        <w:gridCol w:w="4385"/>
      </w:tblGrid>
      <w:tr>
        <w:trPr/>
        <w:tc>
          <w:tcPr>
            <w:tcW w:w="25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85" w:type="dxa"/>
            <w:tcBorders/>
            <w:shd w:fill="auto" w:val="clear"/>
            <w:vAlign w:val="center"/>
          </w:tcPr>
          <w:p>
            <w:pPr>
              <w:pStyle w:val="TableContents"/>
              <w:spacing w:before="0" w:after="283"/>
              <w:rPr>
                <w:sz w:val="4"/>
                <w:szCs w:val="4"/>
              </w:rPr>
            </w:pPr>
            <w:r>
              <w:rPr>
                <w:sz w:val="4"/>
                <w:szCs w:val="4"/>
              </w:rPr>
            </w:r>
          </w:p>
        </w:tc>
      </w:tr>
      <w:tr>
        <w:trPr/>
        <w:tc>
          <w:tcPr>
            <w:tcW w:w="2525" w:type="dxa"/>
            <w:tcBorders/>
            <w:shd w:fill="007CBA" w:val="clear"/>
            <w:vAlign w:val="center"/>
          </w:tcPr>
          <w:p>
            <w:pPr>
              <w:pStyle w:val="TableContents"/>
              <w:spacing w:lineRule="atLeast" w:line="600" w:before="0" w:after="0"/>
              <w:rPr>
                <w:color w:val="FFFFFF"/>
              </w:rPr>
            </w:pPr>
            <w:bookmarkStart w:id="20" w:name="toc390557_15"/>
            <w:bookmarkEnd w:id="20"/>
            <w:r>
              <w:rPr>
                <w:color w:val="FFFFFF"/>
              </w:rPr>
              <w:t> </w:t>
            </w:r>
            <w:r>
              <w:rPr>
                <w:rFonts w:ascii="ARIAL" w:hAnsi="ARIAL"/>
                <w:b/>
                <w:color w:val="FFFFFF"/>
                <w:sz w:val="42"/>
              </w:rPr>
              <w:t>Proposal 2: </w:t>
            </w:r>
          </w:p>
        </w:tc>
        <w:tc>
          <w:tcPr>
            <w:tcW w:w="60" w:type="dxa"/>
            <w:tcBorders/>
            <w:shd w:fill="auto" w:val="clear"/>
            <w:vAlign w:val="center"/>
          </w:tcPr>
          <w:p>
            <w:pPr>
              <w:pStyle w:val="TableContents"/>
              <w:spacing w:before="0" w:after="283"/>
              <w:rPr/>
            </w:pPr>
            <w:r>
              <w:rPr/>
              <w:t> </w:t>
            </w:r>
          </w:p>
        </w:tc>
        <w:tc>
          <w:tcPr>
            <w:tcW w:w="4385" w:type="dxa"/>
            <w:tcBorders/>
            <w:shd w:fill="auto" w:val="clear"/>
            <w:vAlign w:val="center"/>
          </w:tcPr>
          <w:p>
            <w:pPr>
              <w:pStyle w:val="TableContents"/>
              <w:spacing w:lineRule="atLeast" w:line="600" w:before="0" w:after="0"/>
              <w:rPr>
                <w:rFonts w:ascii="ARIAL" w:hAnsi="ARIAL"/>
                <w:b/>
                <w:color w:val="007CBA"/>
                <w:sz w:val="42"/>
              </w:rPr>
            </w:pPr>
            <w:r>
              <w:rPr>
                <w:rFonts w:ascii="ARIAL" w:hAnsi="ARIAL"/>
                <w:b/>
                <w:color w:val="007CBA"/>
                <w:sz w:val="42"/>
              </w:rPr>
              <w:t>Independent Auditors</w:t>
            </w:r>
          </w:p>
        </w:tc>
      </w:tr>
    </w:tbl>
    <w:p>
      <w:pPr>
        <w:pStyle w:val="TextBody"/>
        <w:spacing w:before="240" w:after="0"/>
        <w:jc w:val="left"/>
        <w:rPr>
          <w:rFonts w:ascii="ARIAL" w:hAnsi="ARIAL"/>
          <w:sz w:val="20"/>
        </w:rPr>
      </w:pPr>
      <w:r>
        <w:rPr>
          <w:rFonts w:ascii="ARIAL" w:hAnsi="ARIAL"/>
          <w:sz w:val="20"/>
        </w:rPr>
        <w:t xml:space="preserve">The Audit Committee has appointed PricewaterhouseCoopers LLP (PwC), an independent registered public accounting firm, to audit the consolidated financial statements of Martin Marietta and the effectiveness of Martin Marietta’s internal control over financial reporting for the 2023 fiscal year and the Board of Directors recommends that the shareholders ratify this appointment. The ratification of the appointment of PwC is being submitted to the shareholders because the Board of Directors believes this to be good corporate practice. Should the shareholders fail to ratify this appointment, the Audit Committee will review the matter and determine, in its sole discretion, whether PwC or another independent registered public accounting firm should be retained. </w:t>
      </w:r>
    </w:p>
    <w:p>
      <w:pPr>
        <w:pStyle w:val="TextBody"/>
        <w:spacing w:before="0" w:after="0"/>
        <w:jc w:val="left"/>
        <w:rPr/>
      </w:pPr>
      <w:r>
        <w:rPr/>
        <w:t>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9" descr=""/>
                          <pic:cNvPicPr>
                            <a:picLocks noChangeAspect="1" noChangeArrowheads="1"/>
                          </pic:cNvPicPr>
                        </pic:nvPicPr>
                        <pic:blipFill>
                          <a:blip r:embed="rId14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37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PROPOSAL 2: INDEPENDENT AUDITORS  ◆</w:t>
      </w:r>
      <w:r>
        <w:rPr>
          <w:rFonts w:ascii="ARIAL" w:hAnsi="ARIAL"/>
          <w:sz w:val="16"/>
        </w:rPr>
        <w:t xml:space="preserve">  SUMMARY OF FEES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PwC served as Martin Marietta’s independent auditors for 2022 and audited the consolidated financial statements of Martin Marietta for the year ended December 31, 2022 and the effectiveness of Martin Marietta’s internal control over financial reporting as of December 31, 2022. In connection with the audit of Martin Marietta’s 2022 consolidated financial statements, Martin Marietta entered into an engagement letter with PwC that sets forth the terms by which PwC would perform audit services for Martin Marietta. </w:t>
      </w:r>
    </w:p>
    <w:p>
      <w:pPr>
        <w:pStyle w:val="TextBody"/>
        <w:spacing w:before="240" w:after="0"/>
        <w:jc w:val="left"/>
        <w:rPr>
          <w:rFonts w:ascii="ARIAL" w:hAnsi="ARIAL"/>
          <w:sz w:val="20"/>
        </w:rPr>
      </w:pPr>
      <w:r>
        <w:rPr>
          <w:rFonts w:ascii="ARIAL" w:hAnsi="ARIAL"/>
          <w:sz w:val="20"/>
        </w:rPr>
        <w:t xml:space="preserve">The Audit Committee is solely responsible for retaining or terminating Martin Marietta’s independent auditors. Representatives of PwC are expected to attend the Annual Meeting, will have the opportunity to make a statement if they so desire, and will be available to respond to questions from shareholders. </w:t>
      </w:r>
    </w:p>
    <w:p>
      <w:pPr>
        <w:pStyle w:val="TextBody"/>
        <w:spacing w:before="0" w:after="0"/>
        <w:jc w:val="left"/>
        <w:rPr/>
      </w:pPr>
      <w:r>
        <w:rPr/>
        <w:t> </w:t>
      </w:r>
    </w:p>
    <w:tbl>
      <w:tblPr>
        <w:tblW w:w="8488" w:type="dxa"/>
        <w:jc w:val="left"/>
        <w:tblInd w:w="0" w:type="dxa"/>
        <w:tblCellMar>
          <w:top w:w="0" w:type="dxa"/>
          <w:left w:w="0" w:type="dxa"/>
          <w:bottom w:w="0" w:type="dxa"/>
          <w:right w:w="0" w:type="dxa"/>
        </w:tblCellMar>
      </w:tblPr>
      <w:tblGrid>
        <w:gridCol w:w="375"/>
        <w:gridCol w:w="60"/>
        <w:gridCol w:w="7895"/>
        <w:gridCol w:w="120"/>
        <w:gridCol w:w="38"/>
      </w:tblGrid>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vAlign w:val="center"/>
          </w:tcPr>
          <w:p>
            <w:pPr>
              <w:pStyle w:val="TableContents"/>
              <w:spacing w:before="0" w:after="283"/>
              <w:rPr/>
            </w:pPr>
            <w:r>
              <w:rPr/>
              <w:drawing>
                <wp:inline distT="0" distB="0" distL="0" distR="0">
                  <wp:extent cx="38100" cy="36830"/>
                  <wp:effectExtent l="0" t="0" r="0" b="0"/>
                  <wp:docPr id="1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0" descr=""/>
                          <pic:cNvPicPr>
                            <a:picLocks noChangeAspect="1" noChangeArrowheads="1"/>
                          </pic:cNvPicPr>
                        </pic:nvPicPr>
                        <pic:blipFill>
                          <a:blip r:embed="rId141"/>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7895" w:type="dxa"/>
            <w:tcBorders/>
            <w:shd w:fill="auto" w:val="clear"/>
            <w:vAlign w:val="center"/>
          </w:tcPr>
          <w:p>
            <w:pPr>
              <w:pStyle w:val="TableContents"/>
              <w:spacing w:before="0" w:after="0"/>
              <w:rPr>
                <w:rFonts w:ascii="ARIAL" w:hAnsi="ARIAL"/>
                <w:color w:val="007CBA"/>
                <w:sz w:val="24"/>
              </w:rPr>
            </w:pPr>
            <w:r>
              <w:rPr>
                <w:rFonts w:ascii="ARIAL" w:hAnsi="ARIAL"/>
                <w:color w:val="007CBA"/>
                <w:sz w:val="24"/>
              </w:rPr>
              <w:t>The Board Unanimously Recommends a Vote “</w:t>
            </w:r>
            <w:r>
              <w:rPr>
                <w:rFonts w:ascii="ARIAL" w:hAnsi="ARIAL"/>
                <w:b/>
                <w:color w:val="007CBA"/>
                <w:sz w:val="24"/>
              </w:rPr>
              <w:t>FOR”</w:t>
            </w:r>
            <w:r>
              <w:rPr>
                <w:rFonts w:ascii="ARIAL" w:hAnsi="ARIAL"/>
                <w:color w:val="007CBA"/>
                <w:sz w:val="24"/>
              </w:rPr>
              <w:t> on this Proposal 2    </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shd w:fill="007CBA" w:val="clear"/>
            <w:vAlign w:val="center"/>
          </w:tcPr>
          <w:p>
            <w:pPr>
              <w:pStyle w:val="TableContents"/>
              <w:spacing w:before="0" w:after="283"/>
              <w:rPr/>
            </w:pPr>
            <w:r>
              <w:rPr/>
              <w:t> </w:t>
            </w:r>
          </w:p>
        </w:tc>
        <w:tc>
          <w:tcPr>
            <w:tcW w:w="8053" w:type="dxa"/>
            <w:gridSpan w:val="3"/>
            <w:tcBorders/>
            <w:shd w:fill="007CBA" w:val="clear"/>
            <w:vAlign w:val="center"/>
          </w:tcPr>
          <w:p>
            <w:pPr>
              <w:pStyle w:val="TableContents"/>
              <w:spacing w:before="0" w:after="283"/>
              <w:rPr>
                <w:sz w:val="4"/>
                <w:szCs w:val="4"/>
              </w:rPr>
            </w:pPr>
            <w:r>
              <w:rPr>
                <w:sz w:val="4"/>
                <w:szCs w:val="4"/>
              </w:rPr>
            </w:r>
          </w:p>
        </w:tc>
      </w:tr>
    </w:tbl>
    <w:p>
      <w:pPr>
        <w:pStyle w:val="TextBody"/>
        <w:spacing w:before="240" w:after="0"/>
        <w:jc w:val="left"/>
        <w:rPr>
          <w:rFonts w:ascii="ARIAL" w:hAnsi="ARIAL"/>
          <w:b/>
          <w:color w:val="71BE9A"/>
          <w:sz w:val="26"/>
        </w:rPr>
      </w:pPr>
      <w:bookmarkStart w:id="21" w:name="toc390557_16"/>
      <w:bookmarkEnd w:id="21"/>
      <w:r>
        <w:rPr>
          <w:rFonts w:ascii="ARIAL" w:hAnsi="ARIAL"/>
          <w:b/>
          <w:color w:val="71BE9A"/>
          <w:sz w:val="26"/>
        </w:rPr>
        <w:t xml:space="preserve">Summary of Fees </w:t>
      </w:r>
    </w:p>
    <w:p>
      <w:pPr>
        <w:pStyle w:val="TextBody"/>
        <w:spacing w:before="120" w:after="0"/>
        <w:jc w:val="left"/>
        <w:rPr>
          <w:rFonts w:ascii="ARIAL" w:hAnsi="ARIAL"/>
          <w:sz w:val="20"/>
        </w:rPr>
      </w:pPr>
      <w:r>
        <w:rPr>
          <w:rFonts w:ascii="ARIAL" w:hAnsi="ARIAL"/>
          <w:sz w:val="20"/>
        </w:rPr>
        <w:t xml:space="preserve">The following table summarizes the aggregate of fees billed for professional services rendered to Martin Marietta by PwC in 2022 and 2021. </w:t>
      </w:r>
    </w:p>
    <w:p>
      <w:pPr>
        <w:pStyle w:val="TextBody"/>
        <w:spacing w:before="0" w:after="0"/>
        <w:jc w:val="left"/>
        <w:rPr/>
      </w:pPr>
      <w:r>
        <w:rPr/>
        <w:t> </w:t>
      </w:r>
    </w:p>
    <w:tbl>
      <w:tblPr>
        <w:tblW w:w="7565" w:type="dxa"/>
        <w:jc w:val="left"/>
        <w:tblInd w:w="0" w:type="dxa"/>
        <w:tblCellMar>
          <w:top w:w="0" w:type="dxa"/>
          <w:left w:w="0" w:type="dxa"/>
          <w:bottom w:w="0" w:type="dxa"/>
          <w:right w:w="0" w:type="dxa"/>
        </w:tblCellMar>
      </w:tblPr>
      <w:tblGrid>
        <w:gridCol w:w="4520"/>
        <w:gridCol w:w="120"/>
        <w:gridCol w:w="140"/>
        <w:gridCol w:w="980"/>
        <w:gridCol w:w="275"/>
        <w:gridCol w:w="120"/>
        <w:gridCol w:w="140"/>
        <w:gridCol w:w="980"/>
        <w:gridCol w:w="290"/>
      </w:tblGrid>
      <w:tr>
        <w:trPr/>
        <w:tc>
          <w:tcPr>
            <w:tcW w:w="45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520" w:type="dxa"/>
            <w:tcBorders/>
            <w:shd w:fill="DBDBDB" w:val="clear"/>
            <w:vAlign w:val="center"/>
          </w:tcPr>
          <w:p>
            <w:pPr>
              <w:pStyle w:val="TableContents"/>
              <w:spacing w:before="0" w:after="283"/>
              <w:rPr>
                <w:sz w:val="4"/>
                <w:szCs w:val="4"/>
              </w:rPr>
            </w:pPr>
            <w:r>
              <w:rPr>
                <w:sz w:val="4"/>
                <w:szCs w:val="4"/>
              </w:rPr>
            </w:r>
          </w:p>
        </w:tc>
        <w:tc>
          <w:tcPr>
            <w:tcW w:w="1515" w:type="dxa"/>
            <w:gridSpan w:val="4"/>
            <w:tcBorders/>
            <w:shd w:fill="DBDBDB" w:val="clear"/>
            <w:vAlign w:val="center"/>
          </w:tcPr>
          <w:p>
            <w:pPr>
              <w:pStyle w:val="TableContents"/>
              <w:spacing w:before="0" w:after="283"/>
              <w:rPr>
                <w:sz w:val="4"/>
                <w:szCs w:val="4"/>
              </w:rPr>
            </w:pPr>
            <w:r>
              <w:rPr>
                <w:sz w:val="4"/>
                <w:szCs w:val="4"/>
              </w:rPr>
            </w:r>
          </w:p>
        </w:tc>
        <w:tc>
          <w:tcPr>
            <w:tcW w:w="1530" w:type="dxa"/>
            <w:gridSpan w:val="4"/>
            <w:tcBorders/>
            <w:shd w:fill="DBDBDB" w:val="clear"/>
            <w:vAlign w:val="center"/>
          </w:tcPr>
          <w:p>
            <w:pPr>
              <w:pStyle w:val="TableContents"/>
              <w:spacing w:before="0" w:after="283"/>
              <w:rPr>
                <w:sz w:val="4"/>
                <w:szCs w:val="4"/>
              </w:rPr>
            </w:pPr>
            <w:r>
              <w:rPr>
                <w:sz w:val="4"/>
                <w:szCs w:val="4"/>
              </w:rPr>
            </w:r>
          </w:p>
        </w:tc>
      </w:tr>
      <w:tr>
        <w:trPr/>
        <w:tc>
          <w:tcPr>
            <w:tcW w:w="452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120" w:type="dxa"/>
            <w:gridSpan w:val="2"/>
            <w:tcBorders/>
            <w:shd w:fill="DBDBDB" w:val="clear"/>
            <w:vAlign w:val="center"/>
          </w:tcPr>
          <w:p>
            <w:pPr>
              <w:pStyle w:val="TableContents"/>
              <w:spacing w:before="0" w:after="283"/>
              <w:jc w:val="center"/>
              <w:rPr>
                <w:b/>
              </w:rPr>
            </w:pPr>
            <w:r>
              <w:rPr>
                <w:b/>
              </w:rPr>
              <w:t>2022</w:t>
            </w:r>
          </w:p>
        </w:tc>
        <w:tc>
          <w:tcPr>
            <w:tcW w:w="275"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120" w:type="dxa"/>
            <w:gridSpan w:val="2"/>
            <w:tcBorders/>
            <w:shd w:fill="DBDBDB" w:val="clear"/>
            <w:vAlign w:val="center"/>
          </w:tcPr>
          <w:p>
            <w:pPr>
              <w:pStyle w:val="TableContents"/>
              <w:spacing w:before="0" w:after="283"/>
              <w:jc w:val="center"/>
              <w:rPr>
                <w:b/>
              </w:rPr>
            </w:pPr>
            <w:r>
              <w:rPr>
                <w:b/>
              </w:rPr>
              <w:t>2021</w:t>
            </w:r>
          </w:p>
        </w:tc>
        <w:tc>
          <w:tcPr>
            <w:tcW w:w="290" w:type="dxa"/>
            <w:tcBorders/>
            <w:shd w:fill="DBDBDB" w:val="cle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283"/>
              <w:rPr>
                <w:sz w:val="4"/>
                <w:szCs w:val="4"/>
              </w:rPr>
            </w:pPr>
            <w:r>
              <w:rPr>
                <w:sz w:val="4"/>
                <w:szCs w:val="4"/>
              </w:rPr>
            </w:r>
          </w:p>
        </w:tc>
        <w:tc>
          <w:tcPr>
            <w:tcW w:w="1515" w:type="dxa"/>
            <w:gridSpan w:val="4"/>
            <w:tcBorders/>
            <w:shd w:fill="auto" w:val="clear"/>
            <w:vAlign w:val="center"/>
          </w:tcPr>
          <w:p>
            <w:pPr>
              <w:pStyle w:val="TableContents"/>
              <w:spacing w:before="0" w:after="283"/>
              <w:rPr>
                <w:sz w:val="4"/>
                <w:szCs w:val="4"/>
              </w:rPr>
            </w:pPr>
            <w:r>
              <w:rPr>
                <w:sz w:val="4"/>
                <w:szCs w:val="4"/>
              </w:rPr>
            </w:r>
          </w:p>
        </w:tc>
        <w:tc>
          <w:tcPr>
            <w:tcW w:w="1530" w:type="dxa"/>
            <w:gridSpan w:val="4"/>
            <w:tcBorders/>
            <w:shd w:fill="auto" w:val="clear"/>
            <w:vAlign w:val="center"/>
          </w:tcPr>
          <w:p>
            <w:pPr>
              <w:pStyle w:val="TableContents"/>
              <w:spacing w:before="0" w:after="283"/>
              <w:rPr>
                <w:sz w:val="4"/>
                <w:szCs w:val="4"/>
              </w:rPr>
            </w:pPr>
            <w:r>
              <w:rPr>
                <w:sz w:val="4"/>
                <w:szCs w:val="4"/>
              </w:rPr>
            </w:r>
          </w:p>
        </w:tc>
      </w:tr>
      <w:tr>
        <w:trPr/>
        <w:tc>
          <w:tcPr>
            <w:tcW w:w="452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Audit Fees1</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3,296,000</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3,401,000</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283"/>
              <w:rPr>
                <w:sz w:val="4"/>
                <w:szCs w:val="4"/>
              </w:rPr>
            </w:pPr>
            <w:r>
              <w:rPr>
                <w:sz w:val="4"/>
                <w:szCs w:val="4"/>
              </w:rPr>
            </w:r>
          </w:p>
        </w:tc>
        <w:tc>
          <w:tcPr>
            <w:tcW w:w="1515" w:type="dxa"/>
            <w:gridSpan w:val="4"/>
            <w:tcBorders/>
            <w:shd w:fill="auto" w:val="clear"/>
            <w:vAlign w:val="center"/>
          </w:tcPr>
          <w:p>
            <w:pPr>
              <w:pStyle w:val="TableContents"/>
              <w:spacing w:before="0" w:after="283"/>
              <w:rPr>
                <w:sz w:val="4"/>
                <w:szCs w:val="4"/>
              </w:rPr>
            </w:pPr>
            <w:r>
              <w:rPr>
                <w:sz w:val="4"/>
                <w:szCs w:val="4"/>
              </w:rPr>
            </w:r>
          </w:p>
        </w:tc>
        <w:tc>
          <w:tcPr>
            <w:tcW w:w="1530" w:type="dxa"/>
            <w:gridSpan w:val="4"/>
            <w:tcBorders/>
            <w:shd w:fill="auto" w:val="clear"/>
            <w:vAlign w:val="center"/>
          </w:tcPr>
          <w:p>
            <w:pPr>
              <w:pStyle w:val="TableContents"/>
              <w:spacing w:before="0" w:after="283"/>
              <w:rPr>
                <w:sz w:val="4"/>
                <w:szCs w:val="4"/>
              </w:rPr>
            </w:pPr>
            <w:r>
              <w:rPr>
                <w:sz w:val="4"/>
                <w:szCs w:val="4"/>
              </w:rPr>
            </w:r>
          </w:p>
        </w:tc>
      </w:tr>
      <w:tr>
        <w:trPr/>
        <w:tc>
          <w:tcPr>
            <w:tcW w:w="452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Audit-Related Fees2</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100,000</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100,000</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283"/>
              <w:rPr>
                <w:sz w:val="4"/>
                <w:szCs w:val="4"/>
              </w:rPr>
            </w:pPr>
            <w:r>
              <w:rPr>
                <w:sz w:val="4"/>
                <w:szCs w:val="4"/>
              </w:rPr>
            </w:r>
          </w:p>
        </w:tc>
        <w:tc>
          <w:tcPr>
            <w:tcW w:w="1515" w:type="dxa"/>
            <w:gridSpan w:val="4"/>
            <w:tcBorders/>
            <w:shd w:fill="auto" w:val="clear"/>
            <w:vAlign w:val="center"/>
          </w:tcPr>
          <w:p>
            <w:pPr>
              <w:pStyle w:val="TableContents"/>
              <w:spacing w:before="0" w:after="283"/>
              <w:rPr>
                <w:sz w:val="4"/>
                <w:szCs w:val="4"/>
              </w:rPr>
            </w:pPr>
            <w:r>
              <w:rPr>
                <w:sz w:val="4"/>
                <w:szCs w:val="4"/>
              </w:rPr>
            </w:r>
          </w:p>
        </w:tc>
        <w:tc>
          <w:tcPr>
            <w:tcW w:w="1530" w:type="dxa"/>
            <w:gridSpan w:val="4"/>
            <w:tcBorders/>
            <w:shd w:fill="auto" w:val="clear"/>
            <w:vAlign w:val="center"/>
          </w:tcPr>
          <w:p>
            <w:pPr>
              <w:pStyle w:val="TableContents"/>
              <w:spacing w:before="0" w:after="283"/>
              <w:rPr>
                <w:sz w:val="4"/>
                <w:szCs w:val="4"/>
              </w:rPr>
            </w:pPr>
            <w:r>
              <w:rPr>
                <w:sz w:val="4"/>
                <w:szCs w:val="4"/>
              </w:rPr>
            </w:r>
          </w:p>
        </w:tc>
      </w:tr>
      <w:tr>
        <w:trPr/>
        <w:tc>
          <w:tcPr>
            <w:tcW w:w="452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Tax Fees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283"/>
              <w:rPr>
                <w:sz w:val="4"/>
                <w:szCs w:val="4"/>
              </w:rPr>
            </w:pPr>
            <w:r>
              <w:rPr>
                <w:sz w:val="4"/>
                <w:szCs w:val="4"/>
              </w:rPr>
            </w:r>
          </w:p>
        </w:tc>
        <w:tc>
          <w:tcPr>
            <w:tcW w:w="1515" w:type="dxa"/>
            <w:gridSpan w:val="4"/>
            <w:tcBorders/>
            <w:shd w:fill="auto" w:val="clear"/>
            <w:vAlign w:val="center"/>
          </w:tcPr>
          <w:p>
            <w:pPr>
              <w:pStyle w:val="TableContents"/>
              <w:spacing w:before="0" w:after="283"/>
              <w:rPr>
                <w:sz w:val="4"/>
                <w:szCs w:val="4"/>
              </w:rPr>
            </w:pPr>
            <w:r>
              <w:rPr>
                <w:sz w:val="4"/>
                <w:szCs w:val="4"/>
              </w:rPr>
            </w:r>
          </w:p>
        </w:tc>
        <w:tc>
          <w:tcPr>
            <w:tcW w:w="1530" w:type="dxa"/>
            <w:gridSpan w:val="4"/>
            <w:tcBorders/>
            <w:shd w:fill="auto" w:val="clear"/>
            <w:vAlign w:val="center"/>
          </w:tcPr>
          <w:p>
            <w:pPr>
              <w:pStyle w:val="TableContents"/>
              <w:spacing w:before="0" w:after="283"/>
              <w:rPr>
                <w:sz w:val="4"/>
                <w:szCs w:val="4"/>
              </w:rPr>
            </w:pPr>
            <w:r>
              <w:rPr>
                <w:sz w:val="4"/>
                <w:szCs w:val="4"/>
              </w:rPr>
            </w:r>
          </w:p>
        </w:tc>
      </w:tr>
      <w:tr>
        <w:trPr/>
        <w:tc>
          <w:tcPr>
            <w:tcW w:w="452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All Other Fees3</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3,000</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3,000</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283"/>
              <w:rPr>
                <w:sz w:val="4"/>
                <w:szCs w:val="4"/>
              </w:rPr>
            </w:pPr>
            <w:r>
              <w:rPr>
                <w:sz w:val="4"/>
                <w:szCs w:val="4"/>
              </w:rPr>
            </w:r>
          </w:p>
        </w:tc>
        <w:tc>
          <w:tcPr>
            <w:tcW w:w="1515" w:type="dxa"/>
            <w:gridSpan w:val="4"/>
            <w:tcBorders/>
            <w:shd w:fill="auto" w:val="clear"/>
            <w:vAlign w:val="center"/>
          </w:tcPr>
          <w:p>
            <w:pPr>
              <w:pStyle w:val="TableContents"/>
              <w:spacing w:before="0" w:after="283"/>
              <w:rPr>
                <w:sz w:val="4"/>
                <w:szCs w:val="4"/>
              </w:rPr>
            </w:pPr>
            <w:r>
              <w:rPr>
                <w:sz w:val="4"/>
                <w:szCs w:val="4"/>
              </w:rPr>
            </w:r>
          </w:p>
        </w:tc>
        <w:tc>
          <w:tcPr>
            <w:tcW w:w="1530" w:type="dxa"/>
            <w:gridSpan w:val="4"/>
            <w:tcBorders/>
            <w:shd w:fill="auto" w:val="clear"/>
            <w:vAlign w:val="center"/>
          </w:tcPr>
          <w:p>
            <w:pPr>
              <w:pStyle w:val="TableContents"/>
              <w:spacing w:before="0" w:after="283"/>
              <w:rPr>
                <w:sz w:val="4"/>
                <w:szCs w:val="4"/>
              </w:rPr>
            </w:pPr>
            <w:r>
              <w:rPr>
                <w:sz w:val="4"/>
                <w:szCs w:val="4"/>
              </w:rPr>
            </w:r>
          </w:p>
        </w:tc>
      </w:tr>
      <w:tr>
        <w:trPr/>
        <w:tc>
          <w:tcPr>
            <w:tcW w:w="452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TOTAL</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3,399,000</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3,504,000</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283"/>
              <w:rPr>
                <w:sz w:val="4"/>
                <w:szCs w:val="4"/>
              </w:rPr>
            </w:pPr>
            <w:r>
              <w:rPr>
                <w:sz w:val="4"/>
                <w:szCs w:val="4"/>
              </w:rPr>
            </w:r>
          </w:p>
        </w:tc>
        <w:tc>
          <w:tcPr>
            <w:tcW w:w="1515" w:type="dxa"/>
            <w:gridSpan w:val="4"/>
            <w:tcBorders/>
            <w:shd w:fill="auto" w:val="clear"/>
            <w:vAlign w:val="center"/>
          </w:tcPr>
          <w:p>
            <w:pPr>
              <w:pStyle w:val="TableContents"/>
              <w:spacing w:before="0" w:after="283"/>
              <w:rPr>
                <w:sz w:val="4"/>
                <w:szCs w:val="4"/>
              </w:rPr>
            </w:pPr>
            <w:r>
              <w:rPr>
                <w:sz w:val="4"/>
                <w:szCs w:val="4"/>
              </w:rPr>
            </w:r>
          </w:p>
        </w:tc>
        <w:tc>
          <w:tcPr>
            <w:tcW w:w="1530" w:type="dxa"/>
            <w:gridSpan w:val="4"/>
            <w:tcBorders/>
            <w:shd w:fill="auto" w:val="clear"/>
            <w:vAlign w:val="center"/>
          </w:tcPr>
          <w:p>
            <w:pPr>
              <w:pStyle w:val="TableContents"/>
              <w:spacing w:before="0" w:after="283"/>
              <w:rPr>
                <w:sz w:val="4"/>
                <w:szCs w:val="4"/>
              </w:rPr>
            </w:pPr>
            <w:r>
              <w:rPr>
                <w:sz w:val="4"/>
                <w:szCs w:val="4"/>
              </w:rPr>
            </w:r>
          </w:p>
        </w:tc>
      </w:tr>
      <w:tr>
        <w:trPr/>
        <w:tc>
          <w:tcPr>
            <w:tcW w:w="4520" w:type="dxa"/>
            <w:tcBorders>
              <w:bottom w:val="single" w:sz="6"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Percentage of Audit &amp; Audit-Related Fees to Total Fees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 </w:t>
            </w:r>
          </w:p>
        </w:tc>
        <w:tc>
          <w:tcPr>
            <w:tcW w:w="980" w:type="dxa"/>
            <w:tcBorders>
              <w:bottom w:val="single" w:sz="6" w:space="0" w:color="000000"/>
            </w:tcBorders>
            <w:shd w:fill="auto" w:val="clear"/>
            <w:tcMar>
              <w:bottom w:w="100" w:type="dxa"/>
            </w:tcMar>
            <w:vAlign w:val="center"/>
          </w:tcPr>
          <w:p>
            <w:pPr>
              <w:pStyle w:val="TableContents"/>
              <w:spacing w:before="0" w:after="283"/>
              <w:jc w:val="right"/>
              <w:rPr/>
            </w:pPr>
            <w:r>
              <w:rPr/>
              <w:t>99.9</w:t>
            </w:r>
          </w:p>
        </w:tc>
        <w:tc>
          <w:tcPr>
            <w:tcW w:w="275"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 </w:t>
            </w:r>
          </w:p>
        </w:tc>
        <w:tc>
          <w:tcPr>
            <w:tcW w:w="980" w:type="dxa"/>
            <w:tcBorders>
              <w:bottom w:val="single" w:sz="6" w:space="0" w:color="000000"/>
            </w:tcBorders>
            <w:shd w:fill="auto" w:val="clear"/>
            <w:tcMar>
              <w:bottom w:w="100" w:type="dxa"/>
            </w:tcMar>
            <w:vAlign w:val="center"/>
          </w:tcPr>
          <w:p>
            <w:pPr>
              <w:pStyle w:val="TableContents"/>
              <w:spacing w:before="0" w:after="283"/>
              <w:jc w:val="right"/>
              <w:rPr/>
            </w:pPr>
            <w:r>
              <w:rPr/>
              <w:t>99.9</w:t>
            </w:r>
          </w:p>
        </w:tc>
        <w:tc>
          <w:tcPr>
            <w:tcW w:w="290"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1</w:t>
            </w:r>
          </w:p>
        </w:tc>
        <w:tc>
          <w:tcPr>
            <w:tcW w:w="10050" w:type="dxa"/>
            <w:tcBorders/>
            <w:shd w:fill="auto" w:val="clear"/>
            <w:vAlign w:val="center"/>
          </w:tcPr>
          <w:p>
            <w:pPr>
              <w:pStyle w:val="TableContents"/>
              <w:spacing w:before="0" w:after="0"/>
              <w:jc w:val="left"/>
              <w:rPr>
                <w:rFonts w:ascii="ARIAL" w:hAnsi="ARIAL"/>
                <w:sz w:val="18"/>
              </w:rPr>
            </w:pPr>
            <w:r>
              <w:rPr>
                <w:rFonts w:ascii="ARIAL" w:hAnsi="ARIAL"/>
                <w:sz w:val="18"/>
              </w:rPr>
              <w:t xml:space="preserve">Services in connection with the annual consolidated financial statement audit, the annual internal controls audit, reviews of the consolidated financial statements included in the quarterly reports, and comfort letter and consent matters related to debt offerings. </w:t>
            </w:r>
          </w:p>
        </w:tc>
      </w:tr>
    </w:tbl>
    <w:tbl>
      <w:tblPr>
        <w:tblW w:w="9625" w:type="dxa"/>
        <w:jc w:val="left"/>
        <w:tblInd w:w="0" w:type="dxa"/>
        <w:tblCellMar>
          <w:top w:w="0" w:type="dxa"/>
          <w:left w:w="0" w:type="dxa"/>
          <w:bottom w:w="0" w:type="dxa"/>
          <w:right w:w="0" w:type="dxa"/>
        </w:tblCellMar>
      </w:tblPr>
      <w:tblGrid>
        <w:gridCol w:w="155"/>
        <w:gridCol w:w="9470"/>
      </w:tblGrid>
      <w:tr>
        <w:trPr/>
        <w:tc>
          <w:tcPr>
            <w:tcW w:w="155" w:type="dxa"/>
            <w:tcBorders/>
            <w:shd w:fill="auto" w:val="clear"/>
            <w:vAlign w:val="center"/>
          </w:tcPr>
          <w:p>
            <w:pPr>
              <w:pStyle w:val="TableContents"/>
              <w:spacing w:before="0" w:after="283"/>
              <w:jc w:val="left"/>
              <w:rPr/>
            </w:pPr>
            <w:r>
              <w:rPr/>
              <w:t>2</w:t>
            </w:r>
          </w:p>
        </w:tc>
        <w:tc>
          <w:tcPr>
            <w:tcW w:w="9470" w:type="dxa"/>
            <w:tcBorders/>
            <w:shd w:fill="auto" w:val="clear"/>
            <w:vAlign w:val="center"/>
          </w:tcPr>
          <w:p>
            <w:pPr>
              <w:pStyle w:val="TableContents"/>
              <w:spacing w:before="0" w:after="0"/>
              <w:jc w:val="left"/>
              <w:rPr>
                <w:rFonts w:ascii="ARIAL" w:hAnsi="ARIAL"/>
                <w:sz w:val="18"/>
              </w:rPr>
            </w:pPr>
            <w:r>
              <w:rPr>
                <w:rFonts w:ascii="ARIAL" w:hAnsi="ARIAL"/>
                <w:sz w:val="18"/>
              </w:rPr>
              <w:t xml:space="preserve">Services in connection with audit-related services, including agreed-upon procedures reports and subsidiary audits. </w:t>
            </w:r>
          </w:p>
        </w:tc>
      </w:tr>
    </w:tbl>
    <w:tbl>
      <w:tblPr>
        <w:tblW w:w="5500" w:type="dxa"/>
        <w:jc w:val="left"/>
        <w:tblInd w:w="0" w:type="dxa"/>
        <w:tblCellMar>
          <w:top w:w="0" w:type="dxa"/>
          <w:left w:w="0" w:type="dxa"/>
          <w:bottom w:w="0" w:type="dxa"/>
          <w:right w:w="0" w:type="dxa"/>
        </w:tblCellMar>
      </w:tblPr>
      <w:tblGrid>
        <w:gridCol w:w="155"/>
        <w:gridCol w:w="5345"/>
      </w:tblGrid>
      <w:tr>
        <w:trPr/>
        <w:tc>
          <w:tcPr>
            <w:tcW w:w="155" w:type="dxa"/>
            <w:tcBorders/>
            <w:shd w:fill="auto" w:val="clear"/>
            <w:vAlign w:val="center"/>
          </w:tcPr>
          <w:p>
            <w:pPr>
              <w:pStyle w:val="TableContents"/>
              <w:spacing w:before="0" w:after="283"/>
              <w:jc w:val="left"/>
              <w:rPr/>
            </w:pPr>
            <w:r>
              <w:rPr/>
              <w:t>3</w:t>
            </w:r>
          </w:p>
        </w:tc>
        <w:tc>
          <w:tcPr>
            <w:tcW w:w="5345" w:type="dxa"/>
            <w:tcBorders/>
            <w:shd w:fill="auto" w:val="clear"/>
            <w:vAlign w:val="center"/>
          </w:tcPr>
          <w:p>
            <w:pPr>
              <w:pStyle w:val="TableContents"/>
              <w:spacing w:before="0" w:after="0"/>
              <w:jc w:val="left"/>
              <w:rPr>
                <w:rFonts w:ascii="ARIAL" w:hAnsi="ARIAL"/>
                <w:sz w:val="18"/>
              </w:rPr>
            </w:pPr>
            <w:r>
              <w:rPr>
                <w:rFonts w:ascii="ARIAL" w:hAnsi="ARIAL"/>
                <w:sz w:val="18"/>
              </w:rPr>
              <w:t xml:space="preserve">Other fees include license fees for technical accounting software. </w:t>
            </w:r>
          </w:p>
        </w:tc>
      </w:tr>
    </w:tbl>
    <w:p>
      <w:pPr>
        <w:pStyle w:val="TextBody"/>
        <w:spacing w:before="240" w:after="0"/>
        <w:jc w:val="left"/>
        <w:rPr>
          <w:rFonts w:ascii="ARIAL" w:hAnsi="ARIAL"/>
          <w:b/>
          <w:color w:val="71BE9A"/>
          <w:sz w:val="26"/>
        </w:rPr>
      </w:pPr>
      <w:bookmarkStart w:id="22" w:name="toc390557_17"/>
      <w:bookmarkEnd w:id="22"/>
      <w:r>
        <w:rPr>
          <w:rFonts w:ascii="ARIAL" w:hAnsi="ARIAL"/>
          <w:b/>
          <w:color w:val="71BE9A"/>
          <w:sz w:val="26"/>
        </w:rPr>
        <w:t xml:space="preserve">Pre-Approval Policies and Procedures </w:t>
      </w:r>
    </w:p>
    <w:p>
      <w:pPr>
        <w:pStyle w:val="TextBody"/>
        <w:spacing w:before="120" w:after="0"/>
        <w:jc w:val="left"/>
        <w:rPr>
          <w:rFonts w:ascii="ARIAL" w:hAnsi="ARIAL"/>
          <w:sz w:val="20"/>
        </w:rPr>
      </w:pPr>
      <w:r>
        <w:rPr>
          <w:rFonts w:ascii="ARIAL" w:hAnsi="ARIAL"/>
          <w:sz w:val="20"/>
        </w:rPr>
        <w:t xml:space="preserve">The Audit Committee has adopted a policy that requires advance approval of all audit, audit-related, tax services, and other services performed by its independent auditor. The policy provides for pre-approval by the Audit Committee of specifically defined audit and non-audit services. Unless the specific service has been previously pre-approved with respect to that year, the Audit Committee must approve the permitted service before the independent auditor is engaged to perform it. The Audit Committee has delegated to the Chair of the Audit Committee authority to approve permitted services, provided that the Chair reports any decision to the Committee at its next scheduled meeting. </w:t>
      </w:r>
    </w:p>
    <w:p>
      <w:pPr>
        <w:pStyle w:val="TextBody"/>
        <w:spacing w:before="240" w:after="0"/>
        <w:jc w:val="left"/>
        <w:rPr>
          <w:rFonts w:ascii="ARIAL" w:hAnsi="ARIAL"/>
          <w:b/>
          <w:color w:val="71BE9A"/>
          <w:sz w:val="26"/>
        </w:rPr>
      </w:pPr>
      <w:bookmarkStart w:id="23" w:name="toc390557_18"/>
      <w:bookmarkEnd w:id="23"/>
      <w:r>
        <w:rPr>
          <w:rFonts w:ascii="ARIAL" w:hAnsi="ARIAL"/>
          <w:b/>
          <w:color w:val="71BE9A"/>
          <w:sz w:val="26"/>
        </w:rPr>
        <w:t xml:space="preserve">Audit Committee Review </w:t>
      </w:r>
    </w:p>
    <w:p>
      <w:pPr>
        <w:pStyle w:val="TextBody"/>
        <w:spacing w:before="120" w:after="0"/>
        <w:jc w:val="left"/>
        <w:rPr>
          <w:rFonts w:ascii="ARIAL" w:hAnsi="ARIAL"/>
          <w:sz w:val="20"/>
        </w:rPr>
      </w:pPr>
      <w:r>
        <w:rPr>
          <w:rFonts w:ascii="ARIAL" w:hAnsi="ARIAL"/>
          <w:sz w:val="20"/>
        </w:rPr>
        <w:t xml:space="preserve">In connection with the Audit Committee’s review of services rendered and fees billed by the independent auditor, the Audit Committee has considered whether the provision of the non-audit related services described above is compatible with maintaining the independent auditors’ independence and has concluded that the provision of these services did not compromise such independence.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38</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1" descr=""/>
                          <pic:cNvPicPr>
                            <a:picLocks noChangeAspect="1" noChangeArrowheads="1"/>
                          </pic:cNvPicPr>
                        </pic:nvPicPr>
                        <pic:blipFill>
                          <a:blip r:embed="rId14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AUDIT COMMITTEE REPORT</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color w:val="007CBA"/>
          <w:sz w:val="42"/>
        </w:rPr>
      </w:pPr>
      <w:bookmarkStart w:id="24" w:name="toc390557_19"/>
      <w:bookmarkEnd w:id="24"/>
      <w:r>
        <w:rPr>
          <w:rFonts w:ascii="ARIAL" w:hAnsi="ARIAL"/>
          <w:b/>
          <w:color w:val="007CBA"/>
          <w:sz w:val="42"/>
        </w:rPr>
        <w:t xml:space="preserve">Audit Committee Report </w:t>
      </w:r>
    </w:p>
    <w:p>
      <w:pPr>
        <w:pStyle w:val="TextBody"/>
        <w:spacing w:before="240" w:after="0"/>
        <w:jc w:val="left"/>
        <w:rPr>
          <w:rFonts w:ascii="ARIAL" w:hAnsi="ARIAL"/>
          <w:sz w:val="20"/>
        </w:rPr>
      </w:pPr>
      <w:r>
        <w:rPr>
          <w:rFonts w:ascii="ARIAL" w:hAnsi="ARIAL"/>
          <w:sz w:val="20"/>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SEC’s regulations, the NYSE listing standards, and the Guidelines for Director’s Independence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Guidelines for Director’s Independence can be viewed on Martin Marietta’s website at https://ir.martinmarietta.com/corporate-governance/governance-documents-and-charters. </w:t>
      </w:r>
    </w:p>
    <w:p>
      <w:pPr>
        <w:pStyle w:val="TextBody"/>
        <w:spacing w:before="240" w:after="0"/>
        <w:jc w:val="left"/>
        <w:rPr>
          <w:rFonts w:ascii="ARIAL" w:hAnsi="ARIAL"/>
          <w:sz w:val="20"/>
        </w:rPr>
      </w:pPr>
      <w:r>
        <w:rPr>
          <w:rFonts w:ascii="ARIAL" w:hAnsi="ARIAL"/>
          <w:sz w:val="20"/>
        </w:rPr>
        <w:t xml:space="preserve">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 </w:t>
      </w:r>
    </w:p>
    <w:p>
      <w:pPr>
        <w:pStyle w:val="TextBody"/>
        <w:spacing w:before="240" w:after="0"/>
        <w:jc w:val="left"/>
        <w:rPr>
          <w:rFonts w:ascii="ARIAL" w:hAnsi="ARIAL"/>
          <w:sz w:val="20"/>
        </w:rPr>
      </w:pPr>
      <w:r>
        <w:rPr>
          <w:rFonts w:ascii="ARIAL" w:hAnsi="ARIAL"/>
          <w:sz w:val="20"/>
        </w:rPr>
        <w:t xml:space="preserve">In the discharge of its responsibilities, the Audit Committee has reviewed and discussed with management and the independent auditors Martin Marietta’s audited consolidated financial statements for fiscal year 2022 and has discussed with the independent auditors the matters required to be discussed by the applicable requirements of the Public Company Accounting Oversight Board (PCAOB), the SEC and the NYSE. In addition, the Committee has discussed with the independent auditors matters such as the quality (in addition to acceptability), clarity, consistency, and completeness of Martin Marietta’s financial reporting, as required by Auditing Standard No. 1301, Communications with Audit Committees, as adopted by the PCAOB. </w:t>
      </w:r>
    </w:p>
    <w:p>
      <w:pPr>
        <w:pStyle w:val="TextBody"/>
        <w:spacing w:before="240" w:after="0"/>
        <w:jc w:val="left"/>
        <w:rPr>
          <w:rFonts w:ascii="ARIAL" w:hAnsi="ARIAL"/>
          <w:sz w:val="20"/>
        </w:rPr>
      </w:pPr>
      <w:r>
        <w:rPr>
          <w:rFonts w:ascii="ARIAL" w:hAnsi="ARIAL"/>
          <w:sz w:val="20"/>
        </w:rPr>
        <w:t xml:space="preserve">The Audit Committee has received from the independent auditors written disclosures and a letter concerning the independent auditors’ independence from Martin Marietta, as required by the PCAOB in Rule 3526, Communication with Audit Committees Concerning Independence, and has discussed with the independent auditors the independent auditors’ independence. These disclosures have been reviewed by the Committee and discussed with the independent auditors. </w:t>
      </w:r>
    </w:p>
    <w:p>
      <w:pPr>
        <w:pStyle w:val="TextBody"/>
        <w:spacing w:before="240" w:after="0"/>
        <w:jc w:val="left"/>
        <w:rPr>
          <w:rFonts w:ascii="ARIAL" w:hAnsi="ARIAL"/>
          <w:sz w:val="20"/>
        </w:rPr>
      </w:pPr>
      <w:r>
        <w:rPr>
          <w:rFonts w:ascii="ARIAL" w:hAnsi="ARIAL"/>
          <w:sz w:val="20"/>
        </w:rPr>
        <w:t xml:space="preserve">Based on these reviews and discussions, the Audit Committee has recommended to the Board of Directors that the audited financial statements be included in Martin Marietta’s 2022 Annual Report on Form 10-K for filing with the SEC. </w:t>
      </w:r>
    </w:p>
    <w:p>
      <w:pPr>
        <w:pStyle w:val="TextBody"/>
        <w:spacing w:before="240" w:after="0"/>
        <w:jc w:val="left"/>
        <w:rPr>
          <w:rFonts w:ascii="ARIAL" w:hAnsi="ARIAL"/>
          <w:sz w:val="20"/>
        </w:rPr>
      </w:pPr>
      <w:r>
        <w:rPr>
          <w:rFonts w:ascii="ARIAL" w:hAnsi="ARIAL"/>
          <w:sz w:val="20"/>
        </w:rPr>
        <w:t xml:space="preserve">February 9, 2023 </w:t>
      </w:r>
    </w:p>
    <w:p>
      <w:pPr>
        <w:pStyle w:val="TextBody"/>
        <w:spacing w:before="240" w:after="0"/>
        <w:jc w:val="left"/>
        <w:rPr>
          <w:rFonts w:ascii="ARIAL" w:hAnsi="ARIAL"/>
          <w:b/>
          <w:sz w:val="20"/>
        </w:rPr>
      </w:pPr>
      <w:r>
        <w:rPr>
          <w:rFonts w:ascii="ARIAL" w:hAnsi="ARIAL"/>
          <w:b/>
          <w:sz w:val="20"/>
        </w:rPr>
        <w:t xml:space="preserve">AUDIT COMMITTEE </w:t>
      </w:r>
    </w:p>
    <w:p>
      <w:pPr>
        <w:pStyle w:val="TextBody"/>
        <w:spacing w:before="240" w:after="0"/>
        <w:jc w:val="left"/>
        <w:rPr>
          <w:rFonts w:ascii="ARIAL" w:hAnsi="ARIAL"/>
          <w:sz w:val="20"/>
        </w:rPr>
      </w:pPr>
      <w:r>
        <w:rPr>
          <w:rFonts w:ascii="ARIAL" w:hAnsi="ARIAL"/>
          <w:sz w:val="20"/>
        </w:rPr>
        <w:t xml:space="preserve">David C. Wajsgras, </w:t>
      </w:r>
      <w:r>
        <w:rPr>
          <w:rFonts w:ascii="ARIAL" w:hAnsi="ARIAL"/>
          <w:i/>
          <w:sz w:val="20"/>
        </w:rPr>
        <w:t>Chair</w:t>
      </w:r>
      <w:r>
        <w:rPr>
          <w:rFonts w:ascii="ARIAL" w:hAnsi="ARIAL"/>
          <w:sz w:val="20"/>
        </w:rPr>
        <w:t xml:space="preserve"> </w:t>
      </w:r>
    </w:p>
    <w:p>
      <w:pPr>
        <w:pStyle w:val="TextBody"/>
        <w:spacing w:before="0" w:after="0"/>
        <w:jc w:val="left"/>
        <w:rPr>
          <w:rFonts w:ascii="ARIAL" w:hAnsi="ARIAL"/>
          <w:sz w:val="20"/>
        </w:rPr>
      </w:pPr>
      <w:r>
        <w:rPr>
          <w:rFonts w:ascii="ARIAL" w:hAnsi="ARIAL"/>
          <w:sz w:val="20"/>
        </w:rPr>
        <w:t xml:space="preserve">Dorothy M. Ables </w:t>
      </w:r>
    </w:p>
    <w:p>
      <w:pPr>
        <w:pStyle w:val="TextBody"/>
        <w:spacing w:before="0" w:after="0"/>
        <w:jc w:val="left"/>
        <w:rPr>
          <w:rFonts w:ascii="ARIAL" w:hAnsi="ARIAL"/>
          <w:sz w:val="20"/>
        </w:rPr>
      </w:pPr>
      <w:r>
        <w:rPr>
          <w:rFonts w:ascii="ARIAL" w:hAnsi="ARIAL"/>
          <w:sz w:val="20"/>
        </w:rPr>
        <w:t xml:space="preserve">John J. Koraleski </w:t>
      </w:r>
    </w:p>
    <w:p>
      <w:pPr>
        <w:pStyle w:val="TextBody"/>
        <w:spacing w:before="0" w:after="0"/>
        <w:jc w:val="left"/>
        <w:rPr>
          <w:rFonts w:ascii="ARIAL" w:hAnsi="ARIAL"/>
          <w:sz w:val="20"/>
        </w:rPr>
      </w:pPr>
      <w:r>
        <w:rPr>
          <w:rFonts w:ascii="ARIAL" w:hAnsi="ARIAL"/>
          <w:sz w:val="20"/>
        </w:rPr>
        <w:t xml:space="preserve">Laree E. Perez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2" descr=""/>
                          <pic:cNvPicPr>
                            <a:picLocks noChangeAspect="1" noChangeArrowheads="1"/>
                          </pic:cNvPicPr>
                        </pic:nvPicPr>
                        <pic:blipFill>
                          <a:blip r:embed="rId14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39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7CBA"/>
          <w:sz w:val="42"/>
        </w:rPr>
      </w:pPr>
      <w:bookmarkStart w:id="25" w:name="toc390557_20"/>
      <w:bookmarkEnd w:id="25"/>
      <w:r>
        <w:rPr>
          <w:rFonts w:ascii="ARIAL" w:hAnsi="ARIAL"/>
          <w:b/>
          <w:color w:val="007CBA"/>
          <w:sz w:val="42"/>
        </w:rPr>
        <w:t xml:space="preserve">Management Development and Compensation Committee Report </w:t>
      </w:r>
    </w:p>
    <w:p>
      <w:pPr>
        <w:pStyle w:val="TextBody"/>
        <w:spacing w:before="240" w:after="0"/>
        <w:jc w:val="left"/>
        <w:rPr>
          <w:rFonts w:ascii="ARIAL" w:hAnsi="ARIAL"/>
          <w:sz w:val="20"/>
        </w:rPr>
      </w:pPr>
      <w:r>
        <w:rPr>
          <w:rFonts w:ascii="ARIAL" w:hAnsi="ARIAL"/>
          <w:sz w:val="20"/>
        </w:rPr>
        <w:t xml:space="preserve">The Management Development and Compensation Committee has reviewed and discussed with management the Compensation Discussion and Analysis beginning on page 41 of this Proxy Statement. Based on this review and discussion, the Management Development and Compensation Committee recommended to the Board of Directors that the Compensation Discussion and Analysis be included in Martin Marietta’s 2022 Annual Report on Form 10-K and this Proxy Statement. </w:t>
      </w:r>
    </w:p>
    <w:p>
      <w:pPr>
        <w:pStyle w:val="TextBody"/>
        <w:spacing w:before="240" w:after="0"/>
        <w:jc w:val="left"/>
        <w:rPr>
          <w:rFonts w:ascii="ARIAL" w:hAnsi="ARIAL"/>
          <w:sz w:val="20"/>
        </w:rPr>
      </w:pPr>
      <w:r>
        <w:rPr>
          <w:rFonts w:ascii="ARIAL" w:hAnsi="ARIAL"/>
          <w:sz w:val="20"/>
        </w:rPr>
        <w:t xml:space="preserve">February 21, 2023 </w:t>
      </w:r>
    </w:p>
    <w:p>
      <w:pPr>
        <w:pStyle w:val="TextBody"/>
        <w:spacing w:before="240" w:after="0"/>
        <w:jc w:val="left"/>
        <w:rPr>
          <w:rFonts w:ascii="ARIAL" w:hAnsi="ARIAL"/>
          <w:b/>
          <w:sz w:val="20"/>
        </w:rPr>
      </w:pPr>
      <w:r>
        <w:rPr>
          <w:rFonts w:ascii="ARIAL" w:hAnsi="ARIAL"/>
          <w:b/>
          <w:sz w:val="20"/>
        </w:rPr>
        <w:t xml:space="preserve">MANAGEMENT DEVELOPMENT AND </w:t>
      </w:r>
    </w:p>
    <w:p>
      <w:pPr>
        <w:pStyle w:val="TextBody"/>
        <w:spacing w:before="0" w:after="0"/>
        <w:jc w:val="left"/>
        <w:rPr>
          <w:rFonts w:ascii="ARIAL" w:hAnsi="ARIAL"/>
          <w:b/>
          <w:sz w:val="20"/>
        </w:rPr>
      </w:pPr>
      <w:r>
        <w:rPr>
          <w:rFonts w:ascii="ARIAL" w:hAnsi="ARIAL"/>
          <w:b/>
          <w:sz w:val="20"/>
        </w:rPr>
        <w:t xml:space="preserve">COMPENSATION COMMITTEE </w:t>
      </w:r>
    </w:p>
    <w:p>
      <w:pPr>
        <w:pStyle w:val="TextBody"/>
        <w:spacing w:before="240" w:after="0"/>
        <w:jc w:val="left"/>
        <w:rPr>
          <w:rFonts w:ascii="ARIAL" w:hAnsi="ARIAL"/>
          <w:sz w:val="20"/>
        </w:rPr>
      </w:pPr>
      <w:r>
        <w:rPr>
          <w:rFonts w:ascii="ARIAL" w:hAnsi="ARIAL"/>
          <w:sz w:val="20"/>
        </w:rPr>
        <w:t xml:space="preserve">John J. Koraleski, </w:t>
      </w:r>
      <w:r>
        <w:rPr>
          <w:rFonts w:ascii="ARIAL" w:hAnsi="ARIAL"/>
          <w:i/>
          <w:sz w:val="20"/>
        </w:rPr>
        <w:t>Chair</w:t>
      </w:r>
      <w:r>
        <w:rPr>
          <w:rFonts w:ascii="ARIAL" w:hAnsi="ARIAL"/>
          <w:sz w:val="20"/>
        </w:rPr>
        <w:t xml:space="preserve"> </w:t>
      </w:r>
    </w:p>
    <w:p>
      <w:pPr>
        <w:pStyle w:val="TextBody"/>
        <w:spacing w:before="0" w:after="0"/>
        <w:jc w:val="left"/>
        <w:rPr>
          <w:rFonts w:ascii="ARIAL" w:hAnsi="ARIAL"/>
          <w:sz w:val="20"/>
        </w:rPr>
      </w:pPr>
      <w:r>
        <w:rPr>
          <w:rFonts w:ascii="ARIAL" w:hAnsi="ARIAL"/>
          <w:sz w:val="20"/>
        </w:rPr>
        <w:t xml:space="preserve">Thomas H. Pike </w:t>
      </w:r>
    </w:p>
    <w:p>
      <w:pPr>
        <w:pStyle w:val="TextBody"/>
        <w:spacing w:before="0" w:after="0"/>
        <w:jc w:val="left"/>
        <w:rPr>
          <w:rFonts w:ascii="ARIAL" w:hAnsi="ARIAL"/>
          <w:sz w:val="20"/>
        </w:rPr>
      </w:pPr>
      <w:r>
        <w:rPr>
          <w:rFonts w:ascii="ARIAL" w:hAnsi="ARIAL"/>
          <w:sz w:val="20"/>
        </w:rPr>
        <w:t xml:space="preserve">Michael J. Quillen </w:t>
      </w:r>
    </w:p>
    <w:p>
      <w:pPr>
        <w:pStyle w:val="TextBody"/>
        <w:spacing w:before="0" w:after="0"/>
        <w:jc w:val="left"/>
        <w:rPr>
          <w:rFonts w:ascii="ARIAL" w:hAnsi="ARIAL"/>
          <w:sz w:val="20"/>
        </w:rPr>
      </w:pPr>
      <w:r>
        <w:rPr>
          <w:rFonts w:ascii="ARIAL" w:hAnsi="ARIAL"/>
          <w:sz w:val="20"/>
        </w:rPr>
        <w:t xml:space="preserve">David C. Wajsgras </w:t>
      </w:r>
    </w:p>
    <w:p>
      <w:pPr>
        <w:pStyle w:val="TextBody"/>
        <w:spacing w:before="480" w:after="0"/>
        <w:jc w:val="left"/>
        <w:rPr>
          <w:rFonts w:ascii="ARIAL" w:hAnsi="ARIAL"/>
          <w:b/>
          <w:color w:val="007CBA"/>
          <w:sz w:val="42"/>
        </w:rPr>
      </w:pPr>
      <w:bookmarkStart w:id="26" w:name="toc390557_21"/>
      <w:bookmarkEnd w:id="26"/>
      <w:r>
        <w:rPr>
          <w:rFonts w:ascii="ARIAL" w:hAnsi="ARIAL"/>
          <w:b/>
          <w:color w:val="007CBA"/>
          <w:sz w:val="42"/>
        </w:rPr>
        <w:t xml:space="preserve">Compensation Committee Interlocks and Insider Participation in Compensation Decisions </w:t>
      </w:r>
    </w:p>
    <w:p>
      <w:pPr>
        <w:pStyle w:val="TextBody"/>
        <w:spacing w:before="240" w:after="0"/>
        <w:jc w:val="left"/>
        <w:rPr>
          <w:rFonts w:ascii="ARIAL" w:hAnsi="ARIAL"/>
          <w:sz w:val="20"/>
        </w:rPr>
      </w:pPr>
      <w:r>
        <w:rPr>
          <w:rFonts w:ascii="ARIAL" w:hAnsi="ARIAL"/>
          <w:sz w:val="20"/>
        </w:rPr>
        <w:t xml:space="preserve">The members of Martin Marietta’s Management Development and Compensation Committee are Directors Koraleski, Pike, Quillen, and Wajsgras, none of whom has ever been an officer or employee of Martin Marietta or any of its subsidiaries, or had any relationship requiring disclosure by Martin Marietta under Item 404 of Regulation S-K of the SEC. There are no executive officer-Director interlocks where an executive of Martin Marietta serves on the compensation committee of another corporation that has an executive officer serving on Martin Marietta’s Board of Directors.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40</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3" descr=""/>
                          <pic:cNvPicPr>
                            <a:picLocks noChangeAspect="1" noChangeArrowheads="1"/>
                          </pic:cNvPicPr>
                        </pic:nvPicPr>
                        <pic:blipFill>
                          <a:blip r:embed="rId14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7CBA"/>
          <w:sz w:val="42"/>
        </w:rPr>
      </w:pPr>
      <w:bookmarkStart w:id="27" w:name="toc390557_22"/>
      <w:bookmarkEnd w:id="27"/>
      <w:r>
        <w:rPr>
          <w:rFonts w:ascii="ARIAL" w:hAnsi="ARIAL"/>
          <w:b/>
          <w:color w:val="007CBA"/>
          <w:sz w:val="42"/>
        </w:rPr>
        <w:t xml:space="preserve">Compensation Discussion and Analysis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3110230" cy="9972040"/>
                <wp:effectExtent l="0" t="0" r="0" b="0"/>
                <wp:wrapSquare wrapText="largest"/>
                <wp:docPr id="148" name="Frame5"/>
                <a:graphic xmlns:a="http://schemas.openxmlformats.org/drawingml/2006/main">
                  <a:graphicData uri="http://schemas.microsoft.com/office/word/2010/wordprocessingShape">
                    <wps:wsp>
                      <wps:cNvSpPr txBox="1"/>
                      <wps:spPr>
                        <a:xfrm>
                          <a:off x="0" y="0"/>
                          <a:ext cx="3110230" cy="9972040"/>
                        </a:xfrm>
                        <a:prstGeom prst="rect"/>
                      </wps:spPr>
                      <wps:txbx>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3">
                                    <w:r>
                                      <w:rPr>
                                        <w:rStyle w:val="InternetLink"/>
                                        <w:color w:val="007CBA"/>
                                      </w:rPr>
                                      <w:t>Introduction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41</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3a">
                                    <w:r>
                                      <w:rPr>
                                        <w:rStyle w:val="InternetLink"/>
                                        <w:color w:val="007CBA"/>
                                      </w:rPr>
                                      <w:t xml:space="preserve">Letter from Committee Chair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42</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4">
                                    <w:r>
                                      <w:rPr>
                                        <w:rStyle w:val="InternetLink"/>
                                        <w:color w:val="007CBA"/>
                                      </w:rPr>
                                      <w:t>Summary of Our Compensation Considerations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5">
                                    <w:r>
                                      <w:rPr>
                                        <w:rStyle w:val="InternetLink"/>
                                        <w:color w:val="007CBA"/>
                                      </w:rPr>
                                      <w:t>Responsiveness to Shareholders: Shareholder Engagement and Feedback on Executive Compensation Programs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6">
                                    <w:r>
                                      <w:rPr>
                                        <w:rStyle w:val="InternetLink"/>
                                        <w:color w:val="007CBA"/>
                                      </w:rPr>
                                      <w:t>Our 2022 Performance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7">
                                    <w:r>
                                      <w:rPr>
                                        <w:rStyle w:val="InternetLink"/>
                                        <w:color w:val="007CBA"/>
                                      </w:rPr>
                                      <w:t>Sustainability, Safety and the Well-Being of Our Employees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48</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8">
                                    <w:r>
                                      <w:rPr>
                                        <w:rStyle w:val="InternetLink"/>
                                        <w:color w:val="007CBA"/>
                                      </w:rPr>
                                      <w:t>Compensation Decisions Yielding Alignment with Performance and Enhancing Our Corporate Resilience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52</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9">
                                    <w:r>
                                      <w:rPr>
                                        <w:rStyle w:val="InternetLink"/>
                                        <w:color w:val="007CBA"/>
                                      </w:rPr>
                                      <w:t>Pay Decisions and Compensation Governance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54</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0">
                                    <w:r>
                                      <w:rPr>
                                        <w:rStyle w:val="InternetLink"/>
                                        <w:color w:val="007CBA"/>
                                      </w:rPr>
                                      <w:t>Determination of CEO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1">
                                    <w:r>
                                      <w:rPr>
                                        <w:rStyle w:val="InternetLink"/>
                                        <w:color w:val="007CBA"/>
                                      </w:rPr>
                                      <w:t>2022 Chairman, President and CEO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2">
                                    <w:r>
                                      <w:rPr>
                                        <w:rStyle w:val="InternetLink"/>
                                        <w:color w:val="007CBA"/>
                                      </w:rPr>
                                      <w:t>2022 Named Executive Officers’ Compensation – Our Compensation Strategy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56</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3">
                                    <w:r>
                                      <w:rPr>
                                        <w:rStyle w:val="InternetLink"/>
                                        <w:color w:val="007CBA"/>
                                      </w:rPr>
                                      <w:t>Considerations Regarding 2022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58</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4">
                                    <w:r>
                                      <w:rPr>
                                        <w:rStyle w:val="InternetLink"/>
                                        <w:color w:val="007CBA"/>
                                      </w:rPr>
                                      <w:t>2022 Base Salary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58</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5">
                                    <w:r>
                                      <w:rPr>
                                        <w:rStyle w:val="InternetLink"/>
                                        <w:color w:val="007CBA"/>
                                      </w:rPr>
                                      <w:t>2022 Annual Cash Incentive Goals and Results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59</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6">
                                    <w:r>
                                      <w:rPr>
                                        <w:rStyle w:val="InternetLink"/>
                                        <w:color w:val="007CBA"/>
                                      </w:rPr>
                                      <w:t>2022 Actual Incentive Cash Earned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59</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7">
                                    <w:r>
                                      <w:rPr>
                                        <w:rStyle w:val="InternetLink"/>
                                        <w:color w:val="007CBA"/>
                                      </w:rPr>
                                      <w:t>Annual Incentive Feature: Stock Purchase Plan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61</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8">
                                    <w:r>
                                      <w:rPr>
                                        <w:rStyle w:val="InternetLink"/>
                                        <w:color w:val="007CBA"/>
                                      </w:rPr>
                                      <w:t>2022 Long-Term Incentive Compensation Overview</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61</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9">
                                    <w:r>
                                      <w:rPr>
                                        <w:rStyle w:val="InternetLink"/>
                                        <w:color w:val="007CBA"/>
                                      </w:rPr>
                                      <w:t>PSU Awards (55% of LTI Award)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61</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0">
                                    <w:r>
                                      <w:rPr>
                                        <w:rStyle w:val="InternetLink"/>
                                        <w:color w:val="007CBA"/>
                                      </w:rPr>
                                      <w:t>Selection of Relative TSR</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62</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1">
                                    <w:r>
                                      <w:rPr>
                                        <w:rStyle w:val="InternetLink"/>
                                        <w:color w:val="007CBA"/>
                                      </w:rPr>
                                      <w:t>Performance-Based RSU Awards (45% of LTI Award)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63</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2">
                                    <w:r>
                                      <w:rPr>
                                        <w:rStyle w:val="InternetLink"/>
                                        <w:color w:val="007CBA"/>
                                      </w:rPr>
                                      <w:t>2022-2024 Performance Goals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63</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3">
                                    <w:r>
                                      <w:rPr>
                                        <w:rStyle w:val="InternetLink"/>
                                        <w:color w:val="007CBA"/>
                                      </w:rPr>
                                      <w:t>2020-2022 PSU Award Payouts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64</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4">
                                    <w:r>
                                      <w:rPr>
                                        <w:rStyle w:val="InternetLink"/>
                                        <w:color w:val="007CBA"/>
                                      </w:rPr>
                                      <w:t>Ongoing Corporate Governance Policies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5">
                                    <w:r>
                                      <w:rPr>
                                        <w:rStyle w:val="InternetLink"/>
                                        <w:color w:val="007CBA"/>
                                      </w:rPr>
                                      <w:t>Compensation Decision Process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6">
                                    <w:r>
                                      <w:rPr>
                                        <w:rStyle w:val="InternetLink"/>
                                        <w:color w:val="007CBA"/>
                                      </w:rPr>
                                      <w:t>Other Compensation Program Features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67</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7">
                                    <w:r>
                                      <w:rPr>
                                        <w:rStyle w:val="InternetLink"/>
                                        <w:color w:val="007CBA"/>
                                      </w:rPr>
                                      <w:t>Compensation Program Risk Assessment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67</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8">
                                    <w:r>
                                      <w:rPr>
                                        <w:rStyle w:val="InternetLink"/>
                                        <w:color w:val="007CBA"/>
                                      </w:rPr>
                                      <w:t>Stock-Based Awards Generally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67</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9">
                                    <w:r>
                                      <w:rPr>
                                        <w:rStyle w:val="InternetLink"/>
                                        <w:color w:val="007CBA"/>
                                      </w:rPr>
                                      <w:t xml:space="preserve">Stock Ownership Requirements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68</w:t>
                                  </w:r>
                                </w:p>
                              </w:tc>
                              <w:tc>
                                <w:tcPr>
                                  <w:tcW w:w="75" w:type="dxa"/>
                                  <w:tcBorders/>
                                  <w:shd w:fill="auto" w:val="clear"/>
                                  <w:vAlign w:val="center"/>
                                </w:tcPr>
                                <w:p>
                                  <w:pPr>
                                    <w:pStyle w:val="TableContents"/>
                                    <w:spacing w:before="0" w:after="283"/>
                                    <w:rPr>
                                      <w:color w:val="007CBA"/>
                                    </w:rPr>
                                  </w:pPr>
                                  <w:r>
                                    <w:rPr>
                                      <w:color w:val="007CBA"/>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3">
                              <w:r>
                                <w:rPr>
                                  <w:rStyle w:val="InternetLink"/>
                                  <w:color w:val="007CBA"/>
                                </w:rPr>
                                <w:t>Introduction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41</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3a">
                              <w:r>
                                <w:rPr>
                                  <w:rStyle w:val="InternetLink"/>
                                  <w:color w:val="007CBA"/>
                                </w:rPr>
                                <w:t xml:space="preserve">Letter from Committee Chair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42</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4">
                              <w:r>
                                <w:rPr>
                                  <w:rStyle w:val="InternetLink"/>
                                  <w:color w:val="007CBA"/>
                                </w:rPr>
                                <w:t>Summary of Our Compensation Considerations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5">
                              <w:r>
                                <w:rPr>
                                  <w:rStyle w:val="InternetLink"/>
                                  <w:color w:val="007CBA"/>
                                </w:rPr>
                                <w:t>Responsiveness to Shareholders: Shareholder Engagement and Feedback on Executive Compensation Programs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6">
                              <w:r>
                                <w:rPr>
                                  <w:rStyle w:val="InternetLink"/>
                                  <w:color w:val="007CBA"/>
                                </w:rPr>
                                <w:t>Our 2022 Performance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7">
                              <w:r>
                                <w:rPr>
                                  <w:rStyle w:val="InternetLink"/>
                                  <w:color w:val="007CBA"/>
                                </w:rPr>
                                <w:t>Sustainability, Safety and the Well-Being of Our Employees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48</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8">
                              <w:r>
                                <w:rPr>
                                  <w:rStyle w:val="InternetLink"/>
                                  <w:color w:val="007CBA"/>
                                </w:rPr>
                                <w:t>Compensation Decisions Yielding Alignment with Performance and Enhancing Our Corporate Resilience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52</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29">
                              <w:r>
                                <w:rPr>
                                  <w:rStyle w:val="InternetLink"/>
                                  <w:color w:val="007CBA"/>
                                </w:rPr>
                                <w:t>Pay Decisions and Compensation Governance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54</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0">
                              <w:r>
                                <w:rPr>
                                  <w:rStyle w:val="InternetLink"/>
                                  <w:color w:val="007CBA"/>
                                </w:rPr>
                                <w:t>Determination of CEO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1">
                              <w:r>
                                <w:rPr>
                                  <w:rStyle w:val="InternetLink"/>
                                  <w:color w:val="007CBA"/>
                                </w:rPr>
                                <w:t>2022 Chairman, President and CEO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2">
                              <w:r>
                                <w:rPr>
                                  <w:rStyle w:val="InternetLink"/>
                                  <w:color w:val="007CBA"/>
                                </w:rPr>
                                <w:t>2022 Named Executive Officers’ Compensation – Our Compensation Strategy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56</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3">
                              <w:r>
                                <w:rPr>
                                  <w:rStyle w:val="InternetLink"/>
                                  <w:color w:val="007CBA"/>
                                </w:rPr>
                                <w:t>Considerations Regarding 2022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58</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4">
                              <w:r>
                                <w:rPr>
                                  <w:rStyle w:val="InternetLink"/>
                                  <w:color w:val="007CBA"/>
                                </w:rPr>
                                <w:t>2022 Base Salary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58</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5">
                              <w:r>
                                <w:rPr>
                                  <w:rStyle w:val="InternetLink"/>
                                  <w:color w:val="007CBA"/>
                                </w:rPr>
                                <w:t>2022 Annual Cash Incentive Goals and Results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59</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6">
                              <w:r>
                                <w:rPr>
                                  <w:rStyle w:val="InternetLink"/>
                                  <w:color w:val="007CBA"/>
                                </w:rPr>
                                <w:t>2022 Actual Incentive Cash Earned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59</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7">
                              <w:r>
                                <w:rPr>
                                  <w:rStyle w:val="InternetLink"/>
                                  <w:color w:val="007CBA"/>
                                </w:rPr>
                                <w:t>Annual Incentive Feature: Stock Purchase Plan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61</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8">
                              <w:r>
                                <w:rPr>
                                  <w:rStyle w:val="InternetLink"/>
                                  <w:color w:val="007CBA"/>
                                </w:rPr>
                                <w:t>2022 Long-Term Incentive Compensation Overview</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61</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39">
                              <w:r>
                                <w:rPr>
                                  <w:rStyle w:val="InternetLink"/>
                                  <w:color w:val="007CBA"/>
                                </w:rPr>
                                <w:t>PSU Awards (55% of LTI Award)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61</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0">
                              <w:r>
                                <w:rPr>
                                  <w:rStyle w:val="InternetLink"/>
                                  <w:color w:val="007CBA"/>
                                </w:rPr>
                                <w:t>Selection of Relative TSR</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62</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1">
                              <w:r>
                                <w:rPr>
                                  <w:rStyle w:val="InternetLink"/>
                                  <w:color w:val="007CBA"/>
                                </w:rPr>
                                <w:t>Performance-Based RSU Awards (45% of LTI Award)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63</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2">
                              <w:r>
                                <w:rPr>
                                  <w:rStyle w:val="InternetLink"/>
                                  <w:color w:val="007CBA"/>
                                </w:rPr>
                                <w:t>2022-2024 Performance Goals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63</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3">
                              <w:r>
                                <w:rPr>
                                  <w:rStyle w:val="InternetLink"/>
                                  <w:color w:val="007CBA"/>
                                </w:rPr>
                                <w:t>2020-2022 PSU Award Payouts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64</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4">
                              <w:r>
                                <w:rPr>
                                  <w:rStyle w:val="InternetLink"/>
                                  <w:color w:val="007CBA"/>
                                </w:rPr>
                                <w:t>Ongoing Corporate Governance Policies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5">
                              <w:r>
                                <w:rPr>
                                  <w:rStyle w:val="InternetLink"/>
                                  <w:color w:val="007CBA"/>
                                </w:rPr>
                                <w:t>Compensation Decision Process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65</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6">
                              <w:r>
                                <w:rPr>
                                  <w:rStyle w:val="InternetLink"/>
                                  <w:color w:val="007CBA"/>
                                </w:rPr>
                                <w:t>Other Compensation Program Features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67</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7">
                              <w:r>
                                <w:rPr>
                                  <w:rStyle w:val="InternetLink"/>
                                  <w:color w:val="007CBA"/>
                                </w:rPr>
                                <w:t>Compensation Program Risk Assessment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67</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8">
                              <w:r>
                                <w:rPr>
                                  <w:rStyle w:val="InternetLink"/>
                                  <w:color w:val="007CBA"/>
                                </w:rPr>
                                <w:t>Stock-Based Awards Generally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67</w:t>
                            </w:r>
                          </w:p>
                        </w:tc>
                        <w:tc>
                          <w:tcPr>
                            <w:tcW w:w="75" w:type="dxa"/>
                            <w:tcBorders/>
                            <w:shd w:fill="auto" w:val="clear"/>
                            <w:vAlign w:val="center"/>
                          </w:tcPr>
                          <w:p>
                            <w:pPr>
                              <w:pStyle w:val="TableContents"/>
                              <w:spacing w:before="0" w:after="283"/>
                              <w:rPr>
                                <w:color w:val="007CBA"/>
                              </w:rPr>
                            </w:pPr>
                            <w:r>
                              <w:rPr>
                                <w:color w:val="007CBA"/>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90557_49">
                              <w:r>
                                <w:rPr>
                                  <w:rStyle w:val="InternetLink"/>
                                  <w:color w:val="007CBA"/>
                                </w:rPr>
                                <w:t xml:space="preserve">Stock Ownership Requirements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68</w:t>
                            </w:r>
                          </w:p>
                        </w:tc>
                        <w:tc>
                          <w:tcPr>
                            <w:tcW w:w="75" w:type="dxa"/>
                            <w:tcBorders/>
                            <w:shd w:fill="auto" w:val="clear"/>
                            <w:vAlign w:val="center"/>
                          </w:tcPr>
                          <w:p>
                            <w:pPr>
                              <w:pStyle w:val="TableContents"/>
                              <w:spacing w:before="0" w:after="283"/>
                              <w:rPr>
                                <w:color w:val="007CBA"/>
                              </w:rPr>
                            </w:pPr>
                            <w:r>
                              <w:rPr>
                                <w:color w:val="007CBA"/>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3175000" cy="9972040"/>
                <wp:effectExtent l="0" t="0" r="0" b="0"/>
                <wp:wrapSquare wrapText="largest"/>
                <wp:docPr id="149" name="Frame6"/>
                <a:graphic xmlns:a="http://schemas.openxmlformats.org/drawingml/2006/main">
                  <a:graphicData uri="http://schemas.microsoft.com/office/word/2010/wordprocessingShape">
                    <wps:wsp>
                      <wps:cNvSpPr txBox="1"/>
                      <wps:spPr>
                        <a:xfrm>
                          <a:off x="0" y="0"/>
                          <a:ext cx="3175000" cy="9972040"/>
                        </a:xfrm>
                        <a:prstGeom prst="rect"/>
                      </wps:spPr>
                      <wps:txbx>
                        <w:txbxContent>
                          <w:tbl>
                            <w:tblPr>
                              <w:tblW w:w="6190" w:type="dxa"/>
                              <w:jc w:val="left"/>
                              <w:tblInd w:w="0" w:type="dxa"/>
                              <w:tblCellMar>
                                <w:top w:w="0" w:type="dxa"/>
                                <w:left w:w="0" w:type="dxa"/>
                                <w:bottom w:w="0" w:type="dxa"/>
                                <w:right w:w="0" w:type="dxa"/>
                              </w:tblCellMar>
                            </w:tblPr>
                            <w:tblGrid>
                              <w:gridCol w:w="5675"/>
                              <w:gridCol w:w="120"/>
                              <w:gridCol w:w="60"/>
                              <w:gridCol w:w="260"/>
                              <w:gridCol w:w="75"/>
                            </w:tblGrid>
                            <w:tr>
                              <w:trPr/>
                              <w:tc>
                                <w:tcPr>
                                  <w:tcW w:w="56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0">
                                    <w:r>
                                      <w:rPr>
                                        <w:rStyle w:val="InternetLink"/>
                                        <w:color w:val="007CBA"/>
                                      </w:rPr>
                                      <w:t>Anti-Hedging and Pledging Policy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68</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1">
                                    <w:r>
                                      <w:rPr>
                                        <w:rStyle w:val="InternetLink"/>
                                        <w:color w:val="007CBA"/>
                                      </w:rPr>
                                      <w:t>Clawback Policy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69</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2">
                                    <w:r>
                                      <w:rPr>
                                        <w:rStyle w:val="InternetLink"/>
                                        <w:color w:val="007CBA"/>
                                      </w:rPr>
                                      <w:t>Our Use of Independent Compensation Consultants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69</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3">
                                    <w:r>
                                      <w:rPr>
                                        <w:rStyle w:val="InternetLink"/>
                                        <w:color w:val="007CBA"/>
                                      </w:rPr>
                                      <w:t>Practice Regarding Timing of Equity Grants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69</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4">
                                    <w:r>
                                      <w:rPr>
                                        <w:rStyle w:val="InternetLink"/>
                                        <w:color w:val="007CBA"/>
                                      </w:rPr>
                                      <w:t>Perquisites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70</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5">
                                    <w:r>
                                      <w:rPr>
                                        <w:rStyle w:val="InternetLink"/>
                                        <w:color w:val="007CBA"/>
                                      </w:rPr>
                                      <w:t>Retirement and Other 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70</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6">
                                    <w:r>
                                      <w:rPr>
                                        <w:rStyle w:val="InternetLink"/>
                                        <w:color w:val="007CBA"/>
                                      </w:rPr>
                                      <w:t>Potential Payments upon Termination or Change of Control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70</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7">
                                    <w:r>
                                      <w:rPr>
                                        <w:rStyle w:val="InternetLink"/>
                                        <w:color w:val="007CBA"/>
                                      </w:rPr>
                                      <w:t>Tax and Accounting Implications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71</w:t>
                                  </w:r>
                                </w:p>
                              </w:tc>
                              <w:tc>
                                <w:tcPr>
                                  <w:tcW w:w="75" w:type="dxa"/>
                                  <w:tcBorders/>
                                  <w:shd w:fill="auto" w:val="clear"/>
                                  <w:vAlign w:val="center"/>
                                </w:tcPr>
                                <w:p>
                                  <w:pPr>
                                    <w:pStyle w:val="TableContents"/>
                                    <w:spacing w:before="0" w:after="283"/>
                                    <w:rPr>
                                      <w:color w:val="007CBA"/>
                                    </w:rPr>
                                  </w:pPr>
                                  <w:r>
                                    <w:rPr>
                                      <w:color w:val="007CBA"/>
                                    </w:rPr>
                                    <w:t> </w:t>
                                  </w:r>
                                </w:p>
                              </w:tc>
                            </w:tr>
                          </w:tbl>
                          <w:p>
                            <w:pPr>
                              <w:pStyle w:val="TextBody"/>
                              <w:spacing w:before="360" w:after="0"/>
                              <w:rPr>
                                <w:rFonts w:ascii="ARIAL" w:hAnsi="ARIAL"/>
                                <w:b/>
                                <w:color w:val="71BE9A"/>
                                <w:sz w:val="28"/>
                              </w:rPr>
                            </w:pPr>
                            <w:bookmarkStart w:id="28" w:name="toc390557_23"/>
                            <w:bookmarkEnd w:id="28"/>
                            <w:r>
                              <w:rPr>
                                <w:rFonts w:ascii="ARIAL" w:hAnsi="ARIAL"/>
                                <w:b/>
                                <w:color w:val="71BE9A"/>
                                <w:sz w:val="28"/>
                              </w:rPr>
                              <w:t xml:space="preserve">Introduction </w:t>
                            </w:r>
                          </w:p>
                          <w:p>
                            <w:pPr>
                              <w:pStyle w:val="TextBody"/>
                              <w:spacing w:before="120" w:after="0"/>
                              <w:rPr>
                                <w:rFonts w:ascii="ARIAL" w:hAnsi="ARIAL"/>
                                <w:sz w:val="20"/>
                              </w:rPr>
                            </w:pPr>
                            <w:r>
                              <w:rPr>
                                <w:rFonts w:ascii="ARIAL" w:hAnsi="ARIAL"/>
                                <w:sz w:val="20"/>
                              </w:rPr>
                              <w:t>This Compensation Discussion and Analysis, or CD&amp;A, describes our 2022 executive compensation program and the attendant oversight provided by the Management Development and Compensation Committee of the Board of Directors (the Committee). It also summarizes our executive compensation structure and discusses the compensation earned by Martin Marietta’s named executive officers, or NEOs (the CEO, the CFO, and the three other most highly compensated executive officers in 2022), as presented below in the tables under “</w:t>
                            </w:r>
                            <w:r>
                              <w:rPr>
                                <w:rFonts w:ascii="ARIAL" w:hAnsi="ARIAL"/>
                                <w:i/>
                                <w:sz w:val="20"/>
                              </w:rPr>
                              <w:t>Executive Compensation</w:t>
                            </w:r>
                            <w:r>
                              <w:rPr>
                                <w:rFonts w:ascii="ARIAL" w:hAnsi="ARIAL"/>
                                <w:sz w:val="20"/>
                              </w:rPr>
                              <w:t xml:space="preserve">” following this CD&amp;A, which contain detailed compensation information quantifying and further explaining our NEOs’ compensation. </w:t>
                            </w:r>
                          </w:p>
                          <w:p>
                            <w:pPr>
                              <w:pStyle w:val="TextBody"/>
                              <w:spacing w:before="240" w:after="0"/>
                              <w:rPr>
                                <w:rFonts w:ascii="ARIAL" w:hAnsi="ARIAL"/>
                                <w:sz w:val="20"/>
                              </w:rPr>
                            </w:pPr>
                            <w:r>
                              <w:rPr>
                                <w:rFonts w:ascii="ARIAL" w:hAnsi="ARIAL"/>
                                <w:sz w:val="20"/>
                              </w:rPr>
                              <w:t xml:space="preserve">The Company did not change the executive compensation program in 2022, and all pre-established performance goals were retained. </w:t>
                            </w:r>
                          </w:p>
                          <w:p>
                            <w:pPr>
                              <w:pStyle w:val="TextBody"/>
                              <w:spacing w:before="240" w:after="0"/>
                              <w:rPr>
                                <w:rFonts w:ascii="ARIAL" w:hAnsi="ARIAL"/>
                                <w:sz w:val="20"/>
                              </w:rPr>
                            </w:pPr>
                            <w:r>
                              <w:rPr>
                                <w:rFonts w:ascii="ARIAL" w:hAnsi="ARIAL"/>
                                <w:sz w:val="20"/>
                              </w:rPr>
                              <w:t xml:space="preserve">For 2022, our NEOs were: </w:t>
                            </w:r>
                          </w:p>
                          <w:p>
                            <w:pPr>
                              <w:pStyle w:val="TextBody"/>
                              <w:spacing w:before="0" w:after="0"/>
                              <w:rPr/>
                            </w:pPr>
                            <w:r>
                              <w:rPr/>
                              <w:t> </w:t>
                            </w:r>
                          </w:p>
                          <w:tbl>
                            <w:tblPr>
                              <w:tblW w:w="6730" w:type="dxa"/>
                              <w:jc w:val="left"/>
                              <w:tblInd w:w="0" w:type="dxa"/>
                              <w:tblCellMar>
                                <w:top w:w="0" w:type="dxa"/>
                                <w:left w:w="0" w:type="dxa"/>
                                <w:bottom w:w="0" w:type="dxa"/>
                                <w:right w:w="0" w:type="dxa"/>
                              </w:tblCellMar>
                            </w:tblPr>
                            <w:tblGrid>
                              <w:gridCol w:w="1715"/>
                              <w:gridCol w:w="60"/>
                              <w:gridCol w:w="4820"/>
                              <w:gridCol w:w="60"/>
                              <w:gridCol w:w="75"/>
                            </w:tblGrid>
                            <w:tr>
                              <w:trPr/>
                              <w:tc>
                                <w:tcPr>
                                  <w:tcW w:w="17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15" w:type="dxa"/>
                                  <w:tcBorders/>
                                  <w:shd w:fill="DBDBDB" w:val="clear"/>
                                  <w:vAlign w:val="center"/>
                                </w:tcPr>
                                <w:p>
                                  <w:pPr>
                                    <w:pStyle w:val="TableContents"/>
                                    <w:spacing w:before="0" w:after="283"/>
                                    <w:rPr>
                                      <w:sz w:val="4"/>
                                      <w:szCs w:val="4"/>
                                    </w:rPr>
                                  </w:pPr>
                                  <w:r>
                                    <w:rPr>
                                      <w:sz w:val="4"/>
                                      <w:szCs w:val="4"/>
                                    </w:rPr>
                                  </w:r>
                                </w:p>
                              </w:tc>
                              <w:tc>
                                <w:tcPr>
                                  <w:tcW w:w="4880" w:type="dxa"/>
                                  <w:gridSpan w:val="2"/>
                                  <w:tcBorders/>
                                  <w:shd w:fill="DBDBDB" w:val="clear"/>
                                  <w:vAlign w:val="center"/>
                                </w:tcPr>
                                <w:p>
                                  <w:pPr>
                                    <w:pStyle w:val="TableContents"/>
                                    <w:spacing w:before="0" w:after="283"/>
                                    <w:rPr>
                                      <w:sz w:val="4"/>
                                      <w:szCs w:val="4"/>
                                    </w:rPr>
                                  </w:pPr>
                                  <w:r>
                                    <w:rPr>
                                      <w:sz w:val="4"/>
                                      <w:szCs w:val="4"/>
                                    </w:rPr>
                                  </w:r>
                                </w:p>
                              </w:tc>
                              <w:tc>
                                <w:tcPr>
                                  <w:tcW w:w="135" w:type="dxa"/>
                                  <w:gridSpan w:val="2"/>
                                  <w:tcBorders/>
                                  <w:shd w:fill="DBDBDB" w:val="clear"/>
                                  <w:vAlign w:val="center"/>
                                </w:tcPr>
                                <w:p>
                                  <w:pPr>
                                    <w:pStyle w:val="TableContents"/>
                                    <w:spacing w:before="0" w:after="283"/>
                                    <w:rPr>
                                      <w:sz w:val="4"/>
                                      <w:szCs w:val="4"/>
                                    </w:rPr>
                                  </w:pPr>
                                  <w:r>
                                    <w:rPr>
                                      <w:sz w:val="4"/>
                                      <w:szCs w:val="4"/>
                                    </w:rPr>
                                  </w:r>
                                </w:p>
                              </w:tc>
                            </w:tr>
                            <w:tr>
                              <w:trPr/>
                              <w:tc>
                                <w:tcPr>
                                  <w:tcW w:w="1715" w:type="dxa"/>
                                  <w:tcBorders/>
                                  <w:shd w:fill="DBDBDB" w:val="clear"/>
                                  <w:vAlign w:val="center"/>
                                </w:tcPr>
                                <w:p>
                                  <w:pPr>
                                    <w:pStyle w:val="TableContents"/>
                                    <w:spacing w:before="0" w:after="0"/>
                                    <w:rPr>
                                      <w:rFonts w:ascii="ARIAL" w:hAnsi="ARIAL"/>
                                      <w:b/>
                                      <w:sz w:val="18"/>
                                    </w:rPr>
                                  </w:pPr>
                                  <w:r>
                                    <w:rPr>
                                      <w:rFonts w:ascii="ARIAL" w:hAnsi="ARIAL"/>
                                      <w:b/>
                                      <w:sz w:val="18"/>
                                    </w:rPr>
                                    <w:t>NEO</w:t>
                                  </w:r>
                                </w:p>
                              </w:tc>
                              <w:tc>
                                <w:tcPr>
                                  <w:tcW w:w="60" w:type="dxa"/>
                                  <w:tcBorders/>
                                  <w:shd w:fill="DBDBDB" w:val="clear"/>
                                  <w:vAlign w:val="center"/>
                                </w:tcPr>
                                <w:p>
                                  <w:pPr>
                                    <w:pStyle w:val="TableContents"/>
                                    <w:spacing w:before="0" w:after="283"/>
                                    <w:rPr/>
                                  </w:pPr>
                                  <w:r>
                                    <w:rPr/>
                                    <w:t> </w:t>
                                  </w:r>
                                </w:p>
                              </w:tc>
                              <w:tc>
                                <w:tcPr>
                                  <w:tcW w:w="4820" w:type="dxa"/>
                                  <w:tcBorders/>
                                  <w:shd w:fill="DBDBDB" w:val="clear"/>
                                  <w:vAlign w:val="center"/>
                                </w:tcPr>
                                <w:p>
                                  <w:pPr>
                                    <w:pStyle w:val="TableContents"/>
                                    <w:spacing w:before="0" w:after="283"/>
                                    <w:rPr>
                                      <w:b/>
                                    </w:rPr>
                                  </w:pPr>
                                  <w:r>
                                    <w:rPr>
                                      <w:b/>
                                    </w:rPr>
                                    <w:t>Title</w:t>
                                  </w:r>
                                </w:p>
                              </w:tc>
                              <w:tc>
                                <w:tcPr>
                                  <w:tcW w:w="60" w:type="dxa"/>
                                  <w:tcBorders/>
                                  <w:shd w:fill="DBDBDB" w:val="clear"/>
                                  <w:vAlign w:val="center"/>
                                </w:tcPr>
                                <w:p>
                                  <w:pPr>
                                    <w:pStyle w:val="TableContents"/>
                                    <w:spacing w:before="0" w:after="283"/>
                                    <w:rPr/>
                                  </w:pPr>
                                  <w:r>
                                    <w:rPr/>
                                    <w:t> </w:t>
                                  </w:r>
                                </w:p>
                              </w:tc>
                              <w:tc>
                                <w:tcPr>
                                  <w:tcW w:w="75" w:type="dxa"/>
                                  <w:tcBorders/>
                                  <w:shd w:fill="DBDBDB" w:val="clear"/>
                                  <w:vAlign w:val="center"/>
                                </w:tcPr>
                                <w:p>
                                  <w:pPr>
                                    <w:pStyle w:val="TableContents"/>
                                    <w:spacing w:before="0" w:after="283"/>
                                    <w:rPr/>
                                  </w:pPr>
                                  <w:r>
                                    <w:rPr/>
                                    <w:t> </w:t>
                                  </w:r>
                                </w:p>
                              </w:tc>
                            </w:tr>
                            <w:tr>
                              <w:trPr/>
                              <w:tc>
                                <w:tcPr>
                                  <w:tcW w:w="1715" w:type="dxa"/>
                                  <w:tcBorders>
                                    <w:bottom w:val="dotted" w:sz="8" w:space="0" w:color="000000"/>
                                  </w:tcBorders>
                                  <w:shd w:fill="auto" w:val="clear"/>
                                  <w:tcMar>
                                    <w:bottom w:w="40" w:type="dxa"/>
                                  </w:tcMar>
                                  <w:vAlign w:val="center"/>
                                </w:tcPr>
                                <w:p>
                                  <w:pPr>
                                    <w:pStyle w:val="TableContents"/>
                                    <w:spacing w:before="0" w:after="0"/>
                                    <w:rPr>
                                      <w:rFonts w:ascii="ARIAL" w:hAnsi="ARIAL"/>
                                      <w:sz w:val="18"/>
                                    </w:rPr>
                                  </w:pPr>
                                  <w:r>
                                    <w:rPr>
                                      <w:rFonts w:ascii="ARIAL" w:hAnsi="ARIAL"/>
                                      <w:sz w:val="18"/>
                                    </w:rPr>
                                    <w:t>C. Howard Nye</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820" w:type="dxa"/>
                                  <w:tcBorders>
                                    <w:bottom w:val="dotted" w:sz="8" w:space="0" w:color="000000"/>
                                  </w:tcBorders>
                                  <w:shd w:fill="auto" w:val="clear"/>
                                  <w:tcMar>
                                    <w:bottom w:w="40" w:type="dxa"/>
                                  </w:tcMar>
                                  <w:vAlign w:val="center"/>
                                </w:tcPr>
                                <w:p>
                                  <w:pPr>
                                    <w:pStyle w:val="TableContents"/>
                                    <w:spacing w:before="0" w:after="283"/>
                                    <w:rPr>
                                      <w:sz w:val="18"/>
                                    </w:rPr>
                                  </w:pPr>
                                  <w:r>
                                    <w:rPr>
                                      <w:sz w:val="18"/>
                                    </w:rPr>
                                    <w:t>Chairman of the Board, President and Chief Executive Officer</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r>
                            <w:tr>
                              <w:trPr/>
                              <w:tc>
                                <w:tcPr>
                                  <w:tcW w:w="1715" w:type="dxa"/>
                                  <w:tcBorders>
                                    <w:bottom w:val="dotted" w:sz="8" w:space="0" w:color="000000"/>
                                  </w:tcBorders>
                                  <w:shd w:fill="auto" w:val="clear"/>
                                  <w:tcMar>
                                    <w:bottom w:w="40" w:type="dxa"/>
                                  </w:tcMar>
                                  <w:vAlign w:val="center"/>
                                </w:tcPr>
                                <w:p>
                                  <w:pPr>
                                    <w:pStyle w:val="TableContents"/>
                                    <w:spacing w:before="0" w:after="0"/>
                                    <w:rPr>
                                      <w:rFonts w:ascii="ARIAL" w:hAnsi="ARIAL"/>
                                      <w:sz w:val="18"/>
                                    </w:rPr>
                                  </w:pPr>
                                  <w:r>
                                    <w:rPr>
                                      <w:rFonts w:ascii="ARIAL" w:hAnsi="ARIAL"/>
                                      <w:sz w:val="18"/>
                                    </w:rPr>
                                    <w:t>James A. J. Nickolas</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820" w:type="dxa"/>
                                  <w:tcBorders>
                                    <w:bottom w:val="dotted" w:sz="8" w:space="0" w:color="000000"/>
                                  </w:tcBorders>
                                  <w:shd w:fill="auto" w:val="clear"/>
                                  <w:tcMar>
                                    <w:bottom w:w="40" w:type="dxa"/>
                                  </w:tcMar>
                                  <w:vAlign w:val="center"/>
                                </w:tcPr>
                                <w:p>
                                  <w:pPr>
                                    <w:pStyle w:val="TableContents"/>
                                    <w:spacing w:before="0" w:after="283"/>
                                    <w:rPr>
                                      <w:sz w:val="18"/>
                                    </w:rPr>
                                  </w:pPr>
                                  <w:r>
                                    <w:rPr>
                                      <w:sz w:val="18"/>
                                    </w:rPr>
                                    <w:t>Senior Vice President and Chief Financial Officer</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5" w:type="dxa"/>
                                  <w:tcBorders>
                                    <w:bottom w:val="dotted" w:sz="8" w:space="0" w:color="000000"/>
                                  </w:tcBorders>
                                  <w:shd w:fill="auto" w:val="clear"/>
                                  <w:tcMar>
                                    <w:bottom w:w="28" w:type="dxa"/>
                                  </w:tcMar>
                                  <w:vAlign w:val="center"/>
                                </w:tcPr>
                                <w:p>
                                  <w:pPr>
                                    <w:pStyle w:val="TableContents"/>
                                    <w:rPr/>
                                  </w:pPr>
                                  <w:r>
                                    <w:rPr/>
                                    <w:t> </w:t>
                                  </w:r>
                                </w:p>
                                <w:p>
                                  <w:pPr>
                                    <w:pStyle w:val="TableContents"/>
                                    <w:spacing w:before="0" w:after="0"/>
                                    <w:rPr/>
                                  </w:pPr>
                                  <w:r>
                                    <w:rPr/>
                                    <w:t> </w:t>
                                  </w:r>
                                </w:p>
                              </w:tc>
                            </w:tr>
                            <w:tr>
                              <w:trPr/>
                              <w:tc>
                                <w:tcPr>
                                  <w:tcW w:w="1715" w:type="dxa"/>
                                  <w:tcBorders>
                                    <w:bottom w:val="dotted" w:sz="8" w:space="0" w:color="000000"/>
                                  </w:tcBorders>
                                  <w:shd w:fill="auto" w:val="clear"/>
                                  <w:tcMar>
                                    <w:bottom w:w="40" w:type="dxa"/>
                                  </w:tcMar>
                                  <w:vAlign w:val="center"/>
                                </w:tcPr>
                                <w:p>
                                  <w:pPr>
                                    <w:pStyle w:val="TableContents"/>
                                    <w:spacing w:before="0" w:after="0"/>
                                    <w:rPr>
                                      <w:rFonts w:ascii="ARIAL" w:hAnsi="ARIAL"/>
                                      <w:sz w:val="18"/>
                                    </w:rPr>
                                  </w:pPr>
                                  <w:r>
                                    <w:rPr>
                                      <w:rFonts w:ascii="ARIAL" w:hAnsi="ARIAL"/>
                                      <w:sz w:val="18"/>
                                    </w:rPr>
                                    <w:t>Roselyn R. Bar</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820" w:type="dxa"/>
                                  <w:tcBorders>
                                    <w:bottom w:val="dotted" w:sz="8" w:space="0" w:color="000000"/>
                                  </w:tcBorders>
                                  <w:shd w:fill="auto" w:val="clear"/>
                                  <w:tcMar>
                                    <w:bottom w:w="40" w:type="dxa"/>
                                  </w:tcMar>
                                  <w:vAlign w:val="center"/>
                                </w:tcPr>
                                <w:p>
                                  <w:pPr>
                                    <w:pStyle w:val="TableContents"/>
                                    <w:spacing w:before="0" w:after="283"/>
                                    <w:rPr>
                                      <w:sz w:val="18"/>
                                    </w:rPr>
                                  </w:pPr>
                                  <w:r>
                                    <w:rPr>
                                      <w:sz w:val="18"/>
                                    </w:rPr>
                                    <w:t>Executive Vice President, General Counsel and Corporate Secretary</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r>
                            <w:tr>
                              <w:trPr/>
                              <w:tc>
                                <w:tcPr>
                                  <w:tcW w:w="1715" w:type="dxa"/>
                                  <w:tcBorders>
                                    <w:bottom w:val="dotted" w:sz="8" w:space="0" w:color="000000"/>
                                  </w:tcBorders>
                                  <w:shd w:fill="auto" w:val="clear"/>
                                  <w:tcMar>
                                    <w:bottom w:w="40" w:type="dxa"/>
                                  </w:tcMar>
                                  <w:vAlign w:val="center"/>
                                </w:tcPr>
                                <w:p>
                                  <w:pPr>
                                    <w:pStyle w:val="TableContents"/>
                                    <w:spacing w:before="0" w:after="0"/>
                                    <w:rPr>
                                      <w:rFonts w:ascii="ARIAL" w:hAnsi="ARIAL"/>
                                      <w:sz w:val="18"/>
                                    </w:rPr>
                                  </w:pPr>
                                  <w:r>
                                    <w:rPr>
                                      <w:rFonts w:ascii="ARIAL" w:hAnsi="ARIAL"/>
                                      <w:sz w:val="18"/>
                                    </w:rPr>
                                    <w:t>Craig M. LaTorre</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820" w:type="dxa"/>
                                  <w:tcBorders>
                                    <w:bottom w:val="dotted" w:sz="8" w:space="0" w:color="000000"/>
                                  </w:tcBorders>
                                  <w:shd w:fill="auto" w:val="clear"/>
                                  <w:tcMar>
                                    <w:bottom w:w="40" w:type="dxa"/>
                                  </w:tcMar>
                                  <w:vAlign w:val="center"/>
                                </w:tcPr>
                                <w:p>
                                  <w:pPr>
                                    <w:pStyle w:val="TableContents"/>
                                    <w:spacing w:before="0" w:after="283"/>
                                    <w:rPr>
                                      <w:sz w:val="18"/>
                                    </w:rPr>
                                  </w:pPr>
                                  <w:r>
                                    <w:rPr>
                                      <w:sz w:val="18"/>
                                    </w:rPr>
                                    <w:t>Senior Vice President and Chief Human Resource Officer</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5" w:type="dxa"/>
                                  <w:tcBorders>
                                    <w:bottom w:val="dotted" w:sz="8" w:space="0" w:color="000000"/>
                                  </w:tcBorders>
                                  <w:shd w:fill="auto" w:val="clear"/>
                                  <w:tcMar>
                                    <w:bottom w:w="28" w:type="dxa"/>
                                  </w:tcMar>
                                  <w:vAlign w:val="center"/>
                                </w:tcPr>
                                <w:p>
                                  <w:pPr>
                                    <w:pStyle w:val="TableContents"/>
                                    <w:rPr/>
                                  </w:pPr>
                                  <w:r>
                                    <w:rPr/>
                                    <w:t> </w:t>
                                  </w:r>
                                </w:p>
                                <w:p>
                                  <w:pPr>
                                    <w:pStyle w:val="TableContents"/>
                                    <w:spacing w:before="0" w:after="0"/>
                                    <w:rPr/>
                                  </w:pPr>
                                  <w:r>
                                    <w:rPr/>
                                    <w:t> </w:t>
                                  </w:r>
                                </w:p>
                              </w:tc>
                            </w:tr>
                            <w:tr>
                              <w:trPr/>
                              <w:tc>
                                <w:tcPr>
                                  <w:tcW w:w="1715" w:type="dxa"/>
                                  <w:tcBorders>
                                    <w:bottom w:val="single" w:sz="8" w:space="0" w:color="000000"/>
                                  </w:tcBorders>
                                  <w:shd w:fill="auto" w:val="clear"/>
                                  <w:tcMar>
                                    <w:bottom w:w="40" w:type="dxa"/>
                                  </w:tcMar>
                                  <w:vAlign w:val="center"/>
                                </w:tcPr>
                                <w:p>
                                  <w:pPr>
                                    <w:pStyle w:val="TableContents"/>
                                    <w:spacing w:before="0" w:after="0"/>
                                    <w:rPr>
                                      <w:rFonts w:ascii="ARIAL" w:hAnsi="ARIAL"/>
                                      <w:sz w:val="18"/>
                                    </w:rPr>
                                  </w:pPr>
                                  <w:r>
                                    <w:rPr>
                                      <w:rFonts w:ascii="ARIAL" w:hAnsi="ARIAL"/>
                                      <w:sz w:val="18"/>
                                    </w:rPr>
                                    <w:t>John P. Mohr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4820" w:type="dxa"/>
                                  <w:tcBorders>
                                    <w:bottom w:val="single" w:sz="8" w:space="0" w:color="000000"/>
                                  </w:tcBorders>
                                  <w:shd w:fill="auto" w:val="clear"/>
                                  <w:tcMar>
                                    <w:bottom w:w="40" w:type="dxa"/>
                                  </w:tcMar>
                                  <w:vAlign w:val="center"/>
                                </w:tcPr>
                                <w:p>
                                  <w:pPr>
                                    <w:pStyle w:val="TableContents"/>
                                    <w:spacing w:before="0" w:after="283"/>
                                    <w:rPr>
                                      <w:sz w:val="18"/>
                                    </w:rPr>
                                  </w:pPr>
                                  <w:r>
                                    <w:rPr>
                                      <w:sz w:val="18"/>
                                    </w:rPr>
                                    <w:t>Senior Vice President and Chief Information Officer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bottom w:val="single" w:sz="8" w:space="0" w:color="000000"/>
                                  </w:tcBorders>
                                  <w:shd w:fill="auto" w:val="clear"/>
                                  <w:tcMar>
                                    <w:bottom w:w="28" w:type="dxa"/>
                                  </w:tcMar>
                                  <w:vAlign w:val="center"/>
                                </w:tcPr>
                                <w:p>
                                  <w:pPr>
                                    <w:pStyle w:val="TableContents"/>
                                    <w:rPr/>
                                  </w:pPr>
                                  <w:r>
                                    <w:rPr/>
                                    <w:t> </w:t>
                                  </w:r>
                                </w:p>
                                <w:p>
                                  <w:pPr>
                                    <w:pStyle w:val="TableContents"/>
                                    <w:spacing w:before="0" w:after="0"/>
                                    <w:rPr/>
                                  </w:pPr>
                                  <w:r>
                                    <w:rPr/>
                                    <w:t> </w:t>
                                  </w:r>
                                </w:p>
                              </w:tc>
                            </w:tr>
                          </w:tbl>
                          <w:p>
                            <w:pPr>
                              <w:pStyle w:val="TextBody"/>
                              <w:spacing w:before="0" w:after="0"/>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6190" w:type="dxa"/>
                        <w:jc w:val="left"/>
                        <w:tblInd w:w="0" w:type="dxa"/>
                        <w:tblCellMar>
                          <w:top w:w="0" w:type="dxa"/>
                          <w:left w:w="0" w:type="dxa"/>
                          <w:bottom w:w="0" w:type="dxa"/>
                          <w:right w:w="0" w:type="dxa"/>
                        </w:tblCellMar>
                      </w:tblPr>
                      <w:tblGrid>
                        <w:gridCol w:w="5675"/>
                        <w:gridCol w:w="120"/>
                        <w:gridCol w:w="60"/>
                        <w:gridCol w:w="260"/>
                        <w:gridCol w:w="75"/>
                      </w:tblGrid>
                      <w:tr>
                        <w:trPr/>
                        <w:tc>
                          <w:tcPr>
                            <w:tcW w:w="56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0">
                              <w:r>
                                <w:rPr>
                                  <w:rStyle w:val="InternetLink"/>
                                  <w:color w:val="007CBA"/>
                                </w:rPr>
                                <w:t>Anti-Hedging and Pledging Policy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68</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1">
                              <w:r>
                                <w:rPr>
                                  <w:rStyle w:val="InternetLink"/>
                                  <w:color w:val="007CBA"/>
                                </w:rPr>
                                <w:t>Clawback Policy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69</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2">
                              <w:r>
                                <w:rPr>
                                  <w:rStyle w:val="InternetLink"/>
                                  <w:color w:val="007CBA"/>
                                </w:rPr>
                                <w:t>Our Use of Independent Compensation Consultants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69</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3">
                              <w:r>
                                <w:rPr>
                                  <w:rStyle w:val="InternetLink"/>
                                  <w:color w:val="007CBA"/>
                                </w:rPr>
                                <w:t>Practice Regarding Timing of Equity Grants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69</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4">
                              <w:r>
                                <w:rPr>
                                  <w:rStyle w:val="InternetLink"/>
                                  <w:color w:val="007CBA"/>
                                </w:rPr>
                                <w:t>Perquisites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70</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5">
                              <w:r>
                                <w:rPr>
                                  <w:rStyle w:val="InternetLink"/>
                                  <w:color w:val="007CBA"/>
                                </w:rPr>
                                <w:t>Retirement and Other 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70</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6">
                              <w:r>
                                <w:rPr>
                                  <w:rStyle w:val="InternetLink"/>
                                  <w:color w:val="007CBA"/>
                                </w:rPr>
                                <w:t>Potential Payments upon Termination or Change of Control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70</w:t>
                            </w:r>
                          </w:p>
                        </w:tc>
                        <w:tc>
                          <w:tcPr>
                            <w:tcW w:w="75" w:type="dxa"/>
                            <w:tcBorders/>
                            <w:shd w:fill="auto" w:val="clear"/>
                            <w:vAlign w:val="center"/>
                          </w:tcPr>
                          <w:p>
                            <w:pPr>
                              <w:pStyle w:val="TableContents"/>
                              <w:spacing w:before="0" w:after="283"/>
                              <w:rPr>
                                <w:color w:val="007CBA"/>
                              </w:rPr>
                            </w:pPr>
                            <w:r>
                              <w:rPr>
                                <w:color w:val="007CBA"/>
                              </w:rPr>
                              <w:t> </w:t>
                            </w:r>
                          </w:p>
                        </w:tc>
                      </w:tr>
                      <w:tr>
                        <w:trPr/>
                        <w:tc>
                          <w:tcPr>
                            <w:tcW w:w="567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pPr>
                            <w:hyperlink w:anchor="toc390557_57">
                              <w:r>
                                <w:rPr>
                                  <w:rStyle w:val="InternetLink"/>
                                  <w:color w:val="007CBA"/>
                                </w:rPr>
                                <w:t>Tax and Accounting Implications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7CBA"/>
                              </w:rPr>
                            </w:pPr>
                            <w:r>
                              <w:rPr>
                                <w:color w:val="007CBA"/>
                              </w:rPr>
                              <w:t> </w:t>
                            </w:r>
                          </w:p>
                        </w:tc>
                        <w:tc>
                          <w:tcPr>
                            <w:tcW w:w="260" w:type="dxa"/>
                            <w:tcBorders/>
                            <w:shd w:fill="auto" w:val="clear"/>
                            <w:vAlign w:val="center"/>
                          </w:tcPr>
                          <w:p>
                            <w:pPr>
                              <w:pStyle w:val="TableContents"/>
                              <w:spacing w:before="0" w:after="283"/>
                              <w:jc w:val="right"/>
                              <w:rPr>
                                <w:color w:val="007CBA"/>
                              </w:rPr>
                            </w:pPr>
                            <w:r>
                              <w:rPr>
                                <w:color w:val="007CBA"/>
                              </w:rPr>
                              <w:t>71</w:t>
                            </w:r>
                          </w:p>
                        </w:tc>
                        <w:tc>
                          <w:tcPr>
                            <w:tcW w:w="75" w:type="dxa"/>
                            <w:tcBorders/>
                            <w:shd w:fill="auto" w:val="clear"/>
                            <w:vAlign w:val="center"/>
                          </w:tcPr>
                          <w:p>
                            <w:pPr>
                              <w:pStyle w:val="TableContents"/>
                              <w:spacing w:before="0" w:after="283"/>
                              <w:rPr>
                                <w:color w:val="007CBA"/>
                              </w:rPr>
                            </w:pPr>
                            <w:r>
                              <w:rPr>
                                <w:color w:val="007CBA"/>
                              </w:rPr>
                              <w:t> </w:t>
                            </w:r>
                          </w:p>
                        </w:tc>
                      </w:tr>
                    </w:tbl>
                    <w:p>
                      <w:pPr>
                        <w:pStyle w:val="TextBody"/>
                        <w:spacing w:before="360" w:after="0"/>
                        <w:rPr>
                          <w:rFonts w:ascii="ARIAL" w:hAnsi="ARIAL"/>
                          <w:b/>
                          <w:color w:val="71BE9A"/>
                          <w:sz w:val="28"/>
                        </w:rPr>
                      </w:pPr>
                      <w:bookmarkStart w:id="29" w:name="toc390557_23"/>
                      <w:bookmarkEnd w:id="29"/>
                      <w:r>
                        <w:rPr>
                          <w:rFonts w:ascii="ARIAL" w:hAnsi="ARIAL"/>
                          <w:b/>
                          <w:color w:val="71BE9A"/>
                          <w:sz w:val="28"/>
                        </w:rPr>
                        <w:t xml:space="preserve">Introduction </w:t>
                      </w:r>
                    </w:p>
                    <w:p>
                      <w:pPr>
                        <w:pStyle w:val="TextBody"/>
                        <w:spacing w:before="120" w:after="0"/>
                        <w:rPr>
                          <w:rFonts w:ascii="ARIAL" w:hAnsi="ARIAL"/>
                          <w:sz w:val="20"/>
                        </w:rPr>
                      </w:pPr>
                      <w:r>
                        <w:rPr>
                          <w:rFonts w:ascii="ARIAL" w:hAnsi="ARIAL"/>
                          <w:sz w:val="20"/>
                        </w:rPr>
                        <w:t>This Compensation Discussion and Analysis, or CD&amp;A, describes our 2022 executive compensation program and the attendant oversight provided by the Management Development and Compensation Committee of the Board of Directors (the Committee). It also summarizes our executive compensation structure and discusses the compensation earned by Martin Marietta’s named executive officers, or NEOs (the CEO, the CFO, and the three other most highly compensated executive officers in 2022), as presented below in the tables under “</w:t>
                      </w:r>
                      <w:r>
                        <w:rPr>
                          <w:rFonts w:ascii="ARIAL" w:hAnsi="ARIAL"/>
                          <w:i/>
                          <w:sz w:val="20"/>
                        </w:rPr>
                        <w:t>Executive Compensation</w:t>
                      </w:r>
                      <w:r>
                        <w:rPr>
                          <w:rFonts w:ascii="ARIAL" w:hAnsi="ARIAL"/>
                          <w:sz w:val="20"/>
                        </w:rPr>
                        <w:t xml:space="preserve">” following this CD&amp;A, which contain detailed compensation information quantifying and further explaining our NEOs’ compensation. </w:t>
                      </w:r>
                    </w:p>
                    <w:p>
                      <w:pPr>
                        <w:pStyle w:val="TextBody"/>
                        <w:spacing w:before="240" w:after="0"/>
                        <w:rPr>
                          <w:rFonts w:ascii="ARIAL" w:hAnsi="ARIAL"/>
                          <w:sz w:val="20"/>
                        </w:rPr>
                      </w:pPr>
                      <w:r>
                        <w:rPr>
                          <w:rFonts w:ascii="ARIAL" w:hAnsi="ARIAL"/>
                          <w:sz w:val="20"/>
                        </w:rPr>
                        <w:t xml:space="preserve">The Company did not change the executive compensation program in 2022, and all pre-established performance goals were retained. </w:t>
                      </w:r>
                    </w:p>
                    <w:p>
                      <w:pPr>
                        <w:pStyle w:val="TextBody"/>
                        <w:spacing w:before="240" w:after="0"/>
                        <w:rPr>
                          <w:rFonts w:ascii="ARIAL" w:hAnsi="ARIAL"/>
                          <w:sz w:val="20"/>
                        </w:rPr>
                      </w:pPr>
                      <w:r>
                        <w:rPr>
                          <w:rFonts w:ascii="ARIAL" w:hAnsi="ARIAL"/>
                          <w:sz w:val="20"/>
                        </w:rPr>
                        <w:t xml:space="preserve">For 2022, our NEOs were: </w:t>
                      </w:r>
                    </w:p>
                    <w:p>
                      <w:pPr>
                        <w:pStyle w:val="TextBody"/>
                        <w:spacing w:before="0" w:after="0"/>
                        <w:rPr/>
                      </w:pPr>
                      <w:r>
                        <w:rPr/>
                        <w:t> </w:t>
                      </w:r>
                    </w:p>
                    <w:tbl>
                      <w:tblPr>
                        <w:tblW w:w="6730" w:type="dxa"/>
                        <w:jc w:val="left"/>
                        <w:tblInd w:w="0" w:type="dxa"/>
                        <w:tblCellMar>
                          <w:top w:w="0" w:type="dxa"/>
                          <w:left w:w="0" w:type="dxa"/>
                          <w:bottom w:w="0" w:type="dxa"/>
                          <w:right w:w="0" w:type="dxa"/>
                        </w:tblCellMar>
                      </w:tblPr>
                      <w:tblGrid>
                        <w:gridCol w:w="1715"/>
                        <w:gridCol w:w="60"/>
                        <w:gridCol w:w="4820"/>
                        <w:gridCol w:w="60"/>
                        <w:gridCol w:w="75"/>
                      </w:tblGrid>
                      <w:tr>
                        <w:trPr/>
                        <w:tc>
                          <w:tcPr>
                            <w:tcW w:w="17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15" w:type="dxa"/>
                            <w:tcBorders/>
                            <w:shd w:fill="DBDBDB" w:val="clear"/>
                            <w:vAlign w:val="center"/>
                          </w:tcPr>
                          <w:p>
                            <w:pPr>
                              <w:pStyle w:val="TableContents"/>
                              <w:spacing w:before="0" w:after="283"/>
                              <w:rPr>
                                <w:sz w:val="4"/>
                                <w:szCs w:val="4"/>
                              </w:rPr>
                            </w:pPr>
                            <w:r>
                              <w:rPr>
                                <w:sz w:val="4"/>
                                <w:szCs w:val="4"/>
                              </w:rPr>
                            </w:r>
                          </w:p>
                        </w:tc>
                        <w:tc>
                          <w:tcPr>
                            <w:tcW w:w="4880" w:type="dxa"/>
                            <w:gridSpan w:val="2"/>
                            <w:tcBorders/>
                            <w:shd w:fill="DBDBDB" w:val="clear"/>
                            <w:vAlign w:val="center"/>
                          </w:tcPr>
                          <w:p>
                            <w:pPr>
                              <w:pStyle w:val="TableContents"/>
                              <w:spacing w:before="0" w:after="283"/>
                              <w:rPr>
                                <w:sz w:val="4"/>
                                <w:szCs w:val="4"/>
                              </w:rPr>
                            </w:pPr>
                            <w:r>
                              <w:rPr>
                                <w:sz w:val="4"/>
                                <w:szCs w:val="4"/>
                              </w:rPr>
                            </w:r>
                          </w:p>
                        </w:tc>
                        <w:tc>
                          <w:tcPr>
                            <w:tcW w:w="135" w:type="dxa"/>
                            <w:gridSpan w:val="2"/>
                            <w:tcBorders/>
                            <w:shd w:fill="DBDBDB" w:val="clear"/>
                            <w:vAlign w:val="center"/>
                          </w:tcPr>
                          <w:p>
                            <w:pPr>
                              <w:pStyle w:val="TableContents"/>
                              <w:spacing w:before="0" w:after="283"/>
                              <w:rPr>
                                <w:sz w:val="4"/>
                                <w:szCs w:val="4"/>
                              </w:rPr>
                            </w:pPr>
                            <w:r>
                              <w:rPr>
                                <w:sz w:val="4"/>
                                <w:szCs w:val="4"/>
                              </w:rPr>
                            </w:r>
                          </w:p>
                        </w:tc>
                      </w:tr>
                      <w:tr>
                        <w:trPr/>
                        <w:tc>
                          <w:tcPr>
                            <w:tcW w:w="1715" w:type="dxa"/>
                            <w:tcBorders/>
                            <w:shd w:fill="DBDBDB" w:val="clear"/>
                            <w:vAlign w:val="center"/>
                          </w:tcPr>
                          <w:p>
                            <w:pPr>
                              <w:pStyle w:val="TableContents"/>
                              <w:spacing w:before="0" w:after="0"/>
                              <w:rPr>
                                <w:rFonts w:ascii="ARIAL" w:hAnsi="ARIAL"/>
                                <w:b/>
                                <w:sz w:val="18"/>
                              </w:rPr>
                            </w:pPr>
                            <w:r>
                              <w:rPr>
                                <w:rFonts w:ascii="ARIAL" w:hAnsi="ARIAL"/>
                                <w:b/>
                                <w:sz w:val="18"/>
                              </w:rPr>
                              <w:t>NEO</w:t>
                            </w:r>
                          </w:p>
                        </w:tc>
                        <w:tc>
                          <w:tcPr>
                            <w:tcW w:w="60" w:type="dxa"/>
                            <w:tcBorders/>
                            <w:shd w:fill="DBDBDB" w:val="clear"/>
                            <w:vAlign w:val="center"/>
                          </w:tcPr>
                          <w:p>
                            <w:pPr>
                              <w:pStyle w:val="TableContents"/>
                              <w:spacing w:before="0" w:after="283"/>
                              <w:rPr/>
                            </w:pPr>
                            <w:r>
                              <w:rPr/>
                              <w:t> </w:t>
                            </w:r>
                          </w:p>
                        </w:tc>
                        <w:tc>
                          <w:tcPr>
                            <w:tcW w:w="4820" w:type="dxa"/>
                            <w:tcBorders/>
                            <w:shd w:fill="DBDBDB" w:val="clear"/>
                            <w:vAlign w:val="center"/>
                          </w:tcPr>
                          <w:p>
                            <w:pPr>
                              <w:pStyle w:val="TableContents"/>
                              <w:spacing w:before="0" w:after="283"/>
                              <w:rPr>
                                <w:b/>
                              </w:rPr>
                            </w:pPr>
                            <w:r>
                              <w:rPr>
                                <w:b/>
                              </w:rPr>
                              <w:t>Title</w:t>
                            </w:r>
                          </w:p>
                        </w:tc>
                        <w:tc>
                          <w:tcPr>
                            <w:tcW w:w="60" w:type="dxa"/>
                            <w:tcBorders/>
                            <w:shd w:fill="DBDBDB" w:val="clear"/>
                            <w:vAlign w:val="center"/>
                          </w:tcPr>
                          <w:p>
                            <w:pPr>
                              <w:pStyle w:val="TableContents"/>
                              <w:spacing w:before="0" w:after="283"/>
                              <w:rPr/>
                            </w:pPr>
                            <w:r>
                              <w:rPr/>
                              <w:t> </w:t>
                            </w:r>
                          </w:p>
                        </w:tc>
                        <w:tc>
                          <w:tcPr>
                            <w:tcW w:w="75" w:type="dxa"/>
                            <w:tcBorders/>
                            <w:shd w:fill="DBDBDB" w:val="clear"/>
                            <w:vAlign w:val="center"/>
                          </w:tcPr>
                          <w:p>
                            <w:pPr>
                              <w:pStyle w:val="TableContents"/>
                              <w:spacing w:before="0" w:after="283"/>
                              <w:rPr/>
                            </w:pPr>
                            <w:r>
                              <w:rPr/>
                              <w:t> </w:t>
                            </w:r>
                          </w:p>
                        </w:tc>
                      </w:tr>
                      <w:tr>
                        <w:trPr/>
                        <w:tc>
                          <w:tcPr>
                            <w:tcW w:w="1715" w:type="dxa"/>
                            <w:tcBorders>
                              <w:bottom w:val="dotted" w:sz="8" w:space="0" w:color="000000"/>
                            </w:tcBorders>
                            <w:shd w:fill="auto" w:val="clear"/>
                            <w:tcMar>
                              <w:bottom w:w="40" w:type="dxa"/>
                            </w:tcMar>
                            <w:vAlign w:val="center"/>
                          </w:tcPr>
                          <w:p>
                            <w:pPr>
                              <w:pStyle w:val="TableContents"/>
                              <w:spacing w:before="0" w:after="0"/>
                              <w:rPr>
                                <w:rFonts w:ascii="ARIAL" w:hAnsi="ARIAL"/>
                                <w:sz w:val="18"/>
                              </w:rPr>
                            </w:pPr>
                            <w:r>
                              <w:rPr>
                                <w:rFonts w:ascii="ARIAL" w:hAnsi="ARIAL"/>
                                <w:sz w:val="18"/>
                              </w:rPr>
                              <w:t>C. Howard Nye</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820" w:type="dxa"/>
                            <w:tcBorders>
                              <w:bottom w:val="dotted" w:sz="8" w:space="0" w:color="000000"/>
                            </w:tcBorders>
                            <w:shd w:fill="auto" w:val="clear"/>
                            <w:tcMar>
                              <w:bottom w:w="40" w:type="dxa"/>
                            </w:tcMar>
                            <w:vAlign w:val="center"/>
                          </w:tcPr>
                          <w:p>
                            <w:pPr>
                              <w:pStyle w:val="TableContents"/>
                              <w:spacing w:before="0" w:after="283"/>
                              <w:rPr>
                                <w:sz w:val="18"/>
                              </w:rPr>
                            </w:pPr>
                            <w:r>
                              <w:rPr>
                                <w:sz w:val="18"/>
                              </w:rPr>
                              <w:t>Chairman of the Board, President and Chief Executive Officer</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r>
                      <w:tr>
                        <w:trPr/>
                        <w:tc>
                          <w:tcPr>
                            <w:tcW w:w="1715" w:type="dxa"/>
                            <w:tcBorders>
                              <w:bottom w:val="dotted" w:sz="8" w:space="0" w:color="000000"/>
                            </w:tcBorders>
                            <w:shd w:fill="auto" w:val="clear"/>
                            <w:tcMar>
                              <w:bottom w:w="40" w:type="dxa"/>
                            </w:tcMar>
                            <w:vAlign w:val="center"/>
                          </w:tcPr>
                          <w:p>
                            <w:pPr>
                              <w:pStyle w:val="TableContents"/>
                              <w:spacing w:before="0" w:after="0"/>
                              <w:rPr>
                                <w:rFonts w:ascii="ARIAL" w:hAnsi="ARIAL"/>
                                <w:sz w:val="18"/>
                              </w:rPr>
                            </w:pPr>
                            <w:r>
                              <w:rPr>
                                <w:rFonts w:ascii="ARIAL" w:hAnsi="ARIAL"/>
                                <w:sz w:val="18"/>
                              </w:rPr>
                              <w:t>James A. J. Nickolas</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820" w:type="dxa"/>
                            <w:tcBorders>
                              <w:bottom w:val="dotted" w:sz="8" w:space="0" w:color="000000"/>
                            </w:tcBorders>
                            <w:shd w:fill="auto" w:val="clear"/>
                            <w:tcMar>
                              <w:bottom w:w="40" w:type="dxa"/>
                            </w:tcMar>
                            <w:vAlign w:val="center"/>
                          </w:tcPr>
                          <w:p>
                            <w:pPr>
                              <w:pStyle w:val="TableContents"/>
                              <w:spacing w:before="0" w:after="283"/>
                              <w:rPr>
                                <w:sz w:val="18"/>
                              </w:rPr>
                            </w:pPr>
                            <w:r>
                              <w:rPr>
                                <w:sz w:val="18"/>
                              </w:rPr>
                              <w:t>Senior Vice President and Chief Financial Officer</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5" w:type="dxa"/>
                            <w:tcBorders>
                              <w:bottom w:val="dotted" w:sz="8" w:space="0" w:color="000000"/>
                            </w:tcBorders>
                            <w:shd w:fill="auto" w:val="clear"/>
                            <w:tcMar>
                              <w:bottom w:w="28" w:type="dxa"/>
                            </w:tcMar>
                            <w:vAlign w:val="center"/>
                          </w:tcPr>
                          <w:p>
                            <w:pPr>
                              <w:pStyle w:val="TableContents"/>
                              <w:rPr/>
                            </w:pPr>
                            <w:r>
                              <w:rPr/>
                              <w:t> </w:t>
                            </w:r>
                          </w:p>
                          <w:p>
                            <w:pPr>
                              <w:pStyle w:val="TableContents"/>
                              <w:spacing w:before="0" w:after="0"/>
                              <w:rPr/>
                            </w:pPr>
                            <w:r>
                              <w:rPr/>
                              <w:t> </w:t>
                            </w:r>
                          </w:p>
                        </w:tc>
                      </w:tr>
                      <w:tr>
                        <w:trPr/>
                        <w:tc>
                          <w:tcPr>
                            <w:tcW w:w="1715" w:type="dxa"/>
                            <w:tcBorders>
                              <w:bottom w:val="dotted" w:sz="8" w:space="0" w:color="000000"/>
                            </w:tcBorders>
                            <w:shd w:fill="auto" w:val="clear"/>
                            <w:tcMar>
                              <w:bottom w:w="40" w:type="dxa"/>
                            </w:tcMar>
                            <w:vAlign w:val="center"/>
                          </w:tcPr>
                          <w:p>
                            <w:pPr>
                              <w:pStyle w:val="TableContents"/>
                              <w:spacing w:before="0" w:after="0"/>
                              <w:rPr>
                                <w:rFonts w:ascii="ARIAL" w:hAnsi="ARIAL"/>
                                <w:sz w:val="18"/>
                              </w:rPr>
                            </w:pPr>
                            <w:r>
                              <w:rPr>
                                <w:rFonts w:ascii="ARIAL" w:hAnsi="ARIAL"/>
                                <w:sz w:val="18"/>
                              </w:rPr>
                              <w:t>Roselyn R. Bar</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820" w:type="dxa"/>
                            <w:tcBorders>
                              <w:bottom w:val="dotted" w:sz="8" w:space="0" w:color="000000"/>
                            </w:tcBorders>
                            <w:shd w:fill="auto" w:val="clear"/>
                            <w:tcMar>
                              <w:bottom w:w="40" w:type="dxa"/>
                            </w:tcMar>
                            <w:vAlign w:val="center"/>
                          </w:tcPr>
                          <w:p>
                            <w:pPr>
                              <w:pStyle w:val="TableContents"/>
                              <w:spacing w:before="0" w:after="283"/>
                              <w:rPr>
                                <w:sz w:val="18"/>
                              </w:rPr>
                            </w:pPr>
                            <w:r>
                              <w:rPr>
                                <w:sz w:val="18"/>
                              </w:rPr>
                              <w:t>Executive Vice President, General Counsel and Corporate Secretary</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r>
                      <w:tr>
                        <w:trPr/>
                        <w:tc>
                          <w:tcPr>
                            <w:tcW w:w="1715" w:type="dxa"/>
                            <w:tcBorders>
                              <w:bottom w:val="dotted" w:sz="8" w:space="0" w:color="000000"/>
                            </w:tcBorders>
                            <w:shd w:fill="auto" w:val="clear"/>
                            <w:tcMar>
                              <w:bottom w:w="40" w:type="dxa"/>
                            </w:tcMar>
                            <w:vAlign w:val="center"/>
                          </w:tcPr>
                          <w:p>
                            <w:pPr>
                              <w:pStyle w:val="TableContents"/>
                              <w:spacing w:before="0" w:after="0"/>
                              <w:rPr>
                                <w:rFonts w:ascii="ARIAL" w:hAnsi="ARIAL"/>
                                <w:sz w:val="18"/>
                              </w:rPr>
                            </w:pPr>
                            <w:r>
                              <w:rPr>
                                <w:rFonts w:ascii="ARIAL" w:hAnsi="ARIAL"/>
                                <w:sz w:val="18"/>
                              </w:rPr>
                              <w:t>Craig M. LaTorre</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820" w:type="dxa"/>
                            <w:tcBorders>
                              <w:bottom w:val="dotted" w:sz="8" w:space="0" w:color="000000"/>
                            </w:tcBorders>
                            <w:shd w:fill="auto" w:val="clear"/>
                            <w:tcMar>
                              <w:bottom w:w="40" w:type="dxa"/>
                            </w:tcMar>
                            <w:vAlign w:val="center"/>
                          </w:tcPr>
                          <w:p>
                            <w:pPr>
                              <w:pStyle w:val="TableContents"/>
                              <w:spacing w:before="0" w:after="283"/>
                              <w:rPr>
                                <w:sz w:val="18"/>
                              </w:rPr>
                            </w:pPr>
                            <w:r>
                              <w:rPr>
                                <w:sz w:val="18"/>
                              </w:rPr>
                              <w:t>Senior Vice President and Chief Human Resource Officer</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5" w:type="dxa"/>
                            <w:tcBorders>
                              <w:bottom w:val="dotted" w:sz="8" w:space="0" w:color="000000"/>
                            </w:tcBorders>
                            <w:shd w:fill="auto" w:val="clear"/>
                            <w:tcMar>
                              <w:bottom w:w="28" w:type="dxa"/>
                            </w:tcMar>
                            <w:vAlign w:val="center"/>
                          </w:tcPr>
                          <w:p>
                            <w:pPr>
                              <w:pStyle w:val="TableContents"/>
                              <w:rPr/>
                            </w:pPr>
                            <w:r>
                              <w:rPr/>
                              <w:t> </w:t>
                            </w:r>
                          </w:p>
                          <w:p>
                            <w:pPr>
                              <w:pStyle w:val="TableContents"/>
                              <w:spacing w:before="0" w:after="0"/>
                              <w:rPr/>
                            </w:pPr>
                            <w:r>
                              <w:rPr/>
                              <w:t> </w:t>
                            </w:r>
                          </w:p>
                        </w:tc>
                      </w:tr>
                      <w:tr>
                        <w:trPr/>
                        <w:tc>
                          <w:tcPr>
                            <w:tcW w:w="1715" w:type="dxa"/>
                            <w:tcBorders>
                              <w:bottom w:val="single" w:sz="8" w:space="0" w:color="000000"/>
                            </w:tcBorders>
                            <w:shd w:fill="auto" w:val="clear"/>
                            <w:tcMar>
                              <w:bottom w:w="40" w:type="dxa"/>
                            </w:tcMar>
                            <w:vAlign w:val="center"/>
                          </w:tcPr>
                          <w:p>
                            <w:pPr>
                              <w:pStyle w:val="TableContents"/>
                              <w:spacing w:before="0" w:after="0"/>
                              <w:rPr>
                                <w:rFonts w:ascii="ARIAL" w:hAnsi="ARIAL"/>
                                <w:sz w:val="18"/>
                              </w:rPr>
                            </w:pPr>
                            <w:r>
                              <w:rPr>
                                <w:rFonts w:ascii="ARIAL" w:hAnsi="ARIAL"/>
                                <w:sz w:val="18"/>
                              </w:rPr>
                              <w:t>John P. Mohr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4820" w:type="dxa"/>
                            <w:tcBorders>
                              <w:bottom w:val="single" w:sz="8" w:space="0" w:color="000000"/>
                            </w:tcBorders>
                            <w:shd w:fill="auto" w:val="clear"/>
                            <w:tcMar>
                              <w:bottom w:w="40" w:type="dxa"/>
                            </w:tcMar>
                            <w:vAlign w:val="center"/>
                          </w:tcPr>
                          <w:p>
                            <w:pPr>
                              <w:pStyle w:val="TableContents"/>
                              <w:spacing w:before="0" w:after="283"/>
                              <w:rPr>
                                <w:sz w:val="18"/>
                              </w:rPr>
                            </w:pPr>
                            <w:r>
                              <w:rPr>
                                <w:sz w:val="18"/>
                              </w:rPr>
                              <w:t>Senior Vice President and Chief Information Officer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bottom w:val="single" w:sz="8" w:space="0" w:color="000000"/>
                            </w:tcBorders>
                            <w:shd w:fill="auto" w:val="clear"/>
                            <w:tcMar>
                              <w:bottom w:w="28" w:type="dxa"/>
                            </w:tcMar>
                            <w:vAlign w:val="center"/>
                          </w:tcPr>
                          <w:p>
                            <w:pPr>
                              <w:pStyle w:val="TableContents"/>
                              <w:rPr/>
                            </w:pPr>
                            <w:r>
                              <w:rPr/>
                              <w:t> </w:t>
                            </w:r>
                          </w:p>
                          <w:p>
                            <w:pPr>
                              <w:pStyle w:val="TableContents"/>
                              <w:spacing w:before="0" w:after="0"/>
                              <w:rPr/>
                            </w:pPr>
                            <w:r>
                              <w:rPr/>
                              <w:t> </w:t>
                            </w:r>
                          </w:p>
                        </w:tc>
                      </w:tr>
                    </w:tbl>
                    <w:p>
                      <w:pPr>
                        <w:pStyle w:val="TextBody"/>
                        <w:spacing w:before="0" w:after="0"/>
                        <w:rPr/>
                      </w:pPr>
                      <w:r>
                        <w:rPr/>
                        <w:t> </w:t>
                      </w:r>
                    </w:p>
                  </w:txbxContent>
                </v:textbox>
                <w10:wrap type="square" side="right"/>
              </v:rect>
            </w:pict>
          </mc:Fallback>
        </mc:AlternateConten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5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4" descr=""/>
                          <pic:cNvPicPr>
                            <a:picLocks noChangeAspect="1" noChangeArrowheads="1"/>
                          </pic:cNvPicPr>
                        </pic:nvPicPr>
                        <pic:blipFill>
                          <a:blip r:embed="rId14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41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LETTER FROM COMMITTEE CHAIR  ◆</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color w:val="71BE9A"/>
          <w:sz w:val="26"/>
        </w:rPr>
      </w:pPr>
      <w:bookmarkStart w:id="30" w:name="toc390557_23a"/>
      <w:bookmarkEnd w:id="30"/>
      <w:r>
        <w:rPr>
          <w:rFonts w:ascii="ARIAL" w:hAnsi="ARIAL"/>
          <w:b/>
          <w:color w:val="71BE9A"/>
          <w:sz w:val="26"/>
        </w:rPr>
        <w:t xml:space="preserve">Letter from Committee Chair </w:t>
      </w:r>
    </w:p>
    <w:p>
      <w:pPr>
        <w:pStyle w:val="TextBody"/>
        <w:spacing w:before="120" w:after="0"/>
        <w:jc w:val="left"/>
        <w:rPr>
          <w:rFonts w:ascii="ARIAL" w:hAnsi="ARIAL"/>
          <w:b/>
          <w:color w:val="007CBA"/>
          <w:sz w:val="26"/>
        </w:rPr>
      </w:pPr>
      <w:r>
        <w:rPr>
          <w:rFonts w:ascii="ARIAL" w:hAnsi="ARIAL"/>
          <w:b/>
          <w:color w:val="007CBA"/>
          <w:sz w:val="26"/>
        </w:rPr>
        <w:t xml:space="preserve">Dear Shareholders: </w:t>
      </w:r>
    </w:p>
    <w:p>
      <w:pPr>
        <w:pStyle w:val="TextBody"/>
        <w:spacing w:before="120" w:after="0"/>
        <w:jc w:val="left"/>
        <w:rPr>
          <w:rFonts w:ascii="ARIAL" w:hAnsi="ARIAL"/>
          <w:sz w:val="20"/>
        </w:rPr>
      </w:pPr>
      <w:r>
        <w:rPr>
          <w:rFonts w:ascii="ARIAL" w:hAnsi="ARIAL"/>
          <w:sz w:val="20"/>
        </w:rPr>
        <w:t xml:space="preserve">The Management Development and Compensation Committee, among its many important human capital functions, is accountable for overseeing and utilizing Martin Marietta’s executive compensation program to motivate and retain its management team and to ensure alignment with shareholder value creation. One of the board’s and the Committee’s most important governance roles is </w:t>
      </w:r>
      <w:r>
        <w:rPr>
          <w:rFonts w:ascii="ARIAL" w:hAnsi="ARIAL"/>
          <w:b/>
          <w:sz w:val="20"/>
        </w:rPr>
        <w:t>to maintain corporate</w:t>
      </w:r>
      <w:r>
        <w:rPr>
          <w:rFonts w:ascii="ARIAL" w:hAnsi="ARIAL"/>
          <w:sz w:val="20"/>
        </w:rPr>
        <w:t xml:space="preserve"> </w:t>
      </w:r>
      <w:r>
        <w:rPr>
          <w:rFonts w:ascii="ARIAL" w:hAnsi="ARIAL"/>
          <w:b/>
          <w:sz w:val="20"/>
        </w:rPr>
        <w:t xml:space="preserve">continuity via strong performance-based compensation and management continuity and succession. </w:t>
      </w:r>
      <w:r>
        <w:rPr>
          <w:rFonts w:ascii="ARIAL" w:hAnsi="ARIAL"/>
          <w:sz w:val="20"/>
        </w:rPr>
        <w:t xml:space="preserve">These require, and we have implemented, effective executive succession planning together with competitive and incentive-driven compensation for our top executives, including the CEO. </w:t>
      </w:r>
    </w:p>
    <w:p>
      <w:pPr>
        <w:pStyle w:val="TextBody"/>
        <w:spacing w:before="240" w:after="0"/>
        <w:jc w:val="left"/>
        <w:rPr>
          <w:rFonts w:ascii="ARIAL" w:hAnsi="ARIAL"/>
          <w:sz w:val="20"/>
        </w:rPr>
      </w:pPr>
      <w:r>
        <w:rPr>
          <w:rFonts w:ascii="ARIAL" w:hAnsi="ARIAL"/>
          <w:sz w:val="20"/>
        </w:rPr>
        <w:t xml:space="preserve">Mr. Nye, who was elected as the company’s CEO in 2010, deliberately set out to establish and maintain (1) an increasingly resilient company capable of withstanding the economic cycles inherent in the heavy building materials industry and (2) superior long-term value creation for shareholders. To do so, he led the creation of the company’s first Strategic Operating Analysis and Review (SOAR), Martin Marietta’s strategic plan initially launched in 2010 and since refreshed in five-year intervals. SOAR provides the framework to responsibly and sustainably grow our business and deploy capital for long-term success. </w:t>
      </w:r>
    </w:p>
    <w:p>
      <w:pPr>
        <w:pStyle w:val="TextBody"/>
        <w:spacing w:before="240" w:after="0"/>
        <w:jc w:val="left"/>
        <w:rPr>
          <w:rFonts w:ascii="ARIAL" w:hAnsi="ARIAL"/>
          <w:sz w:val="20"/>
        </w:rPr>
      </w:pPr>
      <w:r>
        <w:rPr>
          <w:rFonts w:ascii="ARIAL" w:hAnsi="ARIAL"/>
          <w:sz w:val="20"/>
        </w:rPr>
        <w:t xml:space="preserve">The disciplined creation, evolution and execution of SOAR has transformed Martin Marietta from a largely regional aggregates producer to a leading coast-to-coast supplier of heavy building materials, all while delivering exceptional financial results and total shareholder returns. </w:t>
      </w:r>
      <w:r>
        <w:rPr>
          <w:rFonts w:ascii="ARIAL" w:hAnsi="ARIAL"/>
          <w:b/>
          <w:sz w:val="20"/>
        </w:rPr>
        <w:t>During Mr.</w:t>
      </w:r>
      <w:r>
        <w:rPr>
          <w:rFonts w:ascii="ARIAL" w:hAnsi="ARIAL"/>
          <w:sz w:val="20"/>
        </w:rPr>
        <w:t> </w:t>
      </w:r>
      <w:r>
        <w:rPr>
          <w:rFonts w:ascii="ARIAL" w:hAnsi="ARIAL"/>
          <w:b/>
          <w:sz w:val="20"/>
        </w:rPr>
        <w:t>Nye’s tenure as CEO, our market capitalization has grown by $17</w:t>
      </w:r>
      <w:r>
        <w:rPr>
          <w:rFonts w:ascii="ARIAL" w:hAnsi="ARIAL"/>
          <w:sz w:val="20"/>
        </w:rPr>
        <w:t> </w:t>
      </w:r>
      <w:r>
        <w:rPr>
          <w:rFonts w:ascii="ARIAL" w:hAnsi="ARIAL"/>
          <w:b/>
          <w:sz w:val="20"/>
        </w:rPr>
        <w:t>billion, from approximately $4</w:t>
      </w:r>
      <w:r>
        <w:rPr>
          <w:rFonts w:ascii="ARIAL" w:hAnsi="ARIAL"/>
          <w:sz w:val="20"/>
        </w:rPr>
        <w:t> </w:t>
      </w:r>
      <w:r>
        <w:rPr>
          <w:rFonts w:ascii="ARIAL" w:hAnsi="ARIAL"/>
          <w:b/>
          <w:sz w:val="20"/>
        </w:rPr>
        <w:t>billion to $21</w:t>
      </w:r>
      <w:r>
        <w:rPr>
          <w:rFonts w:ascii="ARIAL" w:hAnsi="ARIAL"/>
          <w:sz w:val="20"/>
        </w:rPr>
        <w:t> </w:t>
      </w:r>
      <w:r>
        <w:rPr>
          <w:rFonts w:ascii="ARIAL" w:hAnsi="ARIAL"/>
          <w:b/>
          <w:sz w:val="20"/>
        </w:rPr>
        <w:t>billion as of December</w:t>
      </w:r>
      <w:r>
        <w:rPr>
          <w:rFonts w:ascii="ARIAL" w:hAnsi="ARIAL"/>
          <w:sz w:val="20"/>
        </w:rPr>
        <w:t> </w:t>
      </w:r>
      <w:r>
        <w:rPr>
          <w:rFonts w:ascii="ARIAL" w:hAnsi="ARIAL"/>
          <w:b/>
          <w:sz w:val="20"/>
        </w:rPr>
        <w:t>31, 2022, yielding a 14% CAGR.</w:t>
      </w:r>
      <w:r>
        <w:rPr>
          <w:rFonts w:ascii="ARIAL" w:hAnsi="ARIAL"/>
          <w:sz w:val="20"/>
        </w:rPr>
        <w:t xml:space="preserve"> </w:t>
      </w:r>
    </w:p>
    <w:p>
      <w:pPr>
        <w:pStyle w:val="TextBody"/>
        <w:spacing w:before="0" w:after="0"/>
        <w:jc w:val="left"/>
        <w:rPr/>
      </w:pPr>
      <w:r>
        <w:rPr/>
        <w:t> </w:t>
      </w:r>
    </w:p>
    <w:p>
      <w:pPr>
        <w:pStyle w:val="TextBody"/>
        <w:spacing w:before="0" w:after="0"/>
        <w:jc w:val="center"/>
        <w:rPr/>
      </w:pPr>
      <w:r>
        <w:rPr/>
        <w:drawing>
          <wp:inline distT="0" distB="0" distL="0" distR="0">
            <wp:extent cx="517525" cy="212090"/>
            <wp:effectExtent l="0" t="0" r="0" b="0"/>
            <wp:docPr id="15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5" descr=""/>
                    <pic:cNvPicPr>
                      <a:picLocks noChangeAspect="1" noChangeArrowheads="1"/>
                    </pic:cNvPicPr>
                  </pic:nvPicPr>
                  <pic:blipFill>
                    <a:blip r:embed="rId146"/>
                    <a:stretch>
                      <a:fillRect/>
                    </a:stretch>
                  </pic:blipFill>
                  <pic:spPr bwMode="auto">
                    <a:xfrm>
                      <a:off x="0" y="0"/>
                      <a:ext cx="517525" cy="212090"/>
                    </a:xfrm>
                    <a:prstGeom prst="rect">
                      <a:avLst/>
                    </a:prstGeom>
                  </pic:spPr>
                </pic:pic>
              </a:graphicData>
            </a:graphic>
          </wp:inline>
        </w:drawing>
      </w:r>
      <w:r>
        <w:rPr/>
        <w:t xml:space="preserve"> </w:t>
      </w:r>
    </w:p>
    <w:p>
      <w:pPr>
        <w:pStyle w:val="TextBody"/>
        <w:spacing w:before="240" w:after="0"/>
        <w:jc w:val="left"/>
        <w:rPr>
          <w:rFonts w:ascii="ARIAL" w:hAnsi="ARIAL"/>
          <w:i/>
          <w:sz w:val="20"/>
        </w:rPr>
      </w:pPr>
      <w:r>
        <w:rPr>
          <w:rFonts w:ascii="ARIAL" w:hAnsi="ARIAL"/>
          <w:i/>
          <w:sz w:val="20"/>
        </w:rPr>
        <w:t xml:space="preserve">Note: Building Materials Industry Group includes CEMEX, CRH, Eagle Materials, HeidelbergMaterials, Holcim and Vulcan Materials. The measurement period is December 31, 2010 to December 31, 2022. </w:t>
      </w:r>
    </w:p>
    <w:p>
      <w:pPr>
        <w:pStyle w:val="TextBody"/>
        <w:spacing w:before="240" w:after="0"/>
        <w:jc w:val="left"/>
        <w:rPr>
          <w:rFonts w:ascii="ARIAL" w:hAnsi="ARIAL"/>
          <w:sz w:val="20"/>
        </w:rPr>
      </w:pPr>
      <w:r>
        <w:rPr>
          <w:rFonts w:ascii="ARIAL" w:hAnsi="ARIAL"/>
          <w:sz w:val="20"/>
        </w:rPr>
        <w:t xml:space="preserve">Martin Marietta has a long history of strong absolute and relative TSR performance. In the five most recent 3-year periods, from 2016-2018 to 2020-2022, our cumulative shareholder return was well above median performance of our peers. Our stock price was down 23% in 2022, despite our strong financial results. Notwithstanding last year’s disappointing share price performance, our 3-year TSR through December 31, 2022 was +24%. </w:t>
      </w:r>
      <w:r>
        <w:rPr>
          <w:rFonts w:ascii="ARIAL" w:hAnsi="ARIAL"/>
          <w:b/>
          <w:sz w:val="20"/>
        </w:rPr>
        <w:t xml:space="preserve">The Committee strongly believes that the optimal way for shareholders and their advisors to measure our company’s and our CEO’s performance is to take the long view of his and our company’s results and to not view one year in isolation. </w:t>
      </w:r>
    </w:p>
    <w:p>
      <w:pPr>
        <w:pStyle w:val="TextBody"/>
        <w:spacing w:before="240" w:after="0"/>
        <w:jc w:val="left"/>
        <w:rPr>
          <w:rFonts w:ascii="ARIAL" w:hAnsi="ARIAL"/>
          <w:sz w:val="20"/>
        </w:rPr>
      </w:pPr>
      <w:r>
        <w:rPr>
          <w:rFonts w:ascii="ARIAL" w:hAnsi="ARIAL"/>
          <w:sz w:val="20"/>
        </w:rPr>
        <w:t xml:space="preserve">In 2022 we announced and/or completed over $1 billion of non-core asset divestitures. While these portfolio-shaping actions had a near-term dilutive effect to revenues and earnings, they significantly enhanced the durability of our business through economic cycles, maintained our commitment to an attractive margin profile and helped return our net leverage ratio to within our targeted range. These critical factors coalesce to best position the company to advance our SOAR-driven capital allocation priorities and build a resilient business for long-term success.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42</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5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6" descr=""/>
                          <pic:cNvPicPr>
                            <a:picLocks noChangeAspect="1" noChangeArrowheads="1"/>
                          </pic:cNvPicPr>
                        </pic:nvPicPr>
                        <pic:blipFill>
                          <a:blip r:embed="rId14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LETTER FROM COMMITTEE CHAIR</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Despite notable year-over-year inflation and our 2022 divestitures, Martin Marietta had a record year, achieving our 11th consecutive year of growth in products and services revenues, gross profit and adjusted EBITDA. These record financial results are a testament to Mr. Nye’s leadership, tenured experience, understanding of the cyclical nature of our business, our team’s disciplined execution of SOAR, and unyielding focus on what we can control – including multi-year, and industry-leading, world-class safety incident rates. We also made great progress on our Environmental, Social and Governance (ESG) commitments and strategies. Among others, these commitments included safety, environmental stewardship, diversity and inclusion, resilience, and employee relations. </w:t>
      </w:r>
    </w:p>
    <w:p>
      <w:pPr>
        <w:pStyle w:val="TextBody"/>
        <w:spacing w:before="240" w:after="0"/>
        <w:jc w:val="left"/>
        <w:rPr>
          <w:rFonts w:ascii="ARIAL" w:hAnsi="ARIAL"/>
          <w:sz w:val="20"/>
        </w:rPr>
      </w:pPr>
      <w:r>
        <w:rPr>
          <w:rFonts w:ascii="ARIAL" w:hAnsi="ARIAL"/>
          <w:sz w:val="20"/>
        </w:rPr>
        <w:t xml:space="preserve">Importantly and foundationally, the company returned to expanding aggregates margins in the fourth quarter of 2022, underscored by an all-time quarterly record of aggregates pricing growth, which positions our company long-term to continue delivering record years – which is anticipated in our 2023 guidance. </w:t>
      </w:r>
    </w:p>
    <w:p>
      <w:pPr>
        <w:pStyle w:val="TextBody"/>
        <w:spacing w:before="0" w:after="0"/>
        <w:jc w:val="left"/>
        <w:rPr/>
      </w:pPr>
      <w:r>
        <w:rPr/>
        <w:t> </w:t>
      </w:r>
    </w:p>
    <w:p>
      <w:pPr>
        <w:pStyle w:val="TextBody"/>
        <w:spacing w:before="0" w:after="0"/>
        <w:jc w:val="center"/>
        <w:rPr/>
      </w:pPr>
      <w:r>
        <w:rPr/>
        <w:drawing>
          <wp:inline distT="0" distB="0" distL="0" distR="0">
            <wp:extent cx="572135" cy="155575"/>
            <wp:effectExtent l="0" t="0" r="0" b="0"/>
            <wp:docPr id="15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7" descr=""/>
                    <pic:cNvPicPr>
                      <a:picLocks noChangeAspect="1" noChangeArrowheads="1"/>
                    </pic:cNvPicPr>
                  </pic:nvPicPr>
                  <pic:blipFill>
                    <a:blip r:embed="rId148"/>
                    <a:stretch>
                      <a:fillRect/>
                    </a:stretch>
                  </pic:blipFill>
                  <pic:spPr bwMode="auto">
                    <a:xfrm>
                      <a:off x="0" y="0"/>
                      <a:ext cx="572135" cy="155575"/>
                    </a:xfrm>
                    <a:prstGeom prst="rect">
                      <a:avLst/>
                    </a:prstGeom>
                  </pic:spPr>
                </pic:pic>
              </a:graphicData>
            </a:graphic>
          </wp:inline>
        </w:drawing>
      </w:r>
      <w:r>
        <w:rPr/>
        <w:t xml:space="preserve"> </w:t>
      </w:r>
    </w:p>
    <w:p>
      <w:pPr>
        <w:pStyle w:val="TextBody"/>
        <w:spacing w:before="120" w:after="0"/>
        <w:jc w:val="left"/>
        <w:rPr>
          <w:rFonts w:ascii="ARIAL" w:hAnsi="ARIAL"/>
          <w:sz w:val="16"/>
        </w:rPr>
      </w:pPr>
      <w:r>
        <w:rPr>
          <w:rFonts w:ascii="ARIAL" w:hAnsi="ARIAL"/>
          <w:sz w:val="16"/>
        </w:rPr>
        <w:t xml:space="preserve">* Please see Appendix B for a reconciliation of non-GAAP measures to GAAP measures. </w:t>
      </w:r>
    </w:p>
    <w:p>
      <w:pPr>
        <w:pStyle w:val="TextBody"/>
        <w:spacing w:before="0" w:after="0"/>
        <w:jc w:val="left"/>
        <w:rPr>
          <w:rFonts w:ascii="ARIAL" w:hAnsi="ARIAL"/>
          <w:sz w:val="16"/>
        </w:rPr>
      </w:pPr>
      <w:r>
        <w:rPr>
          <w:rFonts w:ascii="ARIAL" w:hAnsi="ARIAL"/>
          <w:sz w:val="16"/>
        </w:rPr>
        <w:t xml:space="preserve">** Leverage ratio includes the discharge of $700 million in notes due 2023. </w:t>
      </w:r>
    </w:p>
    <w:p>
      <w:pPr>
        <w:pStyle w:val="TextBody"/>
        <w:spacing w:before="240" w:after="0"/>
        <w:jc w:val="left"/>
        <w:rPr>
          <w:rFonts w:ascii="ARIAL" w:hAnsi="ARIAL"/>
          <w:sz w:val="20"/>
        </w:rPr>
      </w:pPr>
      <w:r>
        <w:rPr>
          <w:rFonts w:ascii="ARIAL" w:hAnsi="ARIAL"/>
          <w:sz w:val="20"/>
        </w:rPr>
        <w:t xml:space="preserve">As a result of this strong performance in 2022, the annual incentive for our CEO paid out at </w:t>
      </w:r>
      <w:r>
        <w:rPr>
          <w:rFonts w:ascii="ARIAL" w:hAnsi="ARIAL"/>
          <w:b/>
          <w:sz w:val="20"/>
        </w:rPr>
        <w:t>$2,878,400,</w:t>
      </w:r>
      <w:r>
        <w:rPr>
          <w:rFonts w:ascii="ARIAL" w:hAnsi="ARIAL"/>
          <w:sz w:val="20"/>
        </w:rPr>
        <w:t xml:space="preserve"> which reflected </w:t>
      </w:r>
      <w:r>
        <w:rPr>
          <w:rFonts w:ascii="ARIAL" w:hAnsi="ARIAL"/>
          <w:b/>
          <w:sz w:val="20"/>
        </w:rPr>
        <w:t xml:space="preserve">160% </w:t>
      </w:r>
      <w:r>
        <w:rPr>
          <w:rFonts w:ascii="ARIAL" w:hAnsi="ARIAL"/>
          <w:sz w:val="20"/>
        </w:rPr>
        <w:t xml:space="preserve">of his target bonus. This 2022 actual annual incentive amount is a reduction of </w:t>
      </w:r>
      <w:r>
        <w:rPr>
          <w:rFonts w:ascii="ARIAL" w:hAnsi="ARIAL"/>
          <w:b/>
          <w:sz w:val="20"/>
        </w:rPr>
        <w:t>18%</w:t>
      </w:r>
      <w:r>
        <w:rPr>
          <w:rFonts w:ascii="ARIAL" w:hAnsi="ARIAL"/>
          <w:sz w:val="20"/>
        </w:rPr>
        <w:t xml:space="preserve"> from the 2021 actual annual incentive of $3,500,000, which was 196% of his target bonus. </w:t>
      </w:r>
    </w:p>
    <w:p>
      <w:pPr>
        <w:pStyle w:val="TextBody"/>
        <w:spacing w:before="240" w:after="0"/>
        <w:jc w:val="left"/>
        <w:rPr>
          <w:rFonts w:ascii="ARIAL" w:hAnsi="ARIAL"/>
          <w:sz w:val="20"/>
        </w:rPr>
      </w:pPr>
      <w:r>
        <w:rPr>
          <w:rFonts w:ascii="ARIAL" w:hAnsi="ARIAL"/>
          <w:sz w:val="20"/>
        </w:rPr>
        <w:t xml:space="preserve">Also, as a result of impressive financial performance in 2020-2022, our PSUs paid out at </w:t>
      </w:r>
      <w:r>
        <w:rPr>
          <w:rFonts w:ascii="ARIAL" w:hAnsi="ARIAL"/>
          <w:b/>
          <w:sz w:val="20"/>
        </w:rPr>
        <w:t xml:space="preserve">189.3% </w:t>
      </w:r>
      <w:r>
        <w:rPr>
          <w:rFonts w:ascii="ARIAL" w:hAnsi="ARIAL"/>
          <w:sz w:val="20"/>
        </w:rPr>
        <w:t xml:space="preserve">of the target grant, </w:t>
      </w:r>
      <w:r>
        <w:rPr>
          <w:rFonts w:ascii="ARIAL" w:hAnsi="ARIAL"/>
          <w:b/>
          <w:sz w:val="20"/>
        </w:rPr>
        <w:t>which is lower than the payout of 240% of the target earned for the 2019-2021 PSUs</w:t>
      </w:r>
      <w:r>
        <w:rPr>
          <w:rFonts w:ascii="ARIAL" w:hAnsi="ARIAL"/>
          <w:sz w:val="20"/>
        </w:rPr>
        <w:t xml:space="preserve">. The CEO’s 2022 stock grant of $7 million, allocated 55% in PSUs and 45% in RSUs, was consistent with his 2021 grant of $6.5 million. </w:t>
      </w:r>
      <w:r>
        <w:rPr>
          <w:rFonts w:ascii="ARIAL" w:hAnsi="ARIAL"/>
          <w:b/>
          <w:sz w:val="20"/>
        </w:rPr>
        <w:t>Moreover, the CEO’s 2023 long-term equity grant, which will be disclosed in our 2024 proxy statement, will reflect a decrease compared to the 2022 award value.</w:t>
      </w:r>
      <w:r>
        <w:rPr>
          <w:rFonts w:ascii="ARIAL" w:hAnsi="ARIAL"/>
          <w:sz w:val="20"/>
        </w:rPr>
        <w:t xml:space="preserve"> </w:t>
      </w:r>
    </w:p>
    <w:p>
      <w:pPr>
        <w:pStyle w:val="TextBody"/>
        <w:spacing w:before="240" w:after="0"/>
        <w:jc w:val="left"/>
        <w:rPr>
          <w:rFonts w:ascii="ARIAL" w:hAnsi="ARIAL"/>
          <w:sz w:val="20"/>
        </w:rPr>
      </w:pPr>
      <w:r>
        <w:rPr>
          <w:rFonts w:ascii="ARIAL" w:hAnsi="ARIAL"/>
          <w:b/>
          <w:sz w:val="20"/>
        </w:rPr>
        <w:t>The MDCC believes that the declines in our 2022 annual and long-term incentive payouts, as well as the decrease in the 2023 stock grant value, reflect the appropriate alignment in the strong pay-for-performance model that we have created.</w:t>
      </w:r>
      <w:r>
        <w:rPr>
          <w:rFonts w:ascii="ARIAL" w:hAnsi="ARIAL"/>
          <w:sz w:val="20"/>
        </w:rPr>
        <w:t xml:space="preserve"> The 2020-2022 PSU grant will pay out below the 2019-2021 payout due to the lower relative total shareholder return (TSR) modifier, which is purposefully creating the intended shareholder alignment. The annual incentive payout also reflects our share price decline during 2022, which is part of the holistic assessment of performance for the annual incentive. </w:t>
      </w:r>
    </w:p>
    <w:p>
      <w:pPr>
        <w:pStyle w:val="TextBody"/>
        <w:spacing w:before="240" w:after="0"/>
        <w:jc w:val="left"/>
        <w:rPr>
          <w:rFonts w:ascii="ARIAL" w:hAnsi="ARIAL"/>
          <w:sz w:val="20"/>
        </w:rPr>
      </w:pPr>
      <w:r>
        <w:rPr>
          <w:rFonts w:ascii="ARIAL" w:hAnsi="ARIAL"/>
          <w:sz w:val="20"/>
        </w:rPr>
        <w:t xml:space="preserve">As a result of the Company’s strong performance on short-term, long-term, and strategic objectives under Mr. Nye’s leadership, his total compensation is competitive and reflects the long tenure of a highly successful CEO. </w:t>
      </w:r>
      <w:r>
        <w:rPr>
          <w:rFonts w:ascii="ARIAL" w:hAnsi="ARIAL"/>
          <w:b/>
          <w:sz w:val="20"/>
        </w:rPr>
        <w:t>This proven approach to rewarding strong results for many years does not fit into external and homogenized pay-for-performance Say-on-Pay voting models.</w:t>
      </w:r>
      <w:r>
        <w:rPr>
          <w:rFonts w:ascii="ARIAL" w:hAnsi="ARIAL"/>
          <w:sz w:val="20"/>
        </w:rPr>
        <w:t xml:space="preserve"> </w:t>
      </w:r>
    </w:p>
    <w:p>
      <w:pPr>
        <w:pStyle w:val="TextBody"/>
        <w:spacing w:before="240" w:after="0"/>
        <w:jc w:val="left"/>
        <w:rPr>
          <w:rFonts w:ascii="ARIAL" w:hAnsi="ARIAL"/>
          <w:sz w:val="20"/>
        </w:rPr>
      </w:pPr>
      <w:r>
        <w:rPr>
          <w:rFonts w:ascii="ARIAL" w:hAnsi="ARIAL"/>
          <w:sz w:val="20"/>
        </w:rPr>
        <w:t xml:space="preserve">To create even more alignment with shareholders, the Committee has successfully encouraged substantial stock ownership by all of our executives. For example, our stock ownership guidelines call for the CEO to own shares in Martin Marietta in an amount that is at least 7 times base salary; as of March 6, 2023, </w:t>
      </w:r>
      <w:r>
        <w:rPr>
          <w:rFonts w:ascii="ARIAL" w:hAnsi="ARIAL"/>
          <w:b/>
          <w:sz w:val="20"/>
        </w:rPr>
        <w:t>Mr.</w:t>
      </w:r>
      <w:r>
        <w:rPr>
          <w:rFonts w:ascii="ARIAL" w:hAnsi="ARIAL"/>
          <w:sz w:val="20"/>
        </w:rPr>
        <w:t> </w:t>
      </w:r>
      <w:r>
        <w:rPr>
          <w:rFonts w:ascii="ARIAL" w:hAnsi="ARIAL"/>
          <w:b/>
          <w:sz w:val="20"/>
        </w:rPr>
        <w:t>Nye’s share ownership is more than 50 times his base</w:t>
      </w:r>
      <w:r>
        <w:rPr>
          <w:rFonts w:ascii="ARIAL" w:hAnsi="ARIAL"/>
          <w:sz w:val="20"/>
        </w:rPr>
        <w:t xml:space="preserve">, or </w:t>
      </w:r>
      <w:r>
        <w:rPr>
          <w:rFonts w:ascii="ARIAL" w:hAnsi="ARIAL"/>
          <w:b/>
          <w:sz w:val="20"/>
        </w:rPr>
        <w:t>$74 million,</w:t>
      </w:r>
      <w:r>
        <w:rPr>
          <w:rFonts w:ascii="ARIAL" w:hAnsi="ARIAL"/>
          <w:sz w:val="20"/>
        </w:rPr>
        <w:t xml:space="preserve"> which reflects his stock retention. Ownership is highly valuable and successful in aligning the interests of executives and shareholders. For 2022, the executives shared the shareholders’ experience of negative returns, demonstrating their strong shareholder alignment.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5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8" descr=""/>
                          <pic:cNvPicPr>
                            <a:picLocks noChangeAspect="1" noChangeArrowheads="1"/>
                          </pic:cNvPicPr>
                        </pic:nvPicPr>
                        <pic:blipFill>
                          <a:blip r:embed="rId14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43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LETTER FROM COMMITTEE CHAIR  ◆</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In closing, the Committee believes that we have a very robust business model that yields attractive increases in shareholder value and positions us well for the future. Our executive compensation program helps drive those goals, and rewards our management and employees when they are achieved. </w:t>
      </w:r>
      <w:r>
        <w:rPr>
          <w:rFonts w:ascii="ARIAL" w:hAnsi="ARIAL"/>
          <w:b/>
          <w:sz w:val="20"/>
        </w:rPr>
        <w:t>We appreciate your support and welcome your feedback on our executive compensation programs and look forward to ongoing dialogue. We hope that after reviewing the following materials, you will vote in favor of our Say-on-Pay proposal at our 2023 Annual Meeting of Shareholders.</w:t>
      </w:r>
      <w:r>
        <w:rPr>
          <w:rFonts w:ascii="ARIAL" w:hAnsi="ARIAL"/>
          <w:sz w:val="20"/>
        </w:rPr>
        <w:t xml:space="preserve"> </w:t>
      </w:r>
    </w:p>
    <w:p>
      <w:pPr>
        <w:pStyle w:val="TextBody"/>
        <w:spacing w:before="240" w:after="0"/>
        <w:jc w:val="left"/>
        <w:rPr>
          <w:rFonts w:ascii="ARIAL" w:hAnsi="ARIAL"/>
          <w:sz w:val="20"/>
        </w:rPr>
      </w:pPr>
      <w:r>
        <w:rPr>
          <w:rFonts w:ascii="ARIAL" w:hAnsi="ARIAL"/>
          <w:sz w:val="20"/>
        </w:rPr>
        <w:t xml:space="preserve">Sincerely, </w:t>
      </w:r>
    </w:p>
    <w:p>
      <w:pPr>
        <w:pStyle w:val="TextBody"/>
        <w:spacing w:before="240" w:after="0"/>
        <w:jc w:val="left"/>
        <w:rPr>
          <w:rFonts w:ascii="ARIAL" w:hAnsi="ARIAL"/>
          <w:sz w:val="19"/>
        </w:rPr>
      </w:pPr>
      <w:r>
        <w:rPr>
          <w:rFonts w:ascii="ARIAL" w:hAnsi="ARIAL"/>
          <w:b/>
          <w:sz w:val="19"/>
        </w:rPr>
        <w:t xml:space="preserve">John J. Koraleski, </w:t>
      </w:r>
      <w:r>
        <w:rPr>
          <w:rFonts w:ascii="ARIAL" w:hAnsi="ARIAL"/>
          <w:b/>
          <w:i/>
          <w:sz w:val="19"/>
        </w:rPr>
        <w:t>Chair</w:t>
      </w:r>
      <w:r>
        <w:rPr>
          <w:rFonts w:ascii="ARIAL" w:hAnsi="ARIAL"/>
          <w:sz w:val="19"/>
        </w:rPr>
        <w:t xml:space="preserve"> </w:t>
      </w:r>
    </w:p>
    <w:p>
      <w:pPr>
        <w:pStyle w:val="TextBody"/>
        <w:spacing w:before="0" w:after="0"/>
        <w:jc w:val="left"/>
        <w:rPr>
          <w:rFonts w:ascii="ARIAL" w:hAnsi="ARIAL"/>
          <w:sz w:val="20"/>
        </w:rPr>
      </w:pPr>
      <w:r>
        <w:rPr>
          <w:rFonts w:ascii="ARIAL" w:hAnsi="ARIAL"/>
          <w:sz w:val="20"/>
        </w:rPr>
        <w:t xml:space="preserve">Management Development and Compensation Committee </w:t>
      </w:r>
    </w:p>
    <w:p>
      <w:pPr>
        <w:pStyle w:val="TextBody"/>
        <w:spacing w:before="0" w:after="0"/>
        <w:jc w:val="left"/>
        <w:rPr>
          <w:rFonts w:ascii="ARIAL" w:hAnsi="ARIAL"/>
          <w:sz w:val="20"/>
        </w:rPr>
      </w:pPr>
      <w:r>
        <w:rPr>
          <w:rFonts w:ascii="ARIAL" w:hAnsi="ARIAL"/>
          <w:sz w:val="20"/>
        </w:rPr>
        <w:t xml:space="preserve">Lead Independent Director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44</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5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9" descr=""/>
                          <pic:cNvPicPr>
                            <a:picLocks noChangeAspect="1" noChangeArrowheads="1"/>
                          </pic:cNvPicPr>
                        </pic:nvPicPr>
                        <pic:blipFill>
                          <a:blip r:embed="rId15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71BE9A"/>
          <w:sz w:val="26"/>
        </w:rPr>
      </w:pPr>
      <w:bookmarkStart w:id="31" w:name="toc390557_24"/>
      <w:bookmarkEnd w:id="31"/>
      <w:r>
        <w:rPr>
          <w:rFonts w:ascii="ARIAL" w:hAnsi="ARIAL"/>
          <w:b/>
          <w:color w:val="71BE9A"/>
          <w:sz w:val="26"/>
        </w:rPr>
        <w:t xml:space="preserve">Summary of Our Compensation Considerations </w:t>
      </w:r>
    </w:p>
    <w:p>
      <w:pPr>
        <w:pStyle w:val="TextBody"/>
        <w:spacing w:before="120" w:after="0"/>
        <w:jc w:val="left"/>
        <w:rPr>
          <w:rFonts w:ascii="ARIAL" w:hAnsi="ARIAL"/>
          <w:sz w:val="20"/>
        </w:rPr>
      </w:pPr>
      <w:r>
        <w:rPr>
          <w:rFonts w:ascii="ARIAL" w:hAnsi="ARIAL"/>
          <w:sz w:val="20"/>
        </w:rPr>
        <w:t xml:space="preserve">Overall, the Company had another exceptional year, realizing record financial results, achieving world-class safety incident rates and, making significant progress on our long-term strategic plan. This CD&amp;A describes how our executive compensation philosophy and the pay programs applicable to our NEOs in 2022 help to drive our strategy and performance. The fundamental objectives of our executive compensation program are to motivate our executive team, align pay with performance, attract and retain high-performing talent, and drive shareholder value. These objectives were achieved in 2022 as our incentive programs paid out commensurate with our strong performance. The compensation programs described below have been developed and are overseen by the Committee to promote the achievement of these objectives and reflect the considerations described below. </w:t>
      </w:r>
    </w:p>
    <w:p>
      <w:pPr>
        <w:pStyle w:val="TextBody"/>
        <w:spacing w:before="240" w:after="0"/>
        <w:jc w:val="left"/>
        <w:rPr>
          <w:rFonts w:ascii="ARIAL" w:hAnsi="ARIAL"/>
          <w:color w:val="007CBA"/>
          <w:sz w:val="26"/>
        </w:rPr>
      </w:pPr>
      <w:bookmarkStart w:id="32" w:name="toc390557_25"/>
      <w:bookmarkEnd w:id="32"/>
      <w:r>
        <w:rPr>
          <w:rFonts w:ascii="ARIAL" w:hAnsi="ARIAL"/>
          <w:color w:val="007CBA"/>
          <w:sz w:val="26"/>
        </w:rPr>
        <w:t xml:space="preserve">Responsive to Shareholders: Shareholder Engagement and Feedback on Executive Compensation Programs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
        <w:gridCol w:w="120"/>
        <w:gridCol w:w="5997"/>
        <w:gridCol w:w="240"/>
        <w:gridCol w:w="3746"/>
      </w:tblGrid>
      <w:tr>
        <w:trPr/>
        <w:tc>
          <w:tcPr>
            <w:tcW w:w="1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99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746" w:type="dxa"/>
            <w:tcBorders/>
            <w:shd w:fill="auto" w:val="clear"/>
            <w:vAlign w:val="center"/>
          </w:tcPr>
          <w:p>
            <w:pPr>
              <w:pStyle w:val="TableContents"/>
              <w:spacing w:before="0" w:after="283"/>
              <w:rPr>
                <w:sz w:val="4"/>
                <w:szCs w:val="4"/>
              </w:rPr>
            </w:pPr>
            <w:r>
              <w:rPr>
                <w:sz w:val="4"/>
                <w:szCs w:val="4"/>
              </w:rPr>
            </w:r>
          </w:p>
        </w:tc>
      </w:tr>
      <w:tr>
        <w:trPr/>
        <w:tc>
          <w:tcPr>
            <w:tcW w:w="6219" w:type="dxa"/>
            <w:gridSpan w:val="3"/>
            <w:tcBorders/>
            <w:shd w:fill="auto" w:val="clear"/>
            <w:vAlign w:val="center"/>
          </w:tcPr>
          <w:p>
            <w:pPr>
              <w:pStyle w:val="TableContents"/>
              <w:spacing w:before="0" w:after="283"/>
              <w:rPr>
                <w:b/>
              </w:rPr>
            </w:pPr>
            <w:r>
              <w:rPr>
                <w:b/>
              </w:rPr>
              <w:t>Avenues of engagement</w:t>
            </w:r>
          </w:p>
        </w:tc>
        <w:tc>
          <w:tcPr>
            <w:tcW w:w="240" w:type="dxa"/>
            <w:tcBorders/>
            <w:shd w:fill="auto" w:val="clear"/>
            <w:vAlign w:val="center"/>
          </w:tcPr>
          <w:p>
            <w:pPr>
              <w:pStyle w:val="TableContents"/>
              <w:spacing w:before="0" w:after="283"/>
              <w:rPr/>
            </w:pPr>
            <w:r>
              <w:rPr/>
              <w:t>    </w:t>
            </w:r>
          </w:p>
        </w:tc>
        <w:tc>
          <w:tcPr>
            <w:tcW w:w="3746" w:type="dxa"/>
            <w:tcBorders/>
            <w:shd w:fill="auto" w:val="clear"/>
            <w:vAlign w:val="center"/>
          </w:tcPr>
          <w:p>
            <w:pPr>
              <w:pStyle w:val="TableContents"/>
              <w:spacing w:before="0" w:after="283"/>
              <w:rPr>
                <w:b/>
              </w:rPr>
            </w:pPr>
            <w:r>
              <w:rPr>
                <w:b/>
              </w:rPr>
              <w:t>Discussion highlights</w:t>
            </w:r>
          </w:p>
        </w:tc>
      </w:tr>
      <w:tr>
        <w:trPr/>
        <w:tc>
          <w:tcPr>
            <w:tcW w:w="102" w:type="dxa"/>
            <w:tcBorders/>
            <w:shd w:fill="auto" w:val="clear"/>
            <w:vAlign w:val="center"/>
          </w:tcPr>
          <w:p>
            <w:pPr>
              <w:pStyle w:val="TableContents"/>
              <w:spacing w:before="0" w:after="0"/>
              <w:rPr/>
            </w:pPr>
            <w:r>
              <w:rPr/>
              <w:t> </w:t>
            </w:r>
          </w:p>
          <w:p>
            <w:pPr>
              <w:pStyle w:val="TableContents"/>
              <w:spacing w:before="0" w:after="20"/>
              <w:jc w:val="center"/>
              <w:rPr/>
            </w:pPr>
            <w:r>
              <w:rPr/>
              <w:drawing>
                <wp:inline distT="0" distB="0" distL="0" distR="0">
                  <wp:extent cx="26035" cy="17780"/>
                  <wp:effectExtent l="0" t="0" r="0" b="0"/>
                  <wp:docPr id="15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0" descr=""/>
                          <pic:cNvPicPr>
                            <a:picLocks noChangeAspect="1" noChangeArrowheads="1"/>
                          </pic:cNvPicPr>
                        </pic:nvPicPr>
                        <pic:blipFill>
                          <a:blip r:embed="rId151"/>
                          <a:stretch>
                            <a:fillRect/>
                          </a:stretch>
                        </pic:blipFill>
                        <pic:spPr bwMode="auto">
                          <a:xfrm>
                            <a:off x="0" y="0"/>
                            <a:ext cx="26035" cy="1778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997" w:type="dxa"/>
            <w:tcBorders/>
            <w:shd w:fill="auto" w:val="clear"/>
            <w:vAlign w:val="center"/>
          </w:tcPr>
          <w:p>
            <w:pPr>
              <w:pStyle w:val="TableContents"/>
              <w:spacing w:before="0" w:after="0"/>
              <w:rPr/>
            </w:pPr>
            <w:r>
              <w:rPr/>
              <w:t> </w:t>
            </w:r>
          </w:p>
          <w:p>
            <w:pPr>
              <w:pStyle w:val="TableContents"/>
              <w:spacing w:before="0" w:after="20"/>
              <w:rPr>
                <w:rFonts w:ascii="ARIAL" w:hAnsi="ARIAL"/>
                <w:sz w:val="20"/>
              </w:rPr>
            </w:pPr>
            <w:r>
              <w:rPr>
                <w:rFonts w:ascii="ARIAL" w:hAnsi="ARIAL"/>
                <w:sz w:val="20"/>
              </w:rPr>
              <w:t>We hold in-person and/or virtual meetings with investor groups across the globe</w:t>
            </w:r>
          </w:p>
        </w:tc>
        <w:tc>
          <w:tcPr>
            <w:tcW w:w="240" w:type="dxa"/>
            <w:vMerge w:val="restart"/>
            <w:tcBorders/>
            <w:shd w:fill="auto" w:val="clear"/>
            <w:vAlign w:val="center"/>
          </w:tcPr>
          <w:p>
            <w:pPr>
              <w:pStyle w:val="TableContents"/>
              <w:spacing w:before="0" w:after="283"/>
              <w:rPr/>
            </w:pPr>
            <w:r>
              <w:rPr/>
              <w:t>    </w:t>
            </w:r>
          </w:p>
        </w:tc>
        <w:tc>
          <w:tcPr>
            <w:tcW w:w="3746" w:type="dxa"/>
            <w:vMerge w:val="restart"/>
            <w:tcBorders/>
            <w:shd w:fill="auto" w:val="clear"/>
            <w:vAlign w:val="center"/>
          </w:tcPr>
          <w:p>
            <w:pPr>
              <w:pStyle w:val="TableContents"/>
              <w:spacing w:before="0" w:after="0"/>
              <w:rPr/>
            </w:pPr>
            <w:r>
              <w:rPr/>
              <w:t> </w:t>
            </w:r>
          </w:p>
          <w:p>
            <w:pPr>
              <w:pStyle w:val="TableContents"/>
              <w:spacing w:before="0" w:after="0"/>
              <w:rPr/>
            </w:pPr>
            <w:r>
              <w:rPr>
                <w:color w:val="007CBA"/>
              </w:rPr>
              <w:t>›</w:t>
            </w:r>
            <w:r>
              <w:rPr/>
              <w:t>  </w:t>
            </w:r>
            <w:r>
              <w:rPr>
                <w:rFonts w:ascii="ARIAL" w:hAnsi="ARIAL"/>
                <w:sz w:val="20"/>
              </w:rPr>
              <w:t>Company strategy, including acquisitions and divestitures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 xml:space="preserve">Financial and operating performance </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Commercial and operational excellence goals </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 xml:space="preserve">Safety, environment and sustainability </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Inclusion, engagement and diversity efforts</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Board oversight, refreshment and diversity</w:t>
            </w:r>
          </w:p>
        </w:tc>
      </w:tr>
      <w:tr>
        <w:trPr/>
        <w:tc>
          <w:tcPr>
            <w:tcW w:w="102" w:type="dxa"/>
            <w:tcBorders/>
            <w:shd w:fill="auto" w:val="clear"/>
            <w:vAlign w:val="center"/>
          </w:tcPr>
          <w:p>
            <w:pPr>
              <w:pStyle w:val="TableContents"/>
              <w:spacing w:before="0" w:after="0"/>
              <w:rPr/>
            </w:pPr>
            <w:r>
              <w:rPr/>
              <w:t> </w:t>
            </w:r>
          </w:p>
          <w:p>
            <w:pPr>
              <w:pStyle w:val="TableContents"/>
              <w:spacing w:before="0" w:after="20"/>
              <w:jc w:val="center"/>
              <w:rPr/>
            </w:pPr>
            <w:r>
              <w:rPr/>
              <w:drawing>
                <wp:inline distT="0" distB="0" distL="0" distR="0">
                  <wp:extent cx="20955" cy="20955"/>
                  <wp:effectExtent l="0" t="0" r="0" b="0"/>
                  <wp:docPr id="15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1" descr=""/>
                          <pic:cNvPicPr>
                            <a:picLocks noChangeAspect="1" noChangeArrowheads="1"/>
                          </pic:cNvPicPr>
                        </pic:nvPicPr>
                        <pic:blipFill>
                          <a:blip r:embed="rId152"/>
                          <a:stretch>
                            <a:fillRect/>
                          </a:stretch>
                        </pic:blipFill>
                        <pic:spPr bwMode="auto">
                          <a:xfrm>
                            <a:off x="0" y="0"/>
                            <a:ext cx="20955" cy="2095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997"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rPr>
                <w:rFonts w:ascii="ARIAL" w:hAnsi="ARIAL"/>
                <w:sz w:val="20"/>
              </w:rPr>
            </w:pPr>
            <w:r>
              <w:rPr>
                <w:rFonts w:ascii="ARIAL" w:hAnsi="ARIAL"/>
                <w:sz w:val="20"/>
              </w:rPr>
              <w:t>We conduct quarterly conference calls with analysts</w:t>
            </w:r>
          </w:p>
        </w:tc>
        <w:tc>
          <w:tcPr>
            <w:tcW w:w="240" w:type="dxa"/>
            <w:vMerge w:val="continue"/>
            <w:tcBorders/>
            <w:shd w:fill="auto" w:val="clear"/>
            <w:vAlign w:val="center"/>
          </w:tcPr>
          <w:p>
            <w:pPr>
              <w:pStyle w:val="Normal"/>
              <w:rPr/>
            </w:pPr>
            <w:r>
              <w:rPr/>
            </w:r>
          </w:p>
        </w:tc>
        <w:tc>
          <w:tcPr>
            <w:tcW w:w="3746" w:type="dxa"/>
            <w:vMerge w:val="continue"/>
            <w:tcBorders/>
            <w:shd w:fill="auto" w:val="clear"/>
            <w:vAlign w:val="center"/>
          </w:tcPr>
          <w:p>
            <w:pPr>
              <w:pStyle w:val="Normal"/>
              <w:rPr/>
            </w:pPr>
            <w:r>
              <w:rPr/>
            </w:r>
          </w:p>
        </w:tc>
      </w:tr>
      <w:tr>
        <w:trPr/>
        <w:tc>
          <w:tcPr>
            <w:tcW w:w="102" w:type="dxa"/>
            <w:tcBorders/>
            <w:shd w:fill="auto" w:val="clear"/>
            <w:vAlign w:val="center"/>
          </w:tcPr>
          <w:p>
            <w:pPr>
              <w:pStyle w:val="TableContents"/>
              <w:spacing w:before="0" w:after="0"/>
              <w:rPr/>
            </w:pPr>
            <w:r>
              <w:rPr/>
              <w:t> </w:t>
            </w:r>
          </w:p>
          <w:p>
            <w:pPr>
              <w:pStyle w:val="TableContents"/>
              <w:spacing w:before="0" w:after="20"/>
              <w:jc w:val="center"/>
              <w:rPr/>
            </w:pPr>
            <w:r>
              <w:rPr/>
              <w:drawing>
                <wp:inline distT="0" distB="0" distL="0" distR="0">
                  <wp:extent cx="26035" cy="27940"/>
                  <wp:effectExtent l="0" t="0" r="0" b="0"/>
                  <wp:docPr id="15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2" descr=""/>
                          <pic:cNvPicPr>
                            <a:picLocks noChangeAspect="1" noChangeArrowheads="1"/>
                          </pic:cNvPicPr>
                        </pic:nvPicPr>
                        <pic:blipFill>
                          <a:blip r:embed="rId153"/>
                          <a:stretch>
                            <a:fillRect/>
                          </a:stretch>
                        </pic:blipFill>
                        <pic:spPr bwMode="auto">
                          <a:xfrm>
                            <a:off x="0" y="0"/>
                            <a:ext cx="26035" cy="2794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997" w:type="dxa"/>
            <w:tcBorders/>
            <w:shd w:fill="auto" w:val="clear"/>
            <w:vAlign w:val="center"/>
          </w:tcPr>
          <w:p>
            <w:pPr>
              <w:pStyle w:val="TableContents"/>
              <w:spacing w:before="0" w:after="0"/>
              <w:rPr/>
            </w:pPr>
            <w:r>
              <w:rPr/>
              <w:t> </w:t>
            </w:r>
          </w:p>
          <w:p>
            <w:pPr>
              <w:pStyle w:val="TableContents"/>
              <w:spacing w:before="0" w:after="20"/>
              <w:rPr>
                <w:rFonts w:ascii="ARIAL" w:hAnsi="ARIAL"/>
                <w:sz w:val="20"/>
              </w:rPr>
            </w:pPr>
            <w:r>
              <w:rPr>
                <w:rFonts w:ascii="ARIAL" w:hAnsi="ARIAL"/>
                <w:sz w:val="20"/>
              </w:rPr>
              <w:t>We engage with investors continually through meetings, calls and emails</w:t>
            </w:r>
          </w:p>
        </w:tc>
        <w:tc>
          <w:tcPr>
            <w:tcW w:w="240" w:type="dxa"/>
            <w:vMerge w:val="continue"/>
            <w:tcBorders/>
            <w:shd w:fill="auto" w:val="clear"/>
            <w:vAlign w:val="center"/>
          </w:tcPr>
          <w:p>
            <w:pPr>
              <w:pStyle w:val="Normal"/>
              <w:rPr/>
            </w:pPr>
            <w:r>
              <w:rPr/>
            </w:r>
          </w:p>
        </w:tc>
        <w:tc>
          <w:tcPr>
            <w:tcW w:w="3746" w:type="dxa"/>
            <w:vMerge w:val="continue"/>
            <w:tcBorders/>
            <w:shd w:fill="auto" w:val="clear"/>
            <w:vAlign w:val="center"/>
          </w:tcPr>
          <w:p>
            <w:pPr>
              <w:pStyle w:val="Normal"/>
              <w:rPr/>
            </w:pPr>
            <w:r>
              <w:rPr/>
            </w:r>
          </w:p>
        </w:tc>
      </w:tr>
      <w:tr>
        <w:trPr/>
        <w:tc>
          <w:tcPr>
            <w:tcW w:w="102" w:type="dxa"/>
            <w:tcBorders/>
            <w:shd w:fill="auto" w:val="clear"/>
            <w:vAlign w:val="center"/>
          </w:tcPr>
          <w:p>
            <w:pPr>
              <w:pStyle w:val="TableContents"/>
              <w:spacing w:before="0" w:after="0"/>
              <w:rPr/>
            </w:pPr>
            <w:r>
              <w:rPr/>
              <w:t> </w:t>
            </w:r>
          </w:p>
          <w:p>
            <w:pPr>
              <w:pStyle w:val="TableContents"/>
              <w:spacing w:before="0" w:after="20"/>
              <w:jc w:val="center"/>
              <w:rPr/>
            </w:pPr>
            <w:r>
              <w:rPr/>
              <w:drawing>
                <wp:inline distT="0" distB="0" distL="0" distR="0">
                  <wp:extent cx="27940" cy="19050"/>
                  <wp:effectExtent l="0" t="0" r="0" b="0"/>
                  <wp:docPr id="15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3" descr=""/>
                          <pic:cNvPicPr>
                            <a:picLocks noChangeAspect="1" noChangeArrowheads="1"/>
                          </pic:cNvPicPr>
                        </pic:nvPicPr>
                        <pic:blipFill>
                          <a:blip r:embed="rId154"/>
                          <a:stretch>
                            <a:fillRect/>
                          </a:stretch>
                        </pic:blipFill>
                        <pic:spPr bwMode="auto">
                          <a:xfrm>
                            <a:off x="0" y="0"/>
                            <a:ext cx="27940" cy="1905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997" w:type="dxa"/>
            <w:tcBorders/>
            <w:shd w:fill="auto" w:val="clear"/>
            <w:vAlign w:val="center"/>
          </w:tcPr>
          <w:p>
            <w:pPr>
              <w:pStyle w:val="TableContents"/>
              <w:spacing w:before="0" w:after="0"/>
              <w:rPr/>
            </w:pPr>
            <w:r>
              <w:rPr/>
              <w:t> </w:t>
            </w:r>
          </w:p>
          <w:p>
            <w:pPr>
              <w:pStyle w:val="TableContents"/>
              <w:spacing w:before="0" w:after="20"/>
              <w:rPr>
                <w:rFonts w:ascii="ARIAL" w:hAnsi="ARIAL"/>
                <w:sz w:val="20"/>
              </w:rPr>
            </w:pPr>
            <w:r>
              <w:rPr>
                <w:rFonts w:ascii="ARIAL" w:hAnsi="ARIAL"/>
                <w:sz w:val="20"/>
              </w:rPr>
              <w:t>We report investor feedback to the Committee and the Board to assist in aligning pay and performance</w:t>
            </w:r>
          </w:p>
        </w:tc>
        <w:tc>
          <w:tcPr>
            <w:tcW w:w="240" w:type="dxa"/>
            <w:vMerge w:val="continue"/>
            <w:tcBorders/>
            <w:shd w:fill="auto" w:val="clear"/>
            <w:vAlign w:val="center"/>
          </w:tcPr>
          <w:p>
            <w:pPr>
              <w:pStyle w:val="Normal"/>
              <w:rPr/>
            </w:pPr>
            <w:r>
              <w:rPr/>
            </w:r>
          </w:p>
        </w:tc>
        <w:tc>
          <w:tcPr>
            <w:tcW w:w="3746" w:type="dxa"/>
            <w:vMerge w:val="continue"/>
            <w:tcBorders/>
            <w:shd w:fill="auto" w:val="clear"/>
            <w:vAlign w:val="center"/>
          </w:tcPr>
          <w:p>
            <w:pPr>
              <w:pStyle w:val="Normal"/>
              <w:rPr/>
            </w:pPr>
            <w:r>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6" w:space="0" w:color="CCCCCC"/>
              <w:left w:val="single" w:sz="6" w:space="0" w:color="CCCCCC"/>
              <w:bottom w:val="single" w:sz="6" w:space="0" w:color="CCCCCC"/>
              <w:right w:val="single" w:sz="6" w:space="0" w:color="CCCCCC"/>
            </w:tcBorders>
            <w:shd w:fill="auto" w:val="clear"/>
            <w:tcMar>
              <w:top w:w="28" w:type="dxa"/>
              <w:left w:w="160" w:type="dxa"/>
              <w:bottom w:w="28" w:type="dxa"/>
              <w:right w:w="40" w:type="dxa"/>
            </w:tcMar>
            <w:vAlign w:val="center"/>
          </w:tcPr>
          <w:p>
            <w:pPr>
              <w:pStyle w:val="TableContents"/>
              <w:spacing w:before="0" w:after="0"/>
              <w:rPr>
                <w:rFonts w:ascii="ARIAL" w:hAnsi="ARIAL"/>
                <w:b/>
                <w:color w:val="71BE9A"/>
                <w:sz w:val="26"/>
              </w:rPr>
            </w:pPr>
            <w:r>
              <w:rPr>
                <w:rFonts w:ascii="ARIAL" w:hAnsi="ARIAL"/>
                <w:b/>
                <w:color w:val="71BE9A"/>
                <w:sz w:val="26"/>
              </w:rPr>
              <w:t>We consider the input of our shareholders, along with emerging best practices, to ensure alignment of our executive pay programs with shareholder interests. At our 2022 Annual Meeting of Shareholders, 94% of the shares cast voted in favor of the advisory vote on executive compensation, or Say On Pay vote.</w:t>
            </w:r>
          </w:p>
          <w:p>
            <w:pPr>
              <w:pStyle w:val="TableContents"/>
              <w:spacing w:before="0" w:after="20"/>
              <w:rPr/>
            </w:pPr>
            <w:r>
              <w:rPr/>
              <w:t> </w:t>
            </w:r>
          </w:p>
        </w:tc>
      </w:tr>
    </w:tbl>
    <w:p>
      <w:pPr>
        <w:pStyle w:val="TextBody"/>
        <w:spacing w:before="360" w:after="0"/>
        <w:jc w:val="left"/>
        <w:rPr>
          <w:rFonts w:ascii="ARIAL" w:hAnsi="ARIAL"/>
          <w:color w:val="007CBA"/>
          <w:sz w:val="26"/>
        </w:rPr>
      </w:pPr>
      <w:bookmarkStart w:id="33" w:name="toc390557_26"/>
      <w:bookmarkEnd w:id="33"/>
      <w:r>
        <w:rPr>
          <w:rFonts w:ascii="ARIAL" w:hAnsi="ARIAL"/>
          <w:color w:val="007CBA"/>
          <w:sz w:val="26"/>
        </w:rPr>
        <w:t xml:space="preserve">Our 2022 Performance </w:t>
      </w:r>
    </w:p>
    <w:p>
      <w:pPr>
        <w:pStyle w:val="TextBody"/>
        <w:spacing w:before="120" w:after="0"/>
        <w:jc w:val="left"/>
        <w:rPr>
          <w:rFonts w:ascii="ARIAL" w:hAnsi="ARIAL"/>
          <w:sz w:val="20"/>
        </w:rPr>
      </w:pPr>
      <w:r>
        <w:rPr>
          <w:rFonts w:ascii="ARIAL" w:hAnsi="ARIAL"/>
          <w:sz w:val="20"/>
        </w:rPr>
        <w:t xml:space="preserve">Building on prior-year success and continuing to demonstrate the resiliency and strength of our business, 2022 proved to be another year of outstanding financial and safety performance for Martin Marietta. We achieved our 11th consecutive year of growth in products and services revenues, Gross Profit and Adjusted EBITDA. For continuing operations, we achieved consolidated revenues of $6.2 billion, up 13.8% from $5.4 billion in the prior year. These record revenues, as well as our record Adjusted EBITDA from continuing operations of $1.6 billion in 2022, were driven by double-digit pricing gains across all product lines, and full-year contributions from acquired operations which more than offset inflationary pressure from rising input costs and divestiture impacts on an absolute basis. Earnings per diluted share from continuing operations were $13.70, and Adjusted Diluted Earnings Per Share from continuing operations were $12.07. We also delivered world-class safety performance. For the second consecutive year, our Total Injury Incident Rate (TIIR) surpassed the world class benchmark, while our Total Lost Time Incident Rate (LTIR) achieved the world-class level for the sixth consecutive year. Additionally, we completed two divestitures of non-core cement and ready-mixed concrete businesses in California, Colorado, and Texas, which generated $650 million of proceeds to advance longstanding capital allocation priorities. Despite market volatility in 2022, we continue to maintain our industry-leading TSR position over 5- and 10-year periods.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6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4" descr=""/>
                          <pic:cNvPicPr>
                            <a:picLocks noChangeAspect="1" noChangeArrowheads="1"/>
                          </pic:cNvPicPr>
                        </pic:nvPicPr>
                        <pic:blipFill>
                          <a:blip r:embed="rId15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45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SUMMARY OF OUR COMPENSATION CONSIDERATIONS  ◆</w:t>
      </w:r>
      <w:r>
        <w:rPr>
          <w:rFonts w:ascii="ARIAL" w:hAnsi="ARIAL"/>
          <w:sz w:val="16"/>
        </w:rPr>
        <w:t xml:space="preserve">   </w:t>
      </w:r>
    </w:p>
    <w:p>
      <w:pPr>
        <w:pStyle w:val="TextBody"/>
        <w:spacing w:before="0" w:after="0"/>
        <w:jc w:val="left"/>
        <w:rPr/>
      </w:pPr>
      <w:r>
        <w:rPr/>
        <w:t> </w:t>
      </w:r>
    </w:p>
    <w:p>
      <w:pPr>
        <w:pStyle w:val="TextBody"/>
        <w:spacing w:before="0" w:after="0"/>
        <w:jc w:val="left"/>
        <w:rPr/>
      </w:pPr>
      <w:r>
        <w:rPr/>
        <w:t> </w:t>
      </w:r>
    </w:p>
    <w:p>
      <w:pPr>
        <w:pStyle w:val="TextBody"/>
        <w:pBdr>
          <w:bottom w:val="dotted" w:sz="8" w:space="1" w:color="007CBA"/>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8"/>
        <w:gridCol w:w="120"/>
        <w:gridCol w:w="5595"/>
        <w:gridCol w:w="120"/>
        <w:gridCol w:w="86"/>
        <w:gridCol w:w="120"/>
        <w:gridCol w:w="4056"/>
      </w:tblGrid>
      <w:tr>
        <w:trPr/>
        <w:tc>
          <w:tcPr>
            <w:tcW w:w="1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56" w:type="dxa"/>
            <w:tcBorders/>
            <w:shd w:fill="auto" w:val="clear"/>
            <w:vAlign w:val="center"/>
          </w:tcPr>
          <w:p>
            <w:pPr>
              <w:pStyle w:val="TableContents"/>
              <w:spacing w:before="0" w:after="283"/>
              <w:rPr>
                <w:sz w:val="4"/>
                <w:szCs w:val="4"/>
              </w:rPr>
            </w:pPr>
            <w:r>
              <w:rPr>
                <w:sz w:val="4"/>
                <w:szCs w:val="4"/>
              </w:rPr>
            </w:r>
          </w:p>
        </w:tc>
      </w:tr>
      <w:tr>
        <w:trPr/>
        <w:tc>
          <w:tcPr>
            <w:tcW w:w="108" w:type="dxa"/>
            <w:tcBorders/>
            <w:shd w:fill="auto" w:val="clear"/>
            <w:vAlign w:val="center"/>
          </w:tcPr>
          <w:p>
            <w:pPr>
              <w:pStyle w:val="TableContents"/>
              <w:spacing w:before="0" w:after="283"/>
              <w:rPr/>
            </w:pPr>
            <w:r>
              <w:rPr/>
              <w:drawing>
                <wp:inline distT="0" distB="0" distL="0" distR="0">
                  <wp:extent cx="39370" cy="36195"/>
                  <wp:effectExtent l="0" t="0" r="0" b="0"/>
                  <wp:docPr id="16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5" descr=""/>
                          <pic:cNvPicPr>
                            <a:picLocks noChangeAspect="1" noChangeArrowheads="1"/>
                          </pic:cNvPicPr>
                        </pic:nvPicPr>
                        <pic:blipFill>
                          <a:blip r:embed="rId156"/>
                          <a:stretch>
                            <a:fillRect/>
                          </a:stretch>
                        </pic:blipFill>
                        <pic:spPr bwMode="auto">
                          <a:xfrm>
                            <a:off x="0" y="0"/>
                            <a:ext cx="39370" cy="3619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595" w:type="dxa"/>
            <w:tcBorders/>
            <w:shd w:fill="auto" w:val="clear"/>
            <w:vAlign w:val="center"/>
          </w:tcPr>
          <w:p>
            <w:pPr>
              <w:pStyle w:val="TableContents"/>
              <w:spacing w:before="0" w:after="283"/>
              <w:rPr/>
            </w:pPr>
            <w:r>
              <w:rPr>
                <w:b/>
                <w:color w:val="007CBA"/>
              </w:rPr>
              <w:t>NET EARNINGS</w:t>
            </w:r>
            <w:r>
              <w:rPr/>
              <w:t xml:space="preserve"> attributable to Martin Marietta from continuing operations of $856.3 million and record </w:t>
            </w:r>
            <w:r>
              <w:rPr>
                <w:b/>
                <w:color w:val="007CBA"/>
              </w:rPr>
              <w:t>ADJUSTED EBITDA FROM CONTINUING OPERATIONS* OF $1.6 BILLION</w:t>
            </w:r>
          </w:p>
        </w:tc>
        <w:tc>
          <w:tcPr>
            <w:tcW w:w="120" w:type="dxa"/>
            <w:tcBorders>
              <w:left w:val="dotted" w:sz="8" w:space="0" w:color="000000"/>
            </w:tcBorders>
            <w:shd w:fill="auto" w:val="clear"/>
            <w:tcMar>
              <w:left w:w="28" w:type="dxa"/>
            </w:tcMar>
            <w:vAlign w:val="center"/>
          </w:tcPr>
          <w:p>
            <w:pPr>
              <w:pStyle w:val="TableContents"/>
              <w:spacing w:before="0" w:after="283"/>
              <w:rPr/>
            </w:pPr>
            <w:r>
              <w:rPr/>
              <w:t>  </w:t>
            </w:r>
          </w:p>
        </w:tc>
        <w:tc>
          <w:tcPr>
            <w:tcW w:w="86" w:type="dxa"/>
            <w:tcBorders/>
            <w:shd w:fill="auto" w:val="clear"/>
            <w:vAlign w:val="center"/>
          </w:tcPr>
          <w:p>
            <w:pPr>
              <w:pStyle w:val="TableContents"/>
              <w:spacing w:before="0" w:after="283"/>
              <w:jc w:val="center"/>
              <w:rPr/>
            </w:pPr>
            <w:r>
              <w:rPr/>
              <w:drawing>
                <wp:inline distT="0" distB="0" distL="0" distR="0">
                  <wp:extent cx="46990" cy="46990"/>
                  <wp:effectExtent l="0" t="0" r="0" b="0"/>
                  <wp:docPr id="16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6" descr=""/>
                          <pic:cNvPicPr>
                            <a:picLocks noChangeAspect="1" noChangeArrowheads="1"/>
                          </pic:cNvPicPr>
                        </pic:nvPicPr>
                        <pic:blipFill>
                          <a:blip r:embed="rId157"/>
                          <a:stretch>
                            <a:fillRect/>
                          </a:stretch>
                        </pic:blipFill>
                        <pic:spPr bwMode="auto">
                          <a:xfrm>
                            <a:off x="0" y="0"/>
                            <a:ext cx="46990" cy="4699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056" w:type="dxa"/>
            <w:tcBorders/>
            <w:shd w:fill="auto" w:val="clear"/>
            <w:vAlign w:val="center"/>
          </w:tcPr>
          <w:p>
            <w:pPr>
              <w:pStyle w:val="TableContents"/>
              <w:spacing w:before="0" w:after="283"/>
              <w:rPr/>
            </w:pPr>
            <w:r>
              <w:rPr/>
              <w:t xml:space="preserve">Repaid and discharged $700 million of debt, exiting year at 2.49x net leverage ratio, and increased dividend by 8% to $2.64/share on an annualized basis </w:t>
            </w:r>
          </w:p>
        </w:tc>
      </w:tr>
      <w:tr>
        <w:trPr/>
        <w:tc>
          <w:tcPr>
            <w:tcW w:w="108" w:type="dxa"/>
            <w:tcBorders/>
            <w:shd w:fill="auto" w:val="clear"/>
            <w:vAlign w:val="center"/>
          </w:tcPr>
          <w:p>
            <w:pPr>
              <w:pStyle w:val="TableContents"/>
              <w:spacing w:before="0" w:after="283"/>
              <w:rPr>
                <w:sz w:val="4"/>
                <w:szCs w:val="4"/>
              </w:rPr>
            </w:pPr>
            <w:r>
              <w:rPr>
                <w:sz w:val="4"/>
                <w:szCs w:val="4"/>
              </w:rPr>
            </w:r>
          </w:p>
        </w:tc>
        <w:tc>
          <w:tcPr>
            <w:tcW w:w="5715" w:type="dxa"/>
            <w:gridSpan w:val="2"/>
            <w:tcBorders/>
            <w:shd w:fill="auto" w:val="clear"/>
            <w:vAlign w:val="center"/>
          </w:tcPr>
          <w:p>
            <w:pPr>
              <w:pStyle w:val="TableContents"/>
              <w:spacing w:before="0" w:after="283"/>
              <w:rPr>
                <w:sz w:val="4"/>
                <w:szCs w:val="4"/>
              </w:rPr>
            </w:pPr>
            <w:r>
              <w:rPr>
                <w:sz w:val="4"/>
                <w:szCs w:val="4"/>
              </w:rPr>
            </w:r>
          </w:p>
        </w:tc>
        <w:tc>
          <w:tcPr>
            <w:tcW w:w="206" w:type="dxa"/>
            <w:gridSpan w:val="2"/>
            <w:tcBorders>
              <w:left w:val="dotted" w:sz="8" w:space="0" w:color="000000"/>
            </w:tcBorders>
            <w:shd w:fill="auto" w:val="clear"/>
            <w:tcMar>
              <w:left w:w="28" w:type="dxa"/>
            </w:tcMar>
            <w:vAlign w:val="center"/>
          </w:tcPr>
          <w:p>
            <w:pPr>
              <w:pStyle w:val="TableContents"/>
              <w:spacing w:before="0" w:after="283"/>
              <w:rPr/>
            </w:pPr>
            <w:r>
              <w:rPr/>
              <w:t> </w:t>
            </w:r>
          </w:p>
        </w:tc>
        <w:tc>
          <w:tcPr>
            <w:tcW w:w="4176" w:type="dxa"/>
            <w:gridSpan w:val="2"/>
            <w:tcBorders/>
            <w:shd w:fill="auto" w:val="clear"/>
            <w:vAlign w:val="center"/>
          </w:tcPr>
          <w:p>
            <w:pPr>
              <w:pStyle w:val="TableContents"/>
              <w:spacing w:before="0" w:after="283"/>
              <w:rPr>
                <w:sz w:val="4"/>
                <w:szCs w:val="4"/>
              </w:rPr>
            </w:pPr>
            <w:r>
              <w:rPr>
                <w:sz w:val="4"/>
                <w:szCs w:val="4"/>
              </w:rPr>
            </w:r>
          </w:p>
        </w:tc>
      </w:tr>
      <w:tr>
        <w:trPr/>
        <w:tc>
          <w:tcPr>
            <w:tcW w:w="108" w:type="dxa"/>
            <w:tcBorders/>
            <w:shd w:fill="auto" w:val="clear"/>
            <w:vAlign w:val="center"/>
          </w:tcPr>
          <w:p>
            <w:pPr>
              <w:pStyle w:val="TableContents"/>
              <w:spacing w:before="0" w:after="283"/>
              <w:rPr/>
            </w:pPr>
            <w:r>
              <w:rPr/>
              <w:drawing>
                <wp:inline distT="0" distB="0" distL="0" distR="0">
                  <wp:extent cx="46990" cy="46990"/>
                  <wp:effectExtent l="0" t="0" r="0" b="0"/>
                  <wp:docPr id="16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7" descr=""/>
                          <pic:cNvPicPr>
                            <a:picLocks noChangeAspect="1" noChangeArrowheads="1"/>
                          </pic:cNvPicPr>
                        </pic:nvPicPr>
                        <pic:blipFill>
                          <a:blip r:embed="rId158"/>
                          <a:stretch>
                            <a:fillRect/>
                          </a:stretch>
                        </pic:blipFill>
                        <pic:spPr bwMode="auto">
                          <a:xfrm>
                            <a:off x="0" y="0"/>
                            <a:ext cx="46990" cy="4699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595" w:type="dxa"/>
            <w:tcBorders/>
            <w:shd w:fill="auto" w:val="clear"/>
            <w:vAlign w:val="center"/>
          </w:tcPr>
          <w:p>
            <w:pPr>
              <w:pStyle w:val="TableContents"/>
              <w:spacing w:before="0" w:after="283"/>
              <w:rPr/>
            </w:pPr>
            <w:r>
              <w:rPr/>
              <w:t xml:space="preserve">Continuous commitment to </w:t>
            </w:r>
            <w:r>
              <w:rPr>
                <w:b/>
                <w:color w:val="007CBA"/>
              </w:rPr>
              <w:t>SUSTAINABILITY,</w:t>
            </w:r>
            <w:r>
              <w:rPr/>
              <w:t xml:space="preserve"> which is included in our strategy and compensation decisions</w:t>
            </w:r>
          </w:p>
        </w:tc>
        <w:tc>
          <w:tcPr>
            <w:tcW w:w="120" w:type="dxa"/>
            <w:tcBorders>
              <w:left w:val="dotted" w:sz="8" w:space="0" w:color="000000"/>
            </w:tcBorders>
            <w:shd w:fill="auto" w:val="clear"/>
            <w:tcMar>
              <w:left w:w="28" w:type="dxa"/>
            </w:tcM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056" w:type="dxa"/>
            <w:tcBorders/>
            <w:shd w:fill="auto" w:val="clear"/>
            <w:vAlign w:val="center"/>
          </w:tcPr>
          <w:p>
            <w:pPr>
              <w:pStyle w:val="TableContents"/>
              <w:spacing w:before="0" w:after="283"/>
              <w:rPr/>
            </w:pPr>
            <w:r>
              <w:rPr/>
              <w:t xml:space="preserve">Successful integration of business acquired in California and Arizona in 2021, including 1,250+ employees, following end of Transition Services Agreement </w:t>
            </w:r>
          </w:p>
        </w:tc>
      </w:tr>
      <w:tr>
        <w:trPr/>
        <w:tc>
          <w:tcPr>
            <w:tcW w:w="108" w:type="dxa"/>
            <w:tcBorders/>
            <w:shd w:fill="auto" w:val="clear"/>
            <w:vAlign w:val="center"/>
          </w:tcPr>
          <w:p>
            <w:pPr>
              <w:pStyle w:val="TableContents"/>
              <w:spacing w:before="0" w:after="283"/>
              <w:rPr>
                <w:sz w:val="4"/>
                <w:szCs w:val="4"/>
              </w:rPr>
            </w:pPr>
            <w:r>
              <w:rPr>
                <w:sz w:val="4"/>
                <w:szCs w:val="4"/>
              </w:rPr>
            </w:r>
          </w:p>
        </w:tc>
        <w:tc>
          <w:tcPr>
            <w:tcW w:w="5715" w:type="dxa"/>
            <w:gridSpan w:val="2"/>
            <w:tcBorders/>
            <w:shd w:fill="auto" w:val="clear"/>
            <w:vAlign w:val="center"/>
          </w:tcPr>
          <w:p>
            <w:pPr>
              <w:pStyle w:val="TableContents"/>
              <w:spacing w:before="0" w:after="283"/>
              <w:rPr>
                <w:sz w:val="4"/>
                <w:szCs w:val="4"/>
              </w:rPr>
            </w:pPr>
            <w:r>
              <w:rPr>
                <w:sz w:val="4"/>
                <w:szCs w:val="4"/>
              </w:rPr>
            </w:r>
          </w:p>
        </w:tc>
        <w:tc>
          <w:tcPr>
            <w:tcW w:w="206" w:type="dxa"/>
            <w:gridSpan w:val="2"/>
            <w:tcBorders>
              <w:left w:val="dotted" w:sz="8" w:space="0" w:color="000000"/>
            </w:tcBorders>
            <w:shd w:fill="auto" w:val="clear"/>
            <w:tcMar>
              <w:left w:w="28" w:type="dxa"/>
            </w:tcMar>
            <w:vAlign w:val="center"/>
          </w:tcPr>
          <w:p>
            <w:pPr>
              <w:pStyle w:val="TableContents"/>
              <w:spacing w:before="0" w:after="283"/>
              <w:rPr/>
            </w:pPr>
            <w:r>
              <w:rPr/>
              <w:t> </w:t>
            </w:r>
          </w:p>
        </w:tc>
        <w:tc>
          <w:tcPr>
            <w:tcW w:w="4176" w:type="dxa"/>
            <w:gridSpan w:val="2"/>
            <w:tcBorders/>
            <w:shd w:fill="auto" w:val="clear"/>
            <w:vAlign w:val="center"/>
          </w:tcPr>
          <w:p>
            <w:pPr>
              <w:pStyle w:val="TableContents"/>
              <w:spacing w:before="0" w:after="283"/>
              <w:rPr>
                <w:sz w:val="4"/>
                <w:szCs w:val="4"/>
              </w:rPr>
            </w:pPr>
            <w:r>
              <w:rPr>
                <w:sz w:val="4"/>
                <w:szCs w:val="4"/>
              </w:rPr>
            </w:r>
          </w:p>
        </w:tc>
      </w:tr>
      <w:tr>
        <w:trPr/>
        <w:tc>
          <w:tcPr>
            <w:tcW w:w="108" w:type="dxa"/>
            <w:tcBorders/>
            <w:shd w:fill="auto" w:val="clear"/>
            <w:vAlign w:val="center"/>
          </w:tcPr>
          <w:p>
            <w:pPr>
              <w:pStyle w:val="TableContents"/>
              <w:spacing w:before="0" w:after="283"/>
              <w:rPr/>
            </w:pPr>
            <w:r>
              <w:rPr/>
              <w:drawing>
                <wp:inline distT="0" distB="0" distL="0" distR="0">
                  <wp:extent cx="51435" cy="34290"/>
                  <wp:effectExtent l="0" t="0" r="0" b="0"/>
                  <wp:docPr id="16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8" descr=""/>
                          <pic:cNvPicPr>
                            <a:picLocks noChangeAspect="1" noChangeArrowheads="1"/>
                          </pic:cNvPicPr>
                        </pic:nvPicPr>
                        <pic:blipFill>
                          <a:blip r:embed="rId159"/>
                          <a:stretch>
                            <a:fillRect/>
                          </a:stretch>
                        </pic:blipFill>
                        <pic:spPr bwMode="auto">
                          <a:xfrm>
                            <a:off x="0" y="0"/>
                            <a:ext cx="51435" cy="3429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595" w:type="dxa"/>
            <w:tcBorders/>
            <w:shd w:fill="auto" w:val="clear"/>
            <w:vAlign w:val="center"/>
          </w:tcPr>
          <w:p>
            <w:pPr>
              <w:pStyle w:val="TableContents"/>
              <w:spacing w:before="0" w:after="283"/>
              <w:rPr>
                <w:sz w:val="16"/>
              </w:rPr>
            </w:pPr>
            <w:r>
              <w:rPr>
                <w:sz w:val="16"/>
              </w:rPr>
              <w:t xml:space="preserve">Sixth consecutive year of </w:t>
            </w:r>
            <w:r>
              <w:rPr>
                <w:b/>
                <w:color w:val="007CBA"/>
                <w:sz w:val="16"/>
              </w:rPr>
              <w:t>WORLD-CLASS SAFETY</w:t>
            </w:r>
            <w:r>
              <w:rPr>
                <w:sz w:val="16"/>
              </w:rPr>
              <w:t xml:space="preserve"> performance </w:t>
            </w:r>
          </w:p>
        </w:tc>
        <w:tc>
          <w:tcPr>
            <w:tcW w:w="120" w:type="dxa"/>
            <w:tcBorders>
              <w:left w:val="dotted" w:sz="8" w:space="0" w:color="000000"/>
            </w:tcBorders>
            <w:shd w:fill="auto" w:val="clear"/>
            <w:tcMar>
              <w:left w:w="28" w:type="dxa"/>
            </w:tcMar>
            <w:vAlign w:val="center"/>
          </w:tcPr>
          <w:p>
            <w:pPr>
              <w:pStyle w:val="TableContents"/>
              <w:spacing w:before="0" w:after="283"/>
              <w:rPr/>
            </w:pPr>
            <w:r>
              <w:rPr/>
              <w:t>  </w:t>
            </w:r>
          </w:p>
        </w:tc>
        <w:tc>
          <w:tcPr>
            <w:tcW w:w="86" w:type="dxa"/>
            <w:tcBorders/>
            <w:shd w:fill="auto" w:val="clear"/>
            <w:vAlign w:val="center"/>
          </w:tcPr>
          <w:p>
            <w:pPr>
              <w:pStyle w:val="TableContents"/>
              <w:spacing w:before="0" w:after="283"/>
              <w:jc w:val="center"/>
              <w:rPr/>
            </w:pPr>
            <w:r>
              <w:rPr/>
              <w:drawing>
                <wp:inline distT="0" distB="0" distL="0" distR="0">
                  <wp:extent cx="46990" cy="46990"/>
                  <wp:effectExtent l="0" t="0" r="0" b="0"/>
                  <wp:docPr id="16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9" descr=""/>
                          <pic:cNvPicPr>
                            <a:picLocks noChangeAspect="1" noChangeArrowheads="1"/>
                          </pic:cNvPicPr>
                        </pic:nvPicPr>
                        <pic:blipFill>
                          <a:blip r:embed="rId160"/>
                          <a:stretch>
                            <a:fillRect/>
                          </a:stretch>
                        </pic:blipFill>
                        <pic:spPr bwMode="auto">
                          <a:xfrm>
                            <a:off x="0" y="0"/>
                            <a:ext cx="46990" cy="4699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056" w:type="dxa"/>
            <w:tcBorders/>
            <w:shd w:fill="auto" w:val="clear"/>
            <w:vAlign w:val="center"/>
          </w:tcPr>
          <w:p>
            <w:pPr>
              <w:pStyle w:val="TableContents"/>
              <w:spacing w:before="0" w:after="283"/>
              <w:rPr>
                <w:sz w:val="16"/>
              </w:rPr>
            </w:pPr>
            <w:r>
              <w:rPr>
                <w:sz w:val="16"/>
              </w:rPr>
              <w:t xml:space="preserve">Successful completion of two portfolio optimizing divestitures in line with the Company’s </w:t>
            </w:r>
            <w:r>
              <w:rPr>
                <w:b/>
                <w:color w:val="007CBA"/>
                <w:sz w:val="16"/>
              </w:rPr>
              <w:t>SOAR 2025</w:t>
            </w:r>
            <w:r>
              <w:rPr>
                <w:sz w:val="16"/>
              </w:rPr>
              <w:t xml:space="preserve"> Strategic Plan that generated $650 million in proceeds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See Appendix B for reconciliation to reported net earnings from continuing operations attributable to Martin Marietta. Adjusted EBITDA is a metric used for executive performance targets. </w:t>
            </w:r>
          </w:p>
        </w:tc>
      </w:tr>
    </w:tbl>
    <w:p>
      <w:pPr>
        <w:pStyle w:val="TextBody"/>
        <w:spacing w:before="240" w:after="0"/>
        <w:jc w:val="left"/>
        <w:rPr>
          <w:rFonts w:ascii="ARIAL" w:hAnsi="ARIAL"/>
          <w:sz w:val="20"/>
        </w:rPr>
      </w:pPr>
      <w:r>
        <w:rPr>
          <w:rFonts w:ascii="ARIAL" w:hAnsi="ARIAL"/>
          <w:sz w:val="20"/>
        </w:rPr>
        <w:t xml:space="preserve">In 2022, we continued to execute on our strategic initiatives to enhance our attractive footprint and </w:t>
      </w:r>
      <w:r>
        <w:rPr>
          <w:rFonts w:ascii="ARIAL" w:hAnsi="ARIAL"/>
          <w:b/>
          <w:color w:val="007CBA"/>
          <w:sz w:val="20"/>
        </w:rPr>
        <w:t>advance the goals included in our latest five-year strategic plan,</w:t>
      </w:r>
      <w:r>
        <w:rPr>
          <w:rFonts w:ascii="ARIAL" w:hAnsi="ARIAL"/>
          <w:b/>
          <w:sz w:val="20"/>
        </w:rPr>
        <w:t xml:space="preserve"> </w:t>
      </w:r>
      <w:r>
        <w:rPr>
          <w:rFonts w:ascii="ARIAL" w:hAnsi="ARIAL"/>
          <w:b/>
          <w:color w:val="007CBA"/>
          <w:sz w:val="20"/>
        </w:rPr>
        <w:t>SOAR (Strategic Operating Analysis and Review) 2025,</w:t>
      </w:r>
      <w:r>
        <w:rPr>
          <w:rFonts w:ascii="ARIAL" w:hAnsi="ARIAL"/>
          <w:sz w:val="20"/>
        </w:rPr>
        <w:t xml:space="preserve"> which was developed in 2020</w:t>
      </w:r>
      <w:r>
        <w:rPr>
          <w:rFonts w:ascii="ARIAL" w:hAnsi="ARIAL"/>
          <w:b/>
          <w:sz w:val="20"/>
        </w:rPr>
        <w:t>.</w:t>
      </w:r>
      <w:r>
        <w:rPr>
          <w:rFonts w:ascii="ARIAL" w:hAnsi="ARIAL"/>
          <w:sz w:val="20"/>
        </w:rPr>
        <w:t xml:space="preserve"> The SOAR process, supplemented by our annual planning process, has guided us since 2010 as we have grown the business in an intentional, contemplative, and disciplined manner. SOAR 2025 set ambitious yet achievable targets for future growth and value creation, and the four acquisitions completed in 2021 as well as the two divestitures completed in 2022 were all well aligned with our SOAR 2025 goals. Importantly, the company’s strategic efforts and proactive balance sheet management in 2022 provide a platform for continued expansion in future years.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509520"/>
                <wp:effectExtent l="0" t="0" r="0" b="0"/>
                <wp:wrapSquare wrapText="largest"/>
                <wp:docPr id="166" name="Frame8"/>
                <a:graphic xmlns:a="http://schemas.openxmlformats.org/drawingml/2006/main">
                  <a:graphicData uri="http://schemas.microsoft.com/office/word/2010/wordprocessingShape">
                    <wps:wsp>
                      <wps:cNvSpPr txBox="1"/>
                      <wps:spPr>
                        <a:xfrm>
                          <a:off x="0" y="0"/>
                          <a:ext cx="3175000" cy="2509520"/>
                        </a:xfrm>
                        <a:prstGeom prst="rect"/>
                      </wps:spPr>
                      <wps:txbx>
                        <w:txbxContent>
                          <w:p>
                            <w:pPr>
                              <w:pStyle w:val="TextBody"/>
                              <w:spacing w:before="0" w:after="0"/>
                              <w:rPr>
                                <w:rFonts w:ascii="ARIAL" w:hAnsi="ARIAL"/>
                                <w:b/>
                                <w:color w:val="71BE9A"/>
                                <w:sz w:val="26"/>
                              </w:rPr>
                            </w:pPr>
                            <w:r>
                              <w:rPr>
                                <w:rFonts w:ascii="ARIAL" w:hAnsi="ARIAL"/>
                                <w:b/>
                                <w:color w:val="71BE9A"/>
                                <w:sz w:val="26"/>
                              </w:rPr>
                              <w:t xml:space="preserve">Disciplined Capital Allocation </w:t>
                            </w:r>
                          </w:p>
                          <w:p>
                            <w:pPr>
                              <w:pStyle w:val="TextBody"/>
                              <w:spacing w:before="0" w:after="0"/>
                              <w:rPr/>
                            </w:pPr>
                            <w:r>
                              <w:rPr/>
                              <w:t> </w:t>
                            </w:r>
                          </w:p>
                          <w:p>
                            <w:pPr>
                              <w:pStyle w:val="TextBody"/>
                              <w:pBdr>
                                <w:bottom w:val="single" w:sz="2" w:space="1" w:color="007CBA"/>
                              </w:pBdr>
                              <w:spacing w:lineRule="atLeast" w:line="141" w:before="0" w:after="4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6"/>
                              <w:gridCol w:w="120"/>
                              <w:gridCol w:w="9959"/>
                            </w:tblGrid>
                            <w:tr>
                              <w:trPr/>
                              <w:tc>
                                <w:tcPr>
                                  <w:tcW w:w="1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59" w:type="dxa"/>
                                  <w:tcBorders/>
                                  <w:shd w:fill="auto" w:val="clear"/>
                                  <w:vAlign w:val="center"/>
                                </w:tcPr>
                                <w:p>
                                  <w:pPr>
                                    <w:pStyle w:val="TableContents"/>
                                    <w:spacing w:before="0" w:after="283"/>
                                    <w:rPr>
                                      <w:sz w:val="4"/>
                                      <w:szCs w:val="4"/>
                                    </w:rPr>
                                  </w:pPr>
                                  <w:r>
                                    <w:rPr>
                                      <w:sz w:val="4"/>
                                      <w:szCs w:val="4"/>
                                    </w:rPr>
                                  </w:r>
                                </w:p>
                              </w:tc>
                            </w:tr>
                            <w:tr>
                              <w:trPr/>
                              <w:tc>
                                <w:tcPr>
                                  <w:tcW w:w="126" w:type="dxa"/>
                                  <w:tcBorders/>
                                  <w:shd w:fill="auto" w:val="clear"/>
                                  <w:vAlign w:val="center"/>
                                </w:tcPr>
                                <w:p>
                                  <w:pPr>
                                    <w:pStyle w:val="TableContents"/>
                                    <w:spacing w:before="0" w:after="283"/>
                                    <w:rPr/>
                                  </w:pPr>
                                  <w:r>
                                    <w:rPr/>
                                    <w:drawing>
                                      <wp:inline distT="0" distB="0" distL="0" distR="0">
                                        <wp:extent cx="42545" cy="41910"/>
                                        <wp:effectExtent l="0" t="0" r="0" b="0"/>
                                        <wp:docPr id="16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3" descr=""/>
                                                <pic:cNvPicPr>
                                                  <a:picLocks noChangeAspect="1" noChangeArrowheads="1"/>
                                                </pic:cNvPicPr>
                                              </pic:nvPicPr>
                                              <pic:blipFill>
                                                <a:blip r:embed="rId161"/>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59" w:type="dxa"/>
                                  <w:tcBorders/>
                                  <w:shd w:fill="auto" w:val="clear"/>
                                  <w:vAlign w:val="center"/>
                                </w:tcPr>
                                <w:p>
                                  <w:pPr>
                                    <w:pStyle w:val="TableContents"/>
                                    <w:spacing w:before="0" w:after="0"/>
                                    <w:rPr>
                                      <w:rFonts w:ascii="ARIAL" w:hAnsi="ARIAL"/>
                                      <w:sz w:val="20"/>
                                    </w:rPr>
                                  </w:pPr>
                                  <w:r>
                                    <w:rPr>
                                      <w:rFonts w:ascii="ARIAL" w:hAnsi="ARIAL"/>
                                      <w:sz w:val="20"/>
                                    </w:rPr>
                                    <w:t xml:space="preserve">$75 million contributed to the Company’s </w:t>
                                  </w:r>
                                  <w:r>
                                    <w:rPr>
                                      <w:rFonts w:ascii="ARIAL" w:hAnsi="ARIAL"/>
                                      <w:color w:val="007CBA"/>
                                      <w:sz w:val="20"/>
                                    </w:rPr>
                                    <w:t>fully-funded qualified pension plan</w:t>
                                  </w:r>
                                  <w:r>
                                    <w:rPr>
                                      <w:rFonts w:ascii="ARIAL" w:hAnsi="ARIAL"/>
                                      <w:sz w:val="20"/>
                                    </w:rPr>
                                    <w:t xml:space="preserve"> </w:t>
                                  </w:r>
                                </w:p>
                                <w:p>
                                  <w:pPr>
                                    <w:pStyle w:val="TableContents"/>
                                    <w:spacing w:before="0" w:after="20"/>
                                    <w:rPr/>
                                  </w:pPr>
                                  <w:r>
                                    <w:rPr/>
                                    <w:t> </w:t>
                                  </w:r>
                                </w:p>
                              </w:tc>
                            </w:tr>
                            <w:tr>
                              <w:trPr/>
                              <w:tc>
                                <w:tcPr>
                                  <w:tcW w:w="126" w:type="dxa"/>
                                  <w:tcBorders/>
                                  <w:shd w:fill="auto" w:val="clear"/>
                                  <w:vAlign w:val="center"/>
                                </w:tcPr>
                                <w:p>
                                  <w:pPr>
                                    <w:pStyle w:val="TableContents"/>
                                    <w:spacing w:before="0" w:after="283"/>
                                    <w:rPr/>
                                  </w:pPr>
                                  <w:r>
                                    <w:rPr/>
                                    <w:drawing>
                                      <wp:inline distT="0" distB="0" distL="0" distR="0">
                                        <wp:extent cx="42545" cy="41910"/>
                                        <wp:effectExtent l="0" t="0" r="0" b="0"/>
                                        <wp:docPr id="16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4" descr=""/>
                                                <pic:cNvPicPr>
                                                  <a:picLocks noChangeAspect="1" noChangeArrowheads="1"/>
                                                </pic:cNvPicPr>
                                              </pic:nvPicPr>
                                              <pic:blipFill>
                                                <a:blip r:embed="rId162"/>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59" w:type="dxa"/>
                                  <w:tcBorders/>
                                  <w:shd w:fill="auto" w:val="clear"/>
                                  <w:vAlign w:val="center"/>
                                </w:tcPr>
                                <w:p>
                                  <w:pPr>
                                    <w:pStyle w:val="TableContents"/>
                                    <w:spacing w:before="0" w:after="0"/>
                                    <w:rPr>
                                      <w:rFonts w:ascii="ARIAL" w:hAnsi="ARIAL"/>
                                      <w:sz w:val="20"/>
                                    </w:rPr>
                                  </w:pPr>
                                  <w:r>
                                    <w:rPr>
                                      <w:rFonts w:ascii="ARIAL" w:hAnsi="ARIAL"/>
                                      <w:color w:val="007CBA"/>
                                      <w:sz w:val="20"/>
                                    </w:rPr>
                                    <w:t>Board approved a 8% quarterly dividend increase</w:t>
                                  </w:r>
                                  <w:r>
                                    <w:rPr>
                                      <w:rFonts w:ascii="ARIAL" w:hAnsi="ARIAL"/>
                                      <w:sz w:val="20"/>
                                    </w:rPr>
                                    <w:t xml:space="preserve"> ($2.64 per share on an annualized basis), continuing the Company’s track record of dividend growth </w:t>
                                  </w:r>
                                </w:p>
                                <w:p>
                                  <w:pPr>
                                    <w:pStyle w:val="TableContents"/>
                                    <w:spacing w:before="0" w:after="20"/>
                                    <w:rPr/>
                                  </w:pPr>
                                  <w:r>
                                    <w:rPr/>
                                    <w:t> </w:t>
                                  </w:r>
                                </w:p>
                              </w:tc>
                            </w:tr>
                            <w:tr>
                              <w:trPr/>
                              <w:tc>
                                <w:tcPr>
                                  <w:tcW w:w="126" w:type="dxa"/>
                                  <w:tcBorders/>
                                  <w:shd w:fill="auto" w:val="clear"/>
                                  <w:vAlign w:val="center"/>
                                </w:tcPr>
                                <w:p>
                                  <w:pPr>
                                    <w:pStyle w:val="TableContents"/>
                                    <w:spacing w:before="0" w:after="283"/>
                                    <w:rPr/>
                                  </w:pPr>
                                  <w:r>
                                    <w:rPr/>
                                    <w:drawing>
                                      <wp:inline distT="0" distB="0" distL="0" distR="0">
                                        <wp:extent cx="42545" cy="41910"/>
                                        <wp:effectExtent l="0" t="0" r="0" b="0"/>
                                        <wp:docPr id="1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5" descr=""/>
                                                <pic:cNvPicPr>
                                                  <a:picLocks noChangeAspect="1" noChangeArrowheads="1"/>
                                                </pic:cNvPicPr>
                                              </pic:nvPicPr>
                                              <pic:blipFill>
                                                <a:blip r:embed="rId163"/>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59" w:type="dxa"/>
                                  <w:tcBorders/>
                                  <w:shd w:fill="auto" w:val="clear"/>
                                  <w:vAlign w:val="center"/>
                                </w:tcPr>
                                <w:p>
                                  <w:pPr>
                                    <w:pStyle w:val="TableContents"/>
                                    <w:spacing w:before="0" w:after="283"/>
                                    <w:rPr/>
                                  </w:pPr>
                                  <w:r>
                                    <w:rPr>
                                      <w:color w:val="007CBA"/>
                                    </w:rPr>
                                    <w:t>Repaid $700 million in debt</w:t>
                                  </w:r>
                                  <w:r>
                                    <w:rPr/>
                                    <w:t xml:space="preserve"> through discharge and repurchases, exiting the year with a 2.49x leverage ratio </w:t>
                                  </w:r>
                                </w:p>
                              </w:tc>
                            </w:tr>
                          </w:tbl>
                          <w:p>
                            <w:pPr>
                              <w:pStyle w:val="TextBody"/>
                              <w:spacing w:before="0" w:after="0"/>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71BE9A"/>
                          <w:sz w:val="26"/>
                        </w:rPr>
                      </w:pPr>
                      <w:r>
                        <w:rPr>
                          <w:rFonts w:ascii="ARIAL" w:hAnsi="ARIAL"/>
                          <w:b/>
                          <w:color w:val="71BE9A"/>
                          <w:sz w:val="26"/>
                        </w:rPr>
                        <w:t xml:space="preserve">Disciplined Capital Allocation </w:t>
                      </w:r>
                    </w:p>
                    <w:p>
                      <w:pPr>
                        <w:pStyle w:val="TextBody"/>
                        <w:spacing w:before="0" w:after="0"/>
                        <w:rPr/>
                      </w:pPr>
                      <w:r>
                        <w:rPr/>
                        <w:t> </w:t>
                      </w:r>
                    </w:p>
                    <w:p>
                      <w:pPr>
                        <w:pStyle w:val="TextBody"/>
                        <w:pBdr>
                          <w:bottom w:val="single" w:sz="2" w:space="1" w:color="007CBA"/>
                        </w:pBdr>
                        <w:spacing w:lineRule="atLeast" w:line="141" w:before="0" w:after="4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6"/>
                        <w:gridCol w:w="120"/>
                        <w:gridCol w:w="9959"/>
                      </w:tblGrid>
                      <w:tr>
                        <w:trPr/>
                        <w:tc>
                          <w:tcPr>
                            <w:tcW w:w="1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59" w:type="dxa"/>
                            <w:tcBorders/>
                            <w:shd w:fill="auto" w:val="clear"/>
                            <w:vAlign w:val="center"/>
                          </w:tcPr>
                          <w:p>
                            <w:pPr>
                              <w:pStyle w:val="TableContents"/>
                              <w:spacing w:before="0" w:after="283"/>
                              <w:rPr>
                                <w:sz w:val="4"/>
                                <w:szCs w:val="4"/>
                              </w:rPr>
                            </w:pPr>
                            <w:r>
                              <w:rPr>
                                <w:sz w:val="4"/>
                                <w:szCs w:val="4"/>
                              </w:rPr>
                            </w:r>
                          </w:p>
                        </w:tc>
                      </w:tr>
                      <w:tr>
                        <w:trPr/>
                        <w:tc>
                          <w:tcPr>
                            <w:tcW w:w="126" w:type="dxa"/>
                            <w:tcBorders/>
                            <w:shd w:fill="auto" w:val="clear"/>
                            <w:vAlign w:val="center"/>
                          </w:tcPr>
                          <w:p>
                            <w:pPr>
                              <w:pStyle w:val="TableContents"/>
                              <w:spacing w:before="0" w:after="283"/>
                              <w:rPr/>
                            </w:pPr>
                            <w:r>
                              <w:rPr/>
                              <w:drawing>
                                <wp:inline distT="0" distB="0" distL="0" distR="0">
                                  <wp:extent cx="42545" cy="41910"/>
                                  <wp:effectExtent l="0" t="0" r="0" b="0"/>
                                  <wp:docPr id="17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3" descr=""/>
                                          <pic:cNvPicPr>
                                            <a:picLocks noChangeAspect="1" noChangeArrowheads="1"/>
                                          </pic:cNvPicPr>
                                        </pic:nvPicPr>
                                        <pic:blipFill>
                                          <a:blip r:embed="rId161"/>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59" w:type="dxa"/>
                            <w:tcBorders/>
                            <w:shd w:fill="auto" w:val="clear"/>
                            <w:vAlign w:val="center"/>
                          </w:tcPr>
                          <w:p>
                            <w:pPr>
                              <w:pStyle w:val="TableContents"/>
                              <w:spacing w:before="0" w:after="0"/>
                              <w:rPr>
                                <w:rFonts w:ascii="ARIAL" w:hAnsi="ARIAL"/>
                                <w:sz w:val="20"/>
                              </w:rPr>
                            </w:pPr>
                            <w:r>
                              <w:rPr>
                                <w:rFonts w:ascii="ARIAL" w:hAnsi="ARIAL"/>
                                <w:sz w:val="20"/>
                              </w:rPr>
                              <w:t xml:space="preserve">$75 million contributed to the Company’s </w:t>
                            </w:r>
                            <w:r>
                              <w:rPr>
                                <w:rFonts w:ascii="ARIAL" w:hAnsi="ARIAL"/>
                                <w:color w:val="007CBA"/>
                                <w:sz w:val="20"/>
                              </w:rPr>
                              <w:t>fully-funded qualified pension plan</w:t>
                            </w:r>
                            <w:r>
                              <w:rPr>
                                <w:rFonts w:ascii="ARIAL" w:hAnsi="ARIAL"/>
                                <w:sz w:val="20"/>
                              </w:rPr>
                              <w:t xml:space="preserve"> </w:t>
                            </w:r>
                          </w:p>
                          <w:p>
                            <w:pPr>
                              <w:pStyle w:val="TableContents"/>
                              <w:spacing w:before="0" w:after="20"/>
                              <w:rPr/>
                            </w:pPr>
                            <w:r>
                              <w:rPr/>
                              <w:t> </w:t>
                            </w:r>
                          </w:p>
                        </w:tc>
                      </w:tr>
                      <w:tr>
                        <w:trPr/>
                        <w:tc>
                          <w:tcPr>
                            <w:tcW w:w="126" w:type="dxa"/>
                            <w:tcBorders/>
                            <w:shd w:fill="auto" w:val="clear"/>
                            <w:vAlign w:val="center"/>
                          </w:tcPr>
                          <w:p>
                            <w:pPr>
                              <w:pStyle w:val="TableContents"/>
                              <w:spacing w:before="0" w:after="283"/>
                              <w:rPr/>
                            </w:pPr>
                            <w:r>
                              <w:rPr/>
                              <w:drawing>
                                <wp:inline distT="0" distB="0" distL="0" distR="0">
                                  <wp:extent cx="42545" cy="41910"/>
                                  <wp:effectExtent l="0" t="0" r="0" b="0"/>
                                  <wp:docPr id="17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4" descr=""/>
                                          <pic:cNvPicPr>
                                            <a:picLocks noChangeAspect="1" noChangeArrowheads="1"/>
                                          </pic:cNvPicPr>
                                        </pic:nvPicPr>
                                        <pic:blipFill>
                                          <a:blip r:embed="rId162"/>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59" w:type="dxa"/>
                            <w:tcBorders/>
                            <w:shd w:fill="auto" w:val="clear"/>
                            <w:vAlign w:val="center"/>
                          </w:tcPr>
                          <w:p>
                            <w:pPr>
                              <w:pStyle w:val="TableContents"/>
                              <w:spacing w:before="0" w:after="0"/>
                              <w:rPr>
                                <w:rFonts w:ascii="ARIAL" w:hAnsi="ARIAL"/>
                                <w:sz w:val="20"/>
                              </w:rPr>
                            </w:pPr>
                            <w:r>
                              <w:rPr>
                                <w:rFonts w:ascii="ARIAL" w:hAnsi="ARIAL"/>
                                <w:color w:val="007CBA"/>
                                <w:sz w:val="20"/>
                              </w:rPr>
                              <w:t>Board approved a 8% quarterly dividend increase</w:t>
                            </w:r>
                            <w:r>
                              <w:rPr>
                                <w:rFonts w:ascii="ARIAL" w:hAnsi="ARIAL"/>
                                <w:sz w:val="20"/>
                              </w:rPr>
                              <w:t xml:space="preserve"> ($2.64 per share on an annualized basis), continuing the Company’s track record of dividend growth </w:t>
                            </w:r>
                          </w:p>
                          <w:p>
                            <w:pPr>
                              <w:pStyle w:val="TableContents"/>
                              <w:spacing w:before="0" w:after="20"/>
                              <w:rPr/>
                            </w:pPr>
                            <w:r>
                              <w:rPr/>
                              <w:t> </w:t>
                            </w:r>
                          </w:p>
                        </w:tc>
                      </w:tr>
                      <w:tr>
                        <w:trPr/>
                        <w:tc>
                          <w:tcPr>
                            <w:tcW w:w="126" w:type="dxa"/>
                            <w:tcBorders/>
                            <w:shd w:fill="auto" w:val="clear"/>
                            <w:vAlign w:val="center"/>
                          </w:tcPr>
                          <w:p>
                            <w:pPr>
                              <w:pStyle w:val="TableContents"/>
                              <w:spacing w:before="0" w:after="283"/>
                              <w:rPr/>
                            </w:pPr>
                            <w:r>
                              <w:rPr/>
                              <w:drawing>
                                <wp:inline distT="0" distB="0" distL="0" distR="0">
                                  <wp:extent cx="42545" cy="41910"/>
                                  <wp:effectExtent l="0" t="0" r="0" b="0"/>
                                  <wp:docPr id="17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5" descr=""/>
                                          <pic:cNvPicPr>
                                            <a:picLocks noChangeAspect="1" noChangeArrowheads="1"/>
                                          </pic:cNvPicPr>
                                        </pic:nvPicPr>
                                        <pic:blipFill>
                                          <a:blip r:embed="rId163"/>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59" w:type="dxa"/>
                            <w:tcBorders/>
                            <w:shd w:fill="auto" w:val="clear"/>
                            <w:vAlign w:val="center"/>
                          </w:tcPr>
                          <w:p>
                            <w:pPr>
                              <w:pStyle w:val="TableContents"/>
                              <w:spacing w:before="0" w:after="283"/>
                              <w:rPr/>
                            </w:pPr>
                            <w:r>
                              <w:rPr>
                                <w:color w:val="007CBA"/>
                              </w:rPr>
                              <w:t>Repaid $700 million in debt</w:t>
                            </w:r>
                            <w:r>
                              <w:rPr/>
                              <w:t xml:space="preserve"> through discharge and repurchases, exiting the year with a 2.49x leverage ratio </w:t>
                            </w:r>
                          </w:p>
                        </w:tc>
                      </w:tr>
                    </w:tbl>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3110230" cy="2509520"/>
                <wp:effectExtent l="0" t="0" r="0" b="0"/>
                <wp:wrapSquare wrapText="largest"/>
                <wp:docPr id="173" name="Frame7"/>
                <a:graphic xmlns:a="http://schemas.openxmlformats.org/drawingml/2006/main">
                  <a:graphicData uri="http://schemas.microsoft.com/office/word/2010/wordprocessingShape">
                    <wps:wsp>
                      <wps:cNvSpPr txBox="1"/>
                      <wps:spPr>
                        <a:xfrm>
                          <a:off x="0" y="0"/>
                          <a:ext cx="3110230" cy="2509520"/>
                        </a:xfrm>
                        <a:prstGeom prst="rect"/>
                      </wps:spPr>
                      <wps:txbx>
                        <w:txbxContent>
                          <w:p>
                            <w:pPr>
                              <w:pStyle w:val="TextBody"/>
                              <w:spacing w:before="0" w:after="0"/>
                              <w:rPr>
                                <w:rFonts w:ascii="ARIAL" w:hAnsi="ARIAL"/>
                                <w:b/>
                                <w:color w:val="71BE9A"/>
                                <w:sz w:val="26"/>
                              </w:rPr>
                            </w:pPr>
                            <w:r>
                              <w:rPr>
                                <w:rFonts w:ascii="ARIAL" w:hAnsi="ARIAL"/>
                                <w:b/>
                                <w:color w:val="71BE9A"/>
                                <w:sz w:val="26"/>
                              </w:rPr>
                              <w:t xml:space="preserve">2022 Highlights </w:t>
                            </w:r>
                          </w:p>
                          <w:p>
                            <w:pPr>
                              <w:pStyle w:val="TextBody"/>
                              <w:spacing w:before="0" w:after="0"/>
                              <w:rPr/>
                            </w:pPr>
                            <w:r>
                              <w:rPr/>
                              <w:t> </w:t>
                            </w:r>
                          </w:p>
                          <w:p>
                            <w:pPr>
                              <w:pStyle w:val="TextBody"/>
                              <w:pBdr>
                                <w:bottom w:val="single" w:sz="2" w:space="1" w:color="007CBA"/>
                              </w:pBdr>
                              <w:spacing w:lineRule="atLeast" w:line="141" w:before="0" w:after="4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18"/>
                              <w:gridCol w:w="120"/>
                              <w:gridCol w:w="9967"/>
                            </w:tblGrid>
                            <w:tr>
                              <w:trPr/>
                              <w:tc>
                                <w:tcPr>
                                  <w:tcW w:w="11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67" w:type="dxa"/>
                                  <w:tcBorders/>
                                  <w:shd w:fill="auto" w:val="clear"/>
                                  <w:vAlign w:val="center"/>
                                </w:tcPr>
                                <w:p>
                                  <w:pPr>
                                    <w:pStyle w:val="TableContents"/>
                                    <w:spacing w:before="0" w:after="283"/>
                                    <w:rPr>
                                      <w:sz w:val="4"/>
                                      <w:szCs w:val="4"/>
                                    </w:rPr>
                                  </w:pPr>
                                  <w:r>
                                    <w:rPr>
                                      <w:sz w:val="4"/>
                                      <w:szCs w:val="4"/>
                                    </w:rPr>
                                  </w:r>
                                </w:p>
                              </w:tc>
                            </w:tr>
                            <w:tr>
                              <w:trPr/>
                              <w:tc>
                                <w:tcPr>
                                  <w:tcW w:w="118" w:type="dxa"/>
                                  <w:tcBorders/>
                                  <w:shd w:fill="auto" w:val="clear"/>
                                  <w:vAlign w:val="center"/>
                                </w:tcPr>
                                <w:p>
                                  <w:pPr>
                                    <w:pStyle w:val="TableContents"/>
                                    <w:spacing w:before="0" w:after="283"/>
                                    <w:rPr/>
                                  </w:pPr>
                                  <w:r>
                                    <w:rPr/>
                                    <w:drawing>
                                      <wp:inline distT="0" distB="0" distL="0" distR="0">
                                        <wp:extent cx="42545" cy="41910"/>
                                        <wp:effectExtent l="0" t="0" r="0" b="0"/>
                                        <wp:docPr id="17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60" descr=""/>
                                                <pic:cNvPicPr>
                                                  <a:picLocks noChangeAspect="1" noChangeArrowheads="1"/>
                                                </pic:cNvPicPr>
                                              </pic:nvPicPr>
                                              <pic:blipFill>
                                                <a:blip r:embed="rId164"/>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67" w:type="dxa"/>
                                  <w:tcBorders/>
                                  <w:shd w:fill="auto" w:val="clear"/>
                                  <w:vAlign w:val="center"/>
                                </w:tcPr>
                                <w:p>
                                  <w:pPr>
                                    <w:pStyle w:val="TableContents"/>
                                    <w:spacing w:before="0" w:after="0"/>
                                    <w:rPr>
                                      <w:rFonts w:ascii="ARIAL" w:hAnsi="ARIAL"/>
                                      <w:sz w:val="20"/>
                                    </w:rPr>
                                  </w:pPr>
                                  <w:r>
                                    <w:rPr>
                                      <w:rFonts w:ascii="ARIAL" w:hAnsi="ARIAL"/>
                                      <w:color w:val="007CBA"/>
                                      <w:sz w:val="20"/>
                                    </w:rPr>
                                    <w:t>Record consolidated revenues on continuing operations of $6.2 billion</w:t>
                                  </w:r>
                                  <w:r>
                                    <w:rPr>
                                      <w:rFonts w:ascii="ARIAL" w:hAnsi="ARIAL"/>
                                      <w:sz w:val="20"/>
                                    </w:rPr>
                                    <w:t xml:space="preserve">, reflecting pricing gains across all product lines, and full-year contributions from operations acquired in 2021 </w:t>
                                  </w:r>
                                </w:p>
                                <w:p>
                                  <w:pPr>
                                    <w:pStyle w:val="TableContents"/>
                                    <w:spacing w:before="0" w:after="20"/>
                                    <w:rPr/>
                                  </w:pPr>
                                  <w:r>
                                    <w:rPr/>
                                    <w:t> </w:t>
                                  </w:r>
                                </w:p>
                              </w:tc>
                            </w:tr>
                            <w:tr>
                              <w:trPr/>
                              <w:tc>
                                <w:tcPr>
                                  <w:tcW w:w="118" w:type="dxa"/>
                                  <w:tcBorders/>
                                  <w:shd w:fill="auto" w:val="clear"/>
                                  <w:vAlign w:val="center"/>
                                </w:tcPr>
                                <w:p>
                                  <w:pPr>
                                    <w:pStyle w:val="TableContents"/>
                                    <w:spacing w:before="0" w:after="283"/>
                                    <w:rPr/>
                                  </w:pPr>
                                  <w:r>
                                    <w:rPr/>
                                    <w:drawing>
                                      <wp:inline distT="0" distB="0" distL="0" distR="0">
                                        <wp:extent cx="42545" cy="41910"/>
                                        <wp:effectExtent l="0" t="0" r="0" b="0"/>
                                        <wp:docPr id="17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1" descr=""/>
                                                <pic:cNvPicPr>
                                                  <a:picLocks noChangeAspect="1" noChangeArrowheads="1"/>
                                                </pic:cNvPicPr>
                                              </pic:nvPicPr>
                                              <pic:blipFill>
                                                <a:blip r:embed="rId165"/>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67" w:type="dxa"/>
                                  <w:tcBorders/>
                                  <w:shd w:fill="auto" w:val="clear"/>
                                  <w:vAlign w:val="center"/>
                                </w:tcPr>
                                <w:p>
                                  <w:pPr>
                                    <w:pStyle w:val="TableContents"/>
                                    <w:spacing w:before="0" w:after="0"/>
                                    <w:rPr>
                                      <w:rFonts w:ascii="ARIAL" w:hAnsi="ARIAL"/>
                                      <w:sz w:val="20"/>
                                    </w:rPr>
                                  </w:pPr>
                                  <w:r>
                                    <w:rPr>
                                      <w:rFonts w:ascii="ARIAL" w:hAnsi="ARIAL"/>
                                      <w:color w:val="007CBA"/>
                                      <w:sz w:val="20"/>
                                    </w:rPr>
                                    <w:t>Achieved 11th consecutive year of growth</w:t>
                                  </w:r>
                                  <w:r>
                                    <w:rPr>
                                      <w:rFonts w:ascii="ARIAL" w:hAnsi="ARIAL"/>
                                      <w:sz w:val="20"/>
                                    </w:rPr>
                                    <w:t xml:space="preserve"> in products and services revenues, gross profit and Adjusted EBITDA </w:t>
                                  </w:r>
                                </w:p>
                                <w:p>
                                  <w:pPr>
                                    <w:pStyle w:val="TableContents"/>
                                    <w:spacing w:before="0" w:after="20"/>
                                    <w:rPr/>
                                  </w:pPr>
                                  <w:r>
                                    <w:rPr/>
                                    <w:t> </w:t>
                                  </w:r>
                                </w:p>
                              </w:tc>
                            </w:tr>
                            <w:tr>
                              <w:trPr/>
                              <w:tc>
                                <w:tcPr>
                                  <w:tcW w:w="118" w:type="dxa"/>
                                  <w:tcBorders/>
                                  <w:shd w:fill="auto" w:val="clear"/>
                                  <w:vAlign w:val="center"/>
                                </w:tcPr>
                                <w:p>
                                  <w:pPr>
                                    <w:pStyle w:val="TableContents"/>
                                    <w:spacing w:before="0" w:after="283"/>
                                    <w:rPr/>
                                  </w:pPr>
                                  <w:r>
                                    <w:rPr/>
                                    <w:drawing>
                                      <wp:inline distT="0" distB="0" distL="0" distR="0">
                                        <wp:extent cx="42545" cy="41910"/>
                                        <wp:effectExtent l="0" t="0" r="0" b="0"/>
                                        <wp:docPr id="17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62" descr=""/>
                                                <pic:cNvPicPr>
                                                  <a:picLocks noChangeAspect="1" noChangeArrowheads="1"/>
                                                </pic:cNvPicPr>
                                              </pic:nvPicPr>
                                              <pic:blipFill>
                                                <a:blip r:embed="rId166"/>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67" w:type="dxa"/>
                                  <w:tcBorders/>
                                  <w:shd w:fill="auto" w:val="clear"/>
                                  <w:vAlign w:val="center"/>
                                </w:tcPr>
                                <w:p>
                                  <w:pPr>
                                    <w:pStyle w:val="TableContents"/>
                                    <w:spacing w:before="0" w:after="283"/>
                                    <w:rPr/>
                                  </w:pPr>
                                  <w:r>
                                    <w:rPr/>
                                    <w:t xml:space="preserve">Record-setting results from 2012 to 2022 yielded a </w:t>
                                  </w:r>
                                  <w:r>
                                    <w:rPr>
                                      <w:color w:val="007CBA"/>
                                    </w:rPr>
                                    <w:t>10-year TSR of 295%</w:t>
                                  </w:r>
                                  <w:r>
                                    <w:rPr/>
                                    <w:t xml:space="preserve"> versus the S&amp;P 500 return of 227% during the same period </w:t>
                                  </w:r>
                                </w:p>
                              </w:tc>
                            </w:tr>
                          </w:tbl>
                          <w:p>
                            <w:pPr>
                              <w:pStyle w:val="TextBody"/>
                              <w:spacing w:before="0" w:after="0"/>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7.6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spacing w:before="0" w:after="0"/>
                        <w:rPr>
                          <w:rFonts w:ascii="ARIAL" w:hAnsi="ARIAL"/>
                          <w:b/>
                          <w:color w:val="71BE9A"/>
                          <w:sz w:val="26"/>
                        </w:rPr>
                      </w:pPr>
                      <w:r>
                        <w:rPr>
                          <w:rFonts w:ascii="ARIAL" w:hAnsi="ARIAL"/>
                          <w:b/>
                          <w:color w:val="71BE9A"/>
                          <w:sz w:val="26"/>
                        </w:rPr>
                        <w:t xml:space="preserve">2022 Highlights </w:t>
                      </w:r>
                    </w:p>
                    <w:p>
                      <w:pPr>
                        <w:pStyle w:val="TextBody"/>
                        <w:spacing w:before="0" w:after="0"/>
                        <w:rPr/>
                      </w:pPr>
                      <w:r>
                        <w:rPr/>
                        <w:t> </w:t>
                      </w:r>
                    </w:p>
                    <w:p>
                      <w:pPr>
                        <w:pStyle w:val="TextBody"/>
                        <w:pBdr>
                          <w:bottom w:val="single" w:sz="2" w:space="1" w:color="007CBA"/>
                        </w:pBdr>
                        <w:spacing w:lineRule="atLeast" w:line="141" w:before="0" w:after="4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18"/>
                        <w:gridCol w:w="120"/>
                        <w:gridCol w:w="9967"/>
                      </w:tblGrid>
                      <w:tr>
                        <w:trPr/>
                        <w:tc>
                          <w:tcPr>
                            <w:tcW w:w="11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67" w:type="dxa"/>
                            <w:tcBorders/>
                            <w:shd w:fill="auto" w:val="clear"/>
                            <w:vAlign w:val="center"/>
                          </w:tcPr>
                          <w:p>
                            <w:pPr>
                              <w:pStyle w:val="TableContents"/>
                              <w:spacing w:before="0" w:after="283"/>
                              <w:rPr>
                                <w:sz w:val="4"/>
                                <w:szCs w:val="4"/>
                              </w:rPr>
                            </w:pPr>
                            <w:r>
                              <w:rPr>
                                <w:sz w:val="4"/>
                                <w:szCs w:val="4"/>
                              </w:rPr>
                            </w:r>
                          </w:p>
                        </w:tc>
                      </w:tr>
                      <w:tr>
                        <w:trPr/>
                        <w:tc>
                          <w:tcPr>
                            <w:tcW w:w="118" w:type="dxa"/>
                            <w:tcBorders/>
                            <w:shd w:fill="auto" w:val="clear"/>
                            <w:vAlign w:val="center"/>
                          </w:tcPr>
                          <w:p>
                            <w:pPr>
                              <w:pStyle w:val="TableContents"/>
                              <w:spacing w:before="0" w:after="283"/>
                              <w:rPr/>
                            </w:pPr>
                            <w:r>
                              <w:rPr/>
                              <w:drawing>
                                <wp:inline distT="0" distB="0" distL="0" distR="0">
                                  <wp:extent cx="42545" cy="41910"/>
                                  <wp:effectExtent l="0" t="0" r="0" b="0"/>
                                  <wp:docPr id="177"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60" descr=""/>
                                          <pic:cNvPicPr>
                                            <a:picLocks noChangeAspect="1" noChangeArrowheads="1"/>
                                          </pic:cNvPicPr>
                                        </pic:nvPicPr>
                                        <pic:blipFill>
                                          <a:blip r:embed="rId164"/>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67" w:type="dxa"/>
                            <w:tcBorders/>
                            <w:shd w:fill="auto" w:val="clear"/>
                            <w:vAlign w:val="center"/>
                          </w:tcPr>
                          <w:p>
                            <w:pPr>
                              <w:pStyle w:val="TableContents"/>
                              <w:spacing w:before="0" w:after="0"/>
                              <w:rPr>
                                <w:rFonts w:ascii="ARIAL" w:hAnsi="ARIAL"/>
                                <w:sz w:val="20"/>
                              </w:rPr>
                            </w:pPr>
                            <w:r>
                              <w:rPr>
                                <w:rFonts w:ascii="ARIAL" w:hAnsi="ARIAL"/>
                                <w:color w:val="007CBA"/>
                                <w:sz w:val="20"/>
                              </w:rPr>
                              <w:t>Record consolidated revenues on continuing operations of $6.2 billion</w:t>
                            </w:r>
                            <w:r>
                              <w:rPr>
                                <w:rFonts w:ascii="ARIAL" w:hAnsi="ARIAL"/>
                                <w:sz w:val="20"/>
                              </w:rPr>
                              <w:t xml:space="preserve">, reflecting pricing gains across all product lines, and full-year contributions from operations acquired in 2021 </w:t>
                            </w:r>
                          </w:p>
                          <w:p>
                            <w:pPr>
                              <w:pStyle w:val="TableContents"/>
                              <w:spacing w:before="0" w:after="20"/>
                              <w:rPr/>
                            </w:pPr>
                            <w:r>
                              <w:rPr/>
                              <w:t> </w:t>
                            </w:r>
                          </w:p>
                        </w:tc>
                      </w:tr>
                      <w:tr>
                        <w:trPr/>
                        <w:tc>
                          <w:tcPr>
                            <w:tcW w:w="118" w:type="dxa"/>
                            <w:tcBorders/>
                            <w:shd w:fill="auto" w:val="clear"/>
                            <w:vAlign w:val="center"/>
                          </w:tcPr>
                          <w:p>
                            <w:pPr>
                              <w:pStyle w:val="TableContents"/>
                              <w:spacing w:before="0" w:after="283"/>
                              <w:rPr/>
                            </w:pPr>
                            <w:r>
                              <w:rPr/>
                              <w:drawing>
                                <wp:inline distT="0" distB="0" distL="0" distR="0">
                                  <wp:extent cx="42545" cy="41910"/>
                                  <wp:effectExtent l="0" t="0" r="0" b="0"/>
                                  <wp:docPr id="17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1" descr=""/>
                                          <pic:cNvPicPr>
                                            <a:picLocks noChangeAspect="1" noChangeArrowheads="1"/>
                                          </pic:cNvPicPr>
                                        </pic:nvPicPr>
                                        <pic:blipFill>
                                          <a:blip r:embed="rId165"/>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67" w:type="dxa"/>
                            <w:tcBorders/>
                            <w:shd w:fill="auto" w:val="clear"/>
                            <w:vAlign w:val="center"/>
                          </w:tcPr>
                          <w:p>
                            <w:pPr>
                              <w:pStyle w:val="TableContents"/>
                              <w:spacing w:before="0" w:after="0"/>
                              <w:rPr>
                                <w:rFonts w:ascii="ARIAL" w:hAnsi="ARIAL"/>
                                <w:sz w:val="20"/>
                              </w:rPr>
                            </w:pPr>
                            <w:r>
                              <w:rPr>
                                <w:rFonts w:ascii="ARIAL" w:hAnsi="ARIAL"/>
                                <w:color w:val="007CBA"/>
                                <w:sz w:val="20"/>
                              </w:rPr>
                              <w:t>Achieved 11th consecutive year of growth</w:t>
                            </w:r>
                            <w:r>
                              <w:rPr>
                                <w:rFonts w:ascii="ARIAL" w:hAnsi="ARIAL"/>
                                <w:sz w:val="20"/>
                              </w:rPr>
                              <w:t xml:space="preserve"> in products and services revenues, gross profit and Adjusted EBITDA </w:t>
                            </w:r>
                          </w:p>
                          <w:p>
                            <w:pPr>
                              <w:pStyle w:val="TableContents"/>
                              <w:spacing w:before="0" w:after="20"/>
                              <w:rPr/>
                            </w:pPr>
                            <w:r>
                              <w:rPr/>
                              <w:t> </w:t>
                            </w:r>
                          </w:p>
                        </w:tc>
                      </w:tr>
                      <w:tr>
                        <w:trPr/>
                        <w:tc>
                          <w:tcPr>
                            <w:tcW w:w="118" w:type="dxa"/>
                            <w:tcBorders/>
                            <w:shd w:fill="auto" w:val="clear"/>
                            <w:vAlign w:val="center"/>
                          </w:tcPr>
                          <w:p>
                            <w:pPr>
                              <w:pStyle w:val="TableContents"/>
                              <w:spacing w:before="0" w:after="283"/>
                              <w:rPr/>
                            </w:pPr>
                            <w:r>
                              <w:rPr/>
                              <w:drawing>
                                <wp:inline distT="0" distB="0" distL="0" distR="0">
                                  <wp:extent cx="42545" cy="41910"/>
                                  <wp:effectExtent l="0" t="0" r="0" b="0"/>
                                  <wp:docPr id="17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2" descr=""/>
                                          <pic:cNvPicPr>
                                            <a:picLocks noChangeAspect="1" noChangeArrowheads="1"/>
                                          </pic:cNvPicPr>
                                        </pic:nvPicPr>
                                        <pic:blipFill>
                                          <a:blip r:embed="rId166"/>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967" w:type="dxa"/>
                            <w:tcBorders/>
                            <w:shd w:fill="auto" w:val="clear"/>
                            <w:vAlign w:val="center"/>
                          </w:tcPr>
                          <w:p>
                            <w:pPr>
                              <w:pStyle w:val="TableContents"/>
                              <w:spacing w:before="0" w:after="283"/>
                              <w:rPr/>
                            </w:pPr>
                            <w:r>
                              <w:rPr/>
                              <w:t xml:space="preserve">Record-setting results from 2012 to 2022 yielded a </w:t>
                            </w:r>
                            <w:r>
                              <w:rPr>
                                <w:color w:val="007CBA"/>
                              </w:rPr>
                              <w:t>10-year TSR of 295%</w:t>
                            </w:r>
                            <w:r>
                              <w:rPr/>
                              <w:t xml:space="preserve"> versus the S&amp;P 500 return of 227% during the same period </w:t>
                            </w:r>
                          </w:p>
                        </w:tc>
                      </w:tr>
                    </w:tbl>
                    <w:p>
                      <w:pPr>
                        <w:pStyle w:val="TextBody"/>
                        <w:spacing w:before="0" w:after="0"/>
                        <w:rPr/>
                      </w:pPr>
                      <w:r>
                        <w:rPr/>
                        <w:t>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We believe these goals and execution of our strategy has resulted in our TSR performance to be well above the median performance of the Building Materials Industry Group in the five most recent 3-year periods. </w:t>
      </w:r>
    </w:p>
    <w:p>
      <w:pPr>
        <w:pStyle w:val="TextBody"/>
        <w:spacing w:before="0" w:after="0"/>
        <w:jc w:val="left"/>
        <w:rPr/>
      </w:pPr>
      <w:r>
        <w:rPr/>
        <w:t> </w:t>
      </w:r>
    </w:p>
    <w:tbl>
      <w:tblPr>
        <w:tblW w:w="5238" w:type="dxa"/>
        <w:jc w:val="left"/>
        <w:tblInd w:w="0" w:type="dxa"/>
        <w:tblCellMar>
          <w:top w:w="0" w:type="dxa"/>
          <w:left w:w="0" w:type="dxa"/>
          <w:bottom w:w="0" w:type="dxa"/>
          <w:right w:w="0" w:type="dxa"/>
        </w:tblCellMar>
      </w:tblPr>
      <w:tblGrid>
        <w:gridCol w:w="1775"/>
        <w:gridCol w:w="120"/>
        <w:gridCol w:w="86"/>
        <w:gridCol w:w="549"/>
        <w:gridCol w:w="337"/>
        <w:gridCol w:w="126"/>
        <w:gridCol w:w="358"/>
        <w:gridCol w:w="1552"/>
        <w:gridCol w:w="335"/>
      </w:tblGrid>
      <w:tr>
        <w:trPr/>
        <w:tc>
          <w:tcPr>
            <w:tcW w:w="1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EAEAEA" w:val="clear"/>
            <w:vAlign w:val="center"/>
          </w:tcPr>
          <w:p>
            <w:pPr>
              <w:pStyle w:val="TableContents"/>
              <w:spacing w:before="0" w:after="283"/>
              <w:rPr>
                <w:sz w:val="4"/>
                <w:szCs w:val="4"/>
              </w:rPr>
            </w:pPr>
            <w:r>
              <w:rPr>
                <w:sz w:val="4"/>
                <w:szCs w:val="4"/>
              </w:rPr>
            </w:r>
          </w:p>
        </w:tc>
        <w:tc>
          <w:tcPr>
            <w:tcW w:w="3463" w:type="dxa"/>
            <w:gridSpan w:val="8"/>
            <w:tcBorders/>
            <w:shd w:fill="EAEAEA" w:val="clear"/>
            <w:vAlign w:val="center"/>
          </w:tcPr>
          <w:p>
            <w:pPr>
              <w:pStyle w:val="TableContents"/>
              <w:spacing w:before="0" w:after="283"/>
              <w:rPr>
                <w:sz w:val="4"/>
                <w:szCs w:val="4"/>
              </w:rPr>
            </w:pPr>
            <w:r>
              <w:rPr>
                <w:sz w:val="4"/>
                <w:szCs w:val="4"/>
              </w:rPr>
            </w:r>
          </w:p>
        </w:tc>
      </w:tr>
      <w:tr>
        <w:trPr/>
        <w:tc>
          <w:tcPr>
            <w:tcW w:w="1775" w:type="dxa"/>
            <w:vMerge w:val="restart"/>
            <w:tcBorders/>
            <w:shd w:fill="EAEAEA" w:val="clear"/>
            <w:vAlign w:val="center"/>
          </w:tcPr>
          <w:p>
            <w:pPr>
              <w:pStyle w:val="TableContents"/>
              <w:spacing w:before="0" w:after="0"/>
              <w:jc w:val="center"/>
              <w:rPr>
                <w:rFonts w:ascii="ARIAL" w:hAnsi="ARIAL"/>
                <w:b/>
                <w:color w:val="007CBA"/>
                <w:sz w:val="18"/>
              </w:rPr>
            </w:pPr>
            <w:r>
              <w:rPr>
                <w:rFonts w:ascii="ARIAL" w:hAnsi="ARIAL"/>
                <w:b/>
                <w:color w:val="007CBA"/>
                <w:sz w:val="18"/>
              </w:rPr>
              <w:t>3-Year Performance</w:t>
              <w:br/>
              <w:t>Period</w:t>
            </w:r>
          </w:p>
        </w:tc>
        <w:tc>
          <w:tcPr>
            <w:tcW w:w="120" w:type="dxa"/>
            <w:tcBorders/>
            <w:shd w:fill="EAEAEA" w:val="clear"/>
            <w:vAlign w:val="center"/>
          </w:tcPr>
          <w:p>
            <w:pPr>
              <w:pStyle w:val="TableContents"/>
              <w:spacing w:before="0" w:after="283"/>
              <w:rPr/>
            </w:pPr>
            <w:r>
              <w:rPr/>
              <w:t>  </w:t>
            </w:r>
          </w:p>
        </w:tc>
        <w:tc>
          <w:tcPr>
            <w:tcW w:w="3008" w:type="dxa"/>
            <w:gridSpan w:val="6"/>
            <w:tcBorders/>
            <w:shd w:fill="EAEAEA" w:val="clear"/>
            <w:vAlign w:val="center"/>
          </w:tcPr>
          <w:p>
            <w:pPr>
              <w:pStyle w:val="TableContents"/>
              <w:spacing w:before="0" w:after="283"/>
              <w:jc w:val="center"/>
              <w:rPr>
                <w:b/>
                <w:color w:val="007CBA"/>
              </w:rPr>
            </w:pPr>
            <w:r>
              <w:rPr>
                <w:b/>
                <w:color w:val="007CBA"/>
              </w:rPr>
              <w:t>3-Year TSR</w:t>
            </w:r>
          </w:p>
        </w:tc>
        <w:tc>
          <w:tcPr>
            <w:tcW w:w="335" w:type="dxa"/>
            <w:tcBorders/>
            <w:shd w:fill="EAEAEA" w:val="clear"/>
            <w:vAlign w:val="center"/>
          </w:tcPr>
          <w:p>
            <w:pPr>
              <w:pStyle w:val="TableContents"/>
              <w:spacing w:before="0" w:after="283"/>
              <w:rPr/>
            </w:pPr>
            <w:r>
              <w:rPr/>
              <w:t> </w:t>
            </w:r>
          </w:p>
        </w:tc>
      </w:tr>
      <w:tr>
        <w:trPr/>
        <w:tc>
          <w:tcPr>
            <w:tcW w:w="1775" w:type="dxa"/>
            <w:vMerge w:val="continue"/>
            <w:tcBorders/>
            <w:shd w:fill="EAEAEA" w:val="clear"/>
            <w:vAlign w:val="center"/>
          </w:tcPr>
          <w:p>
            <w:pPr>
              <w:pStyle w:val="Normal"/>
              <w:rPr/>
            </w:pPr>
            <w:r>
              <w:rPr/>
            </w:r>
          </w:p>
        </w:tc>
        <w:tc>
          <w:tcPr>
            <w:tcW w:w="120" w:type="dxa"/>
            <w:tcBorders/>
            <w:shd w:fill="EAEAEA" w:val="clear"/>
            <w:vAlign w:val="center"/>
          </w:tcPr>
          <w:p>
            <w:pPr>
              <w:pStyle w:val="TableContents"/>
              <w:spacing w:before="0" w:after="283"/>
              <w:rPr/>
            </w:pPr>
            <w:r>
              <w:rPr/>
              <w:t>  </w:t>
            </w:r>
          </w:p>
        </w:tc>
        <w:tc>
          <w:tcPr>
            <w:tcW w:w="635" w:type="dxa"/>
            <w:gridSpan w:val="2"/>
            <w:tcBorders/>
            <w:shd w:fill="EAEAEA" w:val="clear"/>
            <w:vAlign w:val="center"/>
          </w:tcPr>
          <w:p>
            <w:pPr>
              <w:pStyle w:val="TableContents"/>
              <w:spacing w:before="0" w:after="283"/>
              <w:jc w:val="center"/>
              <w:rPr>
                <w:b/>
                <w:color w:val="007CBA"/>
              </w:rPr>
            </w:pPr>
            <w:r>
              <w:rPr>
                <w:b/>
                <w:color w:val="007CBA"/>
              </w:rPr>
              <w:t>MLM</w:t>
            </w:r>
          </w:p>
        </w:tc>
        <w:tc>
          <w:tcPr>
            <w:tcW w:w="337" w:type="dxa"/>
            <w:tcBorders/>
            <w:shd w:fill="EAEAEA" w:val="clear"/>
            <w:vAlign w:val="center"/>
          </w:tcPr>
          <w:p>
            <w:pPr>
              <w:pStyle w:val="TableContents"/>
              <w:spacing w:before="0" w:after="283"/>
              <w:rPr/>
            </w:pPr>
            <w:r>
              <w:rPr/>
              <w:t> </w:t>
            </w:r>
          </w:p>
        </w:tc>
        <w:tc>
          <w:tcPr>
            <w:tcW w:w="126" w:type="dxa"/>
            <w:tcBorders/>
            <w:shd w:fill="EAEAEA" w:val="clear"/>
            <w:vAlign w:val="center"/>
          </w:tcPr>
          <w:p>
            <w:pPr>
              <w:pStyle w:val="TableContents"/>
              <w:spacing w:before="0" w:after="283"/>
              <w:rPr/>
            </w:pPr>
            <w:r>
              <w:rPr/>
              <w:t>  </w:t>
            </w:r>
          </w:p>
        </w:tc>
        <w:tc>
          <w:tcPr>
            <w:tcW w:w="1910" w:type="dxa"/>
            <w:gridSpan w:val="2"/>
            <w:tcBorders/>
            <w:shd w:fill="EAEAEA" w:val="clear"/>
            <w:vAlign w:val="center"/>
          </w:tcPr>
          <w:p>
            <w:pPr>
              <w:pStyle w:val="TableContents"/>
              <w:spacing w:before="0" w:after="283"/>
              <w:jc w:val="center"/>
              <w:rPr>
                <w:b/>
                <w:color w:val="007CBA"/>
              </w:rPr>
            </w:pPr>
            <w:r>
              <w:rPr>
                <w:b/>
                <w:color w:val="007CBA"/>
              </w:rPr>
              <w:t>Building Materials</w:t>
              <w:br/>
              <w:t>Industry Group*</w:t>
            </w:r>
          </w:p>
        </w:tc>
        <w:tc>
          <w:tcPr>
            <w:tcW w:w="335" w:type="dxa"/>
            <w:tcBorders/>
            <w:shd w:fill="EAEAEA"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283"/>
              <w:rPr>
                <w:sz w:val="4"/>
                <w:szCs w:val="4"/>
              </w:rPr>
            </w:pPr>
            <w:r>
              <w:rPr>
                <w:sz w:val="4"/>
                <w:szCs w:val="4"/>
              </w:rPr>
            </w:r>
          </w:p>
        </w:tc>
        <w:tc>
          <w:tcPr>
            <w:tcW w:w="1092" w:type="dxa"/>
            <w:gridSpan w:val="4"/>
            <w:tcBorders/>
            <w:shd w:fill="E5F1F8" w:val="clear"/>
            <w:vAlign w:val="center"/>
          </w:tcPr>
          <w:p>
            <w:pPr>
              <w:pStyle w:val="TableContents"/>
              <w:spacing w:before="0" w:after="283"/>
              <w:rPr>
                <w:sz w:val="4"/>
                <w:szCs w:val="4"/>
              </w:rPr>
            </w:pPr>
            <w:r>
              <w:rPr>
                <w:sz w:val="4"/>
                <w:szCs w:val="4"/>
              </w:rPr>
            </w:r>
          </w:p>
        </w:tc>
        <w:tc>
          <w:tcPr>
            <w:tcW w:w="2371" w:type="dxa"/>
            <w:gridSpan w:val="4"/>
            <w:tcBorders/>
            <w:shd w:fill="auto" w:val="clear"/>
            <w:vAlign w:val="center"/>
          </w:tcPr>
          <w:p>
            <w:pPr>
              <w:pStyle w:val="TableContents"/>
              <w:spacing w:before="0" w:after="283"/>
              <w:rPr>
                <w:sz w:val="4"/>
                <w:szCs w:val="4"/>
              </w:rPr>
            </w:pPr>
            <w:r>
              <w:rPr>
                <w:sz w:val="4"/>
                <w:szCs w:val="4"/>
              </w:rPr>
            </w:r>
          </w:p>
        </w:tc>
      </w:tr>
      <w:tr>
        <w:trPr/>
        <w:tc>
          <w:tcPr>
            <w:tcW w:w="177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2020-2022</w:t>
            </w:r>
          </w:p>
        </w:tc>
        <w:tc>
          <w:tcPr>
            <w:tcW w:w="120" w:type="dxa"/>
            <w:tcBorders>
              <w:bottom w:val="dotted" w:sz="8" w:space="0" w:color="000000"/>
            </w:tcBorders>
            <w:shd w:fill="E5F1F8" w:val="clear"/>
            <w:tcMar>
              <w:bottom w:w="28" w:type="dxa"/>
            </w:tcMar>
            <w:vAlign w:val="center"/>
          </w:tcPr>
          <w:p>
            <w:pPr>
              <w:pStyle w:val="TableContents"/>
              <w:spacing w:before="0" w:after="283"/>
              <w:rPr/>
            </w:pPr>
            <w:r>
              <w:rPr/>
              <w:t>  </w:t>
            </w:r>
          </w:p>
        </w:tc>
        <w:tc>
          <w:tcPr>
            <w:tcW w:w="86" w:type="dxa"/>
            <w:tcBorders>
              <w:bottom w:val="dotted" w:sz="8" w:space="0" w:color="000000"/>
            </w:tcBorders>
            <w:shd w:fill="E5F1F8" w:val="clear"/>
            <w:tcMar>
              <w:bottom w:w="100" w:type="dxa"/>
            </w:tcMar>
            <w:vAlign w:val="center"/>
          </w:tcPr>
          <w:p>
            <w:pPr>
              <w:pStyle w:val="TableContents"/>
              <w:spacing w:before="0" w:after="283"/>
              <w:rPr/>
            </w:pPr>
            <w:r>
              <w:rPr/>
              <w:t> </w:t>
            </w:r>
          </w:p>
        </w:tc>
        <w:tc>
          <w:tcPr>
            <w:tcW w:w="549" w:type="dxa"/>
            <w:tcBorders>
              <w:bottom w:val="dotted" w:sz="8" w:space="0" w:color="000000"/>
            </w:tcBorders>
            <w:shd w:fill="E5F1F8" w:val="clear"/>
            <w:tcMar>
              <w:bottom w:w="100" w:type="dxa"/>
            </w:tcMar>
            <w:vAlign w:val="center"/>
          </w:tcPr>
          <w:p>
            <w:pPr>
              <w:pStyle w:val="TableContents"/>
              <w:spacing w:before="0" w:after="283"/>
              <w:jc w:val="right"/>
              <w:rPr/>
            </w:pPr>
            <w:r>
              <w:rPr/>
              <w:t>24</w:t>
            </w:r>
          </w:p>
        </w:tc>
        <w:tc>
          <w:tcPr>
            <w:tcW w:w="337" w:type="dxa"/>
            <w:tcBorders>
              <w:bottom w:val="dotted" w:sz="8" w:space="0" w:color="000000"/>
            </w:tcBorders>
            <w:shd w:fill="E5F1F8" w:val="clear"/>
            <w:tcMar>
              <w:bottom w:w="100" w:type="dxa"/>
            </w:tcMar>
            <w:vAlign w:val="center"/>
          </w:tcPr>
          <w:p>
            <w:pPr>
              <w:pStyle w:val="TableContents"/>
              <w:spacing w:before="0" w:after="283"/>
              <w:rPr/>
            </w:pPr>
            <w:r>
              <w:rPr/>
              <w:t>% </w:t>
            </w:r>
          </w:p>
        </w:tc>
        <w:tc>
          <w:tcPr>
            <w:tcW w:w="126" w:type="dxa"/>
            <w:tcBorders>
              <w:bottom w:val="dotted" w:sz="8" w:space="0" w:color="000000"/>
            </w:tcBorders>
            <w:shd w:fill="auto" w:val="clear"/>
            <w:tcMar>
              <w:bottom w:w="28" w:type="dxa"/>
            </w:tcMar>
            <w:vAlign w:val="center"/>
          </w:tcPr>
          <w:p>
            <w:pPr>
              <w:pStyle w:val="TableContents"/>
              <w:spacing w:before="0" w:after="283"/>
              <w:rPr/>
            </w:pPr>
            <w:r>
              <w:rPr/>
              <w:t>  </w:t>
            </w:r>
          </w:p>
        </w:tc>
        <w:tc>
          <w:tcPr>
            <w:tcW w:w="358" w:type="dxa"/>
            <w:tcBorders>
              <w:bottom w:val="dotted" w:sz="8" w:space="0" w:color="000000"/>
            </w:tcBorders>
            <w:shd w:fill="auto" w:val="clear"/>
            <w:tcMar>
              <w:bottom w:w="100" w:type="dxa"/>
            </w:tcMar>
            <w:vAlign w:val="center"/>
          </w:tcPr>
          <w:p>
            <w:pPr>
              <w:pStyle w:val="TableContents"/>
              <w:spacing w:before="0" w:after="283"/>
              <w:rPr/>
            </w:pPr>
            <w:r>
              <w:rPr/>
              <w:t> </w:t>
            </w:r>
          </w:p>
        </w:tc>
        <w:tc>
          <w:tcPr>
            <w:tcW w:w="1552" w:type="dxa"/>
            <w:tcBorders>
              <w:bottom w:val="dotted" w:sz="8" w:space="0" w:color="000000"/>
            </w:tcBorders>
            <w:shd w:fill="auto" w:val="clear"/>
            <w:tcMar>
              <w:bottom w:w="100" w:type="dxa"/>
            </w:tcMar>
            <w:vAlign w:val="center"/>
          </w:tcPr>
          <w:p>
            <w:pPr>
              <w:pStyle w:val="TableContents"/>
              <w:spacing w:before="0" w:after="283"/>
              <w:jc w:val="right"/>
              <w:rPr/>
            </w:pPr>
            <w:r>
              <w:rPr/>
              <w:t>13</w:t>
            </w:r>
          </w:p>
        </w:tc>
        <w:tc>
          <w:tcPr>
            <w:tcW w:w="33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283"/>
              <w:rPr>
                <w:sz w:val="4"/>
                <w:szCs w:val="4"/>
              </w:rPr>
            </w:pPr>
            <w:r>
              <w:rPr>
                <w:sz w:val="4"/>
                <w:szCs w:val="4"/>
              </w:rPr>
            </w:r>
          </w:p>
        </w:tc>
        <w:tc>
          <w:tcPr>
            <w:tcW w:w="1092" w:type="dxa"/>
            <w:gridSpan w:val="4"/>
            <w:tcBorders/>
            <w:shd w:fill="E5F1F8" w:val="clear"/>
            <w:vAlign w:val="center"/>
          </w:tcPr>
          <w:p>
            <w:pPr>
              <w:pStyle w:val="TableContents"/>
              <w:spacing w:before="0" w:after="283"/>
              <w:rPr>
                <w:sz w:val="4"/>
                <w:szCs w:val="4"/>
              </w:rPr>
            </w:pPr>
            <w:r>
              <w:rPr>
                <w:sz w:val="4"/>
                <w:szCs w:val="4"/>
              </w:rPr>
            </w:r>
          </w:p>
        </w:tc>
        <w:tc>
          <w:tcPr>
            <w:tcW w:w="2371" w:type="dxa"/>
            <w:gridSpan w:val="4"/>
            <w:tcBorders/>
            <w:shd w:fill="auto" w:val="clear"/>
            <w:vAlign w:val="center"/>
          </w:tcPr>
          <w:p>
            <w:pPr>
              <w:pStyle w:val="TableContents"/>
              <w:spacing w:before="0" w:after="283"/>
              <w:rPr>
                <w:sz w:val="4"/>
                <w:szCs w:val="4"/>
              </w:rPr>
            </w:pPr>
            <w:r>
              <w:rPr>
                <w:sz w:val="4"/>
                <w:szCs w:val="4"/>
              </w:rPr>
            </w:r>
          </w:p>
        </w:tc>
      </w:tr>
      <w:tr>
        <w:trPr/>
        <w:tc>
          <w:tcPr>
            <w:tcW w:w="177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2019-2021</w:t>
            </w:r>
          </w:p>
        </w:tc>
        <w:tc>
          <w:tcPr>
            <w:tcW w:w="120" w:type="dxa"/>
            <w:tcBorders>
              <w:bottom w:val="dotted" w:sz="8" w:space="0" w:color="000000"/>
            </w:tcBorders>
            <w:shd w:fill="E5F1F8" w:val="clear"/>
            <w:tcMar>
              <w:bottom w:w="28" w:type="dxa"/>
            </w:tcMar>
            <w:vAlign w:val="center"/>
          </w:tcPr>
          <w:p>
            <w:pPr>
              <w:pStyle w:val="TableContents"/>
              <w:spacing w:before="0" w:after="283"/>
              <w:rPr/>
            </w:pPr>
            <w:r>
              <w:rPr/>
              <w:t>  </w:t>
            </w:r>
          </w:p>
        </w:tc>
        <w:tc>
          <w:tcPr>
            <w:tcW w:w="86" w:type="dxa"/>
            <w:tcBorders>
              <w:bottom w:val="dotted" w:sz="8" w:space="0" w:color="000000"/>
            </w:tcBorders>
            <w:shd w:fill="E5F1F8" w:val="clear"/>
            <w:tcMar>
              <w:bottom w:w="100" w:type="dxa"/>
            </w:tcMar>
            <w:vAlign w:val="center"/>
          </w:tcPr>
          <w:p>
            <w:pPr>
              <w:pStyle w:val="TableContents"/>
              <w:spacing w:before="0" w:after="283"/>
              <w:rPr/>
            </w:pPr>
            <w:r>
              <w:rPr/>
              <w:t> </w:t>
            </w:r>
          </w:p>
        </w:tc>
        <w:tc>
          <w:tcPr>
            <w:tcW w:w="549" w:type="dxa"/>
            <w:tcBorders>
              <w:bottom w:val="dotted" w:sz="8" w:space="0" w:color="000000"/>
            </w:tcBorders>
            <w:shd w:fill="E5F1F8" w:val="clear"/>
            <w:tcMar>
              <w:bottom w:w="100" w:type="dxa"/>
            </w:tcMar>
            <w:vAlign w:val="center"/>
          </w:tcPr>
          <w:p>
            <w:pPr>
              <w:pStyle w:val="TableContents"/>
              <w:spacing w:before="0" w:after="283"/>
              <w:jc w:val="right"/>
              <w:rPr/>
            </w:pPr>
            <w:r>
              <w:rPr/>
              <w:t>163</w:t>
            </w:r>
          </w:p>
        </w:tc>
        <w:tc>
          <w:tcPr>
            <w:tcW w:w="337" w:type="dxa"/>
            <w:tcBorders>
              <w:bottom w:val="dotted" w:sz="8" w:space="0" w:color="000000"/>
            </w:tcBorders>
            <w:shd w:fill="E5F1F8" w:val="clear"/>
            <w:tcMar>
              <w:bottom w:w="100" w:type="dxa"/>
            </w:tcMar>
            <w:vAlign w:val="center"/>
          </w:tcPr>
          <w:p>
            <w:pPr>
              <w:pStyle w:val="TableContents"/>
              <w:spacing w:before="0" w:after="283"/>
              <w:rPr/>
            </w:pPr>
            <w:r>
              <w:rPr/>
              <w:t>% </w:t>
            </w:r>
          </w:p>
        </w:tc>
        <w:tc>
          <w:tcPr>
            <w:tcW w:w="126" w:type="dxa"/>
            <w:tcBorders>
              <w:bottom w:val="dotted" w:sz="8" w:space="0" w:color="000000"/>
            </w:tcBorders>
            <w:shd w:fill="auto" w:val="clear"/>
            <w:tcMar>
              <w:bottom w:w="28" w:type="dxa"/>
            </w:tcMar>
            <w:vAlign w:val="center"/>
          </w:tcPr>
          <w:p>
            <w:pPr>
              <w:pStyle w:val="TableContents"/>
              <w:spacing w:before="0" w:after="283"/>
              <w:rPr/>
            </w:pPr>
            <w:r>
              <w:rPr/>
              <w:t>  </w:t>
            </w:r>
          </w:p>
        </w:tc>
        <w:tc>
          <w:tcPr>
            <w:tcW w:w="358" w:type="dxa"/>
            <w:tcBorders>
              <w:bottom w:val="dotted" w:sz="8" w:space="0" w:color="000000"/>
            </w:tcBorders>
            <w:shd w:fill="auto" w:val="clear"/>
            <w:tcMar>
              <w:bottom w:w="100" w:type="dxa"/>
            </w:tcMar>
            <w:vAlign w:val="center"/>
          </w:tcPr>
          <w:p>
            <w:pPr>
              <w:pStyle w:val="TableContents"/>
              <w:spacing w:before="0" w:after="283"/>
              <w:rPr/>
            </w:pPr>
            <w:r>
              <w:rPr/>
              <w:t> </w:t>
            </w:r>
          </w:p>
        </w:tc>
        <w:tc>
          <w:tcPr>
            <w:tcW w:w="1552" w:type="dxa"/>
            <w:tcBorders>
              <w:bottom w:val="dotted" w:sz="8" w:space="0" w:color="000000"/>
            </w:tcBorders>
            <w:shd w:fill="auto" w:val="clear"/>
            <w:tcMar>
              <w:bottom w:w="100" w:type="dxa"/>
            </w:tcMar>
            <w:vAlign w:val="center"/>
          </w:tcPr>
          <w:p>
            <w:pPr>
              <w:pStyle w:val="TableContents"/>
              <w:spacing w:before="0" w:after="283"/>
              <w:jc w:val="right"/>
              <w:rPr/>
            </w:pPr>
            <w:r>
              <w:rPr/>
              <w:t>85</w:t>
            </w:r>
          </w:p>
        </w:tc>
        <w:tc>
          <w:tcPr>
            <w:tcW w:w="33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283"/>
              <w:rPr>
                <w:sz w:val="4"/>
                <w:szCs w:val="4"/>
              </w:rPr>
            </w:pPr>
            <w:r>
              <w:rPr>
                <w:sz w:val="4"/>
                <w:szCs w:val="4"/>
              </w:rPr>
            </w:r>
          </w:p>
        </w:tc>
        <w:tc>
          <w:tcPr>
            <w:tcW w:w="1092" w:type="dxa"/>
            <w:gridSpan w:val="4"/>
            <w:tcBorders/>
            <w:shd w:fill="E5F1F8" w:val="clear"/>
            <w:vAlign w:val="center"/>
          </w:tcPr>
          <w:p>
            <w:pPr>
              <w:pStyle w:val="TableContents"/>
              <w:spacing w:before="0" w:after="283"/>
              <w:rPr>
                <w:sz w:val="4"/>
                <w:szCs w:val="4"/>
              </w:rPr>
            </w:pPr>
            <w:r>
              <w:rPr>
                <w:sz w:val="4"/>
                <w:szCs w:val="4"/>
              </w:rPr>
            </w:r>
          </w:p>
        </w:tc>
        <w:tc>
          <w:tcPr>
            <w:tcW w:w="2371" w:type="dxa"/>
            <w:gridSpan w:val="4"/>
            <w:tcBorders/>
            <w:shd w:fill="auto" w:val="clear"/>
            <w:vAlign w:val="center"/>
          </w:tcPr>
          <w:p>
            <w:pPr>
              <w:pStyle w:val="TableContents"/>
              <w:spacing w:before="0" w:after="283"/>
              <w:rPr>
                <w:sz w:val="4"/>
                <w:szCs w:val="4"/>
              </w:rPr>
            </w:pPr>
            <w:r>
              <w:rPr>
                <w:sz w:val="4"/>
                <w:szCs w:val="4"/>
              </w:rPr>
            </w:r>
          </w:p>
        </w:tc>
      </w:tr>
      <w:tr>
        <w:trPr/>
        <w:tc>
          <w:tcPr>
            <w:tcW w:w="177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2018-2020</w:t>
            </w:r>
          </w:p>
        </w:tc>
        <w:tc>
          <w:tcPr>
            <w:tcW w:w="120" w:type="dxa"/>
            <w:tcBorders>
              <w:bottom w:val="dotted" w:sz="8" w:space="0" w:color="000000"/>
            </w:tcBorders>
            <w:shd w:fill="E5F1F8" w:val="clear"/>
            <w:tcMar>
              <w:bottom w:w="28" w:type="dxa"/>
            </w:tcMar>
            <w:vAlign w:val="center"/>
          </w:tcPr>
          <w:p>
            <w:pPr>
              <w:pStyle w:val="TableContents"/>
              <w:spacing w:before="0" w:after="283"/>
              <w:rPr/>
            </w:pPr>
            <w:r>
              <w:rPr/>
              <w:t>  </w:t>
            </w:r>
          </w:p>
        </w:tc>
        <w:tc>
          <w:tcPr>
            <w:tcW w:w="86" w:type="dxa"/>
            <w:tcBorders>
              <w:bottom w:val="dotted" w:sz="8" w:space="0" w:color="000000"/>
            </w:tcBorders>
            <w:shd w:fill="E5F1F8" w:val="clear"/>
            <w:tcMar>
              <w:bottom w:w="100" w:type="dxa"/>
            </w:tcMar>
            <w:vAlign w:val="center"/>
          </w:tcPr>
          <w:p>
            <w:pPr>
              <w:pStyle w:val="TableContents"/>
              <w:spacing w:before="0" w:after="283"/>
              <w:rPr/>
            </w:pPr>
            <w:r>
              <w:rPr/>
              <w:t> </w:t>
            </w:r>
          </w:p>
        </w:tc>
        <w:tc>
          <w:tcPr>
            <w:tcW w:w="549" w:type="dxa"/>
            <w:tcBorders>
              <w:bottom w:val="dotted" w:sz="8" w:space="0" w:color="000000"/>
            </w:tcBorders>
            <w:shd w:fill="E5F1F8" w:val="clear"/>
            <w:tcMar>
              <w:bottom w:w="100" w:type="dxa"/>
            </w:tcMar>
            <w:vAlign w:val="center"/>
          </w:tcPr>
          <w:p>
            <w:pPr>
              <w:pStyle w:val="TableContents"/>
              <w:spacing w:before="0" w:after="283"/>
              <w:jc w:val="right"/>
              <w:rPr/>
            </w:pPr>
            <w:r>
              <w:rPr/>
              <w:t>32</w:t>
            </w:r>
          </w:p>
        </w:tc>
        <w:tc>
          <w:tcPr>
            <w:tcW w:w="337" w:type="dxa"/>
            <w:tcBorders>
              <w:bottom w:val="dotted" w:sz="8" w:space="0" w:color="000000"/>
            </w:tcBorders>
            <w:shd w:fill="E5F1F8" w:val="clear"/>
            <w:tcMar>
              <w:bottom w:w="100" w:type="dxa"/>
            </w:tcMar>
            <w:vAlign w:val="center"/>
          </w:tcPr>
          <w:p>
            <w:pPr>
              <w:pStyle w:val="TableContents"/>
              <w:spacing w:before="0" w:after="283"/>
              <w:rPr/>
            </w:pPr>
            <w:r>
              <w:rPr/>
              <w:t>% </w:t>
            </w:r>
          </w:p>
        </w:tc>
        <w:tc>
          <w:tcPr>
            <w:tcW w:w="126" w:type="dxa"/>
            <w:tcBorders>
              <w:bottom w:val="dotted" w:sz="8" w:space="0" w:color="000000"/>
            </w:tcBorders>
            <w:shd w:fill="auto" w:val="clear"/>
            <w:tcMar>
              <w:bottom w:w="28" w:type="dxa"/>
            </w:tcMar>
            <w:vAlign w:val="center"/>
          </w:tcPr>
          <w:p>
            <w:pPr>
              <w:pStyle w:val="TableContents"/>
              <w:spacing w:before="0" w:after="283"/>
              <w:rPr/>
            </w:pPr>
            <w:r>
              <w:rPr/>
              <w:t>  </w:t>
            </w:r>
          </w:p>
        </w:tc>
        <w:tc>
          <w:tcPr>
            <w:tcW w:w="358" w:type="dxa"/>
            <w:tcBorders>
              <w:bottom w:val="dotted" w:sz="8" w:space="0" w:color="000000"/>
            </w:tcBorders>
            <w:shd w:fill="auto" w:val="clear"/>
            <w:tcMar>
              <w:bottom w:w="100" w:type="dxa"/>
            </w:tcMar>
            <w:vAlign w:val="center"/>
          </w:tcPr>
          <w:p>
            <w:pPr>
              <w:pStyle w:val="TableContents"/>
              <w:spacing w:before="0" w:after="283"/>
              <w:rPr/>
            </w:pPr>
            <w:r>
              <w:rPr/>
              <w:t> </w:t>
            </w:r>
          </w:p>
        </w:tc>
        <w:tc>
          <w:tcPr>
            <w:tcW w:w="1552" w:type="dxa"/>
            <w:tcBorders>
              <w:bottom w:val="dotted" w:sz="8" w:space="0" w:color="000000"/>
            </w:tcBorders>
            <w:shd w:fill="auto" w:val="clear"/>
            <w:tcMar>
              <w:bottom w:w="100" w:type="dxa"/>
            </w:tcMar>
            <w:vAlign w:val="center"/>
          </w:tcPr>
          <w:p>
            <w:pPr>
              <w:pStyle w:val="TableContents"/>
              <w:spacing w:before="0" w:after="283"/>
              <w:jc w:val="right"/>
              <w:rPr/>
            </w:pPr>
            <w:r>
              <w:rPr/>
              <w:t>10</w:t>
            </w:r>
          </w:p>
        </w:tc>
        <w:tc>
          <w:tcPr>
            <w:tcW w:w="33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283"/>
              <w:rPr>
                <w:sz w:val="4"/>
                <w:szCs w:val="4"/>
              </w:rPr>
            </w:pPr>
            <w:r>
              <w:rPr>
                <w:sz w:val="4"/>
                <w:szCs w:val="4"/>
              </w:rPr>
            </w:r>
          </w:p>
        </w:tc>
        <w:tc>
          <w:tcPr>
            <w:tcW w:w="1092" w:type="dxa"/>
            <w:gridSpan w:val="4"/>
            <w:tcBorders/>
            <w:shd w:fill="E5F1F8" w:val="clear"/>
            <w:vAlign w:val="center"/>
          </w:tcPr>
          <w:p>
            <w:pPr>
              <w:pStyle w:val="TableContents"/>
              <w:spacing w:before="0" w:after="283"/>
              <w:rPr>
                <w:sz w:val="4"/>
                <w:szCs w:val="4"/>
              </w:rPr>
            </w:pPr>
            <w:r>
              <w:rPr>
                <w:sz w:val="4"/>
                <w:szCs w:val="4"/>
              </w:rPr>
            </w:r>
          </w:p>
        </w:tc>
        <w:tc>
          <w:tcPr>
            <w:tcW w:w="2371" w:type="dxa"/>
            <w:gridSpan w:val="4"/>
            <w:tcBorders/>
            <w:shd w:fill="auto" w:val="clear"/>
            <w:vAlign w:val="center"/>
          </w:tcPr>
          <w:p>
            <w:pPr>
              <w:pStyle w:val="TableContents"/>
              <w:spacing w:before="0" w:after="283"/>
              <w:rPr>
                <w:sz w:val="4"/>
                <w:szCs w:val="4"/>
              </w:rPr>
            </w:pPr>
            <w:r>
              <w:rPr>
                <w:sz w:val="4"/>
                <w:szCs w:val="4"/>
              </w:rPr>
            </w:r>
          </w:p>
        </w:tc>
      </w:tr>
      <w:tr>
        <w:trPr/>
        <w:tc>
          <w:tcPr>
            <w:tcW w:w="177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2017-2019</w:t>
            </w:r>
          </w:p>
        </w:tc>
        <w:tc>
          <w:tcPr>
            <w:tcW w:w="120" w:type="dxa"/>
            <w:tcBorders>
              <w:bottom w:val="dotted" w:sz="8" w:space="0" w:color="000000"/>
            </w:tcBorders>
            <w:shd w:fill="E5F1F8" w:val="clear"/>
            <w:tcMar>
              <w:bottom w:w="28" w:type="dxa"/>
            </w:tcMar>
            <w:vAlign w:val="center"/>
          </w:tcPr>
          <w:p>
            <w:pPr>
              <w:pStyle w:val="TableContents"/>
              <w:spacing w:before="0" w:after="283"/>
              <w:rPr/>
            </w:pPr>
            <w:r>
              <w:rPr/>
              <w:t>  </w:t>
            </w:r>
          </w:p>
        </w:tc>
        <w:tc>
          <w:tcPr>
            <w:tcW w:w="86" w:type="dxa"/>
            <w:tcBorders>
              <w:bottom w:val="dotted" w:sz="8" w:space="0" w:color="000000"/>
            </w:tcBorders>
            <w:shd w:fill="E5F1F8" w:val="clear"/>
            <w:tcMar>
              <w:bottom w:w="100" w:type="dxa"/>
            </w:tcMar>
            <w:vAlign w:val="center"/>
          </w:tcPr>
          <w:p>
            <w:pPr>
              <w:pStyle w:val="TableContents"/>
              <w:spacing w:before="0" w:after="283"/>
              <w:rPr/>
            </w:pPr>
            <w:r>
              <w:rPr/>
              <w:t> </w:t>
            </w:r>
          </w:p>
        </w:tc>
        <w:tc>
          <w:tcPr>
            <w:tcW w:w="549" w:type="dxa"/>
            <w:tcBorders>
              <w:bottom w:val="dotted" w:sz="8" w:space="0" w:color="000000"/>
            </w:tcBorders>
            <w:shd w:fill="E5F1F8" w:val="clear"/>
            <w:tcMar>
              <w:bottom w:w="100" w:type="dxa"/>
            </w:tcMar>
            <w:vAlign w:val="center"/>
          </w:tcPr>
          <w:p>
            <w:pPr>
              <w:pStyle w:val="TableContents"/>
              <w:spacing w:before="0" w:after="283"/>
              <w:jc w:val="right"/>
              <w:rPr/>
            </w:pPr>
            <w:r>
              <w:rPr/>
              <w:t>30</w:t>
            </w:r>
          </w:p>
        </w:tc>
        <w:tc>
          <w:tcPr>
            <w:tcW w:w="337" w:type="dxa"/>
            <w:tcBorders>
              <w:bottom w:val="dotted" w:sz="8" w:space="0" w:color="000000"/>
            </w:tcBorders>
            <w:shd w:fill="E5F1F8" w:val="clear"/>
            <w:tcMar>
              <w:bottom w:w="100" w:type="dxa"/>
            </w:tcMar>
            <w:vAlign w:val="center"/>
          </w:tcPr>
          <w:p>
            <w:pPr>
              <w:pStyle w:val="TableContents"/>
              <w:spacing w:before="0" w:after="283"/>
              <w:rPr/>
            </w:pPr>
            <w:r>
              <w:rPr/>
              <w:t>% </w:t>
            </w:r>
          </w:p>
        </w:tc>
        <w:tc>
          <w:tcPr>
            <w:tcW w:w="126" w:type="dxa"/>
            <w:tcBorders>
              <w:bottom w:val="dotted" w:sz="8" w:space="0" w:color="000000"/>
            </w:tcBorders>
            <w:shd w:fill="auto" w:val="clear"/>
            <w:tcMar>
              <w:bottom w:w="28" w:type="dxa"/>
            </w:tcMar>
            <w:vAlign w:val="center"/>
          </w:tcPr>
          <w:p>
            <w:pPr>
              <w:pStyle w:val="TableContents"/>
              <w:spacing w:before="0" w:after="283"/>
              <w:rPr/>
            </w:pPr>
            <w:r>
              <w:rPr/>
              <w:t>  </w:t>
            </w:r>
          </w:p>
        </w:tc>
        <w:tc>
          <w:tcPr>
            <w:tcW w:w="358" w:type="dxa"/>
            <w:tcBorders>
              <w:bottom w:val="dotted" w:sz="8" w:space="0" w:color="000000"/>
            </w:tcBorders>
            <w:shd w:fill="auto" w:val="clear"/>
            <w:tcMar>
              <w:bottom w:w="100" w:type="dxa"/>
            </w:tcMar>
            <w:vAlign w:val="center"/>
          </w:tcPr>
          <w:p>
            <w:pPr>
              <w:pStyle w:val="TableContents"/>
              <w:spacing w:before="0" w:after="283"/>
              <w:rPr/>
            </w:pPr>
            <w:r>
              <w:rPr/>
              <w:t> </w:t>
            </w:r>
          </w:p>
        </w:tc>
        <w:tc>
          <w:tcPr>
            <w:tcW w:w="1552" w:type="dxa"/>
            <w:tcBorders>
              <w:bottom w:val="dotted" w:sz="8" w:space="0" w:color="000000"/>
            </w:tcBorders>
            <w:shd w:fill="auto" w:val="clear"/>
            <w:tcMar>
              <w:bottom w:w="100" w:type="dxa"/>
            </w:tcMar>
            <w:vAlign w:val="center"/>
          </w:tcPr>
          <w:p>
            <w:pPr>
              <w:pStyle w:val="TableContents"/>
              <w:spacing w:before="0" w:after="283"/>
              <w:jc w:val="right"/>
              <w:rPr/>
            </w:pPr>
            <w:r>
              <w:rPr/>
              <w:t>7</w:t>
            </w:r>
          </w:p>
        </w:tc>
        <w:tc>
          <w:tcPr>
            <w:tcW w:w="33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283"/>
              <w:rPr>
                <w:sz w:val="4"/>
                <w:szCs w:val="4"/>
              </w:rPr>
            </w:pPr>
            <w:r>
              <w:rPr>
                <w:sz w:val="4"/>
                <w:szCs w:val="4"/>
              </w:rPr>
            </w:r>
          </w:p>
        </w:tc>
        <w:tc>
          <w:tcPr>
            <w:tcW w:w="1092" w:type="dxa"/>
            <w:gridSpan w:val="4"/>
            <w:tcBorders/>
            <w:shd w:fill="E5F1F8" w:val="clear"/>
            <w:vAlign w:val="center"/>
          </w:tcPr>
          <w:p>
            <w:pPr>
              <w:pStyle w:val="TableContents"/>
              <w:spacing w:before="0" w:after="283"/>
              <w:rPr>
                <w:sz w:val="4"/>
                <w:szCs w:val="4"/>
              </w:rPr>
            </w:pPr>
            <w:r>
              <w:rPr>
                <w:sz w:val="4"/>
                <w:szCs w:val="4"/>
              </w:rPr>
            </w:r>
          </w:p>
        </w:tc>
        <w:tc>
          <w:tcPr>
            <w:tcW w:w="2371" w:type="dxa"/>
            <w:gridSpan w:val="4"/>
            <w:tcBorders/>
            <w:shd w:fill="auto" w:val="clear"/>
            <w:vAlign w:val="center"/>
          </w:tcPr>
          <w:p>
            <w:pPr>
              <w:pStyle w:val="TableContents"/>
              <w:spacing w:before="0" w:after="283"/>
              <w:rPr>
                <w:sz w:val="4"/>
                <w:szCs w:val="4"/>
              </w:rPr>
            </w:pPr>
            <w:r>
              <w:rPr>
                <w:sz w:val="4"/>
                <w:szCs w:val="4"/>
              </w:rPr>
            </w:r>
          </w:p>
        </w:tc>
      </w:tr>
      <w:tr>
        <w:trPr/>
        <w:tc>
          <w:tcPr>
            <w:tcW w:w="177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2016-2018</w:t>
            </w:r>
          </w:p>
        </w:tc>
        <w:tc>
          <w:tcPr>
            <w:tcW w:w="120" w:type="dxa"/>
            <w:tcBorders>
              <w:bottom w:val="dotted" w:sz="8" w:space="0" w:color="000000"/>
            </w:tcBorders>
            <w:shd w:fill="E5F1F8" w:val="clear"/>
            <w:tcMar>
              <w:bottom w:w="28" w:type="dxa"/>
            </w:tcMar>
            <w:vAlign w:val="center"/>
          </w:tcPr>
          <w:p>
            <w:pPr>
              <w:pStyle w:val="TableContents"/>
              <w:spacing w:before="0" w:after="283"/>
              <w:rPr/>
            </w:pPr>
            <w:r>
              <w:rPr/>
              <w:t>  </w:t>
            </w:r>
          </w:p>
        </w:tc>
        <w:tc>
          <w:tcPr>
            <w:tcW w:w="86" w:type="dxa"/>
            <w:tcBorders>
              <w:bottom w:val="dotted" w:sz="8" w:space="0" w:color="000000"/>
            </w:tcBorders>
            <w:shd w:fill="E5F1F8" w:val="clear"/>
            <w:tcMar>
              <w:bottom w:w="100" w:type="dxa"/>
            </w:tcMar>
            <w:vAlign w:val="center"/>
          </w:tcPr>
          <w:p>
            <w:pPr>
              <w:pStyle w:val="TableContents"/>
              <w:spacing w:before="0" w:after="283"/>
              <w:rPr/>
            </w:pPr>
            <w:r>
              <w:rPr/>
              <w:t> </w:t>
            </w:r>
          </w:p>
        </w:tc>
        <w:tc>
          <w:tcPr>
            <w:tcW w:w="549" w:type="dxa"/>
            <w:tcBorders>
              <w:bottom w:val="dotted" w:sz="8" w:space="0" w:color="000000"/>
            </w:tcBorders>
            <w:shd w:fill="E5F1F8" w:val="clear"/>
            <w:tcMar>
              <w:bottom w:w="100" w:type="dxa"/>
            </w:tcMar>
            <w:vAlign w:val="center"/>
          </w:tcPr>
          <w:p>
            <w:pPr>
              <w:pStyle w:val="TableContents"/>
              <w:spacing w:before="0" w:after="283"/>
              <w:jc w:val="right"/>
              <w:rPr/>
            </w:pPr>
            <w:r>
              <w:rPr/>
              <w:t>29</w:t>
            </w:r>
          </w:p>
        </w:tc>
        <w:tc>
          <w:tcPr>
            <w:tcW w:w="337" w:type="dxa"/>
            <w:tcBorders>
              <w:bottom w:val="dotted" w:sz="8" w:space="0" w:color="000000"/>
            </w:tcBorders>
            <w:shd w:fill="E5F1F8" w:val="clear"/>
            <w:tcMar>
              <w:bottom w:w="100" w:type="dxa"/>
            </w:tcMar>
            <w:vAlign w:val="center"/>
          </w:tcPr>
          <w:p>
            <w:pPr>
              <w:pStyle w:val="TableContents"/>
              <w:spacing w:before="0" w:after="283"/>
              <w:rPr/>
            </w:pPr>
            <w:r>
              <w:rPr/>
              <w:t>% </w:t>
            </w:r>
          </w:p>
        </w:tc>
        <w:tc>
          <w:tcPr>
            <w:tcW w:w="126" w:type="dxa"/>
            <w:tcBorders>
              <w:bottom w:val="dotted" w:sz="8" w:space="0" w:color="000000"/>
            </w:tcBorders>
            <w:shd w:fill="auto" w:val="clear"/>
            <w:tcMar>
              <w:bottom w:w="28" w:type="dxa"/>
            </w:tcMar>
            <w:vAlign w:val="center"/>
          </w:tcPr>
          <w:p>
            <w:pPr>
              <w:pStyle w:val="TableContents"/>
              <w:spacing w:before="0" w:after="283"/>
              <w:rPr/>
            </w:pPr>
            <w:r>
              <w:rPr/>
              <w:t>  </w:t>
            </w:r>
          </w:p>
        </w:tc>
        <w:tc>
          <w:tcPr>
            <w:tcW w:w="358" w:type="dxa"/>
            <w:tcBorders>
              <w:bottom w:val="dotted" w:sz="8" w:space="0" w:color="000000"/>
            </w:tcBorders>
            <w:shd w:fill="auto" w:val="clear"/>
            <w:tcMar>
              <w:bottom w:w="100" w:type="dxa"/>
            </w:tcMar>
            <w:vAlign w:val="center"/>
          </w:tcPr>
          <w:p>
            <w:pPr>
              <w:pStyle w:val="TableContents"/>
              <w:spacing w:before="0" w:after="283"/>
              <w:rPr/>
            </w:pPr>
            <w:r>
              <w:rPr/>
              <w:t> </w:t>
            </w:r>
          </w:p>
        </w:tc>
        <w:tc>
          <w:tcPr>
            <w:tcW w:w="1552" w:type="dxa"/>
            <w:tcBorders>
              <w:bottom w:val="dotted" w:sz="8" w:space="0" w:color="000000"/>
            </w:tcBorders>
            <w:shd w:fill="auto" w:val="clear"/>
            <w:tcMar>
              <w:bottom w:w="100" w:type="dxa"/>
            </w:tcMar>
            <w:vAlign w:val="center"/>
          </w:tcPr>
          <w:p>
            <w:pPr>
              <w:pStyle w:val="TableContents"/>
              <w:spacing w:before="0" w:after="283"/>
              <w:jc w:val="right"/>
              <w:rPr/>
            </w:pPr>
            <w:r>
              <w:rPr/>
              <w:t>-9</w:t>
            </w:r>
          </w:p>
        </w:tc>
        <w:tc>
          <w:tcPr>
            <w:tcW w:w="33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283"/>
              <w:rPr>
                <w:sz w:val="4"/>
                <w:szCs w:val="4"/>
              </w:rPr>
            </w:pPr>
            <w:r>
              <w:rPr>
                <w:sz w:val="4"/>
                <w:szCs w:val="4"/>
              </w:rPr>
            </w:r>
          </w:p>
        </w:tc>
        <w:tc>
          <w:tcPr>
            <w:tcW w:w="1092" w:type="dxa"/>
            <w:gridSpan w:val="4"/>
            <w:tcBorders/>
            <w:shd w:fill="E5F1F8" w:val="clear"/>
            <w:vAlign w:val="center"/>
          </w:tcPr>
          <w:p>
            <w:pPr>
              <w:pStyle w:val="TableContents"/>
              <w:spacing w:before="0" w:after="283"/>
              <w:rPr>
                <w:sz w:val="4"/>
                <w:szCs w:val="4"/>
              </w:rPr>
            </w:pPr>
            <w:r>
              <w:rPr>
                <w:sz w:val="4"/>
                <w:szCs w:val="4"/>
              </w:rPr>
            </w:r>
          </w:p>
        </w:tc>
        <w:tc>
          <w:tcPr>
            <w:tcW w:w="2371" w:type="dxa"/>
            <w:gridSpan w:val="4"/>
            <w:tcBorders/>
            <w:shd w:fill="auto" w:val="clear"/>
            <w:vAlign w:val="center"/>
          </w:tcPr>
          <w:p>
            <w:pPr>
              <w:pStyle w:val="TableContents"/>
              <w:spacing w:before="0" w:after="283"/>
              <w:rPr>
                <w:sz w:val="4"/>
                <w:szCs w:val="4"/>
              </w:rPr>
            </w:pPr>
            <w:r>
              <w:rPr>
                <w:sz w:val="4"/>
                <w:szCs w:val="4"/>
              </w:rPr>
            </w:r>
          </w:p>
        </w:tc>
      </w:tr>
      <w:tr>
        <w:trPr/>
        <w:tc>
          <w:tcPr>
            <w:tcW w:w="1775" w:type="dxa"/>
            <w:tcBorders>
              <w:bottom w:val="dotted" w:sz="8" w:space="0" w:color="000000"/>
            </w:tcBorders>
            <w:shd w:fill="auto" w:val="clear"/>
            <w:tcMar>
              <w:bottom w:w="100" w:type="dxa"/>
            </w:tcMar>
            <w:vAlign w:val="center"/>
          </w:tcPr>
          <w:p>
            <w:pPr>
              <w:pStyle w:val="TableContents"/>
              <w:spacing w:before="0" w:after="0"/>
              <w:rPr>
                <w:rFonts w:ascii="ARIAL" w:hAnsi="ARIAL"/>
                <w:b/>
                <w:sz w:val="18"/>
              </w:rPr>
            </w:pPr>
            <w:r>
              <w:rPr>
                <w:rFonts w:ascii="ARIAL" w:hAnsi="ARIAL"/>
                <w:b/>
                <w:sz w:val="18"/>
              </w:rPr>
              <w:t>Average</w:t>
            </w:r>
          </w:p>
        </w:tc>
        <w:tc>
          <w:tcPr>
            <w:tcW w:w="120" w:type="dxa"/>
            <w:tcBorders>
              <w:bottom w:val="dotted" w:sz="8" w:space="0" w:color="000000"/>
            </w:tcBorders>
            <w:shd w:fill="E5F1F8" w:val="clear"/>
            <w:tcMar>
              <w:bottom w:w="28" w:type="dxa"/>
            </w:tcMar>
            <w:vAlign w:val="center"/>
          </w:tcPr>
          <w:p>
            <w:pPr>
              <w:pStyle w:val="TableContents"/>
              <w:spacing w:before="0" w:after="283"/>
              <w:rPr/>
            </w:pPr>
            <w:r>
              <w:rPr/>
              <w:t>  </w:t>
            </w:r>
          </w:p>
        </w:tc>
        <w:tc>
          <w:tcPr>
            <w:tcW w:w="86" w:type="dxa"/>
            <w:tcBorders>
              <w:bottom w:val="dotted" w:sz="8" w:space="0" w:color="000000"/>
            </w:tcBorders>
            <w:shd w:fill="E5F1F8" w:val="clear"/>
            <w:tcMar>
              <w:bottom w:w="100" w:type="dxa"/>
            </w:tcMar>
            <w:vAlign w:val="center"/>
          </w:tcPr>
          <w:p>
            <w:pPr>
              <w:pStyle w:val="TableContents"/>
              <w:spacing w:before="0" w:after="283"/>
              <w:rPr/>
            </w:pPr>
            <w:r>
              <w:rPr/>
              <w:t> </w:t>
            </w:r>
          </w:p>
        </w:tc>
        <w:tc>
          <w:tcPr>
            <w:tcW w:w="549" w:type="dxa"/>
            <w:tcBorders>
              <w:bottom w:val="dotted" w:sz="8" w:space="0" w:color="000000"/>
            </w:tcBorders>
            <w:shd w:fill="E5F1F8" w:val="clear"/>
            <w:tcMar>
              <w:bottom w:w="100" w:type="dxa"/>
            </w:tcMar>
            <w:vAlign w:val="center"/>
          </w:tcPr>
          <w:p>
            <w:pPr>
              <w:pStyle w:val="TableContents"/>
              <w:spacing w:before="0" w:after="283"/>
              <w:jc w:val="right"/>
              <w:rPr>
                <w:b/>
              </w:rPr>
            </w:pPr>
            <w:r>
              <w:rPr>
                <w:b/>
              </w:rPr>
              <w:t>73</w:t>
            </w:r>
          </w:p>
        </w:tc>
        <w:tc>
          <w:tcPr>
            <w:tcW w:w="337" w:type="dxa"/>
            <w:tcBorders>
              <w:bottom w:val="dotted" w:sz="8" w:space="0" w:color="000000"/>
            </w:tcBorders>
            <w:shd w:fill="E5F1F8" w:val="clear"/>
            <w:tcMar>
              <w:bottom w:w="100" w:type="dxa"/>
            </w:tcMar>
            <w:vAlign w:val="center"/>
          </w:tcPr>
          <w:p>
            <w:pPr>
              <w:pStyle w:val="TableContents"/>
              <w:spacing w:before="0" w:after="283"/>
              <w:rPr>
                <w:b/>
              </w:rPr>
            </w:pPr>
            <w:r>
              <w:rPr>
                <w:b/>
              </w:rPr>
              <w:t>% </w:t>
            </w:r>
          </w:p>
        </w:tc>
        <w:tc>
          <w:tcPr>
            <w:tcW w:w="126" w:type="dxa"/>
            <w:tcBorders>
              <w:bottom w:val="dotted" w:sz="8" w:space="0" w:color="000000"/>
            </w:tcBorders>
            <w:shd w:fill="auto" w:val="clear"/>
            <w:tcMar>
              <w:bottom w:w="28" w:type="dxa"/>
            </w:tcMar>
            <w:vAlign w:val="center"/>
          </w:tcPr>
          <w:p>
            <w:pPr>
              <w:pStyle w:val="TableContents"/>
              <w:spacing w:before="0" w:after="283"/>
              <w:rPr/>
            </w:pPr>
            <w:r>
              <w:rPr/>
              <w:t>  </w:t>
            </w:r>
          </w:p>
        </w:tc>
        <w:tc>
          <w:tcPr>
            <w:tcW w:w="358" w:type="dxa"/>
            <w:tcBorders>
              <w:bottom w:val="dotted" w:sz="8" w:space="0" w:color="000000"/>
            </w:tcBorders>
            <w:shd w:fill="auto" w:val="clear"/>
            <w:tcMar>
              <w:bottom w:w="100" w:type="dxa"/>
            </w:tcMar>
            <w:vAlign w:val="center"/>
          </w:tcPr>
          <w:p>
            <w:pPr>
              <w:pStyle w:val="TableContents"/>
              <w:spacing w:before="0" w:after="283"/>
              <w:rPr/>
            </w:pPr>
            <w:r>
              <w:rPr/>
              <w:t> </w:t>
            </w:r>
          </w:p>
        </w:tc>
        <w:tc>
          <w:tcPr>
            <w:tcW w:w="1552" w:type="dxa"/>
            <w:tcBorders>
              <w:bottom w:val="dotted" w:sz="8" w:space="0" w:color="000000"/>
            </w:tcBorders>
            <w:shd w:fill="auto" w:val="clear"/>
            <w:tcMar>
              <w:bottom w:w="100" w:type="dxa"/>
            </w:tcMar>
            <w:vAlign w:val="center"/>
          </w:tcPr>
          <w:p>
            <w:pPr>
              <w:pStyle w:val="TableContents"/>
              <w:spacing w:before="0" w:after="283"/>
              <w:jc w:val="right"/>
              <w:rPr>
                <w:b/>
              </w:rPr>
            </w:pPr>
            <w:r>
              <w:rPr>
                <w:b/>
              </w:rPr>
              <w:t>33</w:t>
            </w:r>
          </w:p>
        </w:tc>
        <w:tc>
          <w:tcPr>
            <w:tcW w:w="335" w:type="dxa"/>
            <w:tcBorders>
              <w:bottom w:val="dotted" w:sz="8" w:space="0" w:color="000000"/>
            </w:tcBorders>
            <w:shd w:fill="auto" w:val="clear"/>
            <w:tcMar>
              <w:bottom w:w="100" w:type="dxa"/>
            </w:tcMar>
            <w:vAlign w:val="center"/>
          </w:tcPr>
          <w:p>
            <w:pPr>
              <w:pStyle w:val="TableContents"/>
              <w:spacing w:before="0" w:after="283"/>
              <w:rPr>
                <w:b/>
              </w:rPr>
            </w:pPr>
            <w:r>
              <w:rPr>
                <w:b/>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9975"/>
        <w:gridCol w:w="75"/>
      </w:tblGrid>
      <w:tr>
        <w:trPr/>
        <w:tc>
          <w:tcPr>
            <w:tcW w:w="155" w:type="dxa"/>
            <w:tcBorders/>
            <w:shd w:fill="auto"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0"/>
              <w:jc w:val="left"/>
              <w:rPr>
                <w:rFonts w:ascii="ARIAL" w:hAnsi="ARIAL"/>
                <w:sz w:val="18"/>
              </w:rPr>
            </w:pPr>
            <w:r>
              <w:rPr>
                <w:rFonts w:ascii="ARIAL" w:hAnsi="ARIAL"/>
                <w:sz w:val="18"/>
              </w:rPr>
              <w:t xml:space="preserve">Reflects median TSR performance over the stated period for CRH plc, Eagle Materials, Inc., HeidelbergCement AG, Holcim Ltd., Summit Materials, Inc., Vulcan Materials Company,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46</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8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6" descr=""/>
                          <pic:cNvPicPr>
                            <a:picLocks noChangeAspect="1" noChangeArrowheads="1"/>
                          </pic:cNvPicPr>
                        </pic:nvPicPr>
                        <pic:blipFill>
                          <a:blip r:embed="rId16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SUMMARY OF OUR COMPENSATION CONSIDERATIONS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color w:val="007CBA"/>
          <w:sz w:val="20"/>
        </w:rPr>
      </w:pPr>
      <w:r>
        <w:rPr>
          <w:rFonts w:ascii="ARIAL" w:hAnsi="ARIAL"/>
          <w:b/>
          <w:color w:val="007CBA"/>
          <w:sz w:val="20"/>
        </w:rPr>
        <w:t xml:space="preserve">Martin Marietta is a leading upstream materials-led platform, whose long-term performance reflects our resiliency, disciplined strategic development, and the power of our SOAR process </w:t>
      </w:r>
    </w:p>
    <w:p>
      <w:pPr>
        <w:pStyle w:val="TextBody"/>
        <w:spacing w:before="0" w:after="0"/>
        <w:jc w:val="left"/>
        <w:rPr/>
      </w:pPr>
      <w:r>
        <w:rPr/>
        <w:t> </w:t>
      </w:r>
    </w:p>
    <w:p>
      <w:pPr>
        <w:pStyle w:val="TextBody"/>
        <w:spacing w:before="0" w:after="0"/>
        <w:jc w:val="center"/>
        <w:rPr/>
      </w:pPr>
      <w:r>
        <w:rPr/>
        <w:drawing>
          <wp:inline distT="0" distB="0" distL="0" distR="0">
            <wp:extent cx="669290" cy="410845"/>
            <wp:effectExtent l="0" t="0" r="0" b="0"/>
            <wp:docPr id="18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7" descr=""/>
                    <pic:cNvPicPr>
                      <a:picLocks noChangeAspect="1" noChangeArrowheads="1"/>
                    </pic:cNvPicPr>
                  </pic:nvPicPr>
                  <pic:blipFill>
                    <a:blip r:embed="rId168"/>
                    <a:stretch>
                      <a:fillRect/>
                    </a:stretch>
                  </pic:blipFill>
                  <pic:spPr bwMode="auto">
                    <a:xfrm>
                      <a:off x="0" y="0"/>
                      <a:ext cx="669290" cy="410845"/>
                    </a:xfrm>
                    <a:prstGeom prst="rect">
                      <a:avLst/>
                    </a:prstGeom>
                  </pic:spPr>
                </pic:pic>
              </a:graphicData>
            </a:graphic>
          </wp:inline>
        </w:drawing>
      </w:r>
      <w:r>
        <w:rPr/>
        <w:t xml:space="preserve"> </w:t>
      </w:r>
    </w:p>
    <w:p>
      <w:pPr>
        <w:pStyle w:val="TextBody"/>
        <w:spacing w:before="240" w:after="0"/>
        <w:jc w:val="left"/>
        <w:rPr>
          <w:rFonts w:ascii="ARIAL" w:hAnsi="ARIAL"/>
          <w:sz w:val="16"/>
        </w:rPr>
      </w:pPr>
      <w:r>
        <w:rPr>
          <w:rFonts w:ascii="ARIAL" w:hAnsi="ARIAL"/>
          <w:sz w:val="16"/>
        </w:rPr>
        <w:t xml:space="preserve">1 Based on 2022 annual production level; 2 As of December 31, 2010 </w:t>
      </w:r>
    </w:p>
    <w:p>
      <w:pPr>
        <w:pStyle w:val="TextBody"/>
        <w:spacing w:before="200" w:after="0"/>
        <w:jc w:val="left"/>
        <w:rPr>
          <w:rFonts w:ascii="ARIAL" w:hAnsi="ARIAL"/>
          <w:sz w:val="20"/>
        </w:rPr>
      </w:pPr>
      <w:r>
        <w:rPr>
          <w:rFonts w:ascii="ARIAL" w:hAnsi="ARIAL"/>
          <w:sz w:val="20"/>
        </w:rPr>
        <w:t xml:space="preserve">Through the expansion and portfolio optimization achieved in recent years in line with our thoughtful SOAR strategic plan, we have been able to position our business as an aggregates leader in approximately 90% of the geographies in which we operate and align our product offerings to leverage strategic cement and targeted downstream opportunities.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8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8" descr=""/>
                          <pic:cNvPicPr>
                            <a:picLocks noChangeAspect="1" noChangeArrowheads="1"/>
                          </pic:cNvPicPr>
                        </pic:nvPicPr>
                        <pic:blipFill>
                          <a:blip r:embed="rId16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47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SUMMARY OF OUR COMPENSATION CONSIDERATIONS  ◆</w:t>
      </w:r>
      <w:r>
        <w:rPr>
          <w:rFonts w:ascii="ARIAL" w:hAnsi="ARIAL"/>
          <w:sz w:val="16"/>
        </w:rPr>
        <w:t xml:space="preserve">   </w:t>
      </w:r>
    </w:p>
    <w:p>
      <w:pPr>
        <w:pStyle w:val="TextBody"/>
        <w:spacing w:before="0" w:after="0"/>
        <w:jc w:val="left"/>
        <w:rPr/>
      </w:pPr>
      <w:r>
        <w:rPr/>
        <w:t> </w:t>
      </w:r>
    </w:p>
    <w:p>
      <w:pPr>
        <w:pStyle w:val="TextBody"/>
        <w:spacing w:before="360" w:after="0"/>
        <w:jc w:val="left"/>
        <w:rPr>
          <w:rFonts w:ascii="ARIAL" w:hAnsi="ARIAL"/>
          <w:color w:val="007CBA"/>
          <w:sz w:val="34"/>
        </w:rPr>
      </w:pPr>
      <w:bookmarkStart w:id="34" w:name="toc390557_27"/>
      <w:bookmarkEnd w:id="34"/>
      <w:r>
        <w:rPr>
          <w:rFonts w:ascii="ARIAL" w:hAnsi="ARIAL"/>
          <w:color w:val="007CBA"/>
          <w:sz w:val="34"/>
        </w:rPr>
        <w:t xml:space="preserve">Sustainability, Safety and the Well-Being of Our Employees </w:t>
      </w:r>
    </w:p>
    <w:p>
      <w:pPr>
        <w:pStyle w:val="TextBody"/>
        <w:spacing w:before="120" w:after="0"/>
        <w:jc w:val="left"/>
        <w:rPr>
          <w:rFonts w:ascii="ARIAL" w:hAnsi="ARIAL"/>
          <w:sz w:val="20"/>
        </w:rPr>
      </w:pPr>
      <w:r>
        <w:rPr>
          <w:rFonts w:ascii="ARIAL" w:hAnsi="ARIAL"/>
          <w:sz w:val="20"/>
        </w:rPr>
        <w:t xml:space="preserve">Our sustainability efforts and our unwavering commitment to our employees go hand-in-hand. We discuss these important topics in several places in our public filings, including our annual Sustainability Report and our Annual Report on Form 10-K for the year ended December 31, 2022 where we discuss the importance of human capital to our Company. We encourage you to read those materials to better understand the many ways we ensure the ongoing well-being of our employees, who are the foundation of our success, as well as our communities and the environment. In this section, we highlight several of these topics and tell you about our achievements in these areas, namely how Sustainability is embedded in our company culture through Environmental Stewardship, Safety and our Employees. </w:t>
      </w:r>
    </w:p>
    <w:p>
      <w:pPr>
        <w:pStyle w:val="TextBody"/>
        <w:spacing w:before="360" w:after="0"/>
        <w:jc w:val="left"/>
        <w:rPr>
          <w:rFonts w:ascii="ARIAL" w:hAnsi="ARIAL"/>
          <w:b/>
          <w:color w:val="007CBA"/>
          <w:sz w:val="20"/>
        </w:rPr>
      </w:pPr>
      <w:r>
        <w:rPr>
          <w:rFonts w:ascii="ARIAL" w:hAnsi="ARIAL"/>
          <w:b/>
          <w:color w:val="007CBA"/>
          <w:sz w:val="20"/>
        </w:rPr>
        <w:t xml:space="preserve">Sustainability </w:t>
      </w:r>
    </w:p>
    <w:p>
      <w:pPr>
        <w:pStyle w:val="TextBody"/>
        <w:spacing w:before="120" w:after="0"/>
        <w:jc w:val="left"/>
        <w:rPr>
          <w:rFonts w:ascii="ARIAL" w:hAnsi="ARIAL"/>
          <w:sz w:val="20"/>
        </w:rPr>
      </w:pPr>
      <w:r>
        <w:rPr>
          <w:rFonts w:ascii="ARIAL" w:hAnsi="ARIAL"/>
          <w:sz w:val="20"/>
        </w:rPr>
        <w:t xml:space="preserve">Our approach to Sustainability is embedded in four vital pillars of </w:t>
      </w:r>
      <w:r>
        <w:rPr>
          <w:rFonts w:ascii="ARIAL" w:hAnsi="ARIAL"/>
          <w:b/>
          <w:color w:val="007CBA"/>
          <w:sz w:val="20"/>
        </w:rPr>
        <w:t>Safety, Environment, Employees,</w:t>
      </w:r>
      <w:r>
        <w:rPr>
          <w:rFonts w:ascii="ARIAL" w:hAnsi="ARIAL"/>
          <w:sz w:val="20"/>
        </w:rPr>
        <w:t xml:space="preserve"> and </w:t>
      </w:r>
      <w:r>
        <w:rPr>
          <w:rFonts w:ascii="ARIAL" w:hAnsi="ARIAL"/>
          <w:b/>
          <w:color w:val="007CBA"/>
          <w:sz w:val="20"/>
        </w:rPr>
        <w:t>Community.</w:t>
      </w:r>
      <w:r>
        <w:rPr>
          <w:rFonts w:ascii="ARIAL" w:hAnsi="ARIAL"/>
          <w:sz w:val="20"/>
        </w:rPr>
        <w:t xml:space="preserve"> We continued to achieve improvements in each of these areas in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31"/>
        <w:gridCol w:w="120"/>
        <w:gridCol w:w="1989"/>
        <w:gridCol w:w="120"/>
        <w:gridCol w:w="2731"/>
        <w:gridCol w:w="120"/>
        <w:gridCol w:w="2594"/>
      </w:tblGrid>
      <w:tr>
        <w:trPr/>
        <w:tc>
          <w:tcPr>
            <w:tcW w:w="253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3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r>
      <w:tr>
        <w:trPr/>
        <w:tc>
          <w:tcPr>
            <w:tcW w:w="2531" w:type="dxa"/>
            <w:tcBorders/>
            <w:shd w:fill="auto" w:val="clear"/>
            <w:vAlign w:val="center"/>
          </w:tcPr>
          <w:p>
            <w:pPr>
              <w:pStyle w:val="TableContents"/>
              <w:spacing w:before="0" w:after="283"/>
              <w:rPr/>
            </w:pPr>
            <w:r>
              <w:rPr/>
              <w:drawing>
                <wp:inline distT="0" distB="0" distL="0" distR="0">
                  <wp:extent cx="55880" cy="62865"/>
                  <wp:effectExtent l="0" t="0" r="0" b="0"/>
                  <wp:docPr id="18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9" descr=""/>
                          <pic:cNvPicPr>
                            <a:picLocks noChangeAspect="1" noChangeArrowheads="1"/>
                          </pic:cNvPicPr>
                        </pic:nvPicPr>
                        <pic:blipFill>
                          <a:blip r:embed="rId170"/>
                          <a:stretch>
                            <a:fillRect/>
                          </a:stretch>
                        </pic:blipFill>
                        <pic:spPr bwMode="auto">
                          <a:xfrm>
                            <a:off x="0" y="0"/>
                            <a:ext cx="55880" cy="62865"/>
                          </a:xfrm>
                          <a:prstGeom prst="rect">
                            <a:avLst/>
                          </a:prstGeom>
                        </pic:spPr>
                      </pic:pic>
                    </a:graphicData>
                  </a:graphic>
                </wp:inline>
              </w:drawing>
            </w:r>
            <w:r>
              <w:rPr/>
              <w:t xml:space="preserve"> </w:t>
            </w:r>
          </w:p>
        </w:tc>
        <w:tc>
          <w:tcPr>
            <w:tcW w:w="120" w:type="dxa"/>
            <w:tcBorders>
              <w:left w:val="dotted" w:sz="8" w:space="0" w:color="007CBA"/>
            </w:tcBorders>
            <w:shd w:fill="auto" w:val="clear"/>
            <w:tcMar>
              <w:left w:w="28" w:type="dxa"/>
            </w:tcMar>
            <w:vAlign w:val="center"/>
          </w:tcPr>
          <w:p>
            <w:pPr>
              <w:pStyle w:val="TableContents"/>
              <w:spacing w:before="0" w:after="283"/>
              <w:rPr/>
            </w:pPr>
            <w:r>
              <w:rPr/>
              <w:t>  </w:t>
            </w:r>
          </w:p>
        </w:tc>
        <w:tc>
          <w:tcPr>
            <w:tcW w:w="1989" w:type="dxa"/>
            <w:tcBorders/>
            <w:shd w:fill="auto" w:val="clear"/>
            <w:vAlign w:val="center"/>
          </w:tcPr>
          <w:p>
            <w:pPr>
              <w:pStyle w:val="TableContents"/>
              <w:spacing w:before="0" w:after="283"/>
              <w:rPr/>
            </w:pPr>
            <w:r>
              <w:rPr/>
              <w:drawing>
                <wp:inline distT="0" distB="0" distL="0" distR="0">
                  <wp:extent cx="55245" cy="55245"/>
                  <wp:effectExtent l="0" t="0" r="0" b="0"/>
                  <wp:docPr id="18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70" descr=""/>
                          <pic:cNvPicPr>
                            <a:picLocks noChangeAspect="1" noChangeArrowheads="1"/>
                          </pic:cNvPicPr>
                        </pic:nvPicPr>
                        <pic:blipFill>
                          <a:blip r:embed="rId171"/>
                          <a:stretch>
                            <a:fillRect/>
                          </a:stretch>
                        </pic:blipFill>
                        <pic:spPr bwMode="auto">
                          <a:xfrm>
                            <a:off x="0" y="0"/>
                            <a:ext cx="55245" cy="55245"/>
                          </a:xfrm>
                          <a:prstGeom prst="rect">
                            <a:avLst/>
                          </a:prstGeom>
                        </pic:spPr>
                      </pic:pic>
                    </a:graphicData>
                  </a:graphic>
                </wp:inline>
              </w:drawing>
            </w:r>
            <w:r>
              <w:rPr/>
              <w:t xml:space="preserve"> </w:t>
            </w:r>
          </w:p>
        </w:tc>
        <w:tc>
          <w:tcPr>
            <w:tcW w:w="120" w:type="dxa"/>
            <w:tcBorders>
              <w:left w:val="dotted" w:sz="8" w:space="0" w:color="007CBA"/>
            </w:tcBorders>
            <w:shd w:fill="auto" w:val="clear"/>
            <w:tcMar>
              <w:left w:w="28" w:type="dxa"/>
            </w:tcMar>
            <w:vAlign w:val="center"/>
          </w:tcPr>
          <w:p>
            <w:pPr>
              <w:pStyle w:val="TableContents"/>
              <w:spacing w:before="0" w:after="283"/>
              <w:rPr/>
            </w:pPr>
            <w:r>
              <w:rPr/>
              <w:t>  </w:t>
            </w:r>
          </w:p>
        </w:tc>
        <w:tc>
          <w:tcPr>
            <w:tcW w:w="2731" w:type="dxa"/>
            <w:tcBorders/>
            <w:shd w:fill="auto" w:val="clear"/>
            <w:vAlign w:val="center"/>
          </w:tcPr>
          <w:p>
            <w:pPr>
              <w:pStyle w:val="TableContents"/>
              <w:spacing w:before="0" w:after="283"/>
              <w:rPr/>
            </w:pPr>
            <w:r>
              <w:rPr/>
              <w:drawing>
                <wp:inline distT="0" distB="0" distL="0" distR="0">
                  <wp:extent cx="70485" cy="64135"/>
                  <wp:effectExtent l="0" t="0" r="0" b="0"/>
                  <wp:docPr id="18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71" descr=""/>
                          <pic:cNvPicPr>
                            <a:picLocks noChangeAspect="1" noChangeArrowheads="1"/>
                          </pic:cNvPicPr>
                        </pic:nvPicPr>
                        <pic:blipFill>
                          <a:blip r:embed="rId172"/>
                          <a:stretch>
                            <a:fillRect/>
                          </a:stretch>
                        </pic:blipFill>
                        <pic:spPr bwMode="auto">
                          <a:xfrm>
                            <a:off x="0" y="0"/>
                            <a:ext cx="70485" cy="64135"/>
                          </a:xfrm>
                          <a:prstGeom prst="rect">
                            <a:avLst/>
                          </a:prstGeom>
                        </pic:spPr>
                      </pic:pic>
                    </a:graphicData>
                  </a:graphic>
                </wp:inline>
              </w:drawing>
            </w:r>
            <w:r>
              <w:rPr/>
              <w:t xml:space="preserve"> </w:t>
            </w:r>
          </w:p>
        </w:tc>
        <w:tc>
          <w:tcPr>
            <w:tcW w:w="120" w:type="dxa"/>
            <w:tcBorders>
              <w:left w:val="dotted" w:sz="8" w:space="0" w:color="007CBA"/>
            </w:tcBorders>
            <w:shd w:fill="auto" w:val="clear"/>
            <w:tcMar>
              <w:left w:w="28" w:type="dxa"/>
            </w:tcMar>
            <w:vAlign w:val="center"/>
          </w:tcPr>
          <w:p>
            <w:pPr>
              <w:pStyle w:val="TableContents"/>
              <w:spacing w:before="0" w:after="283"/>
              <w:rPr/>
            </w:pPr>
            <w:r>
              <w:rPr/>
              <w:t>  </w:t>
            </w:r>
          </w:p>
        </w:tc>
        <w:tc>
          <w:tcPr>
            <w:tcW w:w="2594" w:type="dxa"/>
            <w:tcBorders/>
            <w:shd w:fill="auto" w:val="clear"/>
            <w:vAlign w:val="center"/>
          </w:tcPr>
          <w:p>
            <w:pPr>
              <w:pStyle w:val="TableContents"/>
              <w:spacing w:before="0" w:after="283"/>
              <w:rPr/>
            </w:pPr>
            <w:r>
              <w:rPr/>
              <w:drawing>
                <wp:inline distT="0" distB="0" distL="0" distR="0">
                  <wp:extent cx="66040" cy="55880"/>
                  <wp:effectExtent l="0" t="0" r="0" b="0"/>
                  <wp:docPr id="18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72" descr=""/>
                          <pic:cNvPicPr>
                            <a:picLocks noChangeAspect="1" noChangeArrowheads="1"/>
                          </pic:cNvPicPr>
                        </pic:nvPicPr>
                        <pic:blipFill>
                          <a:blip r:embed="rId173"/>
                          <a:stretch>
                            <a:fillRect/>
                          </a:stretch>
                        </pic:blipFill>
                        <pic:spPr bwMode="auto">
                          <a:xfrm>
                            <a:off x="0" y="0"/>
                            <a:ext cx="66040" cy="55880"/>
                          </a:xfrm>
                          <a:prstGeom prst="rect">
                            <a:avLst/>
                          </a:prstGeom>
                        </pic:spPr>
                      </pic:pic>
                    </a:graphicData>
                  </a:graphic>
                </wp:inline>
              </w:drawing>
            </w:r>
            <w:r>
              <w:rPr/>
              <w:t xml:space="preserve"> </w:t>
            </w:r>
          </w:p>
        </w:tc>
      </w:tr>
      <w:tr>
        <w:trPr/>
        <w:tc>
          <w:tcPr>
            <w:tcW w:w="2531" w:type="dxa"/>
            <w:tcBorders/>
            <w:shd w:fill="auto" w:val="clear"/>
            <w:vAlign w:val="center"/>
          </w:tcPr>
          <w:p>
            <w:pPr>
              <w:pStyle w:val="TableContents"/>
              <w:spacing w:before="0" w:after="0"/>
              <w:rPr>
                <w:rFonts w:ascii="ARIAL" w:hAnsi="ARIAL"/>
                <w:b/>
                <w:sz w:val="24"/>
              </w:rPr>
            </w:pPr>
            <w:r>
              <w:rPr>
                <w:rFonts w:ascii="ARIAL" w:hAnsi="ARIAL"/>
                <w:b/>
                <w:sz w:val="24"/>
              </w:rPr>
              <w:t>Safe</w:t>
            </w:r>
          </w:p>
          <w:p>
            <w:pPr>
              <w:pStyle w:val="TableContents"/>
              <w:spacing w:before="0" w:after="0"/>
              <w:rPr>
                <w:rFonts w:ascii="ARIAL" w:hAnsi="ARIAL"/>
                <w:b/>
                <w:sz w:val="24"/>
              </w:rPr>
            </w:pPr>
            <w:r>
              <w:rPr>
                <w:rFonts w:ascii="ARIAL" w:hAnsi="ARIAL"/>
                <w:b/>
                <w:sz w:val="24"/>
              </w:rPr>
              <w:t>Operations</w:t>
            </w:r>
          </w:p>
          <w:p>
            <w:pPr>
              <w:pStyle w:val="TableContents"/>
              <w:spacing w:before="0" w:after="0"/>
              <w:rPr/>
            </w:pPr>
            <w:r>
              <w:rPr/>
              <w:t> </w:t>
            </w:r>
          </w:p>
          <w:p>
            <w:pPr>
              <w:pStyle w:val="TableContents"/>
              <w:spacing w:before="120" w:after="20"/>
              <w:rPr>
                <w:rFonts w:ascii="ARIAL" w:hAnsi="ARIAL"/>
                <w:sz w:val="20"/>
              </w:rPr>
            </w:pPr>
            <w:r>
              <w:rPr>
                <w:rFonts w:ascii="ARIAL" w:hAnsi="ARIAL"/>
                <w:sz w:val="20"/>
              </w:rPr>
              <w:t>Protecting all who come in contact with our products &amp; operations, and creating a culture of responsible leadership</w:t>
            </w:r>
          </w:p>
        </w:tc>
        <w:tc>
          <w:tcPr>
            <w:tcW w:w="120" w:type="dxa"/>
            <w:tcBorders>
              <w:left w:val="dotted" w:sz="8" w:space="0" w:color="007CBA"/>
            </w:tcBorders>
            <w:shd w:fill="auto" w:val="clear"/>
            <w:tcMar>
              <w:left w:w="28" w:type="dxa"/>
            </w:tcMar>
            <w:vAlign w:val="center"/>
          </w:tcPr>
          <w:p>
            <w:pPr>
              <w:pStyle w:val="TableContents"/>
              <w:spacing w:before="0" w:after="283"/>
              <w:rPr/>
            </w:pPr>
            <w:r>
              <w:rPr/>
              <w:t>  </w:t>
            </w:r>
          </w:p>
        </w:tc>
        <w:tc>
          <w:tcPr>
            <w:tcW w:w="1989" w:type="dxa"/>
            <w:tcBorders/>
            <w:shd w:fill="auto" w:val="clear"/>
            <w:vAlign w:val="center"/>
          </w:tcPr>
          <w:p>
            <w:pPr>
              <w:pStyle w:val="TableContents"/>
              <w:spacing w:before="0" w:after="0"/>
              <w:rPr>
                <w:rFonts w:ascii="ARIAL" w:hAnsi="ARIAL"/>
                <w:b/>
                <w:sz w:val="24"/>
              </w:rPr>
            </w:pPr>
            <w:r>
              <w:rPr>
                <w:rFonts w:ascii="ARIAL" w:hAnsi="ARIAL"/>
                <w:b/>
                <w:sz w:val="24"/>
              </w:rPr>
              <w:t>Environmental</w:t>
            </w:r>
          </w:p>
          <w:p>
            <w:pPr>
              <w:pStyle w:val="TableContents"/>
              <w:spacing w:before="0" w:after="0"/>
              <w:rPr>
                <w:rFonts w:ascii="ARIAL" w:hAnsi="ARIAL"/>
                <w:b/>
                <w:sz w:val="24"/>
              </w:rPr>
            </w:pPr>
            <w:r>
              <w:rPr>
                <w:rFonts w:ascii="ARIAL" w:hAnsi="ARIAL"/>
                <w:b/>
                <w:sz w:val="24"/>
              </w:rPr>
              <w:t>Stewardship</w:t>
            </w:r>
          </w:p>
          <w:p>
            <w:pPr>
              <w:pStyle w:val="TableContents"/>
              <w:spacing w:before="0" w:after="0"/>
              <w:rPr/>
            </w:pPr>
            <w:r>
              <w:rPr/>
              <w:t> </w:t>
            </w:r>
          </w:p>
          <w:p>
            <w:pPr>
              <w:pStyle w:val="TableContents"/>
              <w:spacing w:before="120" w:after="20"/>
              <w:rPr>
                <w:rFonts w:ascii="ARIAL" w:hAnsi="ARIAL"/>
                <w:sz w:val="20"/>
              </w:rPr>
            </w:pPr>
            <w:r>
              <w:rPr>
                <w:rFonts w:ascii="ARIAL" w:hAnsi="ARIAL"/>
                <w:sz w:val="20"/>
              </w:rPr>
              <w:t>Protecting the Earth’s resources and reducing our environmental impact</w:t>
            </w:r>
          </w:p>
        </w:tc>
        <w:tc>
          <w:tcPr>
            <w:tcW w:w="120" w:type="dxa"/>
            <w:tcBorders>
              <w:left w:val="dotted" w:sz="8" w:space="0" w:color="007CBA"/>
            </w:tcBorders>
            <w:shd w:fill="auto" w:val="clear"/>
            <w:tcMar>
              <w:left w:w="28" w:type="dxa"/>
            </w:tcMar>
            <w:vAlign w:val="center"/>
          </w:tcPr>
          <w:p>
            <w:pPr>
              <w:pStyle w:val="TableContents"/>
              <w:spacing w:before="0" w:after="283"/>
              <w:rPr/>
            </w:pPr>
            <w:r>
              <w:rPr/>
              <w:t>  </w:t>
            </w:r>
          </w:p>
        </w:tc>
        <w:tc>
          <w:tcPr>
            <w:tcW w:w="2731" w:type="dxa"/>
            <w:tcBorders/>
            <w:shd w:fill="auto" w:val="clear"/>
            <w:vAlign w:val="center"/>
          </w:tcPr>
          <w:p>
            <w:pPr>
              <w:pStyle w:val="TableContents"/>
              <w:spacing w:before="0" w:after="0"/>
              <w:rPr>
                <w:rFonts w:ascii="ARIAL" w:hAnsi="ARIAL"/>
                <w:b/>
                <w:sz w:val="24"/>
              </w:rPr>
            </w:pPr>
            <w:r>
              <w:rPr>
                <w:rFonts w:ascii="ARIAL" w:hAnsi="ARIAL"/>
                <w:b/>
                <w:sz w:val="24"/>
              </w:rPr>
              <w:t xml:space="preserve">Employee </w:t>
            </w:r>
          </w:p>
          <w:p>
            <w:pPr>
              <w:pStyle w:val="TableContents"/>
              <w:spacing w:before="0" w:after="0"/>
              <w:rPr>
                <w:rFonts w:ascii="ARIAL" w:hAnsi="ARIAL"/>
                <w:b/>
                <w:sz w:val="24"/>
              </w:rPr>
            </w:pPr>
            <w:r>
              <w:rPr>
                <w:rFonts w:ascii="ARIAL" w:hAnsi="ARIAL"/>
                <w:b/>
                <w:sz w:val="24"/>
              </w:rPr>
              <w:t>Well-Being</w:t>
            </w:r>
          </w:p>
          <w:p>
            <w:pPr>
              <w:pStyle w:val="TableContents"/>
              <w:spacing w:before="0" w:after="0"/>
              <w:rPr/>
            </w:pPr>
            <w:r>
              <w:rPr/>
              <w:t> </w:t>
            </w:r>
          </w:p>
          <w:p>
            <w:pPr>
              <w:pStyle w:val="TableContents"/>
              <w:spacing w:before="120" w:after="20"/>
              <w:rPr>
                <w:rFonts w:ascii="ARIAL" w:hAnsi="ARIAL"/>
                <w:sz w:val="20"/>
              </w:rPr>
            </w:pPr>
            <w:r>
              <w:rPr>
                <w:rFonts w:ascii="ARIAL" w:hAnsi="ARIAL"/>
                <w:sz w:val="20"/>
              </w:rPr>
              <w:t>Supporting and investing in our exceptional people and continuously reinforcing our engaging, inclusive and diverse culture</w:t>
            </w:r>
          </w:p>
        </w:tc>
        <w:tc>
          <w:tcPr>
            <w:tcW w:w="120" w:type="dxa"/>
            <w:tcBorders>
              <w:left w:val="dotted" w:sz="8" w:space="0" w:color="007CBA"/>
            </w:tcBorders>
            <w:shd w:fill="auto" w:val="clear"/>
            <w:tcMar>
              <w:left w:w="28" w:type="dxa"/>
            </w:tcMar>
            <w:vAlign w:val="center"/>
          </w:tcPr>
          <w:p>
            <w:pPr>
              <w:pStyle w:val="TableContents"/>
              <w:spacing w:before="0" w:after="283"/>
              <w:rPr/>
            </w:pPr>
            <w:r>
              <w:rPr/>
              <w:t>  </w:t>
            </w:r>
          </w:p>
        </w:tc>
        <w:tc>
          <w:tcPr>
            <w:tcW w:w="2594" w:type="dxa"/>
            <w:tcBorders/>
            <w:shd w:fill="auto" w:val="clear"/>
            <w:vAlign w:val="center"/>
          </w:tcPr>
          <w:p>
            <w:pPr>
              <w:pStyle w:val="TableContents"/>
              <w:spacing w:before="0" w:after="0"/>
              <w:rPr>
                <w:rFonts w:ascii="ARIAL" w:hAnsi="ARIAL"/>
                <w:b/>
                <w:sz w:val="24"/>
              </w:rPr>
            </w:pPr>
            <w:r>
              <w:rPr>
                <w:rFonts w:ascii="ARIAL" w:hAnsi="ARIAL"/>
                <w:b/>
                <w:sz w:val="24"/>
              </w:rPr>
              <w:t xml:space="preserve">Community </w:t>
            </w:r>
          </w:p>
          <w:p>
            <w:pPr>
              <w:pStyle w:val="TableContents"/>
              <w:spacing w:before="0" w:after="0"/>
              <w:rPr>
                <w:rFonts w:ascii="ARIAL" w:hAnsi="ARIAL"/>
                <w:b/>
                <w:sz w:val="24"/>
              </w:rPr>
            </w:pPr>
            <w:r>
              <w:rPr>
                <w:rFonts w:ascii="ARIAL" w:hAnsi="ARIAL"/>
                <w:b/>
                <w:sz w:val="24"/>
              </w:rPr>
              <w:t>Well-Being</w:t>
            </w:r>
          </w:p>
          <w:p>
            <w:pPr>
              <w:pStyle w:val="TableContents"/>
              <w:spacing w:before="0" w:after="0"/>
              <w:rPr/>
            </w:pPr>
            <w:r>
              <w:rPr/>
              <w:t> </w:t>
            </w:r>
          </w:p>
          <w:p>
            <w:pPr>
              <w:pStyle w:val="TableContents"/>
              <w:spacing w:before="120" w:after="20"/>
              <w:rPr>
                <w:rFonts w:ascii="ARIAL" w:hAnsi="ARIAL"/>
                <w:sz w:val="20"/>
              </w:rPr>
            </w:pPr>
            <w:r>
              <w:rPr>
                <w:rFonts w:ascii="ARIAL" w:hAnsi="ARIAL"/>
                <w:sz w:val="20"/>
              </w:rPr>
              <w:t>Being a responsible neighbor and supporting the communities that are home to our operations</w:t>
            </w:r>
          </w:p>
        </w:tc>
      </w:tr>
    </w:tbl>
    <w:p>
      <w:pPr>
        <w:pStyle w:val="TextBody"/>
        <w:spacing w:before="360" w:after="0"/>
        <w:jc w:val="left"/>
        <w:rPr>
          <w:rFonts w:ascii="ARIAL" w:hAnsi="ARIAL"/>
          <w:b/>
          <w:color w:val="71BE9A"/>
          <w:sz w:val="20"/>
        </w:rPr>
      </w:pPr>
      <w:r>
        <w:rPr>
          <w:rFonts w:ascii="ARIAL" w:hAnsi="ARIAL"/>
          <w:b/>
          <w:color w:val="71BE9A"/>
          <w:sz w:val="20"/>
        </w:rPr>
        <w:t xml:space="preserve">Track records such as ours are built purposefully; they are the result of a deliberate focus on fulfilling our responsibilities to our shareholders, our employees and other stakeholders. These responsibilities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
        <w:gridCol w:w="120"/>
        <w:gridCol w:w="2958"/>
        <w:gridCol w:w="120"/>
        <w:gridCol w:w="86"/>
        <w:gridCol w:w="120"/>
        <w:gridCol w:w="3150"/>
        <w:gridCol w:w="120"/>
        <w:gridCol w:w="86"/>
        <w:gridCol w:w="120"/>
        <w:gridCol w:w="3224"/>
      </w:tblGrid>
      <w:tr>
        <w:trPr/>
        <w:tc>
          <w:tcPr>
            <w:tcW w:w="1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5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24" w:type="dxa"/>
            <w:tcBorders/>
            <w:shd w:fill="auto" w:val="clear"/>
            <w:vAlign w:val="center"/>
          </w:tcPr>
          <w:p>
            <w:pPr>
              <w:pStyle w:val="TableContents"/>
              <w:spacing w:before="0" w:after="283"/>
              <w:rPr>
                <w:sz w:val="4"/>
                <w:szCs w:val="4"/>
              </w:rPr>
            </w:pPr>
            <w:r>
              <w:rPr>
                <w:sz w:val="4"/>
                <w:szCs w:val="4"/>
              </w:rPr>
            </w:r>
          </w:p>
        </w:tc>
      </w:tr>
      <w:tr>
        <w:trPr/>
        <w:tc>
          <w:tcPr>
            <w:tcW w:w="101" w:type="dxa"/>
            <w:tcBorders/>
            <w:shd w:fill="auto" w:val="clear"/>
            <w:vAlign w:val="center"/>
          </w:tcPr>
          <w:p>
            <w:pPr>
              <w:pStyle w:val="TableContents"/>
              <w:spacing w:before="0" w:after="283"/>
              <w:rPr/>
            </w:pPr>
            <w:r>
              <w:rPr/>
              <w:drawing>
                <wp:inline distT="0" distB="0" distL="0" distR="0">
                  <wp:extent cx="42545" cy="41910"/>
                  <wp:effectExtent l="0" t="0" r="0" b="0"/>
                  <wp:docPr id="18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3" descr=""/>
                          <pic:cNvPicPr>
                            <a:picLocks noChangeAspect="1" noChangeArrowheads="1"/>
                          </pic:cNvPicPr>
                        </pic:nvPicPr>
                        <pic:blipFill>
                          <a:blip r:embed="rId174"/>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958" w:type="dxa"/>
            <w:tcBorders/>
            <w:shd w:fill="auto" w:val="clear"/>
            <w:vAlign w:val="center"/>
          </w:tcPr>
          <w:p>
            <w:pPr>
              <w:pStyle w:val="TableContents"/>
              <w:spacing w:before="0" w:after="283"/>
              <w:rPr/>
            </w:pPr>
            <w:r>
              <w:rPr/>
              <w:t>Demanding and facilitating a safe, ethical workplace for our employees</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drawing>
                <wp:inline distT="0" distB="0" distL="0" distR="0">
                  <wp:extent cx="42545" cy="41910"/>
                  <wp:effectExtent l="0" t="0" r="0" b="0"/>
                  <wp:docPr id="18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74" descr=""/>
                          <pic:cNvPicPr>
                            <a:picLocks noChangeAspect="1" noChangeArrowheads="1"/>
                          </pic:cNvPicPr>
                        </pic:nvPicPr>
                        <pic:blipFill>
                          <a:blip r:embed="rId175"/>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150" w:type="dxa"/>
            <w:tcBorders/>
            <w:shd w:fill="auto" w:val="clear"/>
            <w:vAlign w:val="center"/>
          </w:tcPr>
          <w:p>
            <w:pPr>
              <w:pStyle w:val="TableContents"/>
              <w:spacing w:before="0" w:after="283"/>
              <w:rPr/>
            </w:pPr>
            <w:r>
              <w:rPr/>
              <w:t>Creating a positive, lasting impact on our communities and the environment</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drawing>
                <wp:inline distT="0" distB="0" distL="0" distR="0">
                  <wp:extent cx="42545" cy="41910"/>
                  <wp:effectExtent l="0" t="0" r="0" b="0"/>
                  <wp:docPr id="18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75" descr=""/>
                          <pic:cNvPicPr>
                            <a:picLocks noChangeAspect="1" noChangeArrowheads="1"/>
                          </pic:cNvPicPr>
                        </pic:nvPicPr>
                        <pic:blipFill>
                          <a:blip r:embed="rId176"/>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224" w:type="dxa"/>
            <w:tcBorders/>
            <w:shd w:fill="auto" w:val="clear"/>
            <w:vAlign w:val="center"/>
          </w:tcPr>
          <w:p>
            <w:pPr>
              <w:pStyle w:val="TableContents"/>
              <w:spacing w:before="0" w:after="283"/>
              <w:rPr/>
            </w:pPr>
            <w:r>
              <w:rPr/>
              <w:t>Growing our business and responsibly investing our capital for maximum return</w:t>
            </w:r>
          </w:p>
        </w:tc>
      </w:tr>
    </w:tbl>
    <w:p>
      <w:pPr>
        <w:pStyle w:val="TextBody"/>
        <w:spacing w:before="0" w:after="0"/>
        <w:jc w:val="left"/>
        <w:rPr/>
      </w:pPr>
      <w:r>
        <w:rPr/>
        <w:t> </w:t>
      </w:r>
    </w:p>
    <w:p>
      <w:pPr>
        <w:pStyle w:val="TextBody"/>
        <w:spacing w:before="0" w:after="0"/>
        <w:jc w:val="left"/>
        <w:rPr>
          <w:highlight w:val="lightGray"/>
        </w:rPr>
      </w:pPr>
      <w:r>
        <w:rPr>
          <w:highlight w:val="lightGray"/>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0"/>
              <w:rPr>
                <w:rFonts w:ascii="ARIAL" w:hAnsi="ARIAL"/>
                <w:color w:val="007CBA"/>
                <w:sz w:val="20"/>
              </w:rPr>
            </w:pPr>
            <w:r>
              <w:rPr>
                <w:rFonts w:ascii="ARIAL" w:hAnsi="ARIAL"/>
                <w:color w:val="007CBA"/>
                <w:sz w:val="20"/>
              </w:rPr>
              <w:t>In furtherance of these continuing commitments, we have:</w:t>
            </w:r>
          </w:p>
          <w:p>
            <w:pPr>
              <w:pStyle w:val="TableContents"/>
              <w:spacing w:before="0" w:after="0"/>
              <w:rPr/>
            </w:pPr>
            <w:r>
              <w:rPr/>
              <w:t> </w:t>
            </w:r>
          </w:p>
          <w:p>
            <w:pPr>
              <w:pStyle w:val="TableContents"/>
              <w:spacing w:before="120" w:after="0"/>
              <w:rPr/>
            </w:pPr>
            <w:r>
              <w:rPr>
                <w:color w:val="007CBA"/>
              </w:rPr>
              <w:t>•</w:t>
            </w:r>
            <w:r>
              <w:rPr/>
              <w:t>  </w:t>
            </w:r>
            <w:r>
              <w:rPr>
                <w:rFonts w:ascii="ARIAL" w:hAnsi="ARIAL"/>
                <w:sz w:val="20"/>
              </w:rPr>
              <w:t>Included performance relating to Environment, Health, Safety and Sustainability (collectively, EHS) in our management strategy</w:t>
            </w:r>
          </w:p>
          <w:p>
            <w:pPr>
              <w:pStyle w:val="TableContents"/>
              <w:spacing w:before="0" w:after="0"/>
              <w:rPr/>
            </w:pPr>
            <w:r>
              <w:rPr/>
              <w:t> </w:t>
            </w:r>
          </w:p>
          <w:p>
            <w:pPr>
              <w:pStyle w:val="TableContents"/>
              <w:spacing w:before="120" w:after="0"/>
              <w:rPr/>
            </w:pPr>
            <w:r>
              <w:rPr>
                <w:color w:val="007CBA"/>
              </w:rPr>
              <w:t>•</w:t>
            </w:r>
            <w:r>
              <w:rPr/>
              <w:t>  </w:t>
            </w:r>
            <w:r>
              <w:rPr>
                <w:rFonts w:ascii="ARIAL" w:hAnsi="ARIAL"/>
                <w:sz w:val="20"/>
              </w:rPr>
              <w:t>Considered achievement of individual and company-wide goals in regard to EHS in management compensation decisions</w:t>
            </w:r>
          </w:p>
          <w:p>
            <w:pPr>
              <w:pStyle w:val="TableContents"/>
              <w:spacing w:before="0" w:after="0"/>
              <w:rPr/>
            </w:pPr>
            <w:r>
              <w:rPr/>
              <w:t> </w:t>
            </w:r>
          </w:p>
          <w:p>
            <w:pPr>
              <w:pStyle w:val="TableContents"/>
              <w:spacing w:before="120" w:after="0"/>
              <w:rPr/>
            </w:pPr>
            <w:r>
              <w:rPr>
                <w:color w:val="007CBA"/>
              </w:rPr>
              <w:t>•</w:t>
            </w:r>
            <w:r>
              <w:rPr/>
              <w:t>  </w:t>
            </w:r>
            <w:r>
              <w:rPr>
                <w:rFonts w:ascii="ARIAL" w:hAnsi="ARIAL"/>
                <w:sz w:val="20"/>
              </w:rPr>
              <w:t>Developed a task force relating to Sustainability with a view towards assessing and improving Company performance and disclosure against world-class achievements</w:t>
            </w:r>
          </w:p>
          <w:p>
            <w:pPr>
              <w:pStyle w:val="TableContents"/>
              <w:spacing w:before="0" w:after="0"/>
              <w:rPr/>
            </w:pPr>
            <w:r>
              <w:rPr/>
              <w:t> </w:t>
            </w:r>
          </w:p>
          <w:p>
            <w:pPr>
              <w:pStyle w:val="TableContents"/>
              <w:spacing w:before="120" w:after="20"/>
              <w:rPr/>
            </w:pPr>
            <w:r>
              <w:rPr>
                <w:color w:val="007CBA"/>
              </w:rPr>
              <w:t>•</w:t>
            </w:r>
            <w:r>
              <w:rPr/>
              <w:t>  </w:t>
            </w:r>
            <w:r>
              <w:rPr>
                <w:rFonts w:ascii="ARIAL" w:hAnsi="ARIAL"/>
                <w:sz w:val="20"/>
              </w:rPr>
              <w:t>Overseen EHS matters at the Board of Directors level, including reporting regularly, at least four times annually, our progress on EHS issues to our Ethics, Environment, Safety and Health (EESH) Committee, an independent Committee of the Board of Directors</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48</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9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6" descr=""/>
                          <pic:cNvPicPr>
                            <a:picLocks noChangeAspect="1" noChangeArrowheads="1"/>
                          </pic:cNvPicPr>
                        </pic:nvPicPr>
                        <pic:blipFill>
                          <a:blip r:embed="rId17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SUMMARY OF OUR COMPENSATION CONSIDERATIONS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These critical matters are important to this Committee, the full Board, and management of Martin Marietta. </w:t>
      </w:r>
    </w:p>
    <w:p>
      <w:pPr>
        <w:pStyle w:val="TextBody"/>
        <w:spacing w:before="0" w:after="0"/>
        <w:jc w:val="left"/>
        <w:rPr/>
      </w:pPr>
      <w:r>
        <w:rPr/>
        <w:t> </w:t>
      </w:r>
    </w:p>
    <w:p>
      <w:pPr>
        <w:pStyle w:val="TextBody"/>
        <w:spacing w:before="240" w:after="0"/>
        <w:jc w:val="left"/>
        <w:rPr>
          <w:rFonts w:ascii="ARIAL" w:hAnsi="ARIAL"/>
          <w:sz w:val="20"/>
        </w:rPr>
      </w:pPr>
      <w:r>
        <w:rPr>
          <w:rFonts w:ascii="ARIAL" w:hAnsi="ARIAL"/>
          <w:sz w:val="20"/>
        </w:rPr>
        <w:t xml:space="preserve">SOAR, supplemented by our annual plan, has guided us since 2010 as we have grown our business, driven our safety incidents to world-class, record low levels, achieved record financial performance and created positive impacts on our communities and the environment. Key managers from across our business and our senior leadership team engage throughout the year on material topics, including safety, employee diversity and well-being, community well-being and the environment.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998"/>
        <w:gridCol w:w="120"/>
        <w:gridCol w:w="5087"/>
      </w:tblGrid>
      <w:tr>
        <w:trPr/>
        <w:tc>
          <w:tcPr>
            <w:tcW w:w="49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087" w:type="dxa"/>
            <w:tcBorders/>
            <w:shd w:fill="auto" w:val="clear"/>
            <w:vAlign w:val="center"/>
          </w:tcPr>
          <w:p>
            <w:pPr>
              <w:pStyle w:val="TableContents"/>
              <w:spacing w:before="0" w:after="283"/>
              <w:rPr>
                <w:sz w:val="4"/>
                <w:szCs w:val="4"/>
              </w:rPr>
            </w:pPr>
            <w:r>
              <w:rPr>
                <w:sz w:val="4"/>
                <w:szCs w:val="4"/>
              </w:rPr>
            </w:r>
          </w:p>
        </w:tc>
      </w:tr>
      <w:tr>
        <w:trPr/>
        <w:tc>
          <w:tcPr>
            <w:tcW w:w="4998" w:type="dxa"/>
            <w:tcBorders/>
            <w:shd w:fill="auto" w:val="clear"/>
            <w:vAlign w:val="center"/>
          </w:tcPr>
          <w:p>
            <w:pPr>
              <w:pStyle w:val="TableContents"/>
              <w:spacing w:before="0" w:after="0"/>
              <w:rPr>
                <w:rFonts w:ascii="ARIAL" w:hAnsi="ARIAL"/>
                <w:sz w:val="20"/>
              </w:rPr>
            </w:pPr>
            <w:r>
              <w:rPr>
                <w:rFonts w:ascii="ARIAL" w:hAnsi="ARIAL"/>
                <w:sz w:val="20"/>
              </w:rPr>
              <w:t>Both SOAR and our annual plan are reviewed and endorsed by all members of our Board of Directors. Importantly, our EESH Committee is an experienced, diverse and knowledgeable group and has for decades overseen our ongoing efforts to hone truly sustainable business practices. Our full Board visits our operations regularly to hear firsthand from our team and see the positive impact we have on our communities.</w:t>
            </w:r>
          </w:p>
        </w:tc>
        <w:tc>
          <w:tcPr>
            <w:tcW w:w="120" w:type="dxa"/>
            <w:tcBorders>
              <w:top w:val="single" w:sz="6" w:space="0" w:color="CCCCCC"/>
              <w:left w:val="single" w:sz="6" w:space="0" w:color="CCCCCC"/>
              <w:bottom w:val="single" w:sz="6" w:space="0" w:color="CCCCCC"/>
            </w:tcBorders>
            <w:shd w:fill="auto" w:val="clear"/>
            <w:tcMar>
              <w:top w:w="28" w:type="dxa"/>
              <w:left w:w="28" w:type="dxa"/>
              <w:bottom w:w="28" w:type="dxa"/>
            </w:tcMar>
            <w:vAlign w:val="center"/>
          </w:tcPr>
          <w:p>
            <w:pPr>
              <w:pStyle w:val="TableContents"/>
              <w:spacing w:before="0" w:after="283"/>
              <w:rPr/>
            </w:pPr>
            <w:r>
              <w:rPr/>
              <w:t>  </w:t>
            </w:r>
          </w:p>
        </w:tc>
        <w:tc>
          <w:tcPr>
            <w:tcW w:w="5087" w:type="dxa"/>
            <w:tcBorders>
              <w:top w:val="single" w:sz="6" w:space="0" w:color="CCCCCC"/>
              <w:bottom w:val="single" w:sz="6" w:space="0" w:color="CCCCCC"/>
              <w:right w:val="single" w:sz="6" w:space="0" w:color="CCCCCC"/>
            </w:tcBorders>
            <w:shd w:fill="auto" w:val="clear"/>
            <w:tcMar>
              <w:top w:w="28" w:type="dxa"/>
              <w:bottom w:w="28" w:type="dxa"/>
              <w:right w:w="40" w:type="dxa"/>
            </w:tcMar>
            <w:vAlign w:val="center"/>
          </w:tcPr>
          <w:p>
            <w:pPr>
              <w:pStyle w:val="TableContents"/>
              <w:spacing w:before="0" w:after="20"/>
              <w:rPr>
                <w:rFonts w:ascii="ARIAL" w:hAnsi="ARIAL"/>
                <w:b/>
                <w:color w:val="71BE9A"/>
                <w:sz w:val="26"/>
              </w:rPr>
            </w:pPr>
            <w:r>
              <w:rPr>
                <w:rFonts w:ascii="ARIAL" w:hAnsi="ARIAL"/>
                <w:b/>
                <w:color w:val="71BE9A"/>
                <w:sz w:val="26"/>
              </w:rPr>
              <w:t>Sustainability is a key component of our strategy and business plan at Martin Marietta. Sustainability excellence is not only the right thing to do and a key driver of shareholder value, it is a vital component of both our strategic planning process, SOAR, and our annual planning process.</w:t>
            </w:r>
          </w:p>
        </w:tc>
      </w:tr>
    </w:tbl>
    <w:p>
      <w:pPr>
        <w:pStyle w:val="TextBody"/>
        <w:spacing w:before="0" w:after="0"/>
        <w:jc w:val="left"/>
        <w:rPr/>
      </w:pPr>
      <w:r>
        <w:rPr/>
        <w:t> </w:t>
      </w:r>
    </w:p>
    <w:tbl>
      <w:tblPr>
        <w:tblW w:w="3352" w:type="dxa"/>
        <w:jc w:val="left"/>
        <w:tblInd w:w="0" w:type="dxa"/>
        <w:tblCellMar>
          <w:top w:w="0" w:type="dxa"/>
          <w:left w:w="0" w:type="dxa"/>
          <w:bottom w:w="0" w:type="dxa"/>
          <w:right w:w="0" w:type="dxa"/>
        </w:tblCellMar>
      </w:tblPr>
      <w:tblGrid>
        <w:gridCol w:w="152"/>
        <w:gridCol w:w="120"/>
        <w:gridCol w:w="2885"/>
        <w:gridCol w:w="120"/>
        <w:gridCol w:w="75"/>
      </w:tblGrid>
      <w:tr>
        <w:trPr/>
        <w:tc>
          <w:tcPr>
            <w:tcW w:w="15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2" w:type="dxa"/>
            <w:tcBorders>
              <w:bottom w:val="single" w:sz="8" w:space="0" w:color="CCCCCC"/>
            </w:tcBorders>
            <w:shd w:fill="auto" w:val="clear"/>
            <w:tcMar>
              <w:bottom w:w="80" w:type="dxa"/>
            </w:tcMar>
            <w:vAlign w:val="center"/>
          </w:tcPr>
          <w:p>
            <w:pPr>
              <w:pStyle w:val="TableContents"/>
              <w:spacing w:before="0" w:after="283"/>
              <w:rPr/>
            </w:pPr>
            <w:r>
              <w:rPr/>
              <w:drawing>
                <wp:inline distT="0" distB="0" distL="0" distR="0">
                  <wp:extent cx="48895" cy="43815"/>
                  <wp:effectExtent l="0" t="0" r="0" b="0"/>
                  <wp:docPr id="19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77" descr=""/>
                          <pic:cNvPicPr>
                            <a:picLocks noChangeAspect="1" noChangeArrowheads="1"/>
                          </pic:cNvPicPr>
                        </pic:nvPicPr>
                        <pic:blipFill>
                          <a:blip r:embed="rId178"/>
                          <a:stretch>
                            <a:fillRect/>
                          </a:stretch>
                        </pic:blipFill>
                        <pic:spPr bwMode="auto">
                          <a:xfrm>
                            <a:off x="0" y="0"/>
                            <a:ext cx="48895" cy="43815"/>
                          </a:xfrm>
                          <a:prstGeom prst="rect">
                            <a:avLst/>
                          </a:prstGeom>
                        </pic:spPr>
                      </pic:pic>
                    </a:graphicData>
                  </a:graphic>
                </wp:inline>
              </w:drawing>
            </w:r>
            <w:r>
              <w:rPr/>
              <w:t xml:space="preserve"> </w:t>
            </w:r>
          </w:p>
        </w:tc>
        <w:tc>
          <w:tcPr>
            <w:tcW w:w="120" w:type="dxa"/>
            <w:tcBorders>
              <w:bottom w:val="single" w:sz="8" w:space="0" w:color="CCCCCC"/>
            </w:tcBorders>
            <w:shd w:fill="auto" w:val="clear"/>
            <w:tcMar>
              <w:bottom w:w="28" w:type="dxa"/>
            </w:tcMar>
            <w:vAlign w:val="center"/>
          </w:tcPr>
          <w:p>
            <w:pPr>
              <w:pStyle w:val="TableContents"/>
              <w:spacing w:before="0" w:after="283"/>
              <w:rPr/>
            </w:pPr>
            <w:r>
              <w:rPr/>
              <w:t>  </w:t>
            </w:r>
          </w:p>
        </w:tc>
        <w:tc>
          <w:tcPr>
            <w:tcW w:w="2885" w:type="dxa"/>
            <w:tcBorders>
              <w:bottom w:val="single" w:sz="8" w:space="0" w:color="CCCCCC"/>
            </w:tcBorders>
            <w:shd w:fill="auto" w:val="clear"/>
            <w:tcMar>
              <w:bottom w:w="80" w:type="dxa"/>
            </w:tcMar>
            <w:vAlign w:val="center"/>
          </w:tcPr>
          <w:p>
            <w:pPr>
              <w:pStyle w:val="TableContents"/>
              <w:spacing w:before="0" w:after="283"/>
              <w:rPr>
                <w:b/>
                <w:color w:val="71BE9A"/>
              </w:rPr>
            </w:pPr>
            <w:r>
              <w:rPr>
                <w:b/>
                <w:color w:val="71BE9A"/>
              </w:rPr>
              <w:t>Environmental Stewardship</w:t>
            </w:r>
          </w:p>
        </w:tc>
        <w:tc>
          <w:tcPr>
            <w:tcW w:w="120" w:type="dxa"/>
            <w:tcBorders>
              <w:bottom w:val="single" w:sz="8" w:space="0" w:color="CCCCCC"/>
            </w:tcBorders>
            <w:shd w:fill="auto" w:val="clear"/>
            <w:tcMar>
              <w:bottom w:w="28" w:type="dxa"/>
            </w:tcMar>
            <w:vAlign w:val="center"/>
          </w:tcPr>
          <w:p>
            <w:pPr>
              <w:pStyle w:val="TableContents"/>
              <w:spacing w:before="0" w:after="283"/>
              <w:rPr/>
            </w:pPr>
            <w:r>
              <w:rPr/>
              <w:t>  </w:t>
            </w:r>
          </w:p>
        </w:tc>
        <w:tc>
          <w:tcPr>
            <w:tcW w:w="75" w:type="dxa"/>
            <w:tcBorders>
              <w:bottom w:val="single" w:sz="8" w:space="0" w:color="CCCCCC"/>
            </w:tcBorders>
            <w:shd w:fill="auto" w:val="clear"/>
            <w:tcMar>
              <w:bottom w:w="28" w:type="dxa"/>
            </w:tcMar>
            <w:vAlign w:val="center"/>
          </w:tcPr>
          <w:p>
            <w:pPr>
              <w:pStyle w:val="TableContents"/>
              <w:spacing w:before="0" w:after="283"/>
              <w:rPr/>
            </w:pPr>
            <w:r>
              <w:rPr/>
              <w:t> </w:t>
            </w:r>
          </w:p>
        </w:tc>
      </w:tr>
    </w:tbl>
    <w:p>
      <w:pPr>
        <w:pStyle w:val="TextBody"/>
        <w:spacing w:before="120" w:after="0"/>
        <w:jc w:val="left"/>
        <w:rPr>
          <w:rFonts w:ascii="ARIAL" w:hAnsi="ARIAL"/>
          <w:sz w:val="20"/>
        </w:rPr>
      </w:pPr>
      <w:r>
        <w:rPr>
          <w:rFonts w:ascii="ARIAL" w:hAnsi="ARIAL"/>
          <w:sz w:val="20"/>
        </w:rPr>
        <w:t xml:space="preserve">We have made the following enhancements to our Sustainability activities: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In our 2021 </w:t>
            </w:r>
            <w:r>
              <w:rPr>
                <w:rFonts w:ascii="ARIAL" w:hAnsi="ARIAL"/>
                <w:i/>
                <w:sz w:val="20"/>
              </w:rPr>
              <w:t>Sustainability Report</w:t>
            </w:r>
            <w:r>
              <w:rPr>
                <w:rFonts w:ascii="ARIAL" w:hAnsi="ARIAL"/>
                <w:sz w:val="20"/>
              </w:rPr>
              <w:t xml:space="preserve">, issued in April 2022, we expanded our roadmap for achieving our stated Scope 1 greenhouse gas (GHG) emissions targets for 2030, increased disclosure about Board of Directors’ governance of our sustainability efforts, and released new targets for Scope 2 emissions, including a net zero 2050 target. While our Scope 2 emissions are a small component of our GHG footprint, establishing relevant targets is an important part of our sustainability journey for the future.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continued our work during 2022 to reach our 2030 goals for Scope 1 reductions through efficiency projects, equipment optimization and the rollout of Portland Limestone Cement (PLC) or Type 1L in Texas.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All necessary local approvals were obtained for a wind turbine project that will supply a significant portion of electrical energy needed for our quarry in Woodville, Ohio. The new wind turbines will provide an emission-free and renewable source of energy for the plant going forward.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Our participation in the recycled aggregates market grew with the acquisitions of recycling assets in Texas, California and Minnesota in recent years, and we processed and shipped 3.4 million tons of concrete and asphalt generated from various construction and demolition projects in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During 2022, our Chairman and CEO, joined by other senior managers, engaged with an increased number of investors and others relating to our Sustainability story. This specific outreach in 2022 included detailed phone conversations, written communications, and in-person meetings with more than 30 investors and groups. In total, we discussed our sustainability strategy, commitments and achievements with almost all of the approximately 200 investor groups we met with through personal conversations, virtual conferences, roadshows, field trips, and group meetings during the year.</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9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8" descr=""/>
                          <pic:cNvPicPr>
                            <a:picLocks noChangeAspect="1" noChangeArrowheads="1"/>
                          </pic:cNvPicPr>
                        </pic:nvPicPr>
                        <pic:blipFill>
                          <a:blip r:embed="rId17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49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SUMMARY OF OUR COMPENSATION CONSIDERATIONS  ◆</w:t>
      </w:r>
      <w:r>
        <w:rPr>
          <w:rFonts w:ascii="ARIAL" w:hAnsi="ARIAL"/>
          <w:sz w:val="16"/>
        </w:rPr>
        <w:t xml:space="preserve">   </w:t>
      </w:r>
    </w:p>
    <w:p>
      <w:pPr>
        <w:pStyle w:val="TextBody"/>
        <w:spacing w:before="0" w:after="0"/>
        <w:jc w:val="left"/>
        <w:rPr/>
      </w:pPr>
      <w:r>
        <w:rPr/>
        <w:t> </w:t>
      </w:r>
    </w:p>
    <w:tbl>
      <w:tblPr>
        <w:tblW w:w="1094" w:type="dxa"/>
        <w:jc w:val="left"/>
        <w:tblInd w:w="0" w:type="dxa"/>
        <w:tblCellMar>
          <w:top w:w="0" w:type="dxa"/>
          <w:left w:w="0" w:type="dxa"/>
          <w:bottom w:w="0" w:type="dxa"/>
          <w:right w:w="0" w:type="dxa"/>
        </w:tblCellMar>
      </w:tblPr>
      <w:tblGrid>
        <w:gridCol w:w="129"/>
        <w:gridCol w:w="120"/>
        <w:gridCol w:w="650"/>
        <w:gridCol w:w="120"/>
        <w:gridCol w:w="75"/>
      </w:tblGrid>
      <w:tr>
        <w:trPr/>
        <w:tc>
          <w:tcPr>
            <w:tcW w:w="1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 w:type="dxa"/>
            <w:tcBorders>
              <w:bottom w:val="single" w:sz="8" w:space="0" w:color="CCCCCC"/>
            </w:tcBorders>
            <w:shd w:fill="auto" w:val="clear"/>
            <w:tcMar>
              <w:bottom w:w="80" w:type="dxa"/>
            </w:tcMar>
            <w:vAlign w:val="center"/>
          </w:tcPr>
          <w:p>
            <w:pPr>
              <w:pStyle w:val="TableContents"/>
              <w:spacing w:before="0" w:after="283"/>
              <w:rPr/>
            </w:pPr>
            <w:r>
              <w:rPr/>
              <w:drawing>
                <wp:inline distT="0" distB="0" distL="0" distR="0">
                  <wp:extent cx="34290" cy="42545"/>
                  <wp:effectExtent l="0" t="0" r="0" b="0"/>
                  <wp:docPr id="19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9" descr=""/>
                          <pic:cNvPicPr>
                            <a:picLocks noChangeAspect="1" noChangeArrowheads="1"/>
                          </pic:cNvPicPr>
                        </pic:nvPicPr>
                        <pic:blipFill>
                          <a:blip r:embed="rId180"/>
                          <a:stretch>
                            <a:fillRect/>
                          </a:stretch>
                        </pic:blipFill>
                        <pic:spPr bwMode="auto">
                          <a:xfrm>
                            <a:off x="0" y="0"/>
                            <a:ext cx="34290" cy="42545"/>
                          </a:xfrm>
                          <a:prstGeom prst="rect">
                            <a:avLst/>
                          </a:prstGeom>
                        </pic:spPr>
                      </pic:pic>
                    </a:graphicData>
                  </a:graphic>
                </wp:inline>
              </w:drawing>
            </w:r>
            <w:r>
              <w:rPr/>
              <w:t xml:space="preserve"> </w:t>
            </w:r>
          </w:p>
        </w:tc>
        <w:tc>
          <w:tcPr>
            <w:tcW w:w="120" w:type="dxa"/>
            <w:tcBorders>
              <w:bottom w:val="single" w:sz="8" w:space="0" w:color="CCCCCC"/>
            </w:tcBorders>
            <w:shd w:fill="auto" w:val="clear"/>
            <w:tcMar>
              <w:bottom w:w="28" w:type="dxa"/>
            </w:tcMar>
            <w:vAlign w:val="center"/>
          </w:tcPr>
          <w:p>
            <w:pPr>
              <w:pStyle w:val="TableContents"/>
              <w:spacing w:before="0" w:after="283"/>
              <w:rPr/>
            </w:pPr>
            <w:r>
              <w:rPr/>
              <w:t>  </w:t>
            </w:r>
          </w:p>
        </w:tc>
        <w:tc>
          <w:tcPr>
            <w:tcW w:w="650" w:type="dxa"/>
            <w:tcBorders>
              <w:bottom w:val="single" w:sz="8" w:space="0" w:color="CCCCCC"/>
            </w:tcBorders>
            <w:shd w:fill="auto" w:val="clear"/>
            <w:tcMar>
              <w:bottom w:w="80" w:type="dxa"/>
            </w:tcMar>
            <w:vAlign w:val="center"/>
          </w:tcPr>
          <w:p>
            <w:pPr>
              <w:pStyle w:val="TableContents"/>
              <w:spacing w:before="0" w:after="283"/>
              <w:rPr>
                <w:b/>
                <w:color w:val="71BE9A"/>
              </w:rPr>
            </w:pPr>
            <w:r>
              <w:rPr>
                <w:b/>
                <w:color w:val="71BE9A"/>
              </w:rPr>
              <w:t>Safety</w:t>
            </w:r>
          </w:p>
        </w:tc>
        <w:tc>
          <w:tcPr>
            <w:tcW w:w="120" w:type="dxa"/>
            <w:tcBorders>
              <w:bottom w:val="single" w:sz="8" w:space="0" w:color="CCCCCC"/>
            </w:tcBorders>
            <w:shd w:fill="auto" w:val="clear"/>
            <w:tcMar>
              <w:bottom w:w="28" w:type="dxa"/>
            </w:tcMar>
            <w:vAlign w:val="center"/>
          </w:tcPr>
          <w:p>
            <w:pPr>
              <w:pStyle w:val="TableContents"/>
              <w:spacing w:before="0" w:after="283"/>
              <w:rPr/>
            </w:pPr>
            <w:r>
              <w:rPr/>
              <w:t>  </w:t>
            </w:r>
          </w:p>
        </w:tc>
        <w:tc>
          <w:tcPr>
            <w:tcW w:w="75" w:type="dxa"/>
            <w:tcBorders>
              <w:bottom w:val="single" w:sz="8" w:space="0" w:color="CCCCCC"/>
            </w:tcBorders>
            <w:shd w:fill="auto" w:val="clear"/>
            <w:tcMar>
              <w:bottom w:w="28" w:type="dxa"/>
            </w:tcM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2022 was another year of world-class safety performance which strengthens our belief that </w:t>
      </w:r>
      <w:r>
        <w:rPr>
          <w:rFonts w:ascii="ARIAL" w:hAnsi="ARIAL"/>
          <w:b/>
          <w:color w:val="007CBA"/>
          <w:sz w:val="20"/>
        </w:rPr>
        <w:t>Zero is Possible</w:t>
      </w:r>
      <w:r>
        <w:rPr>
          <w:rFonts w:ascii="ARIAL" w:hAnsi="ARIAL"/>
          <w:sz w:val="20"/>
        </w:rPr>
        <w:t xml:space="preserve">. This means operating our business without any safety incidents. Our goal is zero. We look to world-class companies and safety incident rates for guidance as to how we achieve this. We continued to make significant progress in 2022 towards this important goal, driven by extraordinary employee focus and increased engagement. </w:t>
      </w:r>
    </w:p>
    <w:p>
      <w:pPr>
        <w:pStyle w:val="TextBody"/>
        <w:spacing w:before="240" w:after="0"/>
        <w:jc w:val="left"/>
        <w:rPr>
          <w:rFonts w:ascii="ARIAL" w:hAnsi="ARIAL"/>
          <w:sz w:val="20"/>
        </w:rPr>
      </w:pPr>
      <w:r>
        <w:rPr>
          <w:rFonts w:ascii="ARIAL" w:hAnsi="ARIAL"/>
          <w:sz w:val="20"/>
        </w:rPr>
        <w:t xml:space="preserve">While all awards are meaningful, it is particularly satisfying when we are recognized for achievement of one of our core values. Consistent with previous years, several of our facilities were recognized by the </w:t>
      </w:r>
      <w:r>
        <w:rPr>
          <w:rFonts w:ascii="ARIAL" w:hAnsi="ARIAL"/>
          <w:b/>
          <w:sz w:val="20"/>
        </w:rPr>
        <w:t>National Stone, Sand and Gravel Association</w:t>
      </w:r>
      <w:r>
        <w:rPr>
          <w:rFonts w:ascii="ARIAL" w:hAnsi="ARIAL"/>
          <w:sz w:val="20"/>
        </w:rPr>
        <w:t xml:space="preserve"> (NSSGA) as </w:t>
      </w:r>
      <w:r>
        <w:rPr>
          <w:rFonts w:ascii="ARIAL" w:hAnsi="ARIAL"/>
          <w:i/>
          <w:sz w:val="20"/>
        </w:rPr>
        <w:t>Safety Excellence Award</w:t>
      </w:r>
      <w:r>
        <w:rPr>
          <w:rFonts w:ascii="ARIAL" w:hAnsi="ARIAL"/>
          <w:sz w:val="20"/>
        </w:rPr>
        <w:t xml:space="preserve"> winners in 2022. These awards recognize operations that have gone the longest duration without a reportable incident in their size category, based on data provided by the U.S. Department of Labor’s Mine Safety and Health Administration. In 2022, our Benson Quarry in North Carolina won gold-level honors, our Onslow Quarry in North Carolina earned silver-level honors, and our San Pedro Quarry in Texas earned bronze-level honors. As an enterprise, Martin Marietta received bronze-level honors in the large company category by the NSSGA in its </w:t>
      </w:r>
      <w:r>
        <w:rPr>
          <w:rFonts w:ascii="ARIAL" w:hAnsi="ARIAL"/>
          <w:i/>
          <w:sz w:val="20"/>
        </w:rPr>
        <w:t xml:space="preserve">Louis Greisemer Sterling Safety Awards. </w:t>
      </w:r>
    </w:p>
    <w:p>
      <w:pPr>
        <w:pStyle w:val="TextBody"/>
        <w:spacing w:before="240" w:after="0"/>
        <w:jc w:val="left"/>
        <w:rPr>
          <w:rFonts w:ascii="ARIAL" w:hAnsi="ARIAL"/>
          <w:sz w:val="20"/>
        </w:rPr>
      </w:pPr>
      <w:r>
        <w:rPr>
          <w:rFonts w:ascii="ARIAL" w:hAnsi="ARIAL"/>
          <w:sz w:val="20"/>
        </w:rPr>
        <w:t xml:space="preserve">Additionally, three Martin Marietta sites earned Sentinels of Safety Awards from the </w:t>
      </w:r>
      <w:r>
        <w:rPr>
          <w:rFonts w:ascii="ARIAL" w:hAnsi="ARIAL"/>
          <w:b/>
          <w:sz w:val="20"/>
        </w:rPr>
        <w:t>National Mining Association</w:t>
      </w:r>
      <w:r>
        <w:rPr>
          <w:rFonts w:ascii="ARIAL" w:hAnsi="ARIAL"/>
          <w:sz w:val="20"/>
        </w:rPr>
        <w:t xml:space="preserve"> in 2022. This award is the oldest and most esteemed honor in the mining industry, recognizing mining teams that record the most hours in a calendar year without a single lost-time injury. The </w:t>
      </w:r>
      <w:r>
        <w:rPr>
          <w:rFonts w:ascii="ARIAL" w:hAnsi="ARIAL"/>
          <w:b/>
          <w:sz w:val="20"/>
        </w:rPr>
        <w:t xml:space="preserve">National Ready Mixed Concrete Association </w:t>
      </w:r>
      <w:r>
        <w:rPr>
          <w:rFonts w:ascii="ARIAL" w:hAnsi="ARIAL"/>
          <w:sz w:val="20"/>
        </w:rPr>
        <w:t xml:space="preserve">(NRMCA) recognized 43 Martin Marietta ready-mixed concrete plants for gold-level </w:t>
      </w:r>
      <w:r>
        <w:rPr>
          <w:rFonts w:ascii="ARIAL" w:hAnsi="ARIAL"/>
          <w:i/>
          <w:sz w:val="20"/>
        </w:rPr>
        <w:t xml:space="preserve">Excellence in Safety </w:t>
      </w:r>
      <w:r>
        <w:rPr>
          <w:rFonts w:ascii="ARIAL" w:hAnsi="ARIAL"/>
          <w:sz w:val="20"/>
        </w:rPr>
        <w:t xml:space="preserve">achievement in 2022, and the </w:t>
      </w:r>
      <w:r>
        <w:rPr>
          <w:rFonts w:ascii="ARIAL" w:hAnsi="ARIAL"/>
          <w:b/>
          <w:sz w:val="20"/>
        </w:rPr>
        <w:t>Portland Cement Association</w:t>
      </w:r>
      <w:r>
        <w:rPr>
          <w:rFonts w:ascii="ARIAL" w:hAnsi="ARIAL"/>
          <w:sz w:val="20"/>
        </w:rPr>
        <w:t xml:space="preserve"> presented its Chairman’s Safety Award to Martin Marietta’s Hunter, Texas Cement Plant. </w:t>
      </w:r>
    </w:p>
    <w:p>
      <w:pPr>
        <w:pStyle w:val="TextBody"/>
        <w:spacing w:before="240" w:after="0"/>
        <w:jc w:val="left"/>
        <w:rPr>
          <w:rFonts w:ascii="ARIAL" w:hAnsi="ARIAL"/>
          <w:b/>
          <w:color w:val="007CBA"/>
          <w:sz w:val="26"/>
        </w:rPr>
      </w:pPr>
      <w:r>
        <w:rPr>
          <w:rFonts w:ascii="ARIAL" w:hAnsi="ARIAL"/>
          <w:b/>
          <w:color w:val="007CBA"/>
          <w:sz w:val="26"/>
        </w:rPr>
        <w:t xml:space="preserve">We achieved our sixth consecutive year of world-class Lost-Time Incident Rate (LTIR) performance and our second year of world-class Total Incident Injury Rate (TIIR) performance </w:t>
      </w:r>
    </w:p>
    <w:p>
      <w:pPr>
        <w:pStyle w:val="TextBody"/>
        <w:spacing w:before="0" w:after="0"/>
        <w:jc w:val="left"/>
        <w:rPr/>
      </w:pPr>
      <w:r>
        <w:rPr/>
        <w:t> </w:t>
      </w:r>
    </w:p>
    <w:tbl>
      <w:tblPr>
        <w:tblW w:w="9505" w:type="dxa"/>
        <w:jc w:val="left"/>
        <w:tblInd w:w="0" w:type="dxa"/>
        <w:tblCellMar>
          <w:top w:w="0" w:type="dxa"/>
          <w:left w:w="0" w:type="dxa"/>
          <w:bottom w:w="0" w:type="dxa"/>
          <w:right w:w="0" w:type="dxa"/>
        </w:tblCellMar>
      </w:tblPr>
      <w:tblGrid>
        <w:gridCol w:w="5075"/>
        <w:gridCol w:w="120"/>
        <w:gridCol w:w="4310"/>
      </w:tblGrid>
      <w:tr>
        <w:trPr/>
        <w:tc>
          <w:tcPr>
            <w:tcW w:w="5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310" w:type="dxa"/>
            <w:tcBorders/>
            <w:shd w:fill="auto" w:val="clear"/>
            <w:vAlign w:val="center"/>
          </w:tcPr>
          <w:p>
            <w:pPr>
              <w:pStyle w:val="TableContents"/>
              <w:spacing w:before="0" w:after="283"/>
              <w:rPr>
                <w:sz w:val="4"/>
                <w:szCs w:val="4"/>
              </w:rPr>
            </w:pPr>
            <w:r>
              <w:rPr>
                <w:sz w:val="4"/>
                <w:szCs w:val="4"/>
              </w:rPr>
            </w:r>
          </w:p>
        </w:tc>
      </w:tr>
      <w:tr>
        <w:trPr/>
        <w:tc>
          <w:tcPr>
            <w:tcW w:w="5075" w:type="dxa"/>
            <w:tcBorders/>
            <w:shd w:fill="auto" w:val="clear"/>
            <w:vAlign w:val="center"/>
          </w:tcPr>
          <w:p>
            <w:pPr>
              <w:pStyle w:val="TableContents"/>
              <w:spacing w:before="0" w:after="0"/>
              <w:rPr>
                <w:rFonts w:ascii="ARIAL" w:hAnsi="ARIAL"/>
                <w:b/>
                <w:color w:val="7FC4A4"/>
                <w:sz w:val="24"/>
              </w:rPr>
            </w:pPr>
            <w:r>
              <w:rPr>
                <w:rFonts w:ascii="ARIAL" w:hAnsi="ARIAL"/>
                <w:b/>
                <w:color w:val="7FC4A4"/>
                <w:sz w:val="24"/>
              </w:rPr>
              <w:t>Sixth Year of World-Class LTIR Performance</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283"/>
              <w:rPr>
                <w:b/>
                <w:color w:val="7FC4A4"/>
              </w:rPr>
            </w:pPr>
            <w:r>
              <w:rPr>
                <w:b/>
                <w:color w:val="7FC4A4"/>
              </w:rPr>
              <w:t>Second Year of World-Class TIIR Results</w:t>
            </w:r>
          </w:p>
        </w:tc>
      </w:tr>
      <w:tr>
        <w:trPr/>
        <w:tc>
          <w:tcPr>
            <w:tcW w:w="5075" w:type="dxa"/>
            <w:tcBorders/>
            <w:shd w:fill="auto" w:val="clear"/>
            <w:vAlign w:val="center"/>
          </w:tcPr>
          <w:p>
            <w:pPr>
              <w:pStyle w:val="TableContents"/>
              <w:spacing w:before="0" w:after="283"/>
              <w:rPr>
                <w:sz w:val="4"/>
                <w:szCs w:val="4"/>
              </w:rPr>
            </w:pPr>
            <w:r>
              <w:rPr>
                <w:sz w:val="4"/>
                <w:szCs w:val="4"/>
              </w:rPr>
            </w:r>
          </w:p>
        </w:tc>
        <w:tc>
          <w:tcPr>
            <w:tcW w:w="4430" w:type="dxa"/>
            <w:gridSpan w:val="2"/>
            <w:tcBorders/>
            <w:shd w:fill="auto" w:val="clear"/>
            <w:vAlign w:val="center"/>
          </w:tcPr>
          <w:p>
            <w:pPr>
              <w:pStyle w:val="TableContents"/>
              <w:spacing w:before="0" w:after="283"/>
              <w:rPr>
                <w:sz w:val="4"/>
                <w:szCs w:val="4"/>
              </w:rPr>
            </w:pPr>
            <w:r>
              <w:rPr>
                <w:sz w:val="4"/>
                <w:szCs w:val="4"/>
              </w:rPr>
            </w:r>
          </w:p>
        </w:tc>
      </w:tr>
      <w:tr>
        <w:trPr/>
        <w:tc>
          <w:tcPr>
            <w:tcW w:w="5075" w:type="dxa"/>
            <w:tcBorders/>
            <w:shd w:fill="auto" w:val="clear"/>
            <w:vAlign w:val="center"/>
          </w:tcPr>
          <w:p>
            <w:pPr>
              <w:pStyle w:val="TableContents"/>
              <w:spacing w:before="0" w:after="283"/>
              <w:jc w:val="center"/>
              <w:rPr/>
            </w:pPr>
            <w:r>
              <w:rPr/>
              <w:drawing>
                <wp:inline distT="0" distB="0" distL="0" distR="0">
                  <wp:extent cx="274955" cy="107950"/>
                  <wp:effectExtent l="0" t="0" r="0" b="0"/>
                  <wp:docPr id="19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80" descr=""/>
                          <pic:cNvPicPr>
                            <a:picLocks noChangeAspect="1" noChangeArrowheads="1"/>
                          </pic:cNvPicPr>
                        </pic:nvPicPr>
                        <pic:blipFill>
                          <a:blip r:embed="rId181"/>
                          <a:stretch>
                            <a:fillRect/>
                          </a:stretch>
                        </pic:blipFill>
                        <pic:spPr bwMode="auto">
                          <a:xfrm>
                            <a:off x="0" y="0"/>
                            <a:ext cx="274955" cy="10795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283"/>
              <w:jc w:val="center"/>
              <w:rPr/>
            </w:pPr>
            <w:r>
              <w:rPr/>
              <w:drawing>
                <wp:inline distT="0" distB="0" distL="0" distR="0">
                  <wp:extent cx="273050" cy="107950"/>
                  <wp:effectExtent l="0" t="0" r="0" b="0"/>
                  <wp:docPr id="19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81" descr=""/>
                          <pic:cNvPicPr>
                            <a:picLocks noChangeAspect="1" noChangeArrowheads="1"/>
                          </pic:cNvPicPr>
                        </pic:nvPicPr>
                        <pic:blipFill>
                          <a:blip r:embed="rId182"/>
                          <a:stretch>
                            <a:fillRect/>
                          </a:stretch>
                        </pic:blipFill>
                        <pic:spPr bwMode="auto">
                          <a:xfrm>
                            <a:off x="0" y="0"/>
                            <a:ext cx="273050" cy="107950"/>
                          </a:xfrm>
                          <a:prstGeom prst="rect">
                            <a:avLst/>
                          </a:prstGeom>
                        </pic:spPr>
                      </pic:pic>
                    </a:graphicData>
                  </a:graphic>
                </wp:inline>
              </w:drawing>
            </w:r>
            <w:r>
              <w:rPr/>
              <w:t xml:space="preserve"> </w:t>
            </w:r>
          </w:p>
        </w:tc>
      </w:tr>
    </w:tbl>
    <w:p>
      <w:pPr>
        <w:pStyle w:val="TextBody"/>
        <w:spacing w:before="80" w:after="0"/>
        <w:jc w:val="left"/>
        <w:rPr>
          <w:rFonts w:ascii="ARIAL" w:hAnsi="ARIAL"/>
          <w:sz w:val="18"/>
        </w:rPr>
      </w:pPr>
      <w:r>
        <w:rPr>
          <w:rFonts w:ascii="ARIAL" w:hAnsi="ARIAL"/>
          <w:sz w:val="18"/>
        </w:rPr>
        <w:t xml:space="preserve">Note: Safety data as of 12/31/22. LTIR per 200,000 hours worked. World-class levels based on general industries. </w:t>
      </w:r>
    </w:p>
    <w:p>
      <w:pPr>
        <w:pStyle w:val="TextBody"/>
        <w:spacing w:before="240" w:after="0"/>
        <w:jc w:val="left"/>
        <w:rPr>
          <w:rFonts w:ascii="ARIAL" w:hAnsi="ARIAL"/>
          <w:sz w:val="20"/>
        </w:rPr>
      </w:pPr>
      <w:r>
        <w:rPr>
          <w:rFonts w:ascii="ARIAL" w:hAnsi="ARIAL"/>
          <w:sz w:val="20"/>
        </w:rPr>
        <w:t xml:space="preserve">For Martin Marietta, </w:t>
      </w:r>
      <w:r>
        <w:rPr>
          <w:rFonts w:ascii="ARIAL" w:hAnsi="ARIAL"/>
          <w:b/>
          <w:color w:val="007CBA"/>
          <w:sz w:val="20"/>
        </w:rPr>
        <w:t>safety performance sets our</w:t>
      </w:r>
      <w:r>
        <w:rPr>
          <w:rFonts w:ascii="ARIAL" w:hAnsi="ARIAL"/>
          <w:b/>
          <w:sz w:val="20"/>
        </w:rPr>
        <w:t xml:space="preserve"> </w:t>
      </w:r>
      <w:r>
        <w:rPr>
          <w:rFonts w:ascii="ARIAL" w:hAnsi="ARIAL"/>
          <w:b/>
          <w:color w:val="007CBA"/>
          <w:sz w:val="20"/>
        </w:rPr>
        <w:t>foundation for long-term financial strength and successful SOAR execution</w:t>
      </w:r>
      <w:r>
        <w:rPr>
          <w:rFonts w:ascii="ARIAL" w:hAnsi="ARIAL"/>
          <w:sz w:val="20"/>
        </w:rPr>
        <w:t xml:space="preserve">. Simply said, a safe operation is a profitable one.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50</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9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82" descr=""/>
                          <pic:cNvPicPr>
                            <a:picLocks noChangeAspect="1" noChangeArrowheads="1"/>
                          </pic:cNvPicPr>
                        </pic:nvPicPr>
                        <pic:blipFill>
                          <a:blip r:embed="rId18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SUMMARY OF OUR COMPENSATION CONSIDERATIONS</w:t>
      </w:r>
      <w:r>
        <w:rPr>
          <w:rFonts w:ascii="ARIAL" w:hAnsi="ARIAL"/>
          <w:sz w:val="16"/>
        </w:rPr>
        <w:t xml:space="preserve"> </w:t>
      </w:r>
    </w:p>
    <w:p>
      <w:pPr>
        <w:pStyle w:val="TextBody"/>
        <w:spacing w:before="0" w:after="0"/>
        <w:jc w:val="left"/>
        <w:rPr/>
      </w:pPr>
      <w:r>
        <w:rPr/>
        <w:t> </w:t>
      </w:r>
    </w:p>
    <w:tbl>
      <w:tblPr>
        <w:tblW w:w="2174" w:type="dxa"/>
        <w:jc w:val="left"/>
        <w:tblInd w:w="0" w:type="dxa"/>
        <w:tblCellMar>
          <w:top w:w="0" w:type="dxa"/>
          <w:left w:w="0" w:type="dxa"/>
          <w:bottom w:w="0" w:type="dxa"/>
          <w:right w:w="0" w:type="dxa"/>
        </w:tblCellMar>
      </w:tblPr>
      <w:tblGrid>
        <w:gridCol w:w="144"/>
        <w:gridCol w:w="120"/>
        <w:gridCol w:w="1595"/>
        <w:gridCol w:w="120"/>
        <w:gridCol w:w="60"/>
        <w:gridCol w:w="60"/>
        <w:gridCol w:w="75"/>
      </w:tblGrid>
      <w:tr>
        <w:trPr/>
        <w:tc>
          <w:tcPr>
            <w:tcW w:w="14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4" w:type="dxa"/>
            <w:tcBorders>
              <w:bottom w:val="single" w:sz="8" w:space="0" w:color="CCCCCC"/>
            </w:tcBorders>
            <w:shd w:fill="auto" w:val="clear"/>
            <w:tcMar>
              <w:bottom w:w="80" w:type="dxa"/>
            </w:tcMar>
            <w:vAlign w:val="center"/>
          </w:tcPr>
          <w:p>
            <w:pPr>
              <w:pStyle w:val="TableContents"/>
              <w:spacing w:before="0" w:after="0"/>
              <w:rPr/>
            </w:pPr>
            <w:r>
              <w:rPr/>
              <w:drawing>
                <wp:inline distT="0" distB="0" distL="0" distR="0">
                  <wp:extent cx="43815" cy="41910"/>
                  <wp:effectExtent l="0" t="0" r="0" b="0"/>
                  <wp:docPr id="19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3" descr=""/>
                          <pic:cNvPicPr>
                            <a:picLocks noChangeAspect="1" noChangeArrowheads="1"/>
                          </pic:cNvPicPr>
                        </pic:nvPicPr>
                        <pic:blipFill>
                          <a:blip r:embed="rId184"/>
                          <a:stretch>
                            <a:fillRect/>
                          </a:stretch>
                        </pic:blipFill>
                        <pic:spPr bwMode="auto">
                          <a:xfrm>
                            <a:off x="0" y="0"/>
                            <a:ext cx="43815" cy="41910"/>
                          </a:xfrm>
                          <a:prstGeom prst="rect">
                            <a:avLst/>
                          </a:prstGeom>
                        </pic:spPr>
                      </pic:pic>
                    </a:graphicData>
                  </a:graphic>
                </wp:inline>
              </w:drawing>
            </w:r>
            <w:r>
              <w:rPr/>
              <w:t xml:space="preserve"> </w:t>
            </w:r>
          </w:p>
        </w:tc>
        <w:tc>
          <w:tcPr>
            <w:tcW w:w="120" w:type="dxa"/>
            <w:tcBorders>
              <w:bottom w:val="single" w:sz="8" w:space="0" w:color="CCCCCC"/>
            </w:tcBorders>
            <w:shd w:fill="auto" w:val="clear"/>
            <w:tcMar>
              <w:bottom w:w="28" w:type="dxa"/>
            </w:tcMar>
            <w:vAlign w:val="center"/>
          </w:tcPr>
          <w:p>
            <w:pPr>
              <w:pStyle w:val="TableContents"/>
              <w:spacing w:before="0" w:after="283"/>
              <w:rPr/>
            </w:pPr>
            <w:r>
              <w:rPr/>
              <w:t>  </w:t>
            </w:r>
          </w:p>
        </w:tc>
        <w:tc>
          <w:tcPr>
            <w:tcW w:w="1595" w:type="dxa"/>
            <w:tcBorders>
              <w:bottom w:val="single" w:sz="8" w:space="0" w:color="CCCCCC"/>
            </w:tcBorders>
            <w:shd w:fill="auto" w:val="clear"/>
            <w:tcMar>
              <w:bottom w:w="80" w:type="dxa"/>
            </w:tcMar>
            <w:vAlign w:val="center"/>
          </w:tcPr>
          <w:p>
            <w:pPr>
              <w:pStyle w:val="TableContents"/>
              <w:spacing w:before="0" w:after="283"/>
              <w:rPr>
                <w:b/>
                <w:color w:val="71BE9A"/>
              </w:rPr>
            </w:pPr>
            <w:r>
              <w:rPr>
                <w:b/>
                <w:color w:val="71BE9A"/>
              </w:rPr>
              <w:t>Our Employees</w:t>
            </w:r>
          </w:p>
        </w:tc>
        <w:tc>
          <w:tcPr>
            <w:tcW w:w="120" w:type="dxa"/>
            <w:tcBorders>
              <w:bottom w:val="single" w:sz="8" w:space="0" w:color="CCCCCC"/>
            </w:tcBorders>
            <w:shd w:fill="auto" w:val="clear"/>
            <w:tcMar>
              <w:bottom w:w="28" w:type="dxa"/>
            </w:tcMar>
            <w:vAlign w:val="center"/>
          </w:tcPr>
          <w:p>
            <w:pPr>
              <w:pStyle w:val="TableContents"/>
              <w:spacing w:before="0" w:after="283"/>
              <w:rPr/>
            </w:pPr>
            <w:r>
              <w:rPr/>
              <w:t>  </w:t>
            </w:r>
          </w:p>
        </w:tc>
        <w:tc>
          <w:tcPr>
            <w:tcW w:w="60" w:type="dxa"/>
            <w:tcBorders>
              <w:bottom w:val="single" w:sz="8" w:space="0" w:color="CCCCCC"/>
            </w:tcBorders>
            <w:shd w:fill="auto" w:val="clear"/>
            <w:tcMar>
              <w:bottom w:w="28" w:type="dxa"/>
            </w:tcMar>
            <w:vAlign w:val="center"/>
          </w:tcPr>
          <w:p>
            <w:pPr>
              <w:pStyle w:val="TableContents"/>
              <w:spacing w:before="0" w:after="283"/>
              <w:rPr/>
            </w:pPr>
            <w:r>
              <w:rPr/>
              <w:t> </w:t>
            </w:r>
          </w:p>
        </w:tc>
        <w:tc>
          <w:tcPr>
            <w:tcW w:w="60" w:type="dxa"/>
            <w:tcBorders>
              <w:bottom w:val="single" w:sz="8" w:space="0" w:color="CCCCCC"/>
            </w:tcBorders>
            <w:shd w:fill="auto" w:val="clear"/>
            <w:tcMar>
              <w:bottom w:w="28" w:type="dxa"/>
            </w:tcMar>
            <w:vAlign w:val="center"/>
          </w:tcPr>
          <w:p>
            <w:pPr>
              <w:pStyle w:val="TableContents"/>
              <w:spacing w:before="0" w:after="283"/>
              <w:rPr/>
            </w:pPr>
            <w:r>
              <w:rPr/>
              <w:t> </w:t>
            </w:r>
          </w:p>
        </w:tc>
        <w:tc>
          <w:tcPr>
            <w:tcW w:w="75" w:type="dxa"/>
            <w:tcBorders>
              <w:bottom w:val="single" w:sz="8" w:space="0" w:color="CCCCCC"/>
            </w:tcBorders>
            <w:shd w:fill="auto" w:val="clear"/>
            <w:tcMar>
              <w:bottom w:w="28" w:type="dxa"/>
            </w:tcM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Martin Marietta’s diverse, engaged and dedicated workforce is our greatest asset, and the continuing well-being of our employees is critically important for our success. We are committed to providing all employees with the programs, resources, support and opportunity necessary to grow. We strive to create safe, healthy, diverse and highly engaging workplaces and hope that our decisions in this area will extend far beyond our business, positively affecting people and communities for generations to come.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2"/>
        <w:gridCol w:w="120"/>
        <w:gridCol w:w="9703"/>
      </w:tblGrid>
      <w:tr>
        <w:trPr/>
        <w:tc>
          <w:tcPr>
            <w:tcW w:w="3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03" w:type="dxa"/>
            <w:tcBorders/>
            <w:shd w:fill="auto" w:val="clear"/>
            <w:vAlign w:val="center"/>
          </w:tcPr>
          <w:p>
            <w:pPr>
              <w:pStyle w:val="TableContents"/>
              <w:spacing w:before="0" w:after="283"/>
              <w:rPr>
                <w:sz w:val="4"/>
                <w:szCs w:val="4"/>
              </w:rPr>
            </w:pPr>
            <w:r>
              <w:rPr>
                <w:sz w:val="4"/>
                <w:szCs w:val="4"/>
              </w:rPr>
            </w:r>
          </w:p>
        </w:tc>
      </w:tr>
      <w:tr>
        <w:trPr/>
        <w:tc>
          <w:tcPr>
            <w:tcW w:w="382" w:type="dxa"/>
            <w:tcBorders/>
            <w:shd w:fill="auto" w:val="clear"/>
            <w:vAlign w:val="center"/>
          </w:tcPr>
          <w:p>
            <w:pPr>
              <w:pStyle w:val="TableContents"/>
              <w:spacing w:before="0" w:after="0"/>
              <w:rPr/>
            </w:pPr>
            <w:r>
              <w:rPr/>
              <w:t> </w:t>
            </w:r>
          </w:p>
          <w:p>
            <w:pPr>
              <w:pStyle w:val="TableContents"/>
              <w:spacing w:before="0" w:after="0"/>
              <w:rPr/>
            </w:pPr>
            <w:r>
              <w:rPr/>
              <w:drawing>
                <wp:inline distT="0" distB="0" distL="0" distR="0">
                  <wp:extent cx="178435" cy="40005"/>
                  <wp:effectExtent l="0" t="0" r="0" b="0"/>
                  <wp:docPr id="19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84" descr=""/>
                          <pic:cNvPicPr>
                            <a:picLocks noChangeAspect="1" noChangeArrowheads="1"/>
                          </pic:cNvPicPr>
                        </pic:nvPicPr>
                        <pic:blipFill>
                          <a:blip r:embed="rId185"/>
                          <a:stretch>
                            <a:fillRect/>
                          </a:stretch>
                        </pic:blipFill>
                        <pic:spPr bwMode="auto">
                          <a:xfrm>
                            <a:off x="0" y="0"/>
                            <a:ext cx="178435" cy="40005"/>
                          </a:xfrm>
                          <a:prstGeom prst="rect">
                            <a:avLst/>
                          </a:prstGeom>
                        </pic:spPr>
                      </pic:pic>
                    </a:graphicData>
                  </a:graphic>
                </wp:inline>
              </w:drawing>
            </w:r>
            <w:r>
              <w:rPr/>
              <w:t xml:space="preserve">     </w:t>
            </w:r>
          </w:p>
        </w:tc>
        <w:tc>
          <w:tcPr>
            <w:tcW w:w="120" w:type="dxa"/>
            <w:tcBorders>
              <w:left w:val="dotted" w:sz="8" w:space="0" w:color="000000"/>
            </w:tcBorders>
            <w:shd w:fill="auto" w:val="clear"/>
            <w:tcMar>
              <w:left w:w="28" w:type="dxa"/>
            </w:tcMar>
            <w:vAlign w:val="center"/>
          </w:tcPr>
          <w:p>
            <w:pPr>
              <w:pStyle w:val="TableContents"/>
              <w:spacing w:before="0" w:after="283"/>
              <w:rPr/>
            </w:pPr>
            <w:r>
              <w:rPr/>
              <w:t>  </w:t>
            </w:r>
          </w:p>
        </w:tc>
        <w:tc>
          <w:tcPr>
            <w:tcW w:w="9703" w:type="dxa"/>
            <w:tcBorders/>
            <w:shd w:fill="auto" w:val="clear"/>
            <w:vAlign w:val="center"/>
          </w:tcPr>
          <w:p>
            <w:pPr>
              <w:pStyle w:val="TableContents"/>
              <w:spacing w:before="0" w:after="0"/>
              <w:rPr>
                <w:rFonts w:ascii="ARIAL" w:hAnsi="ARIAL"/>
                <w:sz w:val="20"/>
              </w:rPr>
            </w:pPr>
            <w:r>
              <w:rPr>
                <w:rFonts w:ascii="ARIAL" w:hAnsi="ARIAL"/>
                <w:sz w:val="20"/>
              </w:rPr>
              <w:t>We successfully onboarded more than 1,250 employees in California and Arizona in mid-2022 after the conclusion of the transition services agreement from the 2021 acquisition of Lehigh Hanson’s West Region.</w:t>
            </w:r>
          </w:p>
          <w:p>
            <w:pPr>
              <w:pStyle w:val="TableContents"/>
              <w:spacing w:before="0" w:after="0"/>
              <w:rPr/>
            </w:pPr>
            <w:r>
              <w:rPr/>
              <w:t> </w:t>
            </w:r>
          </w:p>
          <w:p>
            <w:pPr>
              <w:pStyle w:val="TableContents"/>
              <w:spacing w:before="0" w:after="0"/>
              <w:rPr>
                <w:rFonts w:ascii="ARIAL" w:hAnsi="ARIAL"/>
                <w:sz w:val="20"/>
              </w:rPr>
            </w:pPr>
            <w:r>
              <w:rPr>
                <w:rFonts w:ascii="ARIAL" w:hAnsi="ARIAL"/>
                <w:sz w:val="20"/>
              </w:rPr>
              <w:t>We continued to enhance our attractive offering of employee health, welfare and retirement benefits, including a fully funded defined benefit pension plan. We significantly increased the value of the pension retirement benefit offered to hourly employees in 2022, and we added company-paid long-term disability insurance for hourly workers for 2023.</w:t>
            </w:r>
          </w:p>
          <w:p>
            <w:pPr>
              <w:pStyle w:val="TableContents"/>
              <w:spacing w:before="0" w:after="0"/>
              <w:rPr/>
            </w:pPr>
            <w:r>
              <w:rPr/>
              <w:t> </w:t>
            </w:r>
          </w:p>
          <w:p>
            <w:pPr>
              <w:pStyle w:val="TableContents"/>
              <w:spacing w:before="0" w:after="0"/>
              <w:rPr>
                <w:rFonts w:ascii="ARIAL" w:hAnsi="ARIAL"/>
                <w:sz w:val="20"/>
              </w:rPr>
            </w:pPr>
            <w:r>
              <w:rPr>
                <w:rFonts w:ascii="ARIAL" w:hAnsi="ARIAL"/>
                <w:sz w:val="20"/>
              </w:rPr>
              <w:t>Through a multi-channel communications campaign in 2022, we increased our employees’ understanding and appreciation of Martin Marietta’s highly competitive retirement benefits package.</w:t>
            </w:r>
          </w:p>
          <w:p>
            <w:pPr>
              <w:pStyle w:val="TableContents"/>
              <w:spacing w:before="0" w:after="0"/>
              <w:rPr/>
            </w:pPr>
            <w:r>
              <w:rPr/>
              <w:t> </w:t>
            </w:r>
          </w:p>
          <w:p>
            <w:pPr>
              <w:pStyle w:val="TableContents"/>
              <w:spacing w:before="0" w:after="20"/>
              <w:rPr>
                <w:rFonts w:ascii="ARIAL" w:hAnsi="ARIAL"/>
                <w:sz w:val="20"/>
              </w:rPr>
            </w:pPr>
            <w:r>
              <w:rPr>
                <w:rFonts w:ascii="ARIAL" w:hAnsi="ARIAL"/>
                <w:sz w:val="20"/>
              </w:rPr>
              <w:t>We strengthened Martin Marietta’s presence on numerous social media platforms to enhance our brand recognition and recruitment efforts.</w:t>
            </w:r>
          </w:p>
        </w:tc>
      </w:tr>
    </w:tbl>
    <w:p>
      <w:pPr>
        <w:pStyle w:val="TextBody"/>
        <w:spacing w:before="240" w:after="0"/>
        <w:jc w:val="left"/>
        <w:rPr>
          <w:rFonts w:ascii="ARIAL" w:hAnsi="ARIAL"/>
          <w:sz w:val="20"/>
        </w:rPr>
      </w:pPr>
      <w:r>
        <w:rPr>
          <w:rFonts w:ascii="ARIAL" w:hAnsi="ARIAL"/>
          <w:sz w:val="20"/>
        </w:rPr>
        <w:t xml:space="preserve">Through these important efforts in 2022 and many more, we continued to build a compelling connection with current and potential employees, increase the visibility and attractiveness of Martin Marietta as an employer of choice to strengthen our talent pipeline, and increase employee engagement, development, morale and retention. </w:t>
      </w:r>
    </w:p>
    <w:p>
      <w:pPr>
        <w:pStyle w:val="TextBody"/>
        <w:spacing w:before="240" w:after="0"/>
        <w:jc w:val="left"/>
        <w:rPr>
          <w:rFonts w:ascii="ARIAL" w:hAnsi="ARIAL"/>
          <w:sz w:val="20"/>
        </w:rPr>
      </w:pPr>
      <w:r>
        <w:rPr>
          <w:rFonts w:ascii="ARIAL" w:hAnsi="ARIAL"/>
          <w:sz w:val="20"/>
        </w:rPr>
        <w:t xml:space="preserve">Importantly, we continued the efforts of our </w:t>
      </w:r>
      <w:r>
        <w:rPr>
          <w:rFonts w:ascii="ARIAL" w:hAnsi="ARIAL"/>
          <w:b/>
          <w:color w:val="007CBA"/>
          <w:sz w:val="20"/>
        </w:rPr>
        <w:t>Inclusion and Engagement (I&amp;E) Task Force</w:t>
      </w:r>
      <w:r>
        <w:rPr>
          <w:rFonts w:ascii="ARIAL" w:hAnsi="ARIAL"/>
          <w:sz w:val="20"/>
        </w:rPr>
        <w:t xml:space="preserve"> in 2022. This group, co-chaired by our Chairman and CEO and our Chief Human Resource Officer, is focused on ensuring that our culture is welcoming to all current and future employees, as well as open to new and diverse thought. We believe that employee engagement happens when we bring together exceptional and diverse talent with different backgrounds, genders, ethnicities, qualifications, perspectives, experiences, voices and skills to ensure that we will consistently develop the best ideas and advance our world-class ambition. Enabled by an inclusive environment where each person feels like they belong, are valued and can speak up, engagement allows us to forge stronger, more productive connections fueled by trust, compassion and authenticity. It ensures we pursue excellence and continuously improve – as ONE Team. </w:t>
      </w:r>
    </w:p>
    <w:p>
      <w:pPr>
        <w:pStyle w:val="TextBody"/>
        <w:spacing w:before="240" w:after="0"/>
        <w:jc w:val="left"/>
        <w:rPr>
          <w:rFonts w:ascii="ARIAL" w:hAnsi="ARIAL"/>
          <w:sz w:val="20"/>
        </w:rPr>
      </w:pPr>
      <w:r>
        <w:rPr>
          <w:rFonts w:ascii="ARIAL" w:hAnsi="ARIAL"/>
          <w:sz w:val="20"/>
        </w:rPr>
        <w:t xml:space="preserve">Importantly, our impactful achievements related to inclusion and engagement in 2022 included: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Developed and launched an inclusion and engagement awareness communications campaign to help managers and employees better understand why inclusion and engagement matters and how inclusion and engagement are already ingrained in Martin Marietta’s culture and values. The campaign highlights that ensuring we maintain an inclusive and engaging culture will help create a competitive advantage for the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Launched a dedicated section on our Company’s website highlighting Inclusion, Engagement and Diversity at Martin Marietta.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Developed guidelines and strategies to launch Martin Marietta’s first three Employee Resource Groups, supporting veterans, women and diverse cultures, in early 2023. </w:t>
            </w:r>
          </w:p>
        </w:tc>
      </w:tr>
    </w:tbl>
    <w:p>
      <w:pPr>
        <w:pStyle w:val="TextBody"/>
        <w:spacing w:before="0" w:after="0"/>
        <w:jc w:val="left"/>
        <w:rPr/>
      </w:pPr>
      <w:r>
        <w:rPr/>
        <w:t> </w:t>
      </w:r>
    </w:p>
    <w:tbl>
      <w:tblPr>
        <w:tblW w:w="5260" w:type="dxa"/>
        <w:jc w:val="left"/>
        <w:tblInd w:w="0" w:type="dxa"/>
        <w:tblCellMar>
          <w:top w:w="0" w:type="dxa"/>
          <w:left w:w="0" w:type="dxa"/>
          <w:bottom w:w="0" w:type="dxa"/>
          <w:right w:w="0" w:type="dxa"/>
        </w:tblCellMar>
      </w:tblPr>
      <w:tblGrid>
        <w:gridCol w:w="125"/>
        <w:gridCol w:w="60"/>
        <w:gridCol w:w="507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ARIAL" w:hAnsi="ARIAL"/>
                <w:sz w:val="20"/>
              </w:rPr>
            </w:pPr>
            <w:r>
              <w:rPr>
                <w:rFonts w:ascii="ARIAL" w:hAnsi="ARIAL"/>
                <w:sz w:val="20"/>
              </w:rPr>
              <w:t xml:space="preserve">Joined the CEO Action for Diversity &amp; Inclusion coalition. </w:t>
            </w:r>
          </w:p>
        </w:tc>
      </w:tr>
    </w:tbl>
    <w:p>
      <w:pPr>
        <w:pStyle w:val="TextBody"/>
        <w:spacing w:before="0" w:after="0"/>
        <w:jc w:val="left"/>
        <w:rPr/>
      </w:pPr>
      <w:r>
        <w:rPr/>
        <w:t> </w:t>
      </w:r>
    </w:p>
    <w:tbl>
      <w:tblPr>
        <w:tblW w:w="7405" w:type="dxa"/>
        <w:jc w:val="left"/>
        <w:tblInd w:w="0" w:type="dxa"/>
        <w:tblCellMar>
          <w:top w:w="0" w:type="dxa"/>
          <w:left w:w="0" w:type="dxa"/>
          <w:bottom w:w="0" w:type="dxa"/>
          <w:right w:w="0" w:type="dxa"/>
        </w:tblCellMar>
      </w:tblPr>
      <w:tblGrid>
        <w:gridCol w:w="125"/>
        <w:gridCol w:w="60"/>
        <w:gridCol w:w="72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220" w:type="dxa"/>
            <w:tcBorders/>
            <w:shd w:fill="auto" w:val="clear"/>
            <w:vAlign w:val="center"/>
          </w:tcPr>
          <w:p>
            <w:pPr>
              <w:pStyle w:val="TableContents"/>
              <w:spacing w:before="0" w:after="0"/>
              <w:jc w:val="left"/>
              <w:rPr>
                <w:rFonts w:ascii="ARIAL" w:hAnsi="ARIAL"/>
                <w:sz w:val="20"/>
              </w:rPr>
            </w:pPr>
            <w:r>
              <w:rPr>
                <w:rFonts w:ascii="ARIAL" w:hAnsi="ARIAL"/>
                <w:sz w:val="20"/>
              </w:rPr>
              <w:t xml:space="preserve">Elevated the Head of Inclusion and Engagement position to a vice president level. </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19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85" descr=""/>
                          <pic:cNvPicPr>
                            <a:picLocks noChangeAspect="1" noChangeArrowheads="1"/>
                          </pic:cNvPicPr>
                        </pic:nvPicPr>
                        <pic:blipFill>
                          <a:blip r:embed="rId18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51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SUMMARY OF OUR COMPENSATION CONSIDERATIONS  ◆</w:t>
      </w:r>
      <w:r>
        <w:rPr>
          <w:rFonts w:ascii="ARIAL" w:hAnsi="ARIAL"/>
          <w:sz w:val="16"/>
        </w:rPr>
        <w:t xml:space="preserve">   </w:t>
      </w:r>
    </w:p>
    <w:p>
      <w:pPr>
        <w:pStyle w:val="TextBody"/>
        <w:spacing w:before="0" w:after="0"/>
        <w:jc w:val="left"/>
        <w:rPr/>
      </w:pPr>
      <w:r>
        <w:rPr/>
        <w:t> </w:t>
      </w:r>
    </w:p>
    <w:tbl>
      <w:tblPr>
        <w:tblW w:w="4466" w:type="dxa"/>
        <w:jc w:val="left"/>
        <w:tblInd w:w="0" w:type="dxa"/>
        <w:tblCellMar>
          <w:top w:w="0" w:type="dxa"/>
          <w:left w:w="0" w:type="dxa"/>
          <w:bottom w:w="0" w:type="dxa"/>
          <w:right w:w="0" w:type="dxa"/>
        </w:tblCellMar>
      </w:tblPr>
      <w:tblGrid>
        <w:gridCol w:w="156"/>
        <w:gridCol w:w="120"/>
        <w:gridCol w:w="4190"/>
      </w:tblGrid>
      <w:tr>
        <w:trPr/>
        <w:tc>
          <w:tcPr>
            <w:tcW w:w="1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r>
      <w:tr>
        <w:trPr/>
        <w:tc>
          <w:tcPr>
            <w:tcW w:w="156" w:type="dxa"/>
            <w:tcBorders/>
            <w:shd w:fill="auto" w:val="clear"/>
            <w:vAlign w:val="center"/>
          </w:tcPr>
          <w:p>
            <w:pPr>
              <w:pStyle w:val="TableContents"/>
              <w:spacing w:before="0" w:after="283"/>
              <w:rPr/>
            </w:pPr>
            <w:r>
              <w:rPr/>
              <w:drawing>
                <wp:inline distT="0" distB="0" distL="0" distR="0">
                  <wp:extent cx="51435" cy="45720"/>
                  <wp:effectExtent l="0" t="0" r="0" b="0"/>
                  <wp:docPr id="20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6" descr=""/>
                          <pic:cNvPicPr>
                            <a:picLocks noChangeAspect="1" noChangeArrowheads="1"/>
                          </pic:cNvPicPr>
                        </pic:nvPicPr>
                        <pic:blipFill>
                          <a:blip r:embed="rId187"/>
                          <a:stretch>
                            <a:fillRect/>
                          </a:stretch>
                        </pic:blipFill>
                        <pic:spPr bwMode="auto">
                          <a:xfrm>
                            <a:off x="0" y="0"/>
                            <a:ext cx="51435" cy="4572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20"/>
              <w:rPr>
                <w:rFonts w:ascii="ARIAL" w:hAnsi="ARIAL"/>
                <w:b/>
                <w:color w:val="71BE9A"/>
                <w:sz w:val="26"/>
              </w:rPr>
            </w:pPr>
            <w:r>
              <w:rPr>
                <w:rFonts w:ascii="ARIAL" w:hAnsi="ARIAL"/>
                <w:b/>
                <w:color w:val="71BE9A"/>
                <w:sz w:val="26"/>
              </w:rPr>
              <w:t>Diversity and Inclusion at a Glance</w:t>
            </w:r>
          </w:p>
        </w:tc>
      </w:tr>
    </w:tbl>
    <w:p>
      <w:pPr>
        <w:pStyle w:val="TextBody"/>
        <w:spacing w:before="0" w:after="0"/>
        <w:jc w:val="left"/>
        <w:rPr/>
      </w:pPr>
      <w:r>
        <w:rPr/>
        <w:t> </w:t>
      </w:r>
    </w:p>
    <w:tbl>
      <w:tblPr>
        <w:tblW w:w="9631" w:type="dxa"/>
        <w:jc w:val="left"/>
        <w:tblInd w:w="0" w:type="dxa"/>
        <w:tblCellMar>
          <w:top w:w="0" w:type="dxa"/>
          <w:left w:w="0" w:type="dxa"/>
          <w:bottom w:w="0" w:type="dxa"/>
          <w:right w:w="0" w:type="dxa"/>
        </w:tblCellMar>
      </w:tblPr>
      <w:tblGrid>
        <w:gridCol w:w="1100"/>
        <w:gridCol w:w="120"/>
        <w:gridCol w:w="2135"/>
        <w:gridCol w:w="60"/>
        <w:gridCol w:w="23"/>
        <w:gridCol w:w="60"/>
        <w:gridCol w:w="1085"/>
        <w:gridCol w:w="120"/>
        <w:gridCol w:w="1430"/>
        <w:gridCol w:w="60"/>
        <w:gridCol w:w="23"/>
        <w:gridCol w:w="60"/>
        <w:gridCol w:w="1085"/>
        <w:gridCol w:w="120"/>
        <w:gridCol w:w="2150"/>
      </w:tblGrid>
      <w:tr>
        <w:trPr/>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vAlign w:val="center"/>
          </w:tcPr>
          <w:p>
            <w:pPr>
              <w:pStyle w:val="TableContents"/>
              <w:spacing w:before="0" w:after="283"/>
              <w:rPr>
                <w:b/>
                <w:color w:val="007CBA"/>
                <w:sz w:val="52"/>
              </w:rPr>
            </w:pPr>
            <w:r>
              <w:rPr>
                <w:b/>
                <w:color w:val="007CBA"/>
                <w:sz w:val="52"/>
              </w:rPr>
              <w:t>41%</w:t>
            </w:r>
          </w:p>
        </w:tc>
        <w:tc>
          <w:tcPr>
            <w:tcW w:w="120" w:type="dxa"/>
            <w:tcBorders/>
            <w:shd w:fill="auto" w:val="clear"/>
            <w:vAlign w:val="center"/>
          </w:tcPr>
          <w:p>
            <w:pPr>
              <w:pStyle w:val="TableContents"/>
              <w:spacing w:before="0" w:after="283"/>
              <w:rPr/>
            </w:pPr>
            <w:r>
              <w:rPr/>
              <w:t>  </w:t>
            </w:r>
          </w:p>
        </w:tc>
        <w:tc>
          <w:tcPr>
            <w:tcW w:w="2135" w:type="dxa"/>
            <w:tcBorders/>
            <w:shd w:fill="auto" w:val="clear"/>
            <w:vAlign w:val="center"/>
          </w:tcPr>
          <w:p>
            <w:pPr>
              <w:pStyle w:val="TableContents"/>
              <w:spacing w:before="0" w:after="283"/>
              <w:rPr>
                <w:sz w:val="18"/>
              </w:rPr>
            </w:pPr>
            <w:r>
              <w:rPr>
                <w:sz w:val="18"/>
              </w:rPr>
              <w:t>of workforce are minorities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283"/>
              <w:rPr>
                <w:b/>
                <w:color w:val="007CBA"/>
                <w:sz w:val="52"/>
              </w:rPr>
            </w:pPr>
            <w:r>
              <w:rPr>
                <w:b/>
                <w:color w:val="007CBA"/>
                <w:sz w:val="52"/>
              </w:rPr>
              <w:t>33%</w:t>
            </w:r>
          </w:p>
        </w:tc>
        <w:tc>
          <w:tcPr>
            <w:tcW w:w="12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0"/>
              <w:rPr>
                <w:rFonts w:ascii="ARIAL" w:hAnsi="ARIAL"/>
                <w:sz w:val="18"/>
              </w:rPr>
            </w:pPr>
            <w:r>
              <w:rPr>
                <w:rFonts w:ascii="ARIAL" w:hAnsi="ARIAL"/>
                <w:sz w:val="18"/>
              </w:rPr>
              <w:t>of workforce are</w:t>
            </w:r>
          </w:p>
          <w:p>
            <w:pPr>
              <w:pStyle w:val="TableContents"/>
              <w:spacing w:before="0" w:after="0"/>
              <w:rPr>
                <w:rFonts w:ascii="ARIAL" w:hAnsi="ARIAL"/>
                <w:sz w:val="18"/>
              </w:rPr>
            </w:pPr>
            <w:r>
              <w:rPr>
                <w:rFonts w:ascii="ARIAL" w:hAnsi="ARIAL"/>
                <w:sz w:val="18"/>
              </w:rPr>
              <w:t>racially/ethnically</w:t>
            </w:r>
          </w:p>
          <w:p>
            <w:pPr>
              <w:pStyle w:val="TableContents"/>
              <w:spacing w:before="0" w:after="20"/>
              <w:rPr>
                <w:rFonts w:ascii="ARIAL" w:hAnsi="ARIAL"/>
                <w:sz w:val="18"/>
              </w:rPr>
            </w:pPr>
            <w:r>
              <w:rPr>
                <w:rFonts w:ascii="ARIAL" w:hAnsi="ARIAL"/>
                <w:sz w:val="18"/>
              </w:rPr>
              <w:t>diverse</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283"/>
              <w:rPr>
                <w:b/>
                <w:color w:val="007CBA"/>
                <w:sz w:val="52"/>
              </w:rPr>
            </w:pPr>
            <w:r>
              <w:rPr>
                <w:b/>
                <w:color w:val="007CBA"/>
                <w:sz w:val="52"/>
              </w:rPr>
              <w:t>11%</w:t>
            </w:r>
          </w:p>
        </w:tc>
        <w:tc>
          <w:tcPr>
            <w:tcW w:w="1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sz w:val="18"/>
              </w:rPr>
            </w:pPr>
            <w:r>
              <w:rPr>
                <w:sz w:val="18"/>
              </w:rPr>
              <w:t>of workforce are women        </w:t>
            </w:r>
          </w:p>
        </w:tc>
      </w:tr>
    </w:tbl>
    <w:p>
      <w:pPr>
        <w:pStyle w:val="TextBody"/>
        <w:spacing w:before="240" w:after="0"/>
        <w:jc w:val="left"/>
        <w:rPr>
          <w:rFonts w:ascii="ARIAL" w:hAnsi="ARIAL"/>
          <w:sz w:val="20"/>
        </w:rPr>
      </w:pPr>
      <w:r>
        <w:rPr>
          <w:rFonts w:ascii="ARIAL" w:hAnsi="ARIAL"/>
          <w:sz w:val="20"/>
        </w:rPr>
        <w:t xml:space="preserve">We are committed to fostering diversity and inclusion, and strive to maintain a culture and adherence to core values that attract and celebrate diversity in our workplace. We believe that diversity promotes creativity, innovation, and mutual respect, which are all core to our values. We recognize that the unique viewpoints and experiences of every employee are important to achieving our mission to be a world-class organization, and have implemented initiatives that we believe will allow us to continue to improve on those objectives. </w:t>
      </w:r>
    </w:p>
    <w:p>
      <w:pPr>
        <w:pStyle w:val="TextBody"/>
        <w:spacing w:before="240" w:after="0"/>
        <w:jc w:val="left"/>
        <w:rPr>
          <w:rFonts w:ascii="ARIAL" w:hAnsi="ARIAL"/>
          <w:sz w:val="20"/>
        </w:rPr>
      </w:pPr>
      <w:r>
        <w:rPr>
          <w:rFonts w:ascii="ARIAL" w:hAnsi="ARIAL"/>
          <w:sz w:val="20"/>
        </w:rPr>
        <w:t xml:space="preserve">Although we do not necessarily believe that the Equal Employment Opportunity Commission data required on Form EEO-1 fully reflects our job-role structure, we are making the data available on our website. </w:t>
      </w:r>
    </w:p>
    <w:p>
      <w:pPr>
        <w:pStyle w:val="TextBody"/>
        <w:spacing w:before="240" w:after="0"/>
        <w:jc w:val="left"/>
        <w:rPr>
          <w:rFonts w:ascii="ARIAL" w:hAnsi="ARIAL"/>
          <w:b/>
          <w:color w:val="71BE9A"/>
          <w:sz w:val="26"/>
        </w:rPr>
      </w:pPr>
      <w:bookmarkStart w:id="35" w:name="toc390557_28"/>
      <w:bookmarkEnd w:id="35"/>
      <w:r>
        <w:rPr>
          <w:rFonts w:ascii="ARIAL" w:hAnsi="ARIAL"/>
          <w:b/>
          <w:color w:val="71BE9A"/>
          <w:sz w:val="26"/>
        </w:rPr>
        <w:t xml:space="preserve">Compensation Decisions Yielding Alignment with Performance and Enhancing Our Corporate Resilience </w:t>
      </w:r>
    </w:p>
    <w:p>
      <w:pPr>
        <w:pStyle w:val="TextBody"/>
        <w:spacing w:before="120" w:after="0"/>
        <w:jc w:val="left"/>
        <w:rPr>
          <w:rFonts w:ascii="ARIAL" w:hAnsi="ARIAL"/>
          <w:sz w:val="20"/>
        </w:rPr>
      </w:pPr>
      <w:r>
        <w:rPr>
          <w:rFonts w:ascii="ARIAL" w:hAnsi="ARIAL"/>
          <w:sz w:val="20"/>
        </w:rPr>
        <w:t xml:space="preserve">In determining compensation, the Committee considers many factors in order to align performance with the compensation received by our executives. As described below under </w:t>
      </w:r>
      <w:r>
        <w:rPr>
          <w:rFonts w:ascii="ARIAL" w:hAnsi="ARIAL"/>
          <w:b/>
          <w:color w:val="007CBA"/>
          <w:sz w:val="20"/>
        </w:rPr>
        <w:t xml:space="preserve">2022 Actual Incentive Cash Earned, </w:t>
      </w:r>
      <w:r>
        <w:rPr>
          <w:rFonts w:ascii="ARIAL" w:hAnsi="ARIAL"/>
          <w:b/>
          <w:sz w:val="20"/>
        </w:rPr>
        <w:t>the objective financial metrics in our annual plan that were measured for purposes of the 2022 Annual Cash Incentive</w:t>
      </w:r>
      <w:r>
        <w:rPr>
          <w:rFonts w:ascii="ARIAL" w:hAnsi="ARIAL"/>
          <w:sz w:val="20"/>
        </w:rPr>
        <w:t xml:space="preserve"> were Pre-Tax Earnings and Adjusted EBITDA, which are viewed as indicative of the Company’s profitability, and Days Sales Outstanding (DSO), which is viewed as indicative of the Company’s cash flow. All of these are important measures reflecting our performance and the creation of value for shareholders. In addition, the Committee considered the factors summarized below. </w:t>
      </w:r>
    </w:p>
    <w:p>
      <w:pPr>
        <w:pStyle w:val="TextBody"/>
        <w:spacing w:before="240" w:after="0"/>
        <w:jc w:val="left"/>
        <w:rPr>
          <w:rFonts w:ascii="ARIAL" w:hAnsi="ARIAL"/>
          <w:color w:val="007CBA"/>
          <w:sz w:val="20"/>
        </w:rPr>
      </w:pPr>
      <w:r>
        <w:rPr>
          <w:rFonts w:ascii="ARIAL" w:hAnsi="ARIAL"/>
          <w:b/>
          <w:color w:val="007CBA"/>
          <w:sz w:val="20"/>
        </w:rPr>
        <w:t>Summary of Our Compensation Considerations</w:t>
      </w:r>
      <w:r>
        <w:rPr>
          <w:rFonts w:ascii="ARIAL" w:hAnsi="ARIAL"/>
          <w:color w:val="007CBA"/>
          <w:sz w:val="20"/>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A detailed assessment of Martin Marietta’s overall financial performance and each segment’s financial performance, including the highlights and the challenges. </w:t>
            </w:r>
          </w:p>
        </w:tc>
      </w:tr>
    </w:tbl>
    <w:p>
      <w:pPr>
        <w:pStyle w:val="TextBody"/>
        <w:spacing w:before="0" w:after="0"/>
        <w:jc w:val="left"/>
        <w:rPr/>
      </w:pPr>
      <w:r>
        <w:rPr/>
        <w:t> </w:t>
      </w:r>
    </w:p>
    <w:tbl>
      <w:tblPr>
        <w:tblW w:w="8605" w:type="dxa"/>
        <w:jc w:val="left"/>
        <w:tblInd w:w="0" w:type="dxa"/>
        <w:tblCellMar>
          <w:top w:w="0" w:type="dxa"/>
          <w:left w:w="0" w:type="dxa"/>
          <w:bottom w:w="0" w:type="dxa"/>
          <w:right w:w="0" w:type="dxa"/>
        </w:tblCellMar>
      </w:tblPr>
      <w:tblGrid>
        <w:gridCol w:w="125"/>
        <w:gridCol w:w="60"/>
        <w:gridCol w:w="84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420" w:type="dxa"/>
            <w:tcBorders/>
            <w:shd w:fill="auto" w:val="clear"/>
            <w:vAlign w:val="center"/>
          </w:tcPr>
          <w:p>
            <w:pPr>
              <w:pStyle w:val="TableContents"/>
              <w:spacing w:before="0" w:after="0"/>
              <w:jc w:val="left"/>
              <w:rPr>
                <w:rFonts w:ascii="ARIAL" w:hAnsi="ARIAL"/>
                <w:sz w:val="20"/>
              </w:rPr>
            </w:pPr>
            <w:r>
              <w:rPr>
                <w:rFonts w:ascii="ARIAL" w:hAnsi="ARIAL"/>
                <w:sz w:val="20"/>
              </w:rPr>
              <w:t xml:space="preserve">Shareholder returns, including the consistent delivery of value to Martin Marietta’s shareholders. </w:t>
            </w:r>
          </w:p>
        </w:tc>
      </w:tr>
    </w:tbl>
    <w:p>
      <w:pPr>
        <w:pStyle w:val="TextBody"/>
        <w:spacing w:before="0" w:after="0"/>
        <w:jc w:val="left"/>
        <w:rPr/>
      </w:pPr>
      <w:r>
        <w:rPr/>
        <w:t> </w:t>
      </w:r>
    </w:p>
    <w:tbl>
      <w:tblPr>
        <w:tblW w:w="7240" w:type="dxa"/>
        <w:jc w:val="left"/>
        <w:tblInd w:w="0" w:type="dxa"/>
        <w:tblCellMar>
          <w:top w:w="0" w:type="dxa"/>
          <w:left w:w="0" w:type="dxa"/>
          <w:bottom w:w="0" w:type="dxa"/>
          <w:right w:w="0" w:type="dxa"/>
        </w:tblCellMar>
      </w:tblPr>
      <w:tblGrid>
        <w:gridCol w:w="125"/>
        <w:gridCol w:w="60"/>
        <w:gridCol w:w="705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055" w:type="dxa"/>
            <w:tcBorders/>
            <w:shd w:fill="auto" w:val="clear"/>
            <w:vAlign w:val="center"/>
          </w:tcPr>
          <w:p>
            <w:pPr>
              <w:pStyle w:val="TableContents"/>
              <w:spacing w:before="0" w:after="0"/>
              <w:jc w:val="left"/>
              <w:rPr>
                <w:rFonts w:ascii="ARIAL" w:hAnsi="ARIAL"/>
                <w:sz w:val="20"/>
              </w:rPr>
            </w:pPr>
            <w:r>
              <w:rPr>
                <w:rFonts w:ascii="ARIAL" w:hAnsi="ARIAL"/>
                <w:sz w:val="20"/>
              </w:rPr>
              <w:t xml:space="preserve">Our safety performance, which continues to be world class and industry leading.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Outstanding environmental and regulatory compliance results, sustainability initiatives, and cybersecurity protections. </w:t>
            </w:r>
          </w:p>
        </w:tc>
      </w:tr>
    </w:tbl>
    <w:p>
      <w:pPr>
        <w:pStyle w:val="TextBody"/>
        <w:spacing w:before="0" w:after="0"/>
        <w:jc w:val="left"/>
        <w:rPr/>
      </w:pPr>
      <w:r>
        <w:rPr/>
        <w:t> </w:t>
      </w:r>
    </w:p>
    <w:tbl>
      <w:tblPr>
        <w:tblW w:w="6250" w:type="dxa"/>
        <w:jc w:val="left"/>
        <w:tblInd w:w="0" w:type="dxa"/>
        <w:tblCellMar>
          <w:top w:w="0" w:type="dxa"/>
          <w:left w:w="0" w:type="dxa"/>
          <w:bottom w:w="0" w:type="dxa"/>
          <w:right w:w="0" w:type="dxa"/>
        </w:tblCellMar>
      </w:tblPr>
      <w:tblGrid>
        <w:gridCol w:w="125"/>
        <w:gridCol w:w="60"/>
        <w:gridCol w:w="606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065" w:type="dxa"/>
            <w:tcBorders/>
            <w:shd w:fill="auto" w:val="clear"/>
            <w:vAlign w:val="center"/>
          </w:tcPr>
          <w:p>
            <w:pPr>
              <w:pStyle w:val="TableContents"/>
              <w:spacing w:before="0" w:after="0"/>
              <w:jc w:val="left"/>
              <w:rPr>
                <w:rFonts w:ascii="ARIAL" w:hAnsi="ARIAL"/>
                <w:sz w:val="20"/>
              </w:rPr>
            </w:pPr>
            <w:r>
              <w:rPr>
                <w:rFonts w:ascii="ARIAL" w:hAnsi="ARIAL"/>
                <w:sz w:val="20"/>
              </w:rPr>
              <w:t xml:space="preserve">Continuing achievement of excellent management of working capital. </w:t>
            </w:r>
          </w:p>
        </w:tc>
      </w:tr>
    </w:tbl>
    <w:p>
      <w:pPr>
        <w:pStyle w:val="TextBody"/>
        <w:spacing w:before="0" w:after="0"/>
        <w:jc w:val="left"/>
        <w:rPr/>
      </w:pPr>
      <w:r>
        <w:rPr/>
        <w:t> </w:t>
      </w:r>
    </w:p>
    <w:tbl>
      <w:tblPr>
        <w:tblW w:w="5800" w:type="dxa"/>
        <w:jc w:val="left"/>
        <w:tblInd w:w="0" w:type="dxa"/>
        <w:tblCellMar>
          <w:top w:w="0" w:type="dxa"/>
          <w:left w:w="0" w:type="dxa"/>
          <w:bottom w:w="0" w:type="dxa"/>
          <w:right w:w="0" w:type="dxa"/>
        </w:tblCellMar>
      </w:tblPr>
      <w:tblGrid>
        <w:gridCol w:w="125"/>
        <w:gridCol w:w="60"/>
        <w:gridCol w:w="561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5615"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successful organic and inorganic growth of Martin Marietta. </w:t>
            </w:r>
          </w:p>
        </w:tc>
      </w:tr>
    </w:tbl>
    <w:p>
      <w:pPr>
        <w:pStyle w:val="TextBody"/>
        <w:spacing w:before="0" w:after="0"/>
        <w:jc w:val="left"/>
        <w:rPr/>
      </w:pPr>
      <w:r>
        <w:rPr/>
        <w:t> </w:t>
      </w:r>
    </w:p>
    <w:tbl>
      <w:tblPr>
        <w:tblW w:w="6610" w:type="dxa"/>
        <w:jc w:val="left"/>
        <w:tblInd w:w="0" w:type="dxa"/>
        <w:tblCellMar>
          <w:top w:w="0" w:type="dxa"/>
          <w:left w:w="0" w:type="dxa"/>
          <w:bottom w:w="0" w:type="dxa"/>
          <w:right w:w="0" w:type="dxa"/>
        </w:tblCellMar>
      </w:tblPr>
      <w:tblGrid>
        <w:gridCol w:w="125"/>
        <w:gridCol w:w="60"/>
        <w:gridCol w:w="642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425" w:type="dxa"/>
            <w:tcBorders/>
            <w:shd w:fill="auto" w:val="clear"/>
            <w:vAlign w:val="center"/>
          </w:tcPr>
          <w:p>
            <w:pPr>
              <w:pStyle w:val="TableContents"/>
              <w:spacing w:before="0" w:after="0"/>
              <w:jc w:val="left"/>
              <w:rPr>
                <w:rFonts w:ascii="ARIAL" w:hAnsi="ARIAL"/>
                <w:sz w:val="20"/>
              </w:rPr>
            </w:pPr>
            <w:r>
              <w:rPr>
                <w:rFonts w:ascii="ARIAL" w:hAnsi="ARIAL"/>
                <w:sz w:val="20"/>
              </w:rPr>
              <w:t xml:space="preserve">Execution of our talent management and succession planning strategies. </w:t>
            </w:r>
          </w:p>
        </w:tc>
      </w:tr>
    </w:tbl>
    <w:p>
      <w:pPr>
        <w:pStyle w:val="TextBody"/>
        <w:spacing w:before="240" w:after="0"/>
        <w:jc w:val="left"/>
        <w:rPr>
          <w:rFonts w:ascii="ARIAL" w:hAnsi="ARIAL"/>
          <w:sz w:val="20"/>
        </w:rPr>
      </w:pPr>
      <w:r>
        <w:rPr>
          <w:rFonts w:ascii="ARIAL" w:hAnsi="ARIAL"/>
          <w:sz w:val="20"/>
        </w:rPr>
        <w:t xml:space="preserve">The Company’s exceptional performance in 2022 resulted in strong payouts and reinforces our pay-for-performance strategy which aligns our performance with management’s pay and with shareholders’ interests. </w:t>
      </w:r>
    </w:p>
    <w:p>
      <w:pPr>
        <w:pStyle w:val="TextBody"/>
        <w:spacing w:before="240" w:after="0"/>
        <w:jc w:val="left"/>
        <w:rPr>
          <w:rFonts w:ascii="ARIAL" w:hAnsi="ARIAL"/>
          <w:sz w:val="20"/>
        </w:rPr>
      </w:pPr>
      <w:r>
        <w:rPr>
          <w:rFonts w:ascii="ARIAL" w:hAnsi="ARIAL"/>
          <w:sz w:val="20"/>
        </w:rPr>
        <w:t xml:space="preserve">We also want to continuously ensure that our Company and business model are resilient and robust to survive and thrive under all challenging circumstances, regardless of whether they are predictable or within management’s control. In this regard, the Committee developed a </w:t>
      </w:r>
      <w:r>
        <w:rPr>
          <w:rFonts w:ascii="ARIAL" w:hAnsi="ARIAL"/>
          <w:b/>
          <w:sz w:val="20"/>
        </w:rPr>
        <w:t xml:space="preserve">Resilience Scorecard </w:t>
      </w:r>
      <w:r>
        <w:rPr>
          <w:rFonts w:ascii="ARIAL" w:hAnsi="ARIAL"/>
          <w:sz w:val="20"/>
        </w:rPr>
        <w:t xml:space="preserve">in 2020 that includes the key criteria described in the chart below that in our view measure our company’s ability to remain strong through severe, unexpected circumstances, as well as assessing management’s actions and whether they were appropriate in responding to and managing through extraordinary events such as the COVID-19 pandemic. The Resilience Scorecard allows the Committee to apply a multiplier of 0.75x to 1.25x to management’s annual award that would be otherwise based on pre-event factors. These qualitative factors are important to position the Company to minimize the adverse impact from these unexpected events.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52</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0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87" descr=""/>
                          <pic:cNvPicPr>
                            <a:picLocks noChangeAspect="1" noChangeArrowheads="1"/>
                          </pic:cNvPicPr>
                        </pic:nvPicPr>
                        <pic:blipFill>
                          <a:blip r:embed="rId18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SUMMARY OF OUR COMPENSATION CONSIDERATIONS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While it was introduced in the context of the COVID-19 pandemic, we believe this scorecard is valuable to us under all circumstances. </w:t>
      </w:r>
      <w:r>
        <w:rPr>
          <w:rFonts w:ascii="ARIAL" w:hAnsi="ARIAL"/>
          <w:b/>
          <w:color w:val="007CBA"/>
          <w:sz w:val="20"/>
        </w:rPr>
        <w:t>The Committee has determined not to apply any multiplier in the Resilience Scorecard to management’s executive compensation in 2022, nor did it make any adjustments to our compensation based on the scorecard.</w:t>
      </w:r>
      <w:r>
        <w:rPr>
          <w:rFonts w:ascii="ARIAL" w:hAnsi="ARIAL"/>
          <w:sz w:val="20"/>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48"/>
        <w:gridCol w:w="120"/>
        <w:gridCol w:w="7437"/>
      </w:tblGrid>
      <w:tr>
        <w:trPr/>
        <w:tc>
          <w:tcPr>
            <w:tcW w:w="26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37" w:type="dxa"/>
            <w:tcBorders/>
            <w:shd w:fill="auto" w:val="clear"/>
            <w:vAlign w:val="center"/>
          </w:tcPr>
          <w:p>
            <w:pPr>
              <w:pStyle w:val="TableContents"/>
              <w:spacing w:before="0" w:after="283"/>
              <w:rPr>
                <w:sz w:val="4"/>
                <w:szCs w:val="4"/>
              </w:rPr>
            </w:pPr>
            <w:r>
              <w:rPr>
                <w:sz w:val="4"/>
                <w:szCs w:val="4"/>
              </w:rPr>
            </w:r>
          </w:p>
        </w:tc>
      </w:tr>
      <w:tr>
        <w:trPr/>
        <w:tc>
          <w:tcPr>
            <w:tcW w:w="2648" w:type="dxa"/>
            <w:tcBorders/>
            <w:shd w:fill="auto" w:val="clear"/>
            <w:vAlign w:val="center"/>
          </w:tcPr>
          <w:p>
            <w:pPr>
              <w:pStyle w:val="TableContents"/>
              <w:spacing w:before="0" w:after="283"/>
              <w:rPr>
                <w:sz w:val="4"/>
                <w:szCs w:val="4"/>
              </w:rPr>
            </w:pPr>
            <w:r>
              <w:rPr>
                <w:sz w:val="4"/>
                <w:szCs w:val="4"/>
              </w:rPr>
            </w:r>
          </w:p>
        </w:tc>
        <w:tc>
          <w:tcPr>
            <w:tcW w:w="7557" w:type="dxa"/>
            <w:gridSpan w:val="2"/>
            <w:tcBorders/>
            <w:shd w:fill="auto" w:val="clear"/>
            <w:vAlign w:val="center"/>
          </w:tcPr>
          <w:p>
            <w:pPr>
              <w:pStyle w:val="TableContents"/>
              <w:spacing w:before="0" w:after="283"/>
              <w:rPr>
                <w:sz w:val="4"/>
                <w:szCs w:val="4"/>
              </w:rPr>
            </w:pPr>
            <w:r>
              <w:rPr>
                <w:sz w:val="4"/>
                <w:szCs w:val="4"/>
              </w:rPr>
            </w:r>
          </w:p>
        </w:tc>
      </w:tr>
      <w:tr>
        <w:trPr/>
        <w:tc>
          <w:tcPr>
            <w:tcW w:w="2648" w:type="dxa"/>
            <w:tcBorders>
              <w:bottom w:val="single" w:sz="6" w:space="0" w:color="007CBA"/>
            </w:tcBorders>
            <w:shd w:fill="auto" w:val="clear"/>
            <w:tcMar>
              <w:bottom w:w="80" w:type="dxa"/>
            </w:tcMar>
            <w:vAlign w:val="center"/>
          </w:tcPr>
          <w:p>
            <w:pPr>
              <w:pStyle w:val="TableContents"/>
              <w:spacing w:before="0" w:after="0"/>
              <w:rPr>
                <w:rFonts w:ascii="ARIAL" w:hAnsi="ARIAL"/>
                <w:b/>
                <w:color w:val="71BE9A"/>
                <w:sz w:val="26"/>
              </w:rPr>
            </w:pPr>
            <w:r>
              <w:rPr>
                <w:rFonts w:ascii="ARIAL" w:hAnsi="ARIAL"/>
                <w:b/>
                <w:color w:val="71BE9A"/>
                <w:sz w:val="26"/>
              </w:rPr>
              <w:t>Category</w:t>
            </w:r>
          </w:p>
        </w:tc>
        <w:tc>
          <w:tcPr>
            <w:tcW w:w="120" w:type="dxa"/>
            <w:tcBorders>
              <w:bottom w:val="single" w:sz="6" w:space="0" w:color="007CBA"/>
            </w:tcBorders>
            <w:shd w:fill="auto" w:val="clear"/>
            <w:tcMar>
              <w:bottom w:w="28" w:type="dxa"/>
            </w:tcMar>
            <w:vAlign w:val="center"/>
          </w:tcPr>
          <w:p>
            <w:pPr>
              <w:pStyle w:val="TableContents"/>
              <w:spacing w:before="0" w:after="283"/>
              <w:rPr/>
            </w:pPr>
            <w:r>
              <w:rPr/>
              <w:t>  </w:t>
            </w:r>
          </w:p>
        </w:tc>
        <w:tc>
          <w:tcPr>
            <w:tcW w:w="7437" w:type="dxa"/>
            <w:tcBorders>
              <w:bottom w:val="single" w:sz="6" w:space="0" w:color="007CBA"/>
            </w:tcBorders>
            <w:shd w:fill="auto" w:val="clear"/>
            <w:tcMar>
              <w:bottom w:w="80" w:type="dxa"/>
            </w:tcMar>
            <w:vAlign w:val="center"/>
          </w:tcPr>
          <w:p>
            <w:pPr>
              <w:pStyle w:val="TableContents"/>
              <w:spacing w:before="0" w:after="283"/>
              <w:rPr>
                <w:b/>
                <w:color w:val="71BE9A"/>
              </w:rPr>
            </w:pPr>
            <w:r>
              <w:rPr>
                <w:b/>
                <w:color w:val="71BE9A"/>
              </w:rPr>
              <w:t>Resilience Assessment Criteria</w:t>
            </w:r>
          </w:p>
        </w:tc>
      </w:tr>
      <w:tr>
        <w:trPr/>
        <w:tc>
          <w:tcPr>
            <w:tcW w:w="2648" w:type="dxa"/>
            <w:tcBorders/>
            <w:shd w:fill="auto" w:val="clear"/>
            <w:vAlign w:val="center"/>
          </w:tcPr>
          <w:p>
            <w:pPr>
              <w:pStyle w:val="TableContents"/>
              <w:spacing w:before="0" w:after="283"/>
              <w:rPr>
                <w:sz w:val="4"/>
                <w:szCs w:val="4"/>
              </w:rPr>
            </w:pPr>
            <w:r>
              <w:rPr>
                <w:sz w:val="4"/>
                <w:szCs w:val="4"/>
              </w:rPr>
            </w:r>
          </w:p>
        </w:tc>
        <w:tc>
          <w:tcPr>
            <w:tcW w:w="7557" w:type="dxa"/>
            <w:gridSpan w:val="2"/>
            <w:tcBorders/>
            <w:shd w:fill="auto" w:val="clear"/>
            <w:vAlign w:val="center"/>
          </w:tcPr>
          <w:p>
            <w:pPr>
              <w:pStyle w:val="TableContents"/>
              <w:spacing w:before="0" w:after="283"/>
              <w:rPr>
                <w:sz w:val="4"/>
                <w:szCs w:val="4"/>
              </w:rPr>
            </w:pPr>
            <w:r>
              <w:rPr>
                <w:sz w:val="4"/>
                <w:szCs w:val="4"/>
              </w:rPr>
            </w:r>
          </w:p>
        </w:tc>
      </w:tr>
      <w:tr>
        <w:trPr/>
        <w:tc>
          <w:tcPr>
            <w:tcW w:w="264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1. Employees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7437" w:type="dxa"/>
            <w:tcBorders>
              <w:bottom w:val="single" w:sz="6" w:space="0" w:color="000000"/>
            </w:tcBorders>
            <w:shd w:fill="auto" w:val="clear"/>
            <w:tcMar>
              <w:bottom w:w="120" w:type="dxa"/>
            </w:tcMar>
            <w:vAlign w:val="center"/>
          </w:tcPr>
          <w:p>
            <w:pPr>
              <w:pStyle w:val="TableContents"/>
              <w:spacing w:before="0" w:after="0"/>
              <w:rPr/>
            </w:pPr>
            <w:r>
              <w:rPr>
                <w:color w:val="007CBA"/>
              </w:rPr>
              <w:t>•</w:t>
            </w:r>
            <w:r>
              <w:rPr/>
              <w:t>  </w:t>
            </w:r>
            <w:r>
              <w:rPr>
                <w:rFonts w:ascii="ARIAL" w:hAnsi="ARIAL"/>
                <w:sz w:val="20"/>
              </w:rPr>
              <w:t>Act effectively to keep employees safe and productive through appropriate protocols, consistent with medical and occupational experts, including cleaning protocols, access to vaccinations, education and other programs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Effectively and promptly communicate and manage guidance and instructions, change and disruption to employees through communications, digital boards, direct emails, and other outreach</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Significantly enhanced the pension benefit for hourly employees to strengthen our employee retention efforts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Offer opportunities for continued employee growth, development, retention and engagement</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Execute the successful integration of recent acquisitions while successfully completing the divestitures of non-core Ready-Mix and Cement operations</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Maintain successful employee attraction and retention results in the face of a significantly challenging employment environment</w:t>
            </w:r>
          </w:p>
        </w:tc>
      </w:tr>
      <w:tr>
        <w:trPr/>
        <w:tc>
          <w:tcPr>
            <w:tcW w:w="2648" w:type="dxa"/>
            <w:tcBorders/>
            <w:shd w:fill="auto" w:val="clear"/>
            <w:vAlign w:val="center"/>
          </w:tcPr>
          <w:p>
            <w:pPr>
              <w:pStyle w:val="TableContents"/>
              <w:spacing w:before="0" w:after="283"/>
              <w:rPr>
                <w:sz w:val="4"/>
                <w:szCs w:val="4"/>
              </w:rPr>
            </w:pPr>
            <w:r>
              <w:rPr>
                <w:sz w:val="4"/>
                <w:szCs w:val="4"/>
              </w:rPr>
            </w:r>
          </w:p>
        </w:tc>
        <w:tc>
          <w:tcPr>
            <w:tcW w:w="7557" w:type="dxa"/>
            <w:gridSpan w:val="2"/>
            <w:tcBorders/>
            <w:shd w:fill="auto" w:val="clear"/>
            <w:vAlign w:val="center"/>
          </w:tcPr>
          <w:p>
            <w:pPr>
              <w:pStyle w:val="TableContents"/>
              <w:spacing w:before="0" w:after="283"/>
              <w:rPr>
                <w:sz w:val="4"/>
                <w:szCs w:val="4"/>
              </w:rPr>
            </w:pPr>
            <w:r>
              <w:rPr>
                <w:sz w:val="4"/>
                <w:szCs w:val="4"/>
              </w:rPr>
            </w:r>
          </w:p>
        </w:tc>
      </w:tr>
      <w:tr>
        <w:trPr/>
        <w:tc>
          <w:tcPr>
            <w:tcW w:w="264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2. Operations &amp; Commercial Excellence</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7437" w:type="dxa"/>
            <w:tcBorders>
              <w:bottom w:val="single" w:sz="6" w:space="0" w:color="000000"/>
            </w:tcBorders>
            <w:shd w:fill="auto" w:val="clear"/>
            <w:tcMar>
              <w:bottom w:w="120" w:type="dxa"/>
            </w:tcMar>
            <w:vAlign w:val="center"/>
          </w:tcPr>
          <w:p>
            <w:pPr>
              <w:pStyle w:val="TableContents"/>
              <w:spacing w:before="0" w:after="0"/>
              <w:rPr/>
            </w:pPr>
            <w:r>
              <w:rPr>
                <w:color w:val="007CBA"/>
              </w:rPr>
              <w:t>•</w:t>
            </w:r>
            <w:r>
              <w:rPr/>
              <w:t>  </w:t>
            </w:r>
            <w:r>
              <w:rPr>
                <w:rFonts w:ascii="ARIAL" w:hAnsi="ARIAL"/>
                <w:sz w:val="20"/>
              </w:rPr>
              <w:t>Management response to a continued challenging supply chain environment (related to the pandemic, the Texas freeze, logistics slowdowns, recessionary environment, and other factors)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Effectively managed a highly inflationary environment through a product pricing strategy that ensures that the value for our products is properly captured while seeking to reduce the supply chain inflationary impact</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Take steps to appropriately manage fixed and variables costs</w:t>
            </w:r>
          </w:p>
        </w:tc>
      </w:tr>
      <w:tr>
        <w:trPr/>
        <w:tc>
          <w:tcPr>
            <w:tcW w:w="2648" w:type="dxa"/>
            <w:tcBorders/>
            <w:shd w:fill="auto" w:val="clear"/>
            <w:vAlign w:val="center"/>
          </w:tcPr>
          <w:p>
            <w:pPr>
              <w:pStyle w:val="TableContents"/>
              <w:spacing w:before="0" w:after="283"/>
              <w:rPr>
                <w:sz w:val="4"/>
                <w:szCs w:val="4"/>
              </w:rPr>
            </w:pPr>
            <w:r>
              <w:rPr>
                <w:sz w:val="4"/>
                <w:szCs w:val="4"/>
              </w:rPr>
            </w:r>
          </w:p>
        </w:tc>
        <w:tc>
          <w:tcPr>
            <w:tcW w:w="7557" w:type="dxa"/>
            <w:gridSpan w:val="2"/>
            <w:tcBorders/>
            <w:shd w:fill="auto" w:val="clear"/>
            <w:vAlign w:val="center"/>
          </w:tcPr>
          <w:p>
            <w:pPr>
              <w:pStyle w:val="TableContents"/>
              <w:spacing w:before="0" w:after="283"/>
              <w:rPr>
                <w:sz w:val="4"/>
                <w:szCs w:val="4"/>
              </w:rPr>
            </w:pPr>
            <w:r>
              <w:rPr>
                <w:sz w:val="4"/>
                <w:szCs w:val="4"/>
              </w:rPr>
            </w:r>
          </w:p>
        </w:tc>
      </w:tr>
      <w:tr>
        <w:trPr/>
        <w:tc>
          <w:tcPr>
            <w:tcW w:w="264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3. Financial</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7437" w:type="dxa"/>
            <w:tcBorders>
              <w:bottom w:val="single" w:sz="6" w:space="0" w:color="000000"/>
            </w:tcBorders>
            <w:shd w:fill="auto" w:val="clear"/>
            <w:tcMar>
              <w:bottom w:w="120" w:type="dxa"/>
            </w:tcMar>
            <w:vAlign w:val="center"/>
          </w:tcPr>
          <w:p>
            <w:pPr>
              <w:pStyle w:val="TableContents"/>
              <w:spacing w:before="0" w:after="0"/>
              <w:rPr/>
            </w:pPr>
            <w:r>
              <w:rPr>
                <w:color w:val="007CBA"/>
              </w:rPr>
              <w:t>•</w:t>
            </w:r>
            <w:r>
              <w:rPr/>
              <w:t>  </w:t>
            </w:r>
            <w:r>
              <w:rPr>
                <w:rFonts w:ascii="ARIAL" w:hAnsi="ARIAL"/>
                <w:sz w:val="20"/>
              </w:rPr>
              <w:t>Optimize revenues and cash management/liquidity without jeopardizing the future</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Protect the balance sheet and allocate capital responsibly, including with regard to internal projects, transactions, dividends, debt and share repurchases</w:t>
            </w:r>
          </w:p>
        </w:tc>
      </w:tr>
      <w:tr>
        <w:trPr/>
        <w:tc>
          <w:tcPr>
            <w:tcW w:w="2648" w:type="dxa"/>
            <w:tcBorders/>
            <w:shd w:fill="auto" w:val="clear"/>
            <w:vAlign w:val="center"/>
          </w:tcPr>
          <w:p>
            <w:pPr>
              <w:pStyle w:val="TableContents"/>
              <w:spacing w:before="0" w:after="283"/>
              <w:rPr>
                <w:sz w:val="4"/>
                <w:szCs w:val="4"/>
              </w:rPr>
            </w:pPr>
            <w:r>
              <w:rPr>
                <w:sz w:val="4"/>
                <w:szCs w:val="4"/>
              </w:rPr>
            </w:r>
          </w:p>
        </w:tc>
        <w:tc>
          <w:tcPr>
            <w:tcW w:w="7557" w:type="dxa"/>
            <w:gridSpan w:val="2"/>
            <w:tcBorders/>
            <w:shd w:fill="auto" w:val="clear"/>
            <w:vAlign w:val="center"/>
          </w:tcPr>
          <w:p>
            <w:pPr>
              <w:pStyle w:val="TableContents"/>
              <w:spacing w:before="0" w:after="283"/>
              <w:rPr>
                <w:sz w:val="4"/>
                <w:szCs w:val="4"/>
              </w:rPr>
            </w:pPr>
            <w:r>
              <w:rPr>
                <w:sz w:val="4"/>
                <w:szCs w:val="4"/>
              </w:rPr>
            </w:r>
          </w:p>
        </w:tc>
      </w:tr>
      <w:tr>
        <w:trPr/>
        <w:tc>
          <w:tcPr>
            <w:tcW w:w="264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4. Customers/</w:t>
              <w:br/>
              <w:t>Suppliers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7437" w:type="dxa"/>
            <w:tcBorders>
              <w:bottom w:val="single" w:sz="6" w:space="0" w:color="000000"/>
            </w:tcBorders>
            <w:shd w:fill="auto" w:val="clear"/>
            <w:tcMar>
              <w:bottom w:w="120" w:type="dxa"/>
            </w:tcMar>
            <w:vAlign w:val="center"/>
          </w:tcPr>
          <w:p>
            <w:pPr>
              <w:pStyle w:val="TableContents"/>
              <w:spacing w:before="0" w:after="0"/>
              <w:rPr/>
            </w:pPr>
            <w:r>
              <w:rPr>
                <w:color w:val="007CBA"/>
              </w:rPr>
              <w:t>•</w:t>
            </w:r>
            <w:r>
              <w:rPr/>
              <w:t>  </w:t>
            </w:r>
            <w:r>
              <w:rPr>
                <w:rFonts w:ascii="ARIAL" w:hAnsi="ARIAL"/>
                <w:sz w:val="20"/>
              </w:rPr>
              <w:t>Ensure on-time delivery and completion of projects during global supply chain disruptions or other unusual events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Effectively manage inventory to satisfy customer needs</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Communicate operating status and preventative measures being taken during extraordinary events</w:t>
            </w:r>
          </w:p>
        </w:tc>
      </w:tr>
      <w:tr>
        <w:trPr/>
        <w:tc>
          <w:tcPr>
            <w:tcW w:w="2648" w:type="dxa"/>
            <w:tcBorders/>
            <w:shd w:fill="auto" w:val="clear"/>
            <w:vAlign w:val="center"/>
          </w:tcPr>
          <w:p>
            <w:pPr>
              <w:pStyle w:val="TableContents"/>
              <w:spacing w:before="0" w:after="283"/>
              <w:rPr>
                <w:sz w:val="4"/>
                <w:szCs w:val="4"/>
              </w:rPr>
            </w:pPr>
            <w:r>
              <w:rPr>
                <w:sz w:val="4"/>
                <w:szCs w:val="4"/>
              </w:rPr>
            </w:r>
          </w:p>
        </w:tc>
        <w:tc>
          <w:tcPr>
            <w:tcW w:w="7557" w:type="dxa"/>
            <w:gridSpan w:val="2"/>
            <w:tcBorders/>
            <w:shd w:fill="auto" w:val="clear"/>
            <w:vAlign w:val="center"/>
          </w:tcPr>
          <w:p>
            <w:pPr>
              <w:pStyle w:val="TableContents"/>
              <w:spacing w:before="0" w:after="283"/>
              <w:rPr>
                <w:sz w:val="4"/>
                <w:szCs w:val="4"/>
              </w:rPr>
            </w:pPr>
            <w:r>
              <w:rPr>
                <w:sz w:val="4"/>
                <w:szCs w:val="4"/>
              </w:rPr>
            </w:r>
          </w:p>
        </w:tc>
      </w:tr>
      <w:tr>
        <w:trPr/>
        <w:tc>
          <w:tcPr>
            <w:tcW w:w="264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5. Strategy</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7437" w:type="dxa"/>
            <w:tcBorders>
              <w:bottom w:val="single" w:sz="6" w:space="0" w:color="000000"/>
            </w:tcBorders>
            <w:shd w:fill="auto" w:val="clear"/>
            <w:tcMar>
              <w:bottom w:w="120" w:type="dxa"/>
            </w:tcMar>
            <w:vAlign w:val="center"/>
          </w:tcPr>
          <w:p>
            <w:pPr>
              <w:pStyle w:val="TableContents"/>
              <w:spacing w:before="0" w:after="0"/>
              <w:rPr/>
            </w:pPr>
            <w:r>
              <w:rPr>
                <w:color w:val="007CBA"/>
              </w:rPr>
              <w:t>•</w:t>
            </w:r>
            <w:r>
              <w:rPr/>
              <w:t>  </w:t>
            </w:r>
            <w:r>
              <w:rPr>
                <w:rFonts w:ascii="ARIAL" w:hAnsi="ARIAL"/>
                <w:sz w:val="20"/>
              </w:rPr>
              <w:t>Successful execution of M&amp;A actions and SOAR</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Maintaining Company long-term vision and strategic direction</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Actions taken to ensure continuation and execution of strategic transactions</w:t>
            </w:r>
          </w:p>
        </w:tc>
      </w:tr>
      <w:tr>
        <w:trPr/>
        <w:tc>
          <w:tcPr>
            <w:tcW w:w="2648" w:type="dxa"/>
            <w:tcBorders/>
            <w:shd w:fill="auto" w:val="clear"/>
            <w:vAlign w:val="center"/>
          </w:tcPr>
          <w:p>
            <w:pPr>
              <w:pStyle w:val="TableContents"/>
              <w:spacing w:before="0" w:after="283"/>
              <w:rPr>
                <w:sz w:val="4"/>
                <w:szCs w:val="4"/>
              </w:rPr>
            </w:pPr>
            <w:r>
              <w:rPr>
                <w:sz w:val="4"/>
                <w:szCs w:val="4"/>
              </w:rPr>
            </w:r>
          </w:p>
        </w:tc>
        <w:tc>
          <w:tcPr>
            <w:tcW w:w="7557" w:type="dxa"/>
            <w:gridSpan w:val="2"/>
            <w:tcBorders/>
            <w:shd w:fill="auto" w:val="clear"/>
            <w:vAlign w:val="center"/>
          </w:tcPr>
          <w:p>
            <w:pPr>
              <w:pStyle w:val="TableContents"/>
              <w:spacing w:before="0" w:after="283"/>
              <w:rPr>
                <w:sz w:val="4"/>
                <w:szCs w:val="4"/>
              </w:rPr>
            </w:pPr>
            <w:r>
              <w:rPr>
                <w:sz w:val="4"/>
                <w:szCs w:val="4"/>
              </w:rPr>
            </w:r>
          </w:p>
        </w:tc>
      </w:tr>
      <w:tr>
        <w:trPr/>
        <w:tc>
          <w:tcPr>
            <w:tcW w:w="264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6. Stakeholder Engagement</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7437" w:type="dxa"/>
            <w:tcBorders>
              <w:bottom w:val="single" w:sz="6" w:space="0" w:color="000000"/>
            </w:tcBorders>
            <w:shd w:fill="auto" w:val="clear"/>
            <w:tcMar>
              <w:bottom w:w="120" w:type="dxa"/>
            </w:tcMar>
            <w:vAlign w:val="center"/>
          </w:tcPr>
          <w:p>
            <w:pPr>
              <w:pStyle w:val="TableContents"/>
              <w:spacing w:before="0" w:after="0"/>
              <w:rPr/>
            </w:pPr>
            <w:r>
              <w:rPr>
                <w:color w:val="007CBA"/>
              </w:rPr>
              <w:t>•</w:t>
            </w:r>
            <w:r>
              <w:rPr/>
              <w:t>  </w:t>
            </w:r>
            <w:r>
              <w:rPr>
                <w:rFonts w:ascii="ARIAL" w:hAnsi="ARIAL"/>
                <w:sz w:val="20"/>
              </w:rPr>
              <w:t>Leadership effectiveness</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Frequently communicate and engage with the Board to keep them well-informed and ensuring questions are answered</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Engage in open dialogue and transparency with shareholders, analysts, potential investors and other stakeholders</w:t>
            </w:r>
          </w:p>
        </w:tc>
      </w:tr>
      <w:tr>
        <w:trPr/>
        <w:tc>
          <w:tcPr>
            <w:tcW w:w="2648" w:type="dxa"/>
            <w:tcBorders/>
            <w:shd w:fill="auto" w:val="clear"/>
            <w:vAlign w:val="center"/>
          </w:tcPr>
          <w:p>
            <w:pPr>
              <w:pStyle w:val="TableContents"/>
              <w:spacing w:before="0" w:after="283"/>
              <w:rPr>
                <w:sz w:val="4"/>
                <w:szCs w:val="4"/>
              </w:rPr>
            </w:pPr>
            <w:r>
              <w:rPr>
                <w:sz w:val="4"/>
                <w:szCs w:val="4"/>
              </w:rPr>
            </w:r>
          </w:p>
        </w:tc>
        <w:tc>
          <w:tcPr>
            <w:tcW w:w="7557" w:type="dxa"/>
            <w:gridSpan w:val="2"/>
            <w:tcBorders/>
            <w:shd w:fill="auto" w:val="clear"/>
            <w:vAlign w:val="center"/>
          </w:tcPr>
          <w:p>
            <w:pPr>
              <w:pStyle w:val="TableContents"/>
              <w:spacing w:before="0" w:after="283"/>
              <w:rPr>
                <w:sz w:val="4"/>
                <w:szCs w:val="4"/>
              </w:rPr>
            </w:pPr>
            <w:r>
              <w:rPr>
                <w:sz w:val="4"/>
                <w:szCs w:val="4"/>
              </w:rPr>
            </w:r>
          </w:p>
        </w:tc>
      </w:tr>
      <w:tr>
        <w:trPr/>
        <w:tc>
          <w:tcPr>
            <w:tcW w:w="264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18"/>
              </w:rPr>
            </w:pPr>
            <w:r>
              <w:rPr>
                <w:rFonts w:ascii="ARIAL" w:hAnsi="ARIAL"/>
                <w:b/>
                <w:color w:val="007CBA"/>
                <w:sz w:val="18"/>
              </w:rPr>
              <w:t>7. ESG</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7437" w:type="dxa"/>
            <w:tcBorders>
              <w:bottom w:val="single" w:sz="6" w:space="0" w:color="000000"/>
            </w:tcBorders>
            <w:shd w:fill="auto" w:val="clear"/>
            <w:tcMar>
              <w:bottom w:w="120" w:type="dxa"/>
            </w:tcMar>
            <w:vAlign w:val="center"/>
          </w:tcPr>
          <w:p>
            <w:pPr>
              <w:pStyle w:val="TableContents"/>
              <w:spacing w:before="0" w:after="0"/>
              <w:rPr/>
            </w:pPr>
            <w:r>
              <w:rPr>
                <w:color w:val="007CBA"/>
              </w:rPr>
              <w:t>•</w:t>
            </w:r>
            <w:r>
              <w:rPr/>
              <w:t>  </w:t>
            </w:r>
            <w:r>
              <w:rPr>
                <w:rFonts w:ascii="ARIAL" w:hAnsi="ARIAL"/>
                <w:sz w:val="20"/>
              </w:rPr>
              <w:t>Community outreach efforts (disaster preparedness support, corporate giving)</w:t>
            </w:r>
          </w:p>
          <w:p>
            <w:pPr>
              <w:pStyle w:val="TableContents"/>
              <w:spacing w:before="0" w:after="0"/>
              <w:rPr/>
            </w:pPr>
            <w:r>
              <w:rPr/>
              <w:t> </w:t>
            </w:r>
          </w:p>
          <w:p>
            <w:pPr>
              <w:pStyle w:val="TableContents"/>
              <w:spacing w:before="0" w:after="0"/>
              <w:rPr/>
            </w:pPr>
            <w:r>
              <w:rPr>
                <w:color w:val="007CBA"/>
              </w:rPr>
              <w:t>•</w:t>
            </w:r>
            <w:r>
              <w:rPr/>
              <w:t>  </w:t>
            </w:r>
            <w:r>
              <w:rPr>
                <w:rFonts w:ascii="ARIAL" w:hAnsi="ARIAL"/>
                <w:sz w:val="20"/>
              </w:rPr>
              <w:t>Focus on safety, as well as health of employees, customers and visitors</w:t>
            </w:r>
          </w:p>
          <w:p>
            <w:pPr>
              <w:pStyle w:val="TableContents"/>
              <w:spacing w:before="0" w:after="0"/>
              <w:rPr/>
            </w:pPr>
            <w:r>
              <w:rPr/>
              <w:t> </w:t>
            </w:r>
          </w:p>
          <w:p>
            <w:pPr>
              <w:pStyle w:val="TableContents"/>
              <w:spacing w:before="0" w:after="20"/>
              <w:rPr/>
            </w:pPr>
            <w:r>
              <w:rPr>
                <w:color w:val="007CBA"/>
              </w:rPr>
              <w:t>•</w:t>
            </w:r>
            <w:r>
              <w:rPr/>
              <w:t>  </w:t>
            </w:r>
            <w:r>
              <w:rPr>
                <w:rFonts w:ascii="ARIAL" w:hAnsi="ARIAL"/>
                <w:sz w:val="20"/>
              </w:rPr>
              <w:t>Environmental compliance and enhanced disclosure and responsiveness regarding sustainability goals</w:t>
            </w:r>
          </w:p>
        </w:tc>
      </w:tr>
      <w:tr>
        <w:trPr/>
        <w:tc>
          <w:tcPr>
            <w:tcW w:w="2648" w:type="dxa"/>
            <w:tcBorders/>
            <w:shd w:fill="auto" w:val="clear"/>
            <w:vAlign w:val="center"/>
          </w:tcPr>
          <w:p>
            <w:pPr>
              <w:pStyle w:val="TableContents"/>
              <w:spacing w:before="0" w:after="283"/>
              <w:rPr>
                <w:sz w:val="4"/>
                <w:szCs w:val="4"/>
              </w:rPr>
            </w:pPr>
            <w:r>
              <w:rPr>
                <w:sz w:val="4"/>
                <w:szCs w:val="4"/>
              </w:rPr>
            </w:r>
          </w:p>
        </w:tc>
        <w:tc>
          <w:tcPr>
            <w:tcW w:w="7557" w:type="dxa"/>
            <w:gridSpan w:val="2"/>
            <w:tcBorders/>
            <w:shd w:fill="auto" w:val="clear"/>
            <w:vAlign w:val="center"/>
          </w:tcPr>
          <w:p>
            <w:pPr>
              <w:pStyle w:val="TableContents"/>
              <w:spacing w:before="0" w:after="283"/>
              <w:rPr>
                <w:sz w:val="4"/>
                <w:szCs w:val="4"/>
              </w:rPr>
            </w:pPr>
            <w:r>
              <w:rPr>
                <w:sz w:val="4"/>
                <w:szCs w:val="4"/>
              </w:rPr>
            </w:r>
          </w:p>
        </w:tc>
      </w:tr>
      <w:tr>
        <w:trPr/>
        <w:tc>
          <w:tcPr>
            <w:tcW w:w="2648" w:type="dxa"/>
            <w:tcBorders/>
            <w:shd w:fill="auto" w:val="clear"/>
            <w:vAlign w:val="center"/>
          </w:tcPr>
          <w:p>
            <w:pPr>
              <w:pStyle w:val="TableContents"/>
              <w:spacing w:before="0" w:after="0"/>
              <w:rPr>
                <w:rFonts w:ascii="ARIAL" w:hAnsi="ARIAL"/>
                <w:b/>
                <w:color w:val="007CBA"/>
                <w:sz w:val="18"/>
              </w:rPr>
            </w:pPr>
            <w:r>
              <w:rPr>
                <w:rFonts w:ascii="ARIAL" w:hAnsi="ARIAL"/>
                <w:b/>
                <w:color w:val="007CBA"/>
                <w:sz w:val="18"/>
              </w:rPr>
              <w:t>Overall</w:t>
            </w:r>
          </w:p>
        </w:tc>
        <w:tc>
          <w:tcPr>
            <w:tcW w:w="120" w:type="dxa"/>
            <w:tcBorders/>
            <w:shd w:fill="auto" w:val="clear"/>
            <w:vAlign w:val="center"/>
          </w:tcPr>
          <w:p>
            <w:pPr>
              <w:pStyle w:val="TableContents"/>
              <w:spacing w:before="0" w:after="283"/>
              <w:rPr/>
            </w:pPr>
            <w:r>
              <w:rPr/>
              <w:t>  </w:t>
            </w:r>
          </w:p>
        </w:tc>
        <w:tc>
          <w:tcPr>
            <w:tcW w:w="7437" w:type="dxa"/>
            <w:tcBorders/>
            <w:shd w:fill="auto" w:val="clear"/>
            <w:vAlign w:val="center"/>
          </w:tcPr>
          <w:p>
            <w:pPr>
              <w:pStyle w:val="TableContents"/>
              <w:spacing w:before="0" w:after="0"/>
              <w:rPr/>
            </w:pPr>
            <w:r>
              <w:rPr>
                <w:color w:val="007CBA"/>
              </w:rPr>
              <w:t>•</w:t>
            </w:r>
            <w:r>
              <w:rPr/>
              <w:t>  </w:t>
            </w:r>
            <w:r>
              <w:rPr>
                <w:rFonts w:ascii="ARIAL" w:hAnsi="ARIAL"/>
                <w:sz w:val="20"/>
              </w:rPr>
              <w:t>Holistic Assessment of the Above Criteria Resulting in Multiplier in Range of 0.75x - 1.25x</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0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8" descr=""/>
                          <pic:cNvPicPr>
                            <a:picLocks noChangeAspect="1" noChangeArrowheads="1"/>
                          </pic:cNvPicPr>
                        </pic:nvPicPr>
                        <pic:blipFill>
                          <a:blip r:embed="rId18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53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PAY DECISIONS AND COMPENSATION GOVERNANCE PRACTICES </w:t>
      </w:r>
    </w:p>
    <w:p>
      <w:pPr>
        <w:pStyle w:val="TextBody"/>
        <w:spacing w:before="0" w:after="0"/>
        <w:jc w:val="left"/>
        <w:rPr/>
      </w:pPr>
      <w:r>
        <w:rPr/>
        <w:t> </w:t>
      </w:r>
    </w:p>
    <w:p>
      <w:pPr>
        <w:pStyle w:val="TextBody"/>
        <w:spacing w:before="0" w:after="0"/>
        <w:jc w:val="left"/>
        <w:rPr>
          <w:rFonts w:ascii="ARIAL" w:hAnsi="ARIAL"/>
          <w:b/>
          <w:color w:val="71BE9A"/>
          <w:sz w:val="26"/>
        </w:rPr>
      </w:pPr>
      <w:bookmarkStart w:id="36" w:name="toc390557_29"/>
      <w:bookmarkEnd w:id="36"/>
      <w:r>
        <w:rPr>
          <w:rFonts w:ascii="ARIAL" w:hAnsi="ARIAL"/>
          <w:b/>
          <w:color w:val="71BE9A"/>
          <w:sz w:val="26"/>
        </w:rPr>
        <w:t xml:space="preserve">Pay Decisions and Compensation Governance Practices </w:t>
      </w:r>
    </w:p>
    <w:p>
      <w:pPr>
        <w:pStyle w:val="TextBody"/>
        <w:spacing w:before="120" w:after="0"/>
        <w:jc w:val="left"/>
        <w:rPr>
          <w:rFonts w:ascii="ARIAL" w:hAnsi="ARIAL"/>
          <w:sz w:val="20"/>
        </w:rPr>
      </w:pPr>
      <w:r>
        <w:rPr>
          <w:rFonts w:ascii="ARIAL" w:hAnsi="ARIAL"/>
          <w:sz w:val="20"/>
        </w:rPr>
        <w:t xml:space="preserve">A number of key 2022 compensation-related decisions resulted from our achievements, which are discussed more fully in this section. The Committee believes that our executive compensation program continues to reflect a strong pay-for-performance philosophy and is well aligned with the interests of shareholders. In addition, we believe that our compensation practices are consistent with our pay decisions.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918"/>
        <w:gridCol w:w="120"/>
        <w:gridCol w:w="8167"/>
      </w:tblGrid>
      <w:tr>
        <w:trPr/>
        <w:tc>
          <w:tcPr>
            <w:tcW w:w="191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67" w:type="dxa"/>
            <w:tcBorders/>
            <w:shd w:fill="auto" w:val="clear"/>
            <w:vAlign w:val="center"/>
          </w:tcPr>
          <w:p>
            <w:pPr>
              <w:pStyle w:val="TableContents"/>
              <w:spacing w:before="0" w:after="283"/>
              <w:rPr>
                <w:sz w:val="4"/>
                <w:szCs w:val="4"/>
              </w:rPr>
            </w:pPr>
            <w:r>
              <w:rPr>
                <w:sz w:val="4"/>
                <w:szCs w:val="4"/>
              </w:rPr>
            </w:r>
          </w:p>
        </w:tc>
      </w:tr>
      <w:tr>
        <w:trPr/>
        <w:tc>
          <w:tcPr>
            <w:tcW w:w="1918" w:type="dxa"/>
            <w:tcBorders>
              <w:bottom w:val="single" w:sz="8" w:space="0" w:color="007CBA"/>
            </w:tcBorders>
            <w:shd w:fill="auto" w:val="clear"/>
            <w:tcMar>
              <w:bottom w:w="28" w:type="dxa"/>
            </w:tcMar>
            <w:vAlign w:val="center"/>
          </w:tcPr>
          <w:p>
            <w:pPr>
              <w:pStyle w:val="TableContents"/>
              <w:spacing w:before="0" w:after="0"/>
              <w:rPr>
                <w:rFonts w:ascii="ARIAL" w:hAnsi="ARIAL"/>
                <w:b/>
                <w:color w:val="71BE9A"/>
                <w:sz w:val="20"/>
              </w:rPr>
            </w:pPr>
            <w:r>
              <w:rPr>
                <w:rFonts w:ascii="ARIAL" w:hAnsi="ARIAL"/>
                <w:b/>
                <w:color w:val="71BE9A"/>
                <w:sz w:val="20"/>
              </w:rPr>
              <w:t>WHAT WE DO</w:t>
            </w:r>
          </w:p>
        </w:tc>
        <w:tc>
          <w:tcPr>
            <w:tcW w:w="120" w:type="dxa"/>
            <w:tcBorders>
              <w:bottom w:val="single" w:sz="8" w:space="0" w:color="007CBA"/>
            </w:tcBorders>
            <w:shd w:fill="auto" w:val="clear"/>
            <w:tcMar>
              <w:bottom w:w="28" w:type="dxa"/>
            </w:tcMar>
            <w:vAlign w:val="center"/>
          </w:tcPr>
          <w:p>
            <w:pPr>
              <w:pStyle w:val="TableContents"/>
              <w:spacing w:before="0" w:after="283"/>
              <w:rPr/>
            </w:pPr>
            <w:r>
              <w:rPr/>
              <w:t>  </w:t>
            </w:r>
          </w:p>
        </w:tc>
        <w:tc>
          <w:tcPr>
            <w:tcW w:w="8167" w:type="dxa"/>
            <w:tcBorders>
              <w:bottom w:val="single" w:sz="8" w:space="0" w:color="007CBA"/>
            </w:tcBorders>
            <w:shd w:fill="auto" w:val="clear"/>
            <w:tcMar>
              <w:bottom w:w="28" w:type="dxa"/>
            </w:tcMar>
            <w:vAlign w:val="center"/>
          </w:tcPr>
          <w:p>
            <w:pPr>
              <w:pStyle w:val="TableContents"/>
              <w:spacing w:before="0" w:after="283"/>
              <w:rPr>
                <w:b/>
                <w:color w:val="71BE9A"/>
              </w:rPr>
            </w:pPr>
            <w:r>
              <w:rPr>
                <w:b/>
                <w:color w:val="71BE9A"/>
              </w:rPr>
              <w:t>YES</w:t>
            </w:r>
          </w:p>
        </w:tc>
      </w:tr>
      <w:tr>
        <w:trPr/>
        <w:tc>
          <w:tcPr>
            <w:tcW w:w="1918" w:type="dxa"/>
            <w:tcBorders/>
            <w:shd w:fill="auto" w:val="clear"/>
            <w:vAlign w:val="center"/>
          </w:tcPr>
          <w:p>
            <w:pPr>
              <w:pStyle w:val="TableContents"/>
              <w:spacing w:before="0" w:after="283"/>
              <w:rPr>
                <w:sz w:val="4"/>
                <w:szCs w:val="4"/>
              </w:rPr>
            </w:pPr>
            <w:r>
              <w:rPr>
                <w:sz w:val="4"/>
                <w:szCs w:val="4"/>
              </w:rPr>
            </w:r>
          </w:p>
        </w:tc>
        <w:tc>
          <w:tcPr>
            <w:tcW w:w="8287" w:type="dxa"/>
            <w:gridSpan w:val="2"/>
            <w:tcBorders/>
            <w:shd w:fill="auto" w:val="clear"/>
            <w:vAlign w:val="center"/>
          </w:tcPr>
          <w:p>
            <w:pPr>
              <w:pStyle w:val="TableContents"/>
              <w:spacing w:before="0" w:after="283"/>
              <w:rPr>
                <w:sz w:val="4"/>
                <w:szCs w:val="4"/>
              </w:rPr>
            </w:pPr>
            <w:r>
              <w:rPr>
                <w:sz w:val="4"/>
                <w:szCs w:val="4"/>
              </w:rPr>
            </w:r>
          </w:p>
        </w:tc>
      </w:tr>
      <w:tr>
        <w:trPr/>
        <w:tc>
          <w:tcPr>
            <w:tcW w:w="191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20"/>
              </w:rPr>
            </w:pPr>
            <w:r>
              <w:rPr>
                <w:rFonts w:ascii="ARIAL" w:hAnsi="ARIAL"/>
                <w:b/>
                <w:color w:val="007CBA"/>
                <w:sz w:val="20"/>
              </w:rPr>
              <w:t>Pay for performance</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167" w:type="dxa"/>
            <w:tcBorders>
              <w:bottom w:val="single" w:sz="6" w:space="0" w:color="000000"/>
            </w:tcBorders>
            <w:shd w:fill="auto" w:val="clear"/>
            <w:tcMar>
              <w:bottom w:w="120" w:type="dxa"/>
            </w:tcMar>
            <w:vAlign w:val="center"/>
          </w:tcPr>
          <w:p>
            <w:pPr>
              <w:pStyle w:val="TableContents"/>
              <w:spacing w:before="0" w:after="283"/>
              <w:rPr/>
            </w:pPr>
            <w:r>
              <w:rPr/>
              <w:t>Tie pay to performance by ensuring that a significant portion of NEO compensation is performance-based and at-risk.</w:t>
            </w:r>
          </w:p>
        </w:tc>
      </w:tr>
      <w:tr>
        <w:trPr/>
        <w:tc>
          <w:tcPr>
            <w:tcW w:w="1918" w:type="dxa"/>
            <w:tcBorders/>
            <w:shd w:fill="auto" w:val="clear"/>
            <w:vAlign w:val="center"/>
          </w:tcPr>
          <w:p>
            <w:pPr>
              <w:pStyle w:val="TableContents"/>
              <w:spacing w:before="0" w:after="283"/>
              <w:rPr>
                <w:sz w:val="4"/>
                <w:szCs w:val="4"/>
              </w:rPr>
            </w:pPr>
            <w:r>
              <w:rPr>
                <w:sz w:val="4"/>
                <w:szCs w:val="4"/>
              </w:rPr>
            </w:r>
          </w:p>
        </w:tc>
        <w:tc>
          <w:tcPr>
            <w:tcW w:w="8287" w:type="dxa"/>
            <w:gridSpan w:val="2"/>
            <w:tcBorders/>
            <w:shd w:fill="auto" w:val="clear"/>
            <w:vAlign w:val="center"/>
          </w:tcPr>
          <w:p>
            <w:pPr>
              <w:pStyle w:val="TableContents"/>
              <w:spacing w:before="0" w:after="283"/>
              <w:rPr>
                <w:sz w:val="4"/>
                <w:szCs w:val="4"/>
              </w:rPr>
            </w:pPr>
            <w:r>
              <w:rPr>
                <w:sz w:val="4"/>
                <w:szCs w:val="4"/>
              </w:rPr>
            </w:r>
          </w:p>
        </w:tc>
      </w:tr>
      <w:tr>
        <w:trPr/>
        <w:tc>
          <w:tcPr>
            <w:tcW w:w="191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20"/>
              </w:rPr>
            </w:pPr>
            <w:r>
              <w:rPr>
                <w:rFonts w:ascii="ARIAL" w:hAnsi="ARIAL"/>
                <w:b/>
                <w:color w:val="007CBA"/>
                <w:sz w:val="20"/>
              </w:rPr>
              <w:t>Median compensation targets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167" w:type="dxa"/>
            <w:tcBorders>
              <w:bottom w:val="single" w:sz="6" w:space="0" w:color="000000"/>
            </w:tcBorders>
            <w:shd w:fill="auto" w:val="clear"/>
            <w:tcMar>
              <w:bottom w:w="120" w:type="dxa"/>
            </w:tcMar>
            <w:vAlign w:val="center"/>
          </w:tcPr>
          <w:p>
            <w:pPr>
              <w:pStyle w:val="TableContents"/>
              <w:spacing w:before="0" w:after="283"/>
              <w:rPr/>
            </w:pPr>
            <w:r>
              <w:rPr/>
              <w:t>We generally aim to align all target compensation elements for our executives with the median of our peer group companies.</w:t>
            </w:r>
          </w:p>
        </w:tc>
      </w:tr>
      <w:tr>
        <w:trPr/>
        <w:tc>
          <w:tcPr>
            <w:tcW w:w="1918" w:type="dxa"/>
            <w:tcBorders/>
            <w:shd w:fill="auto" w:val="clear"/>
            <w:vAlign w:val="center"/>
          </w:tcPr>
          <w:p>
            <w:pPr>
              <w:pStyle w:val="TableContents"/>
              <w:spacing w:before="0" w:after="283"/>
              <w:rPr>
                <w:sz w:val="4"/>
                <w:szCs w:val="4"/>
              </w:rPr>
            </w:pPr>
            <w:r>
              <w:rPr>
                <w:sz w:val="4"/>
                <w:szCs w:val="4"/>
              </w:rPr>
            </w:r>
          </w:p>
        </w:tc>
        <w:tc>
          <w:tcPr>
            <w:tcW w:w="8287" w:type="dxa"/>
            <w:gridSpan w:val="2"/>
            <w:tcBorders/>
            <w:shd w:fill="auto" w:val="clear"/>
            <w:vAlign w:val="center"/>
          </w:tcPr>
          <w:p>
            <w:pPr>
              <w:pStyle w:val="TableContents"/>
              <w:spacing w:before="0" w:after="283"/>
              <w:rPr>
                <w:sz w:val="4"/>
                <w:szCs w:val="4"/>
              </w:rPr>
            </w:pPr>
            <w:r>
              <w:rPr>
                <w:sz w:val="4"/>
                <w:szCs w:val="4"/>
              </w:rPr>
            </w:r>
          </w:p>
        </w:tc>
      </w:tr>
      <w:tr>
        <w:trPr/>
        <w:tc>
          <w:tcPr>
            <w:tcW w:w="191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20"/>
              </w:rPr>
            </w:pPr>
            <w:r>
              <w:rPr>
                <w:rFonts w:ascii="ARIAL" w:hAnsi="ARIAL"/>
                <w:b/>
                <w:color w:val="007CBA"/>
                <w:sz w:val="20"/>
              </w:rPr>
              <w:t>PSUs are a substantial portion of LTI</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167" w:type="dxa"/>
            <w:tcBorders>
              <w:bottom w:val="single" w:sz="6" w:space="0" w:color="000000"/>
            </w:tcBorders>
            <w:shd w:fill="auto" w:val="clear"/>
            <w:tcMar>
              <w:bottom w:w="120" w:type="dxa"/>
            </w:tcMar>
            <w:vAlign w:val="center"/>
          </w:tcPr>
          <w:p>
            <w:pPr>
              <w:pStyle w:val="TableContents"/>
              <w:spacing w:before="0" w:after="283"/>
              <w:rPr/>
            </w:pPr>
            <w:r>
              <w:rPr/>
              <w:t>PSU grants, tied to our achievement of specified performance measures, comprised approximately 55% of the total value of annual long-term incentive grants made to our NEOs in 2022. Performance-based RSUs comprised the remaining 45%.</w:t>
            </w:r>
          </w:p>
        </w:tc>
      </w:tr>
      <w:tr>
        <w:trPr/>
        <w:tc>
          <w:tcPr>
            <w:tcW w:w="1918" w:type="dxa"/>
            <w:tcBorders/>
            <w:shd w:fill="auto" w:val="clear"/>
            <w:vAlign w:val="center"/>
          </w:tcPr>
          <w:p>
            <w:pPr>
              <w:pStyle w:val="TableContents"/>
              <w:spacing w:before="0" w:after="283"/>
              <w:rPr>
                <w:sz w:val="4"/>
                <w:szCs w:val="4"/>
              </w:rPr>
            </w:pPr>
            <w:r>
              <w:rPr>
                <w:sz w:val="4"/>
                <w:szCs w:val="4"/>
              </w:rPr>
            </w:r>
          </w:p>
        </w:tc>
        <w:tc>
          <w:tcPr>
            <w:tcW w:w="8287" w:type="dxa"/>
            <w:gridSpan w:val="2"/>
            <w:tcBorders/>
            <w:shd w:fill="auto" w:val="clear"/>
            <w:vAlign w:val="center"/>
          </w:tcPr>
          <w:p>
            <w:pPr>
              <w:pStyle w:val="TableContents"/>
              <w:spacing w:before="0" w:after="283"/>
              <w:rPr>
                <w:sz w:val="4"/>
                <w:szCs w:val="4"/>
              </w:rPr>
            </w:pPr>
            <w:r>
              <w:rPr>
                <w:sz w:val="4"/>
                <w:szCs w:val="4"/>
              </w:rPr>
            </w:r>
          </w:p>
        </w:tc>
      </w:tr>
      <w:tr>
        <w:trPr/>
        <w:tc>
          <w:tcPr>
            <w:tcW w:w="191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20"/>
              </w:rPr>
            </w:pPr>
            <w:r>
              <w:rPr>
                <w:rFonts w:ascii="ARIAL" w:hAnsi="ARIAL"/>
                <w:b/>
                <w:color w:val="007CBA"/>
                <w:sz w:val="20"/>
              </w:rPr>
              <w:t>Independent compensation</w:t>
            </w:r>
          </w:p>
          <w:p>
            <w:pPr>
              <w:pStyle w:val="TableContents"/>
              <w:spacing w:before="0" w:after="20"/>
              <w:rPr>
                <w:rFonts w:ascii="ARIAL" w:hAnsi="ARIAL"/>
                <w:b/>
                <w:color w:val="007CBA"/>
                <w:sz w:val="20"/>
              </w:rPr>
            </w:pPr>
            <w:r>
              <w:rPr>
                <w:rFonts w:ascii="ARIAL" w:hAnsi="ARIAL"/>
                <w:b/>
                <w:color w:val="007CBA"/>
                <w:sz w:val="20"/>
              </w:rPr>
              <w:t>consultant</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167" w:type="dxa"/>
            <w:tcBorders>
              <w:bottom w:val="single" w:sz="6" w:space="0" w:color="000000"/>
            </w:tcBorders>
            <w:shd w:fill="auto" w:val="clear"/>
            <w:tcMar>
              <w:bottom w:w="120" w:type="dxa"/>
            </w:tcMar>
            <w:vAlign w:val="center"/>
          </w:tcPr>
          <w:p>
            <w:pPr>
              <w:pStyle w:val="TableContents"/>
              <w:spacing w:before="0" w:after="283"/>
              <w:rPr/>
            </w:pPr>
            <w:r>
              <w:rPr/>
              <w:t>The Committee retains an independent compensation consultant.</w:t>
            </w:r>
          </w:p>
        </w:tc>
      </w:tr>
      <w:tr>
        <w:trPr/>
        <w:tc>
          <w:tcPr>
            <w:tcW w:w="1918" w:type="dxa"/>
            <w:tcBorders/>
            <w:shd w:fill="auto" w:val="clear"/>
            <w:vAlign w:val="center"/>
          </w:tcPr>
          <w:p>
            <w:pPr>
              <w:pStyle w:val="TableContents"/>
              <w:spacing w:before="0" w:after="283"/>
              <w:rPr>
                <w:sz w:val="4"/>
                <w:szCs w:val="4"/>
              </w:rPr>
            </w:pPr>
            <w:r>
              <w:rPr>
                <w:sz w:val="4"/>
                <w:szCs w:val="4"/>
              </w:rPr>
            </w:r>
          </w:p>
        </w:tc>
        <w:tc>
          <w:tcPr>
            <w:tcW w:w="8287" w:type="dxa"/>
            <w:gridSpan w:val="2"/>
            <w:tcBorders/>
            <w:shd w:fill="auto" w:val="clear"/>
            <w:vAlign w:val="center"/>
          </w:tcPr>
          <w:p>
            <w:pPr>
              <w:pStyle w:val="TableContents"/>
              <w:spacing w:before="0" w:after="283"/>
              <w:rPr>
                <w:sz w:val="4"/>
                <w:szCs w:val="4"/>
              </w:rPr>
            </w:pPr>
            <w:r>
              <w:rPr>
                <w:sz w:val="4"/>
                <w:szCs w:val="4"/>
              </w:rPr>
            </w:r>
          </w:p>
        </w:tc>
      </w:tr>
      <w:tr>
        <w:trPr/>
        <w:tc>
          <w:tcPr>
            <w:tcW w:w="191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20"/>
              </w:rPr>
            </w:pPr>
            <w:r>
              <w:rPr>
                <w:rFonts w:ascii="ARIAL" w:hAnsi="ARIAL"/>
                <w:b/>
                <w:color w:val="007CBA"/>
                <w:sz w:val="20"/>
              </w:rPr>
              <w:t>Robust share</w:t>
            </w:r>
          </w:p>
          <w:p>
            <w:pPr>
              <w:pStyle w:val="TableContents"/>
              <w:spacing w:before="0" w:after="0"/>
              <w:rPr>
                <w:rFonts w:ascii="ARIAL" w:hAnsi="ARIAL"/>
                <w:b/>
                <w:color w:val="007CBA"/>
                <w:sz w:val="20"/>
              </w:rPr>
            </w:pPr>
            <w:r>
              <w:rPr>
                <w:rFonts w:ascii="ARIAL" w:hAnsi="ARIAL"/>
                <w:b/>
                <w:color w:val="007CBA"/>
                <w:sz w:val="20"/>
              </w:rPr>
              <w:t>ownership</w:t>
            </w:r>
          </w:p>
          <w:p>
            <w:pPr>
              <w:pStyle w:val="TableContents"/>
              <w:spacing w:before="0" w:after="20"/>
              <w:rPr>
                <w:rFonts w:ascii="ARIAL" w:hAnsi="ARIAL"/>
                <w:b/>
                <w:color w:val="007CBA"/>
                <w:sz w:val="20"/>
              </w:rPr>
            </w:pPr>
            <w:r>
              <w:rPr>
                <w:rFonts w:ascii="ARIAL" w:hAnsi="ARIAL"/>
                <w:b/>
                <w:color w:val="007CBA"/>
                <w:sz w:val="20"/>
              </w:rPr>
              <w:t>requirements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167" w:type="dxa"/>
            <w:tcBorders>
              <w:bottom w:val="single" w:sz="6" w:space="0" w:color="000000"/>
            </w:tcBorders>
            <w:shd w:fill="auto" w:val="clear"/>
            <w:tcMar>
              <w:bottom w:w="120" w:type="dxa"/>
            </w:tcMar>
            <w:vAlign w:val="center"/>
          </w:tcPr>
          <w:p>
            <w:pPr>
              <w:pStyle w:val="TableContents"/>
              <w:spacing w:before="0" w:after="283"/>
              <w:rPr/>
            </w:pPr>
            <w:r>
              <w:rPr/>
              <w:t>We have robust stock ownership guidelines of 7 times base salary for the CEO, 5 times base salary for our other NEOs, and 5 times annual retainer for Directors. We also have an equity retention requirement of 50% of net shares paid as incentive compensation until ownership guidelines are met.</w:t>
            </w:r>
          </w:p>
        </w:tc>
      </w:tr>
      <w:tr>
        <w:trPr/>
        <w:tc>
          <w:tcPr>
            <w:tcW w:w="1918" w:type="dxa"/>
            <w:tcBorders/>
            <w:shd w:fill="auto" w:val="clear"/>
            <w:vAlign w:val="center"/>
          </w:tcPr>
          <w:p>
            <w:pPr>
              <w:pStyle w:val="TableContents"/>
              <w:spacing w:before="0" w:after="283"/>
              <w:rPr>
                <w:sz w:val="4"/>
                <w:szCs w:val="4"/>
              </w:rPr>
            </w:pPr>
            <w:r>
              <w:rPr>
                <w:sz w:val="4"/>
                <w:szCs w:val="4"/>
              </w:rPr>
            </w:r>
          </w:p>
        </w:tc>
        <w:tc>
          <w:tcPr>
            <w:tcW w:w="8287" w:type="dxa"/>
            <w:gridSpan w:val="2"/>
            <w:tcBorders/>
            <w:shd w:fill="auto" w:val="clear"/>
            <w:vAlign w:val="center"/>
          </w:tcPr>
          <w:p>
            <w:pPr>
              <w:pStyle w:val="TableContents"/>
              <w:spacing w:before="0" w:after="283"/>
              <w:rPr>
                <w:sz w:val="4"/>
                <w:szCs w:val="4"/>
              </w:rPr>
            </w:pPr>
            <w:r>
              <w:rPr>
                <w:sz w:val="4"/>
                <w:szCs w:val="4"/>
              </w:rPr>
            </w:r>
          </w:p>
        </w:tc>
      </w:tr>
      <w:tr>
        <w:trPr/>
        <w:tc>
          <w:tcPr>
            <w:tcW w:w="191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20"/>
              </w:rPr>
            </w:pPr>
            <w:r>
              <w:rPr>
                <w:rFonts w:ascii="ARIAL" w:hAnsi="ARIAL"/>
                <w:b/>
                <w:color w:val="007CBA"/>
                <w:sz w:val="20"/>
              </w:rPr>
              <w:t>Clawback policy</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167" w:type="dxa"/>
            <w:tcBorders>
              <w:bottom w:val="single" w:sz="6" w:space="0" w:color="000000"/>
            </w:tcBorders>
            <w:shd w:fill="auto" w:val="clear"/>
            <w:tcMar>
              <w:bottom w:w="120" w:type="dxa"/>
            </w:tcMar>
            <w:vAlign w:val="center"/>
          </w:tcPr>
          <w:p>
            <w:pPr>
              <w:pStyle w:val="TableContents"/>
              <w:spacing w:before="0" w:after="283"/>
              <w:rPr/>
            </w:pPr>
            <w:r>
              <w:rPr/>
              <w:t>We have a compensation recovery (clawback) policy that requires officers to forfeit certain cash-based incentive compensation and/or equity-based incentive compensation if the company restates its financial statements due to the officer’s misconduct.</w:t>
            </w:r>
          </w:p>
        </w:tc>
      </w:tr>
      <w:tr>
        <w:trPr/>
        <w:tc>
          <w:tcPr>
            <w:tcW w:w="1918" w:type="dxa"/>
            <w:tcBorders/>
            <w:shd w:fill="auto" w:val="clear"/>
            <w:vAlign w:val="center"/>
          </w:tcPr>
          <w:p>
            <w:pPr>
              <w:pStyle w:val="TableContents"/>
              <w:spacing w:before="0" w:after="283"/>
              <w:rPr>
                <w:sz w:val="4"/>
                <w:szCs w:val="4"/>
              </w:rPr>
            </w:pPr>
            <w:r>
              <w:rPr>
                <w:sz w:val="4"/>
                <w:szCs w:val="4"/>
              </w:rPr>
            </w:r>
          </w:p>
        </w:tc>
        <w:tc>
          <w:tcPr>
            <w:tcW w:w="8287" w:type="dxa"/>
            <w:gridSpan w:val="2"/>
            <w:tcBorders/>
            <w:shd w:fill="auto" w:val="clear"/>
            <w:vAlign w:val="center"/>
          </w:tcPr>
          <w:p>
            <w:pPr>
              <w:pStyle w:val="TableContents"/>
              <w:spacing w:before="0" w:after="283"/>
              <w:rPr>
                <w:sz w:val="4"/>
                <w:szCs w:val="4"/>
              </w:rPr>
            </w:pPr>
            <w:r>
              <w:rPr>
                <w:sz w:val="4"/>
                <w:szCs w:val="4"/>
              </w:rPr>
            </w:r>
          </w:p>
        </w:tc>
      </w:tr>
      <w:tr>
        <w:trPr/>
        <w:tc>
          <w:tcPr>
            <w:tcW w:w="1918" w:type="dxa"/>
            <w:tcBorders>
              <w:bottom w:val="single" w:sz="6" w:space="0" w:color="000000"/>
            </w:tcBorders>
            <w:shd w:fill="auto" w:val="clear"/>
            <w:tcMar>
              <w:bottom w:w="120" w:type="dxa"/>
            </w:tcMar>
            <w:vAlign w:val="center"/>
          </w:tcPr>
          <w:p>
            <w:pPr>
              <w:pStyle w:val="TableContents"/>
              <w:spacing w:before="0" w:after="0"/>
              <w:rPr>
                <w:rFonts w:ascii="ARIAL" w:hAnsi="ARIAL"/>
                <w:b/>
                <w:color w:val="007CBA"/>
                <w:sz w:val="20"/>
              </w:rPr>
            </w:pPr>
            <w:r>
              <w:rPr>
                <w:rFonts w:ascii="ARIAL" w:hAnsi="ARIAL"/>
                <w:b/>
                <w:color w:val="007CBA"/>
                <w:sz w:val="20"/>
              </w:rPr>
              <w:t>Regular engagement with shareholders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167" w:type="dxa"/>
            <w:tcBorders>
              <w:bottom w:val="single" w:sz="6" w:space="0" w:color="000000"/>
            </w:tcBorders>
            <w:shd w:fill="auto" w:val="clear"/>
            <w:tcMar>
              <w:bottom w:w="120" w:type="dxa"/>
            </w:tcMar>
            <w:vAlign w:val="center"/>
          </w:tcPr>
          <w:p>
            <w:pPr>
              <w:pStyle w:val="TableContents"/>
              <w:spacing w:before="0" w:after="283"/>
              <w:rPr/>
            </w:pPr>
            <w:r>
              <w:rPr/>
              <w:t>We engage with shareholders to hear their views on compensation and other issues.</w:t>
            </w:r>
          </w:p>
        </w:tc>
      </w:tr>
      <w:tr>
        <w:trPr/>
        <w:tc>
          <w:tcPr>
            <w:tcW w:w="1918" w:type="dxa"/>
            <w:tcBorders/>
            <w:shd w:fill="auto" w:val="clear"/>
            <w:vAlign w:val="center"/>
          </w:tcPr>
          <w:p>
            <w:pPr>
              <w:pStyle w:val="TableContents"/>
              <w:spacing w:before="0" w:after="283"/>
              <w:rPr>
                <w:sz w:val="4"/>
                <w:szCs w:val="4"/>
              </w:rPr>
            </w:pPr>
            <w:r>
              <w:rPr>
                <w:sz w:val="4"/>
                <w:szCs w:val="4"/>
              </w:rPr>
            </w:r>
          </w:p>
        </w:tc>
        <w:tc>
          <w:tcPr>
            <w:tcW w:w="8287" w:type="dxa"/>
            <w:gridSpan w:val="2"/>
            <w:tcBorders/>
            <w:shd w:fill="auto" w:val="clear"/>
            <w:vAlign w:val="center"/>
          </w:tcPr>
          <w:p>
            <w:pPr>
              <w:pStyle w:val="TableContents"/>
              <w:spacing w:before="0" w:after="283"/>
              <w:rPr>
                <w:sz w:val="4"/>
                <w:szCs w:val="4"/>
              </w:rPr>
            </w:pPr>
            <w:r>
              <w:rPr>
                <w:sz w:val="4"/>
                <w:szCs w:val="4"/>
              </w:rPr>
            </w:r>
          </w:p>
        </w:tc>
      </w:tr>
      <w:tr>
        <w:trPr/>
        <w:tc>
          <w:tcPr>
            <w:tcW w:w="1918" w:type="dxa"/>
            <w:tcBorders/>
            <w:shd w:fill="auto" w:val="clear"/>
            <w:vAlign w:val="center"/>
          </w:tcPr>
          <w:p>
            <w:pPr>
              <w:pStyle w:val="TableContents"/>
              <w:spacing w:before="0" w:after="0"/>
              <w:rPr>
                <w:rFonts w:ascii="ARIAL" w:hAnsi="ARIAL"/>
                <w:b/>
                <w:color w:val="007CBA"/>
                <w:sz w:val="20"/>
              </w:rPr>
            </w:pPr>
            <w:r>
              <w:rPr>
                <w:rFonts w:ascii="ARIAL" w:hAnsi="ARIAL"/>
                <w:b/>
                <w:color w:val="007CBA"/>
                <w:sz w:val="20"/>
              </w:rPr>
              <w:t>Annual elections</w:t>
            </w:r>
          </w:p>
        </w:tc>
        <w:tc>
          <w:tcPr>
            <w:tcW w:w="120" w:type="dxa"/>
            <w:tcBorders/>
            <w:shd w:fill="auto" w:val="clear"/>
            <w:vAlign w:val="center"/>
          </w:tcPr>
          <w:p>
            <w:pPr>
              <w:pStyle w:val="TableContents"/>
              <w:spacing w:before="0" w:after="283"/>
              <w:rPr/>
            </w:pPr>
            <w:r>
              <w:rPr/>
              <w:t>  </w:t>
            </w:r>
          </w:p>
        </w:tc>
        <w:tc>
          <w:tcPr>
            <w:tcW w:w="8167" w:type="dxa"/>
            <w:tcBorders/>
            <w:shd w:fill="auto" w:val="clear"/>
            <w:vAlign w:val="center"/>
          </w:tcPr>
          <w:p>
            <w:pPr>
              <w:pStyle w:val="TableContents"/>
              <w:spacing w:before="0" w:after="283"/>
              <w:rPr/>
            </w:pPr>
            <w:r>
              <w:rPr/>
              <w:t>All of our Directors stand for election each year.</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90"/>
        <w:gridCol w:w="120"/>
        <w:gridCol w:w="8195"/>
      </w:tblGrid>
      <w:tr>
        <w:trPr/>
        <w:tc>
          <w:tcPr>
            <w:tcW w:w="1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95" w:type="dxa"/>
            <w:tcBorders/>
            <w:shd w:fill="auto" w:val="clear"/>
            <w:vAlign w:val="center"/>
          </w:tcPr>
          <w:p>
            <w:pPr>
              <w:pStyle w:val="TableContents"/>
              <w:spacing w:before="0" w:after="283"/>
              <w:rPr>
                <w:sz w:val="4"/>
                <w:szCs w:val="4"/>
              </w:rPr>
            </w:pPr>
            <w:r>
              <w:rPr>
                <w:sz w:val="4"/>
                <w:szCs w:val="4"/>
              </w:rPr>
            </w:r>
          </w:p>
        </w:tc>
      </w:tr>
      <w:tr>
        <w:trPr/>
        <w:tc>
          <w:tcPr>
            <w:tcW w:w="1890" w:type="dxa"/>
            <w:tcBorders>
              <w:bottom w:val="single" w:sz="8" w:space="0" w:color="000000"/>
            </w:tcBorders>
            <w:shd w:fill="auto" w:val="clear"/>
            <w:tcMar>
              <w:bottom w:w="28" w:type="dxa"/>
            </w:tcMar>
            <w:vAlign w:val="center"/>
          </w:tcPr>
          <w:p>
            <w:pPr>
              <w:pStyle w:val="TableContents"/>
              <w:spacing w:before="0" w:after="0"/>
              <w:rPr>
                <w:rFonts w:ascii="ARIAL" w:hAnsi="ARIAL"/>
                <w:b/>
                <w:sz w:val="20"/>
              </w:rPr>
            </w:pPr>
            <w:r>
              <w:rPr>
                <w:rFonts w:ascii="ARIAL" w:hAnsi="ARIAL"/>
                <w:b/>
                <w:sz w:val="20"/>
              </w:rPr>
              <w:t>WHAT WE DON’T DO</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95" w:type="dxa"/>
            <w:tcBorders>
              <w:bottom w:val="single" w:sz="8" w:space="0" w:color="000000"/>
            </w:tcBorders>
            <w:shd w:fill="auto" w:val="clear"/>
            <w:tcMar>
              <w:bottom w:w="28" w:type="dxa"/>
            </w:tcMar>
            <w:vAlign w:val="center"/>
          </w:tcPr>
          <w:p>
            <w:pPr>
              <w:pStyle w:val="TableContents"/>
              <w:spacing w:before="0" w:after="283"/>
              <w:rPr>
                <w:b/>
              </w:rPr>
            </w:pPr>
            <w:r>
              <w:rPr>
                <w:b/>
              </w:rPr>
              <w:t>NO</w:t>
            </w:r>
          </w:p>
        </w:tc>
      </w:tr>
      <w:tr>
        <w:trPr/>
        <w:tc>
          <w:tcPr>
            <w:tcW w:w="1890" w:type="dxa"/>
            <w:tcBorders/>
            <w:shd w:fill="auto" w:val="clear"/>
            <w:vAlign w:val="center"/>
          </w:tcPr>
          <w:p>
            <w:pPr>
              <w:pStyle w:val="TableContents"/>
              <w:spacing w:before="0" w:after="283"/>
              <w:rPr>
                <w:sz w:val="4"/>
                <w:szCs w:val="4"/>
              </w:rPr>
            </w:pPr>
            <w:r>
              <w:rPr>
                <w:sz w:val="4"/>
                <w:szCs w:val="4"/>
              </w:rPr>
            </w:r>
          </w:p>
        </w:tc>
        <w:tc>
          <w:tcPr>
            <w:tcW w:w="8315" w:type="dxa"/>
            <w:gridSpan w:val="2"/>
            <w:tcBorders/>
            <w:shd w:fill="auto" w:val="clear"/>
            <w:vAlign w:val="center"/>
          </w:tcPr>
          <w:p>
            <w:pPr>
              <w:pStyle w:val="TableContents"/>
              <w:spacing w:before="0" w:after="283"/>
              <w:rPr>
                <w:sz w:val="4"/>
                <w:szCs w:val="4"/>
              </w:rPr>
            </w:pPr>
            <w:r>
              <w:rPr>
                <w:sz w:val="4"/>
                <w:szCs w:val="4"/>
              </w:rPr>
            </w:r>
          </w:p>
        </w:tc>
      </w:tr>
      <w:tr>
        <w:trPr/>
        <w:tc>
          <w:tcPr>
            <w:tcW w:w="1890" w:type="dxa"/>
            <w:tcBorders>
              <w:bottom w:val="single" w:sz="8" w:space="0" w:color="000000"/>
            </w:tcBorders>
            <w:shd w:fill="auto" w:val="clear"/>
            <w:tcMar>
              <w:bottom w:w="120" w:type="dxa"/>
            </w:tcMar>
            <w:vAlign w:val="center"/>
          </w:tcPr>
          <w:p>
            <w:pPr>
              <w:pStyle w:val="TableContents"/>
              <w:spacing w:before="0" w:after="0"/>
              <w:rPr>
                <w:rFonts w:ascii="ARIAL" w:hAnsi="ARIAL"/>
                <w:b/>
                <w:sz w:val="20"/>
              </w:rPr>
            </w:pPr>
            <w:r>
              <w:rPr>
                <w:rFonts w:ascii="ARIAL" w:hAnsi="ARIAL"/>
                <w:b/>
                <w:sz w:val="20"/>
              </w:rPr>
              <w:t>No employment contracts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95" w:type="dxa"/>
            <w:tcBorders>
              <w:bottom w:val="single" w:sz="8" w:space="0" w:color="000000"/>
            </w:tcBorders>
            <w:shd w:fill="auto" w:val="clear"/>
            <w:tcMar>
              <w:bottom w:w="120" w:type="dxa"/>
            </w:tcMar>
            <w:vAlign w:val="center"/>
          </w:tcPr>
          <w:p>
            <w:pPr>
              <w:pStyle w:val="TableContents"/>
              <w:spacing w:before="0" w:after="283"/>
              <w:rPr/>
            </w:pPr>
            <w:r>
              <w:rPr/>
              <w:t>None of our NEOs or other executive officers have employment contracts that guarantee continued employment.</w:t>
            </w:r>
          </w:p>
        </w:tc>
      </w:tr>
      <w:tr>
        <w:trPr/>
        <w:tc>
          <w:tcPr>
            <w:tcW w:w="1890" w:type="dxa"/>
            <w:tcBorders/>
            <w:shd w:fill="auto" w:val="clear"/>
            <w:vAlign w:val="center"/>
          </w:tcPr>
          <w:p>
            <w:pPr>
              <w:pStyle w:val="TableContents"/>
              <w:spacing w:before="0" w:after="283"/>
              <w:rPr>
                <w:sz w:val="4"/>
                <w:szCs w:val="4"/>
              </w:rPr>
            </w:pPr>
            <w:r>
              <w:rPr>
                <w:sz w:val="4"/>
                <w:szCs w:val="4"/>
              </w:rPr>
            </w:r>
          </w:p>
        </w:tc>
        <w:tc>
          <w:tcPr>
            <w:tcW w:w="8315" w:type="dxa"/>
            <w:gridSpan w:val="2"/>
            <w:tcBorders/>
            <w:shd w:fill="auto" w:val="clear"/>
            <w:vAlign w:val="center"/>
          </w:tcPr>
          <w:p>
            <w:pPr>
              <w:pStyle w:val="TableContents"/>
              <w:spacing w:before="0" w:after="283"/>
              <w:rPr>
                <w:sz w:val="4"/>
                <w:szCs w:val="4"/>
              </w:rPr>
            </w:pPr>
            <w:r>
              <w:rPr>
                <w:sz w:val="4"/>
                <w:szCs w:val="4"/>
              </w:rPr>
            </w:r>
          </w:p>
        </w:tc>
      </w:tr>
      <w:tr>
        <w:trPr/>
        <w:tc>
          <w:tcPr>
            <w:tcW w:w="1890" w:type="dxa"/>
            <w:tcBorders>
              <w:bottom w:val="single" w:sz="8" w:space="0" w:color="000000"/>
            </w:tcBorders>
            <w:shd w:fill="auto" w:val="clear"/>
            <w:tcMar>
              <w:bottom w:w="120" w:type="dxa"/>
            </w:tcMar>
            <w:vAlign w:val="center"/>
          </w:tcPr>
          <w:p>
            <w:pPr>
              <w:pStyle w:val="TableContents"/>
              <w:spacing w:before="0" w:after="0"/>
              <w:rPr>
                <w:rFonts w:ascii="ARIAL" w:hAnsi="ARIAL"/>
                <w:b/>
                <w:sz w:val="20"/>
              </w:rPr>
            </w:pPr>
            <w:r>
              <w:rPr>
                <w:rFonts w:ascii="ARIAL" w:hAnsi="ARIAL"/>
                <w:b/>
                <w:sz w:val="20"/>
              </w:rPr>
              <w:t>No dividends on unvested awards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95" w:type="dxa"/>
            <w:tcBorders>
              <w:bottom w:val="single" w:sz="8" w:space="0" w:color="000000"/>
            </w:tcBorders>
            <w:shd w:fill="auto" w:val="clear"/>
            <w:tcMar>
              <w:bottom w:w="120" w:type="dxa"/>
            </w:tcMar>
            <w:vAlign w:val="center"/>
          </w:tcPr>
          <w:p>
            <w:pPr>
              <w:pStyle w:val="TableContents"/>
              <w:spacing w:before="0" w:after="283"/>
              <w:rPr/>
            </w:pPr>
            <w:r>
              <w:rPr/>
              <w:t>Our 2022 RSU and PSU awards require three years to fully vest and dividends paid on shares of common stock of Martin Marietta during the vesting period are only paid to award holders if and when an award vests.</w:t>
            </w:r>
          </w:p>
        </w:tc>
      </w:tr>
      <w:tr>
        <w:trPr/>
        <w:tc>
          <w:tcPr>
            <w:tcW w:w="1890" w:type="dxa"/>
            <w:tcBorders/>
            <w:shd w:fill="auto" w:val="clear"/>
            <w:vAlign w:val="center"/>
          </w:tcPr>
          <w:p>
            <w:pPr>
              <w:pStyle w:val="TableContents"/>
              <w:spacing w:before="0" w:after="283"/>
              <w:rPr>
                <w:sz w:val="4"/>
                <w:szCs w:val="4"/>
              </w:rPr>
            </w:pPr>
            <w:r>
              <w:rPr>
                <w:sz w:val="4"/>
                <w:szCs w:val="4"/>
              </w:rPr>
            </w:r>
          </w:p>
        </w:tc>
        <w:tc>
          <w:tcPr>
            <w:tcW w:w="8315" w:type="dxa"/>
            <w:gridSpan w:val="2"/>
            <w:tcBorders/>
            <w:shd w:fill="auto" w:val="clear"/>
            <w:vAlign w:val="center"/>
          </w:tcPr>
          <w:p>
            <w:pPr>
              <w:pStyle w:val="TableContents"/>
              <w:spacing w:before="0" w:after="283"/>
              <w:rPr>
                <w:sz w:val="4"/>
                <w:szCs w:val="4"/>
              </w:rPr>
            </w:pPr>
            <w:r>
              <w:rPr>
                <w:sz w:val="4"/>
                <w:szCs w:val="4"/>
              </w:rPr>
            </w:r>
          </w:p>
        </w:tc>
      </w:tr>
      <w:tr>
        <w:trPr/>
        <w:tc>
          <w:tcPr>
            <w:tcW w:w="1890" w:type="dxa"/>
            <w:tcBorders>
              <w:bottom w:val="single" w:sz="8" w:space="0" w:color="000000"/>
            </w:tcBorders>
            <w:shd w:fill="auto" w:val="clear"/>
            <w:tcMar>
              <w:bottom w:w="120" w:type="dxa"/>
            </w:tcMar>
            <w:vAlign w:val="center"/>
          </w:tcPr>
          <w:p>
            <w:pPr>
              <w:pStyle w:val="TableContents"/>
              <w:spacing w:before="0" w:after="0"/>
              <w:rPr>
                <w:rFonts w:ascii="ARIAL" w:hAnsi="ARIAL"/>
                <w:b/>
                <w:sz w:val="20"/>
              </w:rPr>
            </w:pPr>
            <w:r>
              <w:rPr>
                <w:rFonts w:ascii="ARIAL" w:hAnsi="ARIAL"/>
                <w:b/>
                <w:sz w:val="20"/>
              </w:rPr>
              <w:t>No pledging of shares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95" w:type="dxa"/>
            <w:tcBorders>
              <w:bottom w:val="single" w:sz="8" w:space="0" w:color="000000"/>
            </w:tcBorders>
            <w:shd w:fill="auto" w:val="clear"/>
            <w:tcMar>
              <w:bottom w:w="120" w:type="dxa"/>
            </w:tcMar>
            <w:vAlign w:val="center"/>
          </w:tcPr>
          <w:p>
            <w:pPr>
              <w:pStyle w:val="TableContents"/>
              <w:spacing w:before="0" w:after="283"/>
              <w:rPr/>
            </w:pPr>
            <w:r>
              <w:rPr/>
              <w:t>Our directors and executive officers are not permitted to pledge Martin Marietta shares as collateral for loans or any other purpose.</w:t>
            </w:r>
          </w:p>
        </w:tc>
      </w:tr>
      <w:tr>
        <w:trPr/>
        <w:tc>
          <w:tcPr>
            <w:tcW w:w="1890" w:type="dxa"/>
            <w:tcBorders/>
            <w:shd w:fill="auto" w:val="clear"/>
            <w:vAlign w:val="center"/>
          </w:tcPr>
          <w:p>
            <w:pPr>
              <w:pStyle w:val="TableContents"/>
              <w:spacing w:before="0" w:after="283"/>
              <w:rPr>
                <w:sz w:val="4"/>
                <w:szCs w:val="4"/>
              </w:rPr>
            </w:pPr>
            <w:r>
              <w:rPr>
                <w:sz w:val="4"/>
                <w:szCs w:val="4"/>
              </w:rPr>
            </w:r>
          </w:p>
        </w:tc>
        <w:tc>
          <w:tcPr>
            <w:tcW w:w="8315" w:type="dxa"/>
            <w:gridSpan w:val="2"/>
            <w:tcBorders/>
            <w:shd w:fill="auto" w:val="clear"/>
            <w:vAlign w:val="center"/>
          </w:tcPr>
          <w:p>
            <w:pPr>
              <w:pStyle w:val="TableContents"/>
              <w:spacing w:before="0" w:after="283"/>
              <w:rPr>
                <w:sz w:val="4"/>
                <w:szCs w:val="4"/>
              </w:rPr>
            </w:pPr>
            <w:r>
              <w:rPr>
                <w:sz w:val="4"/>
                <w:szCs w:val="4"/>
              </w:rPr>
            </w:r>
          </w:p>
        </w:tc>
      </w:tr>
      <w:tr>
        <w:trPr/>
        <w:tc>
          <w:tcPr>
            <w:tcW w:w="1890" w:type="dxa"/>
            <w:tcBorders>
              <w:bottom w:val="single" w:sz="8" w:space="0" w:color="000000"/>
            </w:tcBorders>
            <w:shd w:fill="auto" w:val="clear"/>
            <w:tcMar>
              <w:bottom w:w="120" w:type="dxa"/>
            </w:tcMar>
            <w:vAlign w:val="center"/>
          </w:tcPr>
          <w:p>
            <w:pPr>
              <w:pStyle w:val="TableContents"/>
              <w:spacing w:before="0" w:after="0"/>
              <w:rPr>
                <w:rFonts w:ascii="ARIAL" w:hAnsi="ARIAL"/>
                <w:b/>
                <w:sz w:val="20"/>
              </w:rPr>
            </w:pPr>
            <w:r>
              <w:rPr>
                <w:rFonts w:ascii="ARIAL" w:hAnsi="ARIAL"/>
                <w:b/>
                <w:sz w:val="20"/>
              </w:rPr>
              <w:t>No hedging</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95" w:type="dxa"/>
            <w:tcBorders>
              <w:bottom w:val="single" w:sz="8" w:space="0" w:color="000000"/>
            </w:tcBorders>
            <w:shd w:fill="auto" w:val="clear"/>
            <w:tcMar>
              <w:bottom w:w="120" w:type="dxa"/>
            </w:tcMar>
            <w:vAlign w:val="center"/>
          </w:tcPr>
          <w:p>
            <w:pPr>
              <w:pStyle w:val="TableContents"/>
              <w:spacing w:before="0" w:after="283"/>
              <w:rPr/>
            </w:pPr>
            <w:r>
              <w:rPr/>
              <w:t>We prohibit directors and executive officers from engaging in short sales of Martin Marietta stock or similar transactions intended to hedge or offset the market value of Martin Marietta stock owned by them.</w:t>
            </w:r>
          </w:p>
        </w:tc>
      </w:tr>
      <w:tr>
        <w:trPr/>
        <w:tc>
          <w:tcPr>
            <w:tcW w:w="1890" w:type="dxa"/>
            <w:tcBorders/>
            <w:shd w:fill="auto" w:val="clear"/>
            <w:vAlign w:val="center"/>
          </w:tcPr>
          <w:p>
            <w:pPr>
              <w:pStyle w:val="TableContents"/>
              <w:spacing w:before="0" w:after="283"/>
              <w:rPr>
                <w:sz w:val="4"/>
                <w:szCs w:val="4"/>
              </w:rPr>
            </w:pPr>
            <w:r>
              <w:rPr>
                <w:sz w:val="4"/>
                <w:szCs w:val="4"/>
              </w:rPr>
            </w:r>
          </w:p>
        </w:tc>
        <w:tc>
          <w:tcPr>
            <w:tcW w:w="8315" w:type="dxa"/>
            <w:gridSpan w:val="2"/>
            <w:tcBorders/>
            <w:shd w:fill="auto" w:val="clear"/>
            <w:vAlign w:val="center"/>
          </w:tcPr>
          <w:p>
            <w:pPr>
              <w:pStyle w:val="TableContents"/>
              <w:spacing w:before="0" w:after="283"/>
              <w:rPr>
                <w:sz w:val="4"/>
                <w:szCs w:val="4"/>
              </w:rPr>
            </w:pPr>
            <w:r>
              <w:rPr>
                <w:sz w:val="4"/>
                <w:szCs w:val="4"/>
              </w:rPr>
            </w:r>
          </w:p>
        </w:tc>
      </w:tr>
      <w:tr>
        <w:trPr/>
        <w:tc>
          <w:tcPr>
            <w:tcW w:w="1890" w:type="dxa"/>
            <w:tcBorders>
              <w:bottom w:val="single" w:sz="8" w:space="0" w:color="000000"/>
            </w:tcBorders>
            <w:shd w:fill="auto" w:val="clear"/>
            <w:tcMar>
              <w:bottom w:w="120" w:type="dxa"/>
            </w:tcMar>
            <w:vAlign w:val="center"/>
          </w:tcPr>
          <w:p>
            <w:pPr>
              <w:pStyle w:val="TableContents"/>
              <w:spacing w:before="0" w:after="0"/>
              <w:rPr>
                <w:rFonts w:ascii="ARIAL" w:hAnsi="ARIAL"/>
                <w:b/>
                <w:sz w:val="20"/>
              </w:rPr>
            </w:pPr>
            <w:r>
              <w:rPr>
                <w:rFonts w:ascii="ARIAL" w:hAnsi="ARIAL"/>
                <w:b/>
                <w:sz w:val="20"/>
              </w:rPr>
              <w:t>No 280G gross-ups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95" w:type="dxa"/>
            <w:tcBorders>
              <w:bottom w:val="single" w:sz="8" w:space="0" w:color="000000"/>
            </w:tcBorders>
            <w:shd w:fill="auto" w:val="clear"/>
            <w:tcMar>
              <w:bottom w:w="120" w:type="dxa"/>
            </w:tcMar>
            <w:vAlign w:val="center"/>
          </w:tcPr>
          <w:p>
            <w:pPr>
              <w:pStyle w:val="TableContents"/>
              <w:spacing w:before="0" w:after="283"/>
              <w:rPr/>
            </w:pPr>
            <w:r>
              <w:rPr/>
              <w:t>We do not provide executives with Section 280G excise tax gross-ups.</w:t>
            </w:r>
          </w:p>
        </w:tc>
      </w:tr>
      <w:tr>
        <w:trPr/>
        <w:tc>
          <w:tcPr>
            <w:tcW w:w="1890" w:type="dxa"/>
            <w:tcBorders/>
            <w:shd w:fill="auto" w:val="clear"/>
            <w:vAlign w:val="center"/>
          </w:tcPr>
          <w:p>
            <w:pPr>
              <w:pStyle w:val="TableContents"/>
              <w:spacing w:before="0" w:after="283"/>
              <w:rPr>
                <w:sz w:val="4"/>
                <w:szCs w:val="4"/>
              </w:rPr>
            </w:pPr>
            <w:r>
              <w:rPr>
                <w:sz w:val="4"/>
                <w:szCs w:val="4"/>
              </w:rPr>
            </w:r>
          </w:p>
        </w:tc>
        <w:tc>
          <w:tcPr>
            <w:tcW w:w="8315" w:type="dxa"/>
            <w:gridSpan w:val="2"/>
            <w:tcBorders/>
            <w:shd w:fill="auto" w:val="clear"/>
            <w:vAlign w:val="center"/>
          </w:tcPr>
          <w:p>
            <w:pPr>
              <w:pStyle w:val="TableContents"/>
              <w:spacing w:before="0" w:after="283"/>
              <w:rPr>
                <w:sz w:val="4"/>
                <w:szCs w:val="4"/>
              </w:rPr>
            </w:pPr>
            <w:r>
              <w:rPr>
                <w:sz w:val="4"/>
                <w:szCs w:val="4"/>
              </w:rPr>
            </w:r>
          </w:p>
        </w:tc>
      </w:tr>
      <w:tr>
        <w:trPr/>
        <w:tc>
          <w:tcPr>
            <w:tcW w:w="1890" w:type="dxa"/>
            <w:tcBorders>
              <w:bottom w:val="single" w:sz="8" w:space="0" w:color="000000"/>
            </w:tcBorders>
            <w:shd w:fill="auto" w:val="clear"/>
            <w:tcMar>
              <w:bottom w:w="120" w:type="dxa"/>
            </w:tcMar>
            <w:vAlign w:val="center"/>
          </w:tcPr>
          <w:p>
            <w:pPr>
              <w:pStyle w:val="TableContents"/>
              <w:spacing w:before="0" w:after="0"/>
              <w:rPr>
                <w:rFonts w:ascii="ARIAL" w:hAnsi="ARIAL"/>
                <w:b/>
                <w:sz w:val="20"/>
              </w:rPr>
            </w:pPr>
            <w:r>
              <w:rPr>
                <w:rFonts w:ascii="ARIAL" w:hAnsi="ARIAL"/>
                <w:b/>
                <w:sz w:val="20"/>
              </w:rPr>
              <w:t>No single trigger</w:t>
            </w:r>
          </w:p>
          <w:p>
            <w:pPr>
              <w:pStyle w:val="TableContents"/>
              <w:spacing w:before="0" w:after="20"/>
              <w:rPr>
                <w:rFonts w:ascii="ARIAL" w:hAnsi="ARIAL"/>
                <w:b/>
                <w:sz w:val="20"/>
              </w:rPr>
            </w:pPr>
            <w:r>
              <w:rPr>
                <w:rFonts w:ascii="ARIAL" w:hAnsi="ARIAL"/>
                <w:b/>
                <w:sz w:val="20"/>
              </w:rPr>
              <w:t>equity vesting</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95" w:type="dxa"/>
            <w:tcBorders>
              <w:bottom w:val="single" w:sz="8" w:space="0" w:color="000000"/>
            </w:tcBorders>
            <w:shd w:fill="auto" w:val="clear"/>
            <w:tcMar>
              <w:bottom w:w="120" w:type="dxa"/>
            </w:tcMar>
            <w:vAlign w:val="center"/>
          </w:tcPr>
          <w:p>
            <w:pPr>
              <w:pStyle w:val="TableContents"/>
              <w:spacing w:before="0" w:after="283"/>
              <w:rPr/>
            </w:pPr>
            <w:r>
              <w:rPr/>
              <w:t>Equity awards will not automatically vest as a result of a change in control.</w:t>
            </w:r>
          </w:p>
        </w:tc>
      </w:tr>
      <w:tr>
        <w:trPr/>
        <w:tc>
          <w:tcPr>
            <w:tcW w:w="1890" w:type="dxa"/>
            <w:tcBorders/>
            <w:shd w:fill="auto" w:val="clear"/>
            <w:vAlign w:val="center"/>
          </w:tcPr>
          <w:p>
            <w:pPr>
              <w:pStyle w:val="TableContents"/>
              <w:spacing w:before="0" w:after="283"/>
              <w:rPr>
                <w:sz w:val="4"/>
                <w:szCs w:val="4"/>
              </w:rPr>
            </w:pPr>
            <w:r>
              <w:rPr>
                <w:sz w:val="4"/>
                <w:szCs w:val="4"/>
              </w:rPr>
            </w:r>
          </w:p>
        </w:tc>
        <w:tc>
          <w:tcPr>
            <w:tcW w:w="8315" w:type="dxa"/>
            <w:gridSpan w:val="2"/>
            <w:tcBorders/>
            <w:shd w:fill="auto" w:val="clear"/>
            <w:vAlign w:val="center"/>
          </w:tcPr>
          <w:p>
            <w:pPr>
              <w:pStyle w:val="TableContents"/>
              <w:spacing w:before="0" w:after="283"/>
              <w:rPr>
                <w:sz w:val="4"/>
                <w:szCs w:val="4"/>
              </w:rPr>
            </w:pPr>
            <w:r>
              <w:rPr>
                <w:sz w:val="4"/>
                <w:szCs w:val="4"/>
              </w:rPr>
            </w:r>
          </w:p>
        </w:tc>
      </w:tr>
      <w:tr>
        <w:trPr/>
        <w:tc>
          <w:tcPr>
            <w:tcW w:w="1890" w:type="dxa"/>
            <w:tcBorders/>
            <w:shd w:fill="auto" w:val="clear"/>
            <w:vAlign w:val="center"/>
          </w:tcPr>
          <w:p>
            <w:pPr>
              <w:pStyle w:val="TableContents"/>
              <w:spacing w:before="0" w:after="0"/>
              <w:rPr>
                <w:rFonts w:ascii="ARIAL" w:hAnsi="ARIAL"/>
                <w:b/>
                <w:sz w:val="20"/>
              </w:rPr>
            </w:pPr>
            <w:r>
              <w:rPr>
                <w:rFonts w:ascii="ARIAL" w:hAnsi="ARIAL"/>
                <w:b/>
                <w:sz w:val="20"/>
              </w:rPr>
              <w:t>Minimal executive perquisites</w:t>
            </w:r>
          </w:p>
        </w:tc>
        <w:tc>
          <w:tcPr>
            <w:tcW w:w="12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283"/>
              <w:rPr/>
            </w:pPr>
            <w:r>
              <w:rPr/>
              <w:t>We do not provide NEOs with country club reimbursements, personal use of the Company aircraft unrelated to business travel, or other excessive perks.</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54</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0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9" descr=""/>
                          <pic:cNvPicPr>
                            <a:picLocks noChangeAspect="1" noChangeArrowheads="1"/>
                          </pic:cNvPicPr>
                        </pic:nvPicPr>
                        <pic:blipFill>
                          <a:blip r:embed="rId19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DETERMINATION OF CEO COMPENSATION  ◆  </w:t>
      </w:r>
      <w:r>
        <w:rPr>
          <w:rFonts w:ascii="ARIAL" w:hAnsi="ARIAL"/>
          <w:color w:val="007CBA"/>
          <w:sz w:val="16"/>
        </w:rPr>
        <w:t>COMPENSATION DISCUSSION AND ANALYSIS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color w:val="007CBA"/>
          <w:sz w:val="26"/>
        </w:rPr>
      </w:pPr>
      <w:bookmarkStart w:id="37" w:name="toc390557_30"/>
      <w:bookmarkEnd w:id="37"/>
      <w:r>
        <w:rPr>
          <w:rFonts w:ascii="ARIAL" w:hAnsi="ARIAL"/>
          <w:b/>
          <w:color w:val="007CBA"/>
          <w:sz w:val="26"/>
        </w:rPr>
        <w:t xml:space="preserve">Determination of CEO Compensation </w:t>
      </w:r>
    </w:p>
    <w:p>
      <w:pPr>
        <w:pStyle w:val="TextBody"/>
        <w:spacing w:before="120" w:after="0"/>
        <w:jc w:val="left"/>
        <w:rPr>
          <w:rFonts w:ascii="ARIAL" w:hAnsi="ARIAL"/>
          <w:sz w:val="20"/>
        </w:rPr>
      </w:pPr>
      <w:r>
        <w:rPr>
          <w:rFonts w:ascii="ARIAL" w:hAnsi="ARIAL"/>
          <w:sz w:val="20"/>
        </w:rPr>
        <w:t xml:space="preserve">At each February Committee meeting, without the CEO present, the Committee reviews and evaluates CEO performance, and determines achievement levels for the prior year. At this meeting, the Committee also discusses an evaluation of the CEO’s performance, competitive compensation data, and salary and annual incentive pay recommendations with the independent members of the Board. In addition, the Committee reviews and discusses an award of RSUs and the target PSU grant size for the CEO at that meeting, which is also discussed with the independent members of the Board. The Committee’s independent compensation consultant provides the Committee with comparative compensation, background materials and analysis, and its recommendation in connection with these determinations. </w:t>
      </w:r>
    </w:p>
    <w:p>
      <w:pPr>
        <w:pStyle w:val="TextBody"/>
        <w:spacing w:before="240" w:after="0"/>
        <w:jc w:val="center"/>
        <w:rPr>
          <w:rFonts w:ascii="ARIAL" w:hAnsi="ARIAL"/>
          <w:b/>
          <w:color w:val="007CBA"/>
          <w:sz w:val="20"/>
        </w:rPr>
      </w:pPr>
      <w:r>
        <w:rPr>
          <w:rFonts w:ascii="ARIAL" w:hAnsi="ARIAL"/>
          <w:b/>
          <w:color w:val="007CBA"/>
          <w:sz w:val="20"/>
        </w:rPr>
        <w:t xml:space="preserve">CEO Target Opportunity Mix* </w:t>
      </w:r>
    </w:p>
    <w:p>
      <w:pPr>
        <w:pStyle w:val="TextBody"/>
        <w:spacing w:before="0" w:after="0"/>
        <w:jc w:val="left"/>
        <w:rPr/>
      </w:pPr>
      <w:r>
        <w:rPr/>
        <w:t> </w:t>
      </w:r>
    </w:p>
    <w:p>
      <w:pPr>
        <w:pStyle w:val="TextBody"/>
        <w:spacing w:before="0" w:after="0"/>
        <w:jc w:val="center"/>
        <w:rPr/>
      </w:pPr>
      <w:r>
        <w:rPr/>
        <w:drawing>
          <wp:inline distT="0" distB="0" distL="0" distR="0">
            <wp:extent cx="615950" cy="123190"/>
            <wp:effectExtent l="0" t="0" r="0" b="0"/>
            <wp:docPr id="20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90" descr=""/>
                    <pic:cNvPicPr>
                      <a:picLocks noChangeAspect="1" noChangeArrowheads="1"/>
                    </pic:cNvPicPr>
                  </pic:nvPicPr>
                  <pic:blipFill>
                    <a:blip r:embed="rId191"/>
                    <a:stretch>
                      <a:fillRect/>
                    </a:stretch>
                  </pic:blipFill>
                  <pic:spPr bwMode="auto">
                    <a:xfrm>
                      <a:off x="0" y="0"/>
                      <a:ext cx="615950" cy="123190"/>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We consider base salary and annual incentives as short-term pay and PSUs and RSUs as long-term pay. We do not include retirement or other compensation components in the chart. </w:t>
            </w:r>
          </w:p>
        </w:tc>
      </w:tr>
    </w:tbl>
    <w:p>
      <w:pPr>
        <w:pStyle w:val="TextBody"/>
        <w:spacing w:before="240" w:after="0"/>
        <w:jc w:val="left"/>
        <w:rPr>
          <w:rFonts w:ascii="ARIAL" w:hAnsi="ARIAL"/>
          <w:b/>
          <w:color w:val="007CBA"/>
          <w:sz w:val="26"/>
        </w:rPr>
      </w:pPr>
      <w:bookmarkStart w:id="38" w:name="toc390557_31"/>
      <w:bookmarkEnd w:id="38"/>
      <w:r>
        <w:rPr>
          <w:rFonts w:ascii="ARIAL" w:hAnsi="ARIAL"/>
          <w:b/>
          <w:color w:val="007CBA"/>
          <w:sz w:val="26"/>
        </w:rPr>
        <w:t xml:space="preserve">2022 Chairman, President and CEO Compensation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110230" cy="4400550"/>
                <wp:effectExtent l="0" t="0" r="0" b="0"/>
                <wp:wrapSquare wrapText="largest"/>
                <wp:docPr id="205" name="Frame9"/>
                <a:graphic xmlns:a="http://schemas.openxmlformats.org/drawingml/2006/main">
                  <a:graphicData uri="http://schemas.microsoft.com/office/word/2010/wordprocessingShape">
                    <wps:wsp>
                      <wps:cNvSpPr txBox="1"/>
                      <wps:spPr>
                        <a:xfrm>
                          <a:off x="0" y="0"/>
                          <a:ext cx="3110230" cy="4400550"/>
                        </a:xfrm>
                        <a:prstGeom prst="rect"/>
                      </wps:spPr>
                      <wps:txbx>
                        <w:txbxContent>
                          <w:p>
                            <w:pPr>
                              <w:pStyle w:val="TextBody"/>
                              <w:spacing w:before="0" w:after="0"/>
                              <w:rPr>
                                <w:rFonts w:ascii="ARIAL" w:hAnsi="ARIAL"/>
                                <w:b/>
                                <w:color w:val="71BE9A"/>
                                <w:sz w:val="20"/>
                              </w:rPr>
                            </w:pPr>
                            <w:r>
                              <w:rPr>
                                <w:rFonts w:ascii="ARIAL" w:hAnsi="ARIAL"/>
                                <w:b/>
                                <w:color w:val="71BE9A"/>
                                <w:sz w:val="20"/>
                              </w:rPr>
                              <w:t xml:space="preserve">Base Salary </w:t>
                            </w:r>
                          </w:p>
                          <w:p>
                            <w:pPr>
                              <w:pStyle w:val="TextBody"/>
                              <w:spacing w:before="0" w:after="0"/>
                              <w:rPr>
                                <w:rFonts w:ascii="ARIAL" w:hAnsi="ARIAL"/>
                                <w:sz w:val="20"/>
                              </w:rPr>
                            </w:pPr>
                            <w:r>
                              <w:rPr>
                                <w:rFonts w:ascii="ARIAL" w:hAnsi="ARIAL"/>
                                <w:sz w:val="20"/>
                              </w:rPr>
                              <w:t xml:space="preserve">For 2022, Mr. Nye’s base salary remained at $1,285,000 (effective March 1, 2022). </w:t>
                            </w:r>
                          </w:p>
                          <w:p>
                            <w:pPr>
                              <w:pStyle w:val="TextBody"/>
                              <w:spacing w:before="240" w:after="0"/>
                              <w:rPr>
                                <w:rFonts w:ascii="ARIAL" w:hAnsi="ARIAL"/>
                                <w:b/>
                                <w:color w:val="71BE9A"/>
                                <w:sz w:val="20"/>
                              </w:rPr>
                            </w:pPr>
                            <w:r>
                              <w:rPr>
                                <w:rFonts w:ascii="ARIAL" w:hAnsi="ARIAL"/>
                                <w:b/>
                                <w:color w:val="71BE9A"/>
                                <w:sz w:val="20"/>
                              </w:rPr>
                              <w:t xml:space="preserve">2022 Annual Incentive </w:t>
                            </w:r>
                          </w:p>
                          <w:p>
                            <w:pPr>
                              <w:pStyle w:val="TextBody"/>
                              <w:spacing w:before="0" w:after="0"/>
                              <w:rPr>
                                <w:rFonts w:ascii="ARIAL" w:hAnsi="ARIAL"/>
                                <w:sz w:val="20"/>
                              </w:rPr>
                            </w:pPr>
                            <w:r>
                              <w:rPr>
                                <w:rFonts w:ascii="ARIAL" w:hAnsi="ARIAL"/>
                                <w:sz w:val="20"/>
                              </w:rPr>
                              <w:t xml:space="preserve">Mr. Nye’s target annual incentive amount for 2022 was $1,799,000 (140% of base salary received for the year). His actual annual incentive for 2022 was $2,878,400 or 160% of target, which was a reduction from the previous year. </w:t>
                            </w:r>
                          </w:p>
                          <w:p>
                            <w:pPr>
                              <w:pStyle w:val="TextBody"/>
                              <w:spacing w:before="240" w:after="0"/>
                              <w:rPr>
                                <w:rFonts w:ascii="ARIAL" w:hAnsi="ARIAL"/>
                                <w:b/>
                                <w:color w:val="71BE9A"/>
                                <w:sz w:val="20"/>
                              </w:rPr>
                            </w:pPr>
                            <w:r>
                              <w:rPr>
                                <w:rFonts w:ascii="ARIAL" w:hAnsi="ARIAL"/>
                                <w:b/>
                                <w:color w:val="71BE9A"/>
                                <w:sz w:val="20"/>
                              </w:rPr>
                              <w:t xml:space="preserve">2022-2024 Long-Term Incentives </w:t>
                            </w:r>
                          </w:p>
                          <w:p>
                            <w:pPr>
                              <w:pStyle w:val="TextBody"/>
                              <w:spacing w:before="0" w:after="0"/>
                              <w:rPr>
                                <w:rFonts w:ascii="ARIAL" w:hAnsi="ARIAL"/>
                                <w:sz w:val="20"/>
                              </w:rPr>
                            </w:pPr>
                            <w:r>
                              <w:rPr>
                                <w:rFonts w:ascii="ARIAL" w:hAnsi="ARIAL"/>
                                <w:sz w:val="20"/>
                              </w:rPr>
                              <w:t xml:space="preserve">In 2022, Mr. Nye’s target LTI award was 490% of base salary. He was granted an LTI award of approximately $7.0 million, which was allocated 55%, or $3.85 million, in PSUs and 45%, or $3.15 million, in performance-based RSUs. RSUs will vest pro rata over three years if the performance measure is satisfied, while the vesting of PSUs will be based upon our results relative to the three-year performance goals that were established in the beginning of 2022. </w:t>
                            </w:r>
                          </w:p>
                          <w:p>
                            <w:pPr>
                              <w:pStyle w:val="TextBody"/>
                              <w:spacing w:before="240" w:after="0"/>
                              <w:rPr>
                                <w:rFonts w:ascii="ARIAL" w:hAnsi="ARIAL"/>
                                <w:b/>
                                <w:color w:val="71BE9A"/>
                                <w:sz w:val="20"/>
                              </w:rPr>
                            </w:pPr>
                            <w:r>
                              <w:rPr>
                                <w:rFonts w:ascii="ARIAL" w:hAnsi="ARIAL"/>
                                <w:b/>
                                <w:color w:val="71BE9A"/>
                                <w:sz w:val="20"/>
                              </w:rPr>
                              <w:t xml:space="preserve">Benefit and Retirement Plans </w:t>
                            </w:r>
                          </w:p>
                          <w:p>
                            <w:pPr>
                              <w:pStyle w:val="TextBody"/>
                              <w:spacing w:before="0" w:after="0"/>
                              <w:rPr>
                                <w:rFonts w:ascii="ARIAL" w:hAnsi="ARIAL"/>
                                <w:sz w:val="20"/>
                              </w:rPr>
                            </w:pPr>
                            <w:r>
                              <w:rPr>
                                <w:rFonts w:ascii="ARIAL" w:hAnsi="ARIAL"/>
                                <w:sz w:val="20"/>
                              </w:rPr>
                              <w:t xml:space="preserve">Mr. Nye is eligible for benefit and retirement programs similar to other employees. None of our executives received additional years of service credits or other forms of formula enhancements under our benefit or retirement plans. Our pension formula is based on years of service and pension eligible compensation, which is a similar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4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71BE9A"/>
                          <w:sz w:val="20"/>
                        </w:rPr>
                      </w:pPr>
                      <w:r>
                        <w:rPr>
                          <w:rFonts w:ascii="ARIAL" w:hAnsi="ARIAL"/>
                          <w:b/>
                          <w:color w:val="71BE9A"/>
                          <w:sz w:val="20"/>
                        </w:rPr>
                        <w:t xml:space="preserve">Base Salary </w:t>
                      </w:r>
                    </w:p>
                    <w:p>
                      <w:pPr>
                        <w:pStyle w:val="TextBody"/>
                        <w:spacing w:before="0" w:after="0"/>
                        <w:rPr>
                          <w:rFonts w:ascii="ARIAL" w:hAnsi="ARIAL"/>
                          <w:sz w:val="20"/>
                        </w:rPr>
                      </w:pPr>
                      <w:r>
                        <w:rPr>
                          <w:rFonts w:ascii="ARIAL" w:hAnsi="ARIAL"/>
                          <w:sz w:val="20"/>
                        </w:rPr>
                        <w:t xml:space="preserve">For 2022, Mr. Nye’s base salary remained at $1,285,000 (effective March 1, 2022). </w:t>
                      </w:r>
                    </w:p>
                    <w:p>
                      <w:pPr>
                        <w:pStyle w:val="TextBody"/>
                        <w:spacing w:before="240" w:after="0"/>
                        <w:rPr>
                          <w:rFonts w:ascii="ARIAL" w:hAnsi="ARIAL"/>
                          <w:b/>
                          <w:color w:val="71BE9A"/>
                          <w:sz w:val="20"/>
                        </w:rPr>
                      </w:pPr>
                      <w:r>
                        <w:rPr>
                          <w:rFonts w:ascii="ARIAL" w:hAnsi="ARIAL"/>
                          <w:b/>
                          <w:color w:val="71BE9A"/>
                          <w:sz w:val="20"/>
                        </w:rPr>
                        <w:t xml:space="preserve">2022 Annual Incentive </w:t>
                      </w:r>
                    </w:p>
                    <w:p>
                      <w:pPr>
                        <w:pStyle w:val="TextBody"/>
                        <w:spacing w:before="0" w:after="0"/>
                        <w:rPr>
                          <w:rFonts w:ascii="ARIAL" w:hAnsi="ARIAL"/>
                          <w:sz w:val="20"/>
                        </w:rPr>
                      </w:pPr>
                      <w:r>
                        <w:rPr>
                          <w:rFonts w:ascii="ARIAL" w:hAnsi="ARIAL"/>
                          <w:sz w:val="20"/>
                        </w:rPr>
                        <w:t xml:space="preserve">Mr. Nye’s target annual incentive amount for 2022 was $1,799,000 (140% of base salary received for the year). His actual annual incentive for 2022 was $2,878,400 or 160% of target, which was a reduction from the previous year. </w:t>
                      </w:r>
                    </w:p>
                    <w:p>
                      <w:pPr>
                        <w:pStyle w:val="TextBody"/>
                        <w:spacing w:before="240" w:after="0"/>
                        <w:rPr>
                          <w:rFonts w:ascii="ARIAL" w:hAnsi="ARIAL"/>
                          <w:b/>
                          <w:color w:val="71BE9A"/>
                          <w:sz w:val="20"/>
                        </w:rPr>
                      </w:pPr>
                      <w:r>
                        <w:rPr>
                          <w:rFonts w:ascii="ARIAL" w:hAnsi="ARIAL"/>
                          <w:b/>
                          <w:color w:val="71BE9A"/>
                          <w:sz w:val="20"/>
                        </w:rPr>
                        <w:t xml:space="preserve">2022-2024 Long-Term Incentives </w:t>
                      </w:r>
                    </w:p>
                    <w:p>
                      <w:pPr>
                        <w:pStyle w:val="TextBody"/>
                        <w:spacing w:before="0" w:after="0"/>
                        <w:rPr>
                          <w:rFonts w:ascii="ARIAL" w:hAnsi="ARIAL"/>
                          <w:sz w:val="20"/>
                        </w:rPr>
                      </w:pPr>
                      <w:r>
                        <w:rPr>
                          <w:rFonts w:ascii="ARIAL" w:hAnsi="ARIAL"/>
                          <w:sz w:val="20"/>
                        </w:rPr>
                        <w:t xml:space="preserve">In 2022, Mr. Nye’s target LTI award was 490% of base salary. He was granted an LTI award of approximately $7.0 million, which was allocated 55%, or $3.85 million, in PSUs and 45%, or $3.15 million, in performance-based RSUs. RSUs will vest pro rata over three years if the performance measure is satisfied, while the vesting of PSUs will be based upon our results relative to the three-year performance goals that were established in the beginning of 2022. </w:t>
                      </w:r>
                    </w:p>
                    <w:p>
                      <w:pPr>
                        <w:pStyle w:val="TextBody"/>
                        <w:spacing w:before="240" w:after="0"/>
                        <w:rPr>
                          <w:rFonts w:ascii="ARIAL" w:hAnsi="ARIAL"/>
                          <w:b/>
                          <w:color w:val="71BE9A"/>
                          <w:sz w:val="20"/>
                        </w:rPr>
                      </w:pPr>
                      <w:r>
                        <w:rPr>
                          <w:rFonts w:ascii="ARIAL" w:hAnsi="ARIAL"/>
                          <w:b/>
                          <w:color w:val="71BE9A"/>
                          <w:sz w:val="20"/>
                        </w:rPr>
                        <w:t xml:space="preserve">Benefit and Retirement Plans </w:t>
                      </w:r>
                    </w:p>
                    <w:p>
                      <w:pPr>
                        <w:pStyle w:val="TextBody"/>
                        <w:spacing w:before="0" w:after="0"/>
                        <w:rPr>
                          <w:rFonts w:ascii="ARIAL" w:hAnsi="ARIAL"/>
                          <w:sz w:val="20"/>
                        </w:rPr>
                      </w:pPr>
                      <w:r>
                        <w:rPr>
                          <w:rFonts w:ascii="ARIAL" w:hAnsi="ARIAL"/>
                          <w:sz w:val="20"/>
                        </w:rPr>
                        <w:t xml:space="preserve">Mr. Nye is eligible for benefit and retirement programs similar to other employees. None of our executives received additional years of service credits or other forms of formula enhancements under our benefit or retirement plans. Our pension formula is based on years of service and pension eligible compensation, which is a similar </w:t>
                      </w:r>
                    </w:p>
                  </w:txbxContent>
                </v:textbox>
                <w10:wrap type="square" side="right"/>
              </v:rect>
            </w:pict>
          </mc:Fallback>
        </mc:AlternateConten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175000" cy="3663950"/>
                <wp:effectExtent l="0" t="0" r="0" b="0"/>
                <wp:wrapSquare wrapText="largest"/>
                <wp:docPr id="206" name="Frame10"/>
                <a:graphic xmlns:a="http://schemas.openxmlformats.org/drawingml/2006/main">
                  <a:graphicData uri="http://schemas.microsoft.com/office/word/2010/wordprocessingShape">
                    <wps:wsp>
                      <wps:cNvSpPr txBox="1"/>
                      <wps:spPr>
                        <a:xfrm>
                          <a:off x="0" y="0"/>
                          <a:ext cx="3175000" cy="3663950"/>
                        </a:xfrm>
                        <a:prstGeom prst="rect"/>
                      </wps:spPr>
                      <wps:txbx>
                        <w:txbxContent>
                          <w:p>
                            <w:pPr>
                              <w:pStyle w:val="TextBody"/>
                              <w:spacing w:before="0" w:after="0"/>
                              <w:rPr>
                                <w:rFonts w:ascii="ARIAL" w:hAnsi="ARIAL"/>
                                <w:sz w:val="20"/>
                              </w:rPr>
                            </w:pPr>
                            <w:r>
                              <w:rPr>
                                <w:rFonts w:ascii="ARIAL" w:hAnsi="ARIAL"/>
                                <w:sz w:val="20"/>
                              </w:rPr>
                              <w:t xml:space="preserve">formula offered by other companies with defined benefit plans. Mr. Nye is not eligible for retiree health benefits. </w:t>
                            </w:r>
                          </w:p>
                          <w:p>
                            <w:pPr>
                              <w:pStyle w:val="TextBody"/>
                              <w:spacing w:before="240" w:after="0"/>
                              <w:rPr>
                                <w:rFonts w:ascii="ARIAL" w:hAnsi="ARIAL"/>
                                <w:b/>
                                <w:color w:val="71BE9A"/>
                                <w:sz w:val="20"/>
                              </w:rPr>
                            </w:pPr>
                            <w:r>
                              <w:rPr>
                                <w:rFonts w:ascii="ARIAL" w:hAnsi="ARIAL"/>
                                <w:b/>
                                <w:color w:val="71BE9A"/>
                                <w:sz w:val="20"/>
                              </w:rPr>
                              <w:t xml:space="preserve">Perquisites </w:t>
                            </w:r>
                          </w:p>
                          <w:p>
                            <w:pPr>
                              <w:pStyle w:val="TextBody"/>
                              <w:spacing w:before="0" w:after="0"/>
                              <w:rPr>
                                <w:rFonts w:ascii="ARIAL" w:hAnsi="ARIAL"/>
                                <w:sz w:val="20"/>
                              </w:rPr>
                            </w:pPr>
                            <w:r>
                              <w:rPr>
                                <w:rFonts w:ascii="ARIAL" w:hAnsi="ARIAL"/>
                                <w:sz w:val="20"/>
                              </w:rPr>
                              <w:t xml:space="preserve">Mr. Nye received limited executive perquisites. We provide company-leased cars to the NEOs for their use. Additionally, we pay for the insurance, maintenance and fuel for such vehicles. The value of personal mileage is charged to the NEO as imputed income. We make the company-owned aircraft available to the CEO and other senior executives for business travel only. We do not provide other perquisites, such as country club memberships, to the NEOs. The Committee reviews our policies and determines whether and to what extent perquisites should be modified or continued. </w:t>
                            </w:r>
                          </w:p>
                          <w:p>
                            <w:pPr>
                              <w:pStyle w:val="TextBody"/>
                              <w:spacing w:before="240" w:after="0"/>
                              <w:rPr>
                                <w:rFonts w:ascii="ARIAL" w:hAnsi="ARIAL"/>
                                <w:b/>
                                <w:color w:val="71BE9A"/>
                                <w:sz w:val="20"/>
                              </w:rPr>
                            </w:pPr>
                            <w:r>
                              <w:rPr>
                                <w:rFonts w:ascii="ARIAL" w:hAnsi="ARIAL"/>
                                <w:b/>
                                <w:color w:val="71BE9A"/>
                                <w:sz w:val="20"/>
                              </w:rPr>
                              <w:t xml:space="preserve">2022 Target Pay Mix </w:t>
                            </w:r>
                          </w:p>
                          <w:p>
                            <w:pPr>
                              <w:pStyle w:val="TextBody"/>
                              <w:spacing w:before="0" w:after="0"/>
                              <w:rPr>
                                <w:rFonts w:ascii="ARIAL" w:hAnsi="ARIAL"/>
                                <w:sz w:val="20"/>
                              </w:rPr>
                            </w:pPr>
                            <w:r>
                              <w:rPr>
                                <w:rFonts w:ascii="ARIAL" w:hAnsi="ARIAL"/>
                                <w:sz w:val="20"/>
                              </w:rPr>
                              <w:t xml:space="preserve">We believe that most of the compensation opportunities to our CEO should be variable and the variable elements of the compensation package should tie to the Company’s long-term success and the achievement of sustainable long-term total return to our shareholders. A significant portion of our CEO’s target compensation is variable and in the form of LTI, and more than half of total target pay is in the form of equity incentives.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20"/>
                        </w:rPr>
                      </w:pPr>
                      <w:r>
                        <w:rPr>
                          <w:rFonts w:ascii="ARIAL" w:hAnsi="ARIAL"/>
                          <w:sz w:val="20"/>
                        </w:rPr>
                        <w:t xml:space="preserve">formula offered by other companies with defined benefit plans. Mr. Nye is not eligible for retiree health benefits. </w:t>
                      </w:r>
                    </w:p>
                    <w:p>
                      <w:pPr>
                        <w:pStyle w:val="TextBody"/>
                        <w:spacing w:before="240" w:after="0"/>
                        <w:rPr>
                          <w:rFonts w:ascii="ARIAL" w:hAnsi="ARIAL"/>
                          <w:b/>
                          <w:color w:val="71BE9A"/>
                          <w:sz w:val="20"/>
                        </w:rPr>
                      </w:pPr>
                      <w:r>
                        <w:rPr>
                          <w:rFonts w:ascii="ARIAL" w:hAnsi="ARIAL"/>
                          <w:b/>
                          <w:color w:val="71BE9A"/>
                          <w:sz w:val="20"/>
                        </w:rPr>
                        <w:t xml:space="preserve">Perquisites </w:t>
                      </w:r>
                    </w:p>
                    <w:p>
                      <w:pPr>
                        <w:pStyle w:val="TextBody"/>
                        <w:spacing w:before="0" w:after="0"/>
                        <w:rPr>
                          <w:rFonts w:ascii="ARIAL" w:hAnsi="ARIAL"/>
                          <w:sz w:val="20"/>
                        </w:rPr>
                      </w:pPr>
                      <w:r>
                        <w:rPr>
                          <w:rFonts w:ascii="ARIAL" w:hAnsi="ARIAL"/>
                          <w:sz w:val="20"/>
                        </w:rPr>
                        <w:t xml:space="preserve">Mr. Nye received limited executive perquisites. We provide company-leased cars to the NEOs for their use. Additionally, we pay for the insurance, maintenance and fuel for such vehicles. The value of personal mileage is charged to the NEO as imputed income. We make the company-owned aircraft available to the CEO and other senior executives for business travel only. We do not provide other perquisites, such as country club memberships, to the NEOs. The Committee reviews our policies and determines whether and to what extent perquisites should be modified or continued. </w:t>
                      </w:r>
                    </w:p>
                    <w:p>
                      <w:pPr>
                        <w:pStyle w:val="TextBody"/>
                        <w:spacing w:before="240" w:after="0"/>
                        <w:rPr>
                          <w:rFonts w:ascii="ARIAL" w:hAnsi="ARIAL"/>
                          <w:b/>
                          <w:color w:val="71BE9A"/>
                          <w:sz w:val="20"/>
                        </w:rPr>
                      </w:pPr>
                      <w:r>
                        <w:rPr>
                          <w:rFonts w:ascii="ARIAL" w:hAnsi="ARIAL"/>
                          <w:b/>
                          <w:color w:val="71BE9A"/>
                          <w:sz w:val="20"/>
                        </w:rPr>
                        <w:t xml:space="preserve">2022 Target Pay Mix </w:t>
                      </w:r>
                    </w:p>
                    <w:p>
                      <w:pPr>
                        <w:pStyle w:val="TextBody"/>
                        <w:spacing w:before="0" w:after="0"/>
                        <w:rPr>
                          <w:rFonts w:ascii="ARIAL" w:hAnsi="ARIAL"/>
                          <w:sz w:val="20"/>
                        </w:rPr>
                      </w:pPr>
                      <w:r>
                        <w:rPr>
                          <w:rFonts w:ascii="ARIAL" w:hAnsi="ARIAL"/>
                          <w:sz w:val="20"/>
                        </w:rPr>
                        <w:t xml:space="preserve">We believe that most of the compensation opportunities to our CEO should be variable and the variable elements of the compensation package should tie to the Company’s long-term success and the achievement of sustainable long-term total return to our shareholders. A significant portion of our CEO’s target compensation is variable and in the form of LTI, and more than half of total target pay is in the form of equity incentives. </w:t>
                      </w:r>
                    </w:p>
                  </w:txbxContent>
                </v:textbox>
                <w10:wrap type="square" side="right"/>
              </v:rect>
            </w:pict>
          </mc:Fallback>
        </mc:AlternateConten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0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1" descr=""/>
                          <pic:cNvPicPr>
                            <a:picLocks noChangeAspect="1" noChangeArrowheads="1"/>
                          </pic:cNvPicPr>
                        </pic:nvPicPr>
                        <pic:blipFill>
                          <a:blip r:embed="rId19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55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2022 NAMED EXECUTIVE OFFICERS’ COMPENSATION—OUR COMPENSATION STRATEGY </w:t>
      </w:r>
    </w:p>
    <w:p>
      <w:pPr>
        <w:pStyle w:val="TextBody"/>
        <w:spacing w:before="0" w:after="0"/>
        <w:jc w:val="left"/>
        <w:rPr/>
      </w:pPr>
      <w:r>
        <w:rPr/>
        <w:t> </w:t>
      </w:r>
    </w:p>
    <w:p>
      <w:pPr>
        <w:pStyle w:val="TextBody"/>
        <w:spacing w:before="0" w:after="0"/>
        <w:jc w:val="left"/>
        <w:rPr>
          <w:rFonts w:ascii="ARIAL" w:hAnsi="ARIAL"/>
          <w:b/>
          <w:color w:val="007CBA"/>
          <w:sz w:val="26"/>
        </w:rPr>
      </w:pPr>
      <w:bookmarkStart w:id="39" w:name="toc390557_32"/>
      <w:bookmarkEnd w:id="39"/>
      <w:r>
        <w:rPr>
          <w:rFonts w:ascii="ARIAL" w:hAnsi="ARIAL"/>
          <w:b/>
          <w:color w:val="007CBA"/>
          <w:sz w:val="26"/>
        </w:rPr>
        <w:t xml:space="preserve">2022 Named Executive Officers’ Compensation – Our Compensation Strategy </w:t>
      </w:r>
    </w:p>
    <w:p>
      <w:pPr>
        <w:pStyle w:val="TextBody"/>
        <w:spacing w:before="120" w:after="0"/>
        <w:jc w:val="left"/>
        <w:rPr>
          <w:rFonts w:ascii="ARIAL" w:hAnsi="ARIAL"/>
          <w:sz w:val="20"/>
        </w:rPr>
      </w:pPr>
      <w:r>
        <w:rPr>
          <w:rFonts w:ascii="ARIAL" w:hAnsi="ARIAL"/>
          <w:sz w:val="20"/>
        </w:rPr>
        <w:t xml:space="preserve">Our executive compensation program is specifically designed to: </w:t>
      </w:r>
    </w:p>
    <w:p>
      <w:pPr>
        <w:pStyle w:val="TextBody"/>
        <w:spacing w:before="0" w:after="0"/>
        <w:jc w:val="left"/>
        <w:rPr/>
      </w:pPr>
      <w:r>
        <w:rPr/>
        <w:t> </w:t>
      </w:r>
    </w:p>
    <w:tbl>
      <w:tblPr>
        <w:tblW w:w="7360" w:type="dxa"/>
        <w:jc w:val="left"/>
        <w:tblInd w:w="0" w:type="dxa"/>
        <w:tblCellMar>
          <w:top w:w="0" w:type="dxa"/>
          <w:left w:w="0" w:type="dxa"/>
          <w:bottom w:w="0" w:type="dxa"/>
          <w:right w:w="0" w:type="dxa"/>
        </w:tblCellMar>
      </w:tblPr>
      <w:tblGrid>
        <w:gridCol w:w="125"/>
        <w:gridCol w:w="60"/>
        <w:gridCol w:w="717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175" w:type="dxa"/>
            <w:tcBorders/>
            <w:shd w:fill="auto" w:val="clear"/>
            <w:vAlign w:val="center"/>
          </w:tcPr>
          <w:p>
            <w:pPr>
              <w:pStyle w:val="TableContents"/>
              <w:spacing w:before="0" w:after="0"/>
              <w:jc w:val="left"/>
              <w:rPr>
                <w:rFonts w:ascii="ARIAL" w:hAnsi="ARIAL"/>
                <w:sz w:val="20"/>
              </w:rPr>
            </w:pPr>
            <w:r>
              <w:rPr>
                <w:rFonts w:ascii="ARIAL" w:hAnsi="ARIAL"/>
                <w:b/>
                <w:sz w:val="20"/>
              </w:rPr>
              <w:t>Attract and retain</w:t>
            </w:r>
            <w:r>
              <w:rPr>
                <w:rFonts w:ascii="ARIAL" w:hAnsi="ARIAL"/>
                <w:sz w:val="20"/>
              </w:rPr>
              <w:t xml:space="preserve"> top-caliber, knowledgeable and experienced senior executives. </w:t>
            </w:r>
          </w:p>
        </w:tc>
      </w:tr>
    </w:tbl>
    <w:p>
      <w:pPr>
        <w:pStyle w:val="TextBody"/>
        <w:spacing w:before="0" w:after="0"/>
        <w:jc w:val="left"/>
        <w:rPr/>
      </w:pPr>
      <w:r>
        <w:rPr/>
        <w:t> </w:t>
      </w:r>
    </w:p>
    <w:tbl>
      <w:tblPr>
        <w:tblW w:w="8500" w:type="dxa"/>
        <w:jc w:val="left"/>
        <w:tblInd w:w="0" w:type="dxa"/>
        <w:tblCellMar>
          <w:top w:w="0" w:type="dxa"/>
          <w:left w:w="0" w:type="dxa"/>
          <w:bottom w:w="0" w:type="dxa"/>
          <w:right w:w="0" w:type="dxa"/>
        </w:tblCellMar>
      </w:tblPr>
      <w:tblGrid>
        <w:gridCol w:w="125"/>
        <w:gridCol w:w="60"/>
        <w:gridCol w:w="831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315" w:type="dxa"/>
            <w:tcBorders/>
            <w:shd w:fill="auto" w:val="clear"/>
            <w:vAlign w:val="center"/>
          </w:tcPr>
          <w:p>
            <w:pPr>
              <w:pStyle w:val="TableContents"/>
              <w:spacing w:before="0" w:after="0"/>
              <w:jc w:val="left"/>
              <w:rPr>
                <w:rFonts w:ascii="ARIAL" w:hAnsi="ARIAL"/>
                <w:sz w:val="20"/>
              </w:rPr>
            </w:pPr>
            <w:r>
              <w:rPr>
                <w:rFonts w:ascii="ARIAL" w:hAnsi="ARIAL"/>
                <w:b/>
                <w:sz w:val="20"/>
              </w:rPr>
              <w:t>Motivate</w:t>
            </w:r>
            <w:r>
              <w:rPr>
                <w:rFonts w:ascii="ARIAL" w:hAnsi="ARIAL"/>
                <w:sz w:val="20"/>
              </w:rPr>
              <w:t xml:space="preserve"> our executives to achieve superior results and build long-term value for shareholders.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b/>
                <w:sz w:val="20"/>
              </w:rPr>
              <w:t>Reward</w:t>
            </w:r>
            <w:r>
              <w:rPr>
                <w:rFonts w:ascii="ARIAL" w:hAnsi="ARIAL"/>
                <w:sz w:val="20"/>
              </w:rPr>
              <w:t xml:space="preserve"> performance that meets or exceeds established goals consistent with our strategic aims and upholding integrity.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b/>
                <w:sz w:val="20"/>
              </w:rPr>
              <w:t>Align individual objectives</w:t>
            </w:r>
            <w:r>
              <w:rPr>
                <w:rFonts w:ascii="ARIAL" w:hAnsi="ARIAL"/>
                <w:sz w:val="20"/>
              </w:rPr>
              <w:t xml:space="preserve"> with the Company’s objectives without fostering excessive or inappropriate risk-taking.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b/>
                <w:sz w:val="20"/>
              </w:rPr>
              <w:t>Encourage an ownership mentality</w:t>
            </w:r>
            <w:r>
              <w:rPr>
                <w:rFonts w:ascii="ARIAL" w:hAnsi="ARIAL"/>
                <w:sz w:val="20"/>
              </w:rPr>
              <w:t xml:space="preserve"> and align the long-term financial interests of our executives with those of our shareholders. </w:t>
            </w:r>
          </w:p>
        </w:tc>
      </w:tr>
    </w:tbl>
    <w:p>
      <w:pPr>
        <w:pStyle w:val="TextBody"/>
        <w:spacing w:before="0" w:after="0"/>
        <w:jc w:val="left"/>
        <w:rPr/>
      </w:pPr>
      <w:r>
        <w:rPr/>
        <w:t> </w:t>
      </w:r>
    </w:p>
    <w:tbl>
      <w:tblPr>
        <w:tblW w:w="6595" w:type="dxa"/>
        <w:jc w:val="left"/>
        <w:tblInd w:w="0" w:type="dxa"/>
        <w:tblCellMar>
          <w:top w:w="0" w:type="dxa"/>
          <w:left w:w="0" w:type="dxa"/>
          <w:bottom w:w="0" w:type="dxa"/>
          <w:right w:w="0" w:type="dxa"/>
        </w:tblCellMar>
      </w:tblPr>
      <w:tblGrid>
        <w:gridCol w:w="125"/>
        <w:gridCol w:w="60"/>
        <w:gridCol w:w="641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410" w:type="dxa"/>
            <w:tcBorders/>
            <w:shd w:fill="auto" w:val="clear"/>
            <w:vAlign w:val="center"/>
          </w:tcPr>
          <w:p>
            <w:pPr>
              <w:pStyle w:val="TableContents"/>
              <w:spacing w:before="0" w:after="0"/>
              <w:jc w:val="left"/>
              <w:rPr>
                <w:rFonts w:ascii="ARIAL" w:hAnsi="ARIAL"/>
                <w:sz w:val="20"/>
              </w:rPr>
            </w:pPr>
            <w:r>
              <w:rPr>
                <w:rFonts w:ascii="ARIAL" w:hAnsi="ARIAL"/>
                <w:b/>
                <w:sz w:val="20"/>
              </w:rPr>
              <w:t>Be market competitive</w:t>
            </w:r>
            <w:r>
              <w:rPr>
                <w:rFonts w:ascii="ARIAL" w:hAnsi="ARIAL"/>
                <w:sz w:val="20"/>
              </w:rPr>
              <w:t xml:space="preserve"> with our peers with whom we compete for talent. </w:t>
            </w:r>
          </w:p>
        </w:tc>
      </w:tr>
    </w:tbl>
    <w:p>
      <w:pPr>
        <w:pStyle w:val="TextBody"/>
        <w:spacing w:before="0" w:after="0"/>
        <w:jc w:val="left"/>
        <w:rPr/>
      </w:pPr>
      <w:r>
        <w:rPr/>
        <w:t> </w:t>
      </w:r>
    </w:p>
    <w:tbl>
      <w:tblPr>
        <w:tblW w:w="9745" w:type="dxa"/>
        <w:jc w:val="left"/>
        <w:tblInd w:w="0" w:type="dxa"/>
        <w:tblCellMar>
          <w:top w:w="0" w:type="dxa"/>
          <w:left w:w="0" w:type="dxa"/>
          <w:bottom w:w="0" w:type="dxa"/>
          <w:right w:w="0" w:type="dxa"/>
        </w:tblCellMar>
      </w:tblPr>
      <w:tblGrid>
        <w:gridCol w:w="125"/>
        <w:gridCol w:w="60"/>
        <w:gridCol w:w="956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9560" w:type="dxa"/>
            <w:tcBorders/>
            <w:shd w:fill="auto" w:val="clear"/>
            <w:vAlign w:val="center"/>
          </w:tcPr>
          <w:p>
            <w:pPr>
              <w:pStyle w:val="TableContents"/>
              <w:spacing w:before="0" w:after="0"/>
              <w:jc w:val="left"/>
              <w:rPr>
                <w:rFonts w:ascii="ARIAL" w:hAnsi="ARIAL"/>
                <w:sz w:val="20"/>
              </w:rPr>
            </w:pPr>
            <w:r>
              <w:rPr>
                <w:rFonts w:ascii="ARIAL" w:hAnsi="ARIAL"/>
                <w:b/>
                <w:sz w:val="20"/>
              </w:rPr>
              <w:t>Provide reward systems that are measurable and easily understood</w:t>
            </w:r>
            <w:r>
              <w:rPr>
                <w:rFonts w:ascii="ARIAL" w:hAnsi="ARIAL"/>
                <w:sz w:val="20"/>
              </w:rPr>
              <w:t xml:space="preserve"> by our executives and shareholders. </w:t>
            </w:r>
          </w:p>
        </w:tc>
      </w:tr>
    </w:tbl>
    <w:p>
      <w:pPr>
        <w:pStyle w:val="TextBody"/>
        <w:spacing w:before="0" w:after="0"/>
        <w:jc w:val="left"/>
        <w:rPr/>
      </w:pPr>
      <w:r>
        <w:rPr/>
        <w:t> </w:t>
      </w:r>
    </w:p>
    <w:tbl>
      <w:tblPr>
        <w:tblW w:w="9670" w:type="dxa"/>
        <w:jc w:val="left"/>
        <w:tblInd w:w="0" w:type="dxa"/>
        <w:tblCellMar>
          <w:top w:w="0" w:type="dxa"/>
          <w:left w:w="0" w:type="dxa"/>
          <w:bottom w:w="0" w:type="dxa"/>
          <w:right w:w="0" w:type="dxa"/>
        </w:tblCellMar>
      </w:tblPr>
      <w:tblGrid>
        <w:gridCol w:w="125"/>
        <w:gridCol w:w="60"/>
        <w:gridCol w:w="948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9485" w:type="dxa"/>
            <w:tcBorders/>
            <w:shd w:fill="auto" w:val="clear"/>
            <w:vAlign w:val="center"/>
          </w:tcPr>
          <w:p>
            <w:pPr>
              <w:pStyle w:val="TableContents"/>
              <w:spacing w:before="0" w:after="0"/>
              <w:jc w:val="left"/>
              <w:rPr>
                <w:rFonts w:ascii="ARIAL" w:hAnsi="ARIAL"/>
                <w:sz w:val="20"/>
              </w:rPr>
            </w:pPr>
            <w:r>
              <w:rPr>
                <w:rFonts w:ascii="ARIAL" w:hAnsi="ARIAL"/>
                <w:b/>
                <w:sz w:val="20"/>
              </w:rPr>
              <w:t>Inspire exceptional management and resiliency</w:t>
            </w:r>
            <w:r>
              <w:rPr>
                <w:rFonts w:ascii="ARIAL" w:hAnsi="ARIAL"/>
                <w:sz w:val="20"/>
              </w:rPr>
              <w:t xml:space="preserve"> in times of unexpected and extraordinary circumstances.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b/>
                <w:sz w:val="20"/>
              </w:rPr>
              <w:t>Reinforce the succession planning</w:t>
            </w:r>
            <w:r>
              <w:rPr>
                <w:rFonts w:ascii="ARIAL" w:hAnsi="ARIAL"/>
                <w:sz w:val="20"/>
              </w:rPr>
              <w:t xml:space="preserve"> process undertaken on a company-wide basis by building bench strength and by identifying and retaining senior leadership capable of achieving the Company’s long-term growth, profitability and other objectives. </w:t>
            </w:r>
          </w:p>
        </w:tc>
      </w:tr>
    </w:tbl>
    <w:p>
      <w:pPr>
        <w:pStyle w:val="TextBody"/>
        <w:spacing w:before="240" w:after="0"/>
        <w:jc w:val="left"/>
        <w:rPr>
          <w:rFonts w:ascii="ARIAL" w:hAnsi="ARIAL"/>
          <w:sz w:val="20"/>
        </w:rPr>
      </w:pPr>
      <w:r>
        <w:rPr>
          <w:rFonts w:ascii="ARIAL" w:hAnsi="ARIAL"/>
          <w:sz w:val="20"/>
        </w:rPr>
        <w:t xml:space="preserve">In 2022, our executive compensation structure consisted of three primary components: base salary, annual incentives, and long-term incentives. Within the long-term incentive component, we utilized a balanced portfolio of PSUs and performance-based RSUs. </w:t>
      </w:r>
    </w:p>
    <w:p>
      <w:pPr>
        <w:pStyle w:val="TextBody"/>
        <w:spacing w:before="0" w:after="0"/>
        <w:jc w:val="left"/>
        <w:rPr/>
      </w:pPr>
      <w:r>
        <w:rPr/>
        <w:t> </w:t>
      </w:r>
    </w:p>
    <w:p>
      <w:pPr>
        <w:pStyle w:val="TextBody"/>
        <w:spacing w:before="0" w:after="0"/>
        <w:jc w:val="center"/>
        <w:rPr/>
      </w:pPr>
      <w:r>
        <w:rPr/>
        <w:drawing>
          <wp:inline distT="0" distB="0" distL="0" distR="0">
            <wp:extent cx="437515" cy="259080"/>
            <wp:effectExtent l="0" t="0" r="0" b="0"/>
            <wp:docPr id="20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92" descr=""/>
                    <pic:cNvPicPr>
                      <a:picLocks noChangeAspect="1" noChangeArrowheads="1"/>
                    </pic:cNvPicPr>
                  </pic:nvPicPr>
                  <pic:blipFill>
                    <a:blip r:embed="rId193"/>
                    <a:stretch>
                      <a:fillRect/>
                    </a:stretch>
                  </pic:blipFill>
                  <pic:spPr bwMode="auto">
                    <a:xfrm>
                      <a:off x="0" y="0"/>
                      <a:ext cx="437515" cy="259080"/>
                    </a:xfrm>
                    <a:prstGeom prst="rect">
                      <a:avLst/>
                    </a:prstGeom>
                  </pic:spPr>
                </pic:pic>
              </a:graphicData>
            </a:graphic>
          </wp:inline>
        </w:drawing>
      </w:r>
      <w:r>
        <w:rPr/>
        <w:t xml:space="preserve"> </w:t>
      </w:r>
    </w:p>
    <w:p>
      <w:pPr>
        <w:pStyle w:val="TextBody"/>
        <w:spacing w:before="240" w:after="0"/>
        <w:jc w:val="left"/>
        <w:rPr>
          <w:rFonts w:ascii="ARIAL" w:hAnsi="ARIAL"/>
          <w:sz w:val="20"/>
        </w:rPr>
      </w:pPr>
      <w:r>
        <w:rPr>
          <w:rFonts w:ascii="ARIAL" w:hAnsi="ARIAL"/>
          <w:sz w:val="20"/>
        </w:rPr>
        <w:t xml:space="preserve">Martin Marietta has a long-standing commitment to pay for performance. We fulfill that aim by providing a majority of compensation through programs in which the amounts ultimately received vary in order to best reflect our financial, operational and strategic performance.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56</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0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93" descr=""/>
                          <pic:cNvPicPr>
                            <a:picLocks noChangeAspect="1" noChangeArrowheads="1"/>
                          </pic:cNvPicPr>
                        </pic:nvPicPr>
                        <pic:blipFill>
                          <a:blip r:embed="rId19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2022 NAMED EXECUTIVE OFFICERS’ COMPENSATION—OUR COMPENSATION STRATEGY  ◆  </w:t>
      </w:r>
      <w:r>
        <w:rPr>
          <w:rFonts w:ascii="ARIAL" w:hAnsi="ARIAL"/>
          <w:color w:val="007CBA"/>
          <w:sz w:val="16"/>
        </w:rPr>
        <w:t>COMPENSATION DISCUSSION AND ANALYSIS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following table summarizes the key elements of our 2022 executive compensation program: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137"/>
        <w:gridCol w:w="120"/>
        <w:gridCol w:w="3682"/>
        <w:gridCol w:w="120"/>
        <w:gridCol w:w="4146"/>
      </w:tblGrid>
      <w:tr>
        <w:trPr/>
        <w:tc>
          <w:tcPr>
            <w:tcW w:w="21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46" w:type="dxa"/>
            <w:tcBorders/>
            <w:shd w:fill="auto" w:val="clear"/>
            <w:vAlign w:val="center"/>
          </w:tcPr>
          <w:p>
            <w:pPr>
              <w:pStyle w:val="TableContents"/>
              <w:spacing w:before="0" w:after="283"/>
              <w:rPr>
                <w:sz w:val="4"/>
                <w:szCs w:val="4"/>
              </w:rPr>
            </w:pPr>
            <w:r>
              <w:rPr>
                <w:sz w:val="4"/>
                <w:szCs w:val="4"/>
              </w:rPr>
            </w:r>
          </w:p>
        </w:tc>
      </w:tr>
      <w:tr>
        <w:trPr/>
        <w:tc>
          <w:tcPr>
            <w:tcW w:w="2137" w:type="dxa"/>
            <w:tcBorders/>
            <w:shd w:fill="DBDBDB" w:val="clear"/>
            <w:vAlign w:val="center"/>
          </w:tcPr>
          <w:p>
            <w:pPr>
              <w:pStyle w:val="TableContents"/>
              <w:spacing w:before="0" w:after="283"/>
              <w:rPr>
                <w:sz w:val="4"/>
                <w:szCs w:val="4"/>
              </w:rPr>
            </w:pPr>
            <w:r>
              <w:rPr>
                <w:sz w:val="4"/>
                <w:szCs w:val="4"/>
              </w:rPr>
            </w:r>
          </w:p>
        </w:tc>
        <w:tc>
          <w:tcPr>
            <w:tcW w:w="3802" w:type="dxa"/>
            <w:gridSpan w:val="2"/>
            <w:tcBorders/>
            <w:shd w:fill="DBDBDB" w:val="clear"/>
            <w:vAlign w:val="center"/>
          </w:tcPr>
          <w:p>
            <w:pPr>
              <w:pStyle w:val="TableContents"/>
              <w:spacing w:before="0" w:after="283"/>
              <w:rPr>
                <w:sz w:val="4"/>
                <w:szCs w:val="4"/>
              </w:rPr>
            </w:pPr>
            <w:r>
              <w:rPr>
                <w:sz w:val="4"/>
                <w:szCs w:val="4"/>
              </w:rPr>
            </w:r>
          </w:p>
        </w:tc>
        <w:tc>
          <w:tcPr>
            <w:tcW w:w="4266" w:type="dxa"/>
            <w:gridSpan w:val="2"/>
            <w:tcBorders/>
            <w:shd w:fill="DBDBDB" w:val="clear"/>
            <w:vAlign w:val="center"/>
          </w:tcPr>
          <w:p>
            <w:pPr>
              <w:pStyle w:val="TableContents"/>
              <w:spacing w:before="0" w:after="283"/>
              <w:rPr>
                <w:sz w:val="4"/>
                <w:szCs w:val="4"/>
              </w:rPr>
            </w:pPr>
            <w:r>
              <w:rPr>
                <w:sz w:val="4"/>
                <w:szCs w:val="4"/>
              </w:rPr>
            </w:r>
          </w:p>
        </w:tc>
      </w:tr>
      <w:tr>
        <w:trPr/>
        <w:tc>
          <w:tcPr>
            <w:tcW w:w="2137" w:type="dxa"/>
            <w:tcBorders/>
            <w:shd w:fill="DBDBDB" w:val="clear"/>
            <w:vAlign w:val="center"/>
          </w:tcPr>
          <w:p>
            <w:pPr>
              <w:pStyle w:val="TableContents"/>
              <w:spacing w:before="0" w:after="0"/>
              <w:rPr>
                <w:rFonts w:ascii="ARIAL" w:hAnsi="ARIAL"/>
                <w:b/>
                <w:color w:val="007CBA"/>
                <w:sz w:val="16"/>
              </w:rPr>
            </w:pPr>
            <w:r>
              <w:rPr>
                <w:rFonts w:ascii="ARIAL" w:hAnsi="ARIAL"/>
                <w:b/>
                <w:color w:val="007CBA"/>
                <w:sz w:val="16"/>
              </w:rPr>
              <w:t>Element</w:t>
            </w:r>
          </w:p>
        </w:tc>
        <w:tc>
          <w:tcPr>
            <w:tcW w:w="120" w:type="dxa"/>
            <w:tcBorders/>
            <w:shd w:fill="DBDBDB" w:val="clear"/>
            <w:vAlign w:val="center"/>
          </w:tcPr>
          <w:p>
            <w:pPr>
              <w:pStyle w:val="TableContents"/>
              <w:spacing w:before="0" w:after="283"/>
              <w:rPr/>
            </w:pPr>
            <w:r>
              <w:rPr/>
              <w:t>  </w:t>
            </w:r>
          </w:p>
        </w:tc>
        <w:tc>
          <w:tcPr>
            <w:tcW w:w="3682" w:type="dxa"/>
            <w:tcBorders/>
            <w:shd w:fill="DBDBDB" w:val="clear"/>
            <w:vAlign w:val="center"/>
          </w:tcPr>
          <w:p>
            <w:pPr>
              <w:pStyle w:val="TableContents"/>
              <w:spacing w:before="0" w:after="283"/>
              <w:rPr>
                <w:b/>
                <w:color w:val="007CBA"/>
              </w:rPr>
            </w:pPr>
            <w:r>
              <w:rPr>
                <w:b/>
                <w:color w:val="007CBA"/>
              </w:rPr>
              <w:t>Primary Purpose</w:t>
            </w:r>
          </w:p>
        </w:tc>
        <w:tc>
          <w:tcPr>
            <w:tcW w:w="120" w:type="dxa"/>
            <w:tcBorders/>
            <w:shd w:fill="DBDBDB" w:val="clear"/>
            <w:vAlign w:val="center"/>
          </w:tcPr>
          <w:p>
            <w:pPr>
              <w:pStyle w:val="TableContents"/>
              <w:spacing w:before="0" w:after="283"/>
              <w:rPr/>
            </w:pPr>
            <w:r>
              <w:rPr/>
              <w:t>  </w:t>
            </w:r>
          </w:p>
        </w:tc>
        <w:tc>
          <w:tcPr>
            <w:tcW w:w="4146" w:type="dxa"/>
            <w:tcBorders/>
            <w:shd w:fill="DBDBDB" w:val="clear"/>
            <w:vAlign w:val="center"/>
          </w:tcPr>
          <w:p>
            <w:pPr>
              <w:pStyle w:val="TableContents"/>
              <w:spacing w:before="0" w:after="283"/>
              <w:rPr>
                <w:b/>
                <w:color w:val="007CBA"/>
              </w:rPr>
            </w:pPr>
            <w:r>
              <w:rPr>
                <w:b/>
                <w:color w:val="007CBA"/>
              </w:rPr>
              <w:t>Key Characteristics</w:t>
            </w:r>
          </w:p>
        </w:tc>
      </w:tr>
      <w:tr>
        <w:trPr/>
        <w:tc>
          <w:tcPr>
            <w:tcW w:w="2137" w:type="dxa"/>
            <w:tcBorders/>
            <w:shd w:fill="auto" w:val="clear"/>
            <w:vAlign w:val="center"/>
          </w:tcPr>
          <w:p>
            <w:pPr>
              <w:pStyle w:val="TableContents"/>
              <w:spacing w:before="0" w:after="283"/>
              <w:rPr>
                <w:sz w:val="4"/>
                <w:szCs w:val="4"/>
              </w:rPr>
            </w:pPr>
            <w:r>
              <w:rPr>
                <w:sz w:val="4"/>
                <w:szCs w:val="4"/>
              </w:rPr>
            </w:r>
          </w:p>
        </w:tc>
        <w:tc>
          <w:tcPr>
            <w:tcW w:w="3802" w:type="dxa"/>
            <w:gridSpan w:val="2"/>
            <w:tcBorders/>
            <w:shd w:fill="auto" w:val="clear"/>
            <w:vAlign w:val="center"/>
          </w:tcPr>
          <w:p>
            <w:pPr>
              <w:pStyle w:val="TableContents"/>
              <w:spacing w:before="0" w:after="283"/>
              <w:rPr>
                <w:sz w:val="4"/>
                <w:szCs w:val="4"/>
              </w:rPr>
            </w:pPr>
            <w:r>
              <w:rPr>
                <w:sz w:val="4"/>
                <w:szCs w:val="4"/>
              </w:rPr>
            </w:r>
          </w:p>
        </w:tc>
        <w:tc>
          <w:tcPr>
            <w:tcW w:w="4266"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bottom w:val="dotted" w:sz="6" w:space="0" w:color="000000"/>
            </w:tcBorders>
            <w:shd w:fill="auto" w:val="clear"/>
            <w:tcMar>
              <w:bottom w:w="100" w:type="dxa"/>
            </w:tcMar>
            <w:vAlign w:val="center"/>
          </w:tcPr>
          <w:p>
            <w:pPr>
              <w:pStyle w:val="TableContents"/>
              <w:spacing w:before="0" w:after="0"/>
              <w:rPr>
                <w:rFonts w:ascii="ARIAL" w:hAnsi="ARIAL"/>
                <w:b/>
                <w:sz w:val="18"/>
              </w:rPr>
            </w:pPr>
            <w:r>
              <w:rPr>
                <w:rFonts w:ascii="ARIAL" w:hAnsi="ARIAL"/>
                <w:b/>
                <w:sz w:val="18"/>
              </w:rPr>
              <w:t>Base Salary</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3682" w:type="dxa"/>
            <w:tcBorders>
              <w:bottom w:val="dotted" w:sz="6" w:space="0" w:color="000000"/>
            </w:tcBorders>
            <w:shd w:fill="auto" w:val="clear"/>
            <w:tcMar>
              <w:bottom w:w="100" w:type="dxa"/>
            </w:tcMar>
            <w:vAlign w:val="center"/>
          </w:tcPr>
          <w:p>
            <w:pPr>
              <w:pStyle w:val="TableContents"/>
              <w:spacing w:before="0" w:after="283"/>
              <w:rPr/>
            </w:pPr>
            <w:r>
              <w:rPr/>
              <w:t>To compensate the executive fairly and competitively for the responsibility level of the position.</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4146" w:type="dxa"/>
            <w:tcBorders>
              <w:bottom w:val="dotted" w:sz="6" w:space="0" w:color="000000"/>
            </w:tcBorders>
            <w:shd w:fill="auto" w:val="clear"/>
            <w:tcMar>
              <w:bottom w:w="100" w:type="dxa"/>
            </w:tcMar>
            <w:vAlign w:val="center"/>
          </w:tcPr>
          <w:p>
            <w:pPr>
              <w:pStyle w:val="TableContents"/>
              <w:spacing w:before="0" w:after="283"/>
              <w:rPr/>
            </w:pPr>
            <w:r>
              <w:rPr/>
              <w:t>Fixed compensation that is reviewed annually.</w:t>
            </w:r>
          </w:p>
        </w:tc>
      </w:tr>
      <w:tr>
        <w:trPr/>
        <w:tc>
          <w:tcPr>
            <w:tcW w:w="2137" w:type="dxa"/>
            <w:tcBorders/>
            <w:shd w:fill="auto" w:val="clear"/>
            <w:vAlign w:val="center"/>
          </w:tcPr>
          <w:p>
            <w:pPr>
              <w:pStyle w:val="TableContents"/>
              <w:spacing w:before="0" w:after="283"/>
              <w:rPr>
                <w:sz w:val="4"/>
                <w:szCs w:val="4"/>
              </w:rPr>
            </w:pPr>
            <w:r>
              <w:rPr>
                <w:sz w:val="4"/>
                <w:szCs w:val="4"/>
              </w:rPr>
            </w:r>
          </w:p>
        </w:tc>
        <w:tc>
          <w:tcPr>
            <w:tcW w:w="3802" w:type="dxa"/>
            <w:gridSpan w:val="2"/>
            <w:tcBorders/>
            <w:shd w:fill="auto" w:val="clear"/>
            <w:vAlign w:val="center"/>
          </w:tcPr>
          <w:p>
            <w:pPr>
              <w:pStyle w:val="TableContents"/>
              <w:spacing w:before="0" w:after="283"/>
              <w:rPr>
                <w:sz w:val="4"/>
                <w:szCs w:val="4"/>
              </w:rPr>
            </w:pPr>
            <w:r>
              <w:rPr>
                <w:sz w:val="4"/>
                <w:szCs w:val="4"/>
              </w:rPr>
            </w:r>
          </w:p>
        </w:tc>
        <w:tc>
          <w:tcPr>
            <w:tcW w:w="4266"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center"/>
          </w:tcPr>
          <w:p>
            <w:pPr>
              <w:pStyle w:val="TableContents"/>
              <w:spacing w:before="0" w:after="0"/>
              <w:rPr>
                <w:rFonts w:ascii="ARIAL" w:hAnsi="ARIAL"/>
                <w:b/>
                <w:sz w:val="18"/>
              </w:rPr>
            </w:pPr>
            <w:r>
              <w:rPr>
                <w:rFonts w:ascii="ARIAL" w:hAnsi="ARIAL"/>
                <w:b/>
                <w:sz w:val="18"/>
              </w:rPr>
              <w:t>Annual Performance-Based Incentive Awards</w:t>
            </w:r>
          </w:p>
        </w:tc>
        <w:tc>
          <w:tcPr>
            <w:tcW w:w="120" w:type="dxa"/>
            <w:tcBorders/>
            <w:shd w:fill="auto" w:val="clear"/>
            <w:vAlign w:val="center"/>
          </w:tcPr>
          <w:p>
            <w:pPr>
              <w:pStyle w:val="TableContents"/>
              <w:spacing w:before="0" w:after="283"/>
              <w:rPr/>
            </w:pPr>
            <w:r>
              <w:rPr/>
              <w:t>  </w:t>
            </w:r>
          </w:p>
        </w:tc>
        <w:tc>
          <w:tcPr>
            <w:tcW w:w="3682" w:type="dxa"/>
            <w:tcBorders/>
            <w:shd w:fill="auto" w:val="clear"/>
            <w:vAlign w:val="center"/>
          </w:tcPr>
          <w:p>
            <w:pPr>
              <w:pStyle w:val="TableContents"/>
              <w:spacing w:before="0" w:after="283"/>
              <w:rPr/>
            </w:pPr>
            <w:r>
              <w:rPr/>
              <w:t>To motivate and reward organizational and individual achievement of annual, Company and individual objectives.</w:t>
            </w:r>
          </w:p>
        </w:tc>
        <w:tc>
          <w:tcPr>
            <w:tcW w:w="120" w:type="dxa"/>
            <w:tcBorders/>
            <w:shd w:fill="auto" w:val="clear"/>
            <w:vAlign w:val="center"/>
          </w:tcPr>
          <w:p>
            <w:pPr>
              <w:pStyle w:val="TableContents"/>
              <w:spacing w:before="0" w:after="283"/>
              <w:rPr/>
            </w:pPr>
            <w:r>
              <w:rPr/>
              <w:t>  </w:t>
            </w:r>
          </w:p>
        </w:tc>
        <w:tc>
          <w:tcPr>
            <w:tcW w:w="4146" w:type="dxa"/>
            <w:tcBorders/>
            <w:shd w:fill="auto" w:val="clear"/>
            <w:vAlign w:val="center"/>
          </w:tcPr>
          <w:p>
            <w:pPr>
              <w:pStyle w:val="TableContents"/>
              <w:spacing w:before="0" w:after="283"/>
              <w:rPr/>
            </w:pPr>
            <w:r>
              <w:rPr/>
              <w:t>Variable compensation component; based on pre-established Company and individual performance goals.</w:t>
            </w:r>
          </w:p>
        </w:tc>
      </w:tr>
      <w:tr>
        <w:trPr/>
        <w:tc>
          <w:tcPr>
            <w:tcW w:w="2137" w:type="dxa"/>
            <w:tcBorders>
              <w:bottom w:val="dotted" w:sz="6" w:space="0" w:color="000000"/>
            </w:tcBorders>
            <w:shd w:fill="auto" w:val="clear"/>
            <w:tcMar>
              <w:bottom w:w="28" w:type="dxa"/>
            </w:tcMar>
            <w:vAlign w:val="center"/>
          </w:tcPr>
          <w:p>
            <w:pPr>
              <w:pStyle w:val="TableContents"/>
              <w:spacing w:before="0" w:after="0"/>
              <w:rPr>
                <w:rFonts w:ascii="ARIAL" w:hAnsi="ARIAL"/>
                <w:i/>
                <w:sz w:val="18"/>
              </w:rPr>
            </w:pPr>
            <w:r>
              <w:rPr>
                <w:rFonts w:ascii="ARIAL" w:hAnsi="ARIAL"/>
                <w:i/>
                <w:sz w:val="18"/>
              </w:rPr>
              <w:t>Incentive Stock Plan</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3682" w:type="dxa"/>
            <w:tcBorders>
              <w:bottom w:val="dotted" w:sz="6" w:space="0" w:color="000000"/>
            </w:tcBorders>
            <w:shd w:fill="auto" w:val="clear"/>
            <w:tcMar>
              <w:bottom w:w="28" w:type="dxa"/>
            </w:tcMar>
            <w:vAlign w:val="center"/>
          </w:tcPr>
          <w:p>
            <w:pPr>
              <w:pStyle w:val="TableContents"/>
              <w:spacing w:before="0" w:after="283"/>
              <w:rPr/>
            </w:pPr>
            <w:r>
              <w:rPr/>
              <w:t>To enable executives to invest certain levels of their annual incentive compensation into Martin Marietta stock units.</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4146" w:type="dxa"/>
            <w:tcBorders>
              <w:bottom w:val="dotted" w:sz="6" w:space="0" w:color="000000"/>
            </w:tcBorders>
            <w:shd w:fill="auto" w:val="clear"/>
            <w:tcMar>
              <w:bottom w:w="28" w:type="dxa"/>
            </w:tcMar>
            <w:vAlign w:val="center"/>
          </w:tcPr>
          <w:p>
            <w:pPr>
              <w:pStyle w:val="TableContents"/>
              <w:spacing w:before="0" w:after="283"/>
              <w:rPr/>
            </w:pPr>
            <w:r>
              <w:rPr/>
              <w:t>NEOs may elect to convert up to 50% of their annual cash incentive compensation into common stock units.</w:t>
            </w:r>
          </w:p>
        </w:tc>
      </w:tr>
      <w:tr>
        <w:trPr/>
        <w:tc>
          <w:tcPr>
            <w:tcW w:w="2137" w:type="dxa"/>
            <w:tcBorders/>
            <w:shd w:fill="auto" w:val="clear"/>
            <w:vAlign w:val="center"/>
          </w:tcPr>
          <w:p>
            <w:pPr>
              <w:pStyle w:val="TableContents"/>
              <w:spacing w:before="0" w:after="283"/>
              <w:rPr>
                <w:sz w:val="4"/>
                <w:szCs w:val="4"/>
              </w:rPr>
            </w:pPr>
            <w:r>
              <w:rPr>
                <w:sz w:val="4"/>
                <w:szCs w:val="4"/>
              </w:rPr>
            </w:r>
          </w:p>
        </w:tc>
        <w:tc>
          <w:tcPr>
            <w:tcW w:w="3802" w:type="dxa"/>
            <w:gridSpan w:val="2"/>
            <w:tcBorders/>
            <w:shd w:fill="auto" w:val="clear"/>
            <w:vAlign w:val="center"/>
          </w:tcPr>
          <w:p>
            <w:pPr>
              <w:pStyle w:val="TableContents"/>
              <w:spacing w:before="0" w:after="283"/>
              <w:rPr>
                <w:sz w:val="4"/>
                <w:szCs w:val="4"/>
              </w:rPr>
            </w:pPr>
            <w:r>
              <w:rPr>
                <w:sz w:val="4"/>
                <w:szCs w:val="4"/>
              </w:rPr>
            </w:r>
          </w:p>
        </w:tc>
        <w:tc>
          <w:tcPr>
            <w:tcW w:w="4266"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center"/>
          </w:tcPr>
          <w:p>
            <w:pPr>
              <w:pStyle w:val="TableContents"/>
              <w:spacing w:before="0" w:after="0"/>
              <w:rPr>
                <w:rFonts w:ascii="ARIAL" w:hAnsi="ARIAL"/>
                <w:b/>
                <w:sz w:val="18"/>
              </w:rPr>
            </w:pPr>
            <w:r>
              <w:rPr>
                <w:rFonts w:ascii="ARIAL" w:hAnsi="ARIAL"/>
                <w:b/>
                <w:sz w:val="18"/>
              </w:rPr>
              <w:t>Long-Term</w:t>
            </w:r>
          </w:p>
          <w:p>
            <w:pPr>
              <w:pStyle w:val="TableContents"/>
              <w:spacing w:before="0" w:after="20"/>
              <w:rPr>
                <w:rFonts w:ascii="ARIAL" w:hAnsi="ARIAL"/>
                <w:b/>
                <w:sz w:val="18"/>
              </w:rPr>
            </w:pPr>
            <w:r>
              <w:rPr>
                <w:rFonts w:ascii="ARIAL" w:hAnsi="ARIAL"/>
                <w:b/>
                <w:sz w:val="18"/>
              </w:rPr>
              <w:t>Incentive Awards</w:t>
            </w:r>
          </w:p>
        </w:tc>
        <w:tc>
          <w:tcPr>
            <w:tcW w:w="120" w:type="dxa"/>
            <w:tcBorders/>
            <w:shd w:fill="auto" w:val="clear"/>
            <w:vAlign w:val="center"/>
          </w:tcPr>
          <w:p>
            <w:pPr>
              <w:pStyle w:val="TableContents"/>
              <w:spacing w:before="0" w:after="283"/>
              <w:rPr/>
            </w:pPr>
            <w:r>
              <w:rPr/>
              <w:t>  </w:t>
            </w:r>
          </w:p>
        </w:tc>
        <w:tc>
          <w:tcPr>
            <w:tcW w:w="3682" w:type="dxa"/>
            <w:tcBorders/>
            <w:shd w:fill="auto" w:val="clear"/>
            <w:vAlign w:val="center"/>
          </w:tcPr>
          <w:p>
            <w:pPr>
              <w:pStyle w:val="TableContents"/>
              <w:spacing w:before="0" w:after="283"/>
              <w:rPr/>
            </w:pPr>
            <w:r>
              <w:rPr/>
              <w:t>To align executives with shareholder interests, to reinforce long-term value creation, and to provide a balanced portfolio of long-term incentive opportunities.</w:t>
            </w:r>
          </w:p>
        </w:tc>
        <w:tc>
          <w:tcPr>
            <w:tcW w:w="120" w:type="dxa"/>
            <w:tcBorders/>
            <w:shd w:fill="auto" w:val="clear"/>
            <w:vAlign w:val="center"/>
          </w:tcPr>
          <w:p>
            <w:pPr>
              <w:pStyle w:val="TableContents"/>
              <w:spacing w:before="0" w:after="283"/>
              <w:rPr/>
            </w:pPr>
            <w:r>
              <w:rPr/>
              <w:t>  </w:t>
            </w:r>
          </w:p>
        </w:tc>
        <w:tc>
          <w:tcPr>
            <w:tcW w:w="4146" w:type="dxa"/>
            <w:tcBorders/>
            <w:shd w:fill="auto" w:val="clear"/>
            <w:vAlign w:val="center"/>
          </w:tcPr>
          <w:p>
            <w:pPr>
              <w:pStyle w:val="TableContents"/>
              <w:spacing w:before="0" w:after="283"/>
              <w:rPr/>
            </w:pPr>
            <w:r>
              <w:rPr/>
              <w:t>Variable compensation component. Reviewed and granted annually. Program splits long-term incentives for NEOs at 55% PSUs and 45% RSUs.</w:t>
            </w:r>
          </w:p>
        </w:tc>
      </w:tr>
      <w:tr>
        <w:trPr/>
        <w:tc>
          <w:tcPr>
            <w:tcW w:w="2137" w:type="dxa"/>
            <w:tcBorders/>
            <w:shd w:fill="auto" w:val="clear"/>
            <w:vAlign w:val="center"/>
          </w:tcPr>
          <w:p>
            <w:pPr>
              <w:pStyle w:val="TableContents"/>
              <w:spacing w:before="0" w:after="0"/>
              <w:rPr>
                <w:rFonts w:ascii="ARIAL" w:hAnsi="ARIAL"/>
                <w:i/>
                <w:sz w:val="18"/>
              </w:rPr>
            </w:pPr>
            <w:r>
              <w:rPr>
                <w:rFonts w:ascii="ARIAL" w:hAnsi="ARIAL"/>
                <w:i/>
                <w:sz w:val="18"/>
              </w:rPr>
              <w:t>Performance Share Units (PSUs)</w:t>
            </w:r>
          </w:p>
        </w:tc>
        <w:tc>
          <w:tcPr>
            <w:tcW w:w="120" w:type="dxa"/>
            <w:tcBorders/>
            <w:shd w:fill="auto" w:val="clear"/>
            <w:vAlign w:val="center"/>
          </w:tcPr>
          <w:p>
            <w:pPr>
              <w:pStyle w:val="TableContents"/>
              <w:spacing w:before="0" w:after="283"/>
              <w:rPr/>
            </w:pPr>
            <w:r>
              <w:rPr/>
              <w:t>  </w:t>
            </w:r>
          </w:p>
        </w:tc>
        <w:tc>
          <w:tcPr>
            <w:tcW w:w="3682" w:type="dxa"/>
            <w:tcBorders/>
            <w:shd w:fill="auto" w:val="clear"/>
            <w:vAlign w:val="center"/>
          </w:tcPr>
          <w:p>
            <w:pPr>
              <w:pStyle w:val="TableContents"/>
              <w:spacing w:before="0" w:after="283"/>
              <w:rPr/>
            </w:pPr>
            <w:r>
              <w:rPr/>
              <w:t>To motivate executives by tying incentives to our multi-year financial goals and relative TSR reinforcing the link between our executive officers and our shareholders.</w:t>
            </w:r>
          </w:p>
        </w:tc>
        <w:tc>
          <w:tcPr>
            <w:tcW w:w="120" w:type="dxa"/>
            <w:tcBorders/>
            <w:shd w:fill="auto" w:val="clear"/>
            <w:vAlign w:val="center"/>
          </w:tcPr>
          <w:p>
            <w:pPr>
              <w:pStyle w:val="TableContents"/>
              <w:spacing w:before="0" w:after="283"/>
              <w:rPr/>
            </w:pPr>
            <w:r>
              <w:rPr/>
              <w:t>  </w:t>
            </w:r>
          </w:p>
        </w:tc>
        <w:tc>
          <w:tcPr>
            <w:tcW w:w="4146" w:type="dxa"/>
            <w:tcBorders/>
            <w:shd w:fill="auto" w:val="clear"/>
            <w:vAlign w:val="center"/>
          </w:tcPr>
          <w:p>
            <w:pPr>
              <w:pStyle w:val="TableContents"/>
              <w:spacing w:before="0" w:after="283"/>
              <w:rPr/>
            </w:pPr>
            <w:r>
              <w:rPr/>
              <w:t>Grants based on three-year adjusted EBITDA and Sales Growth goals, with a modifier based on TSR performance relative to peers.</w:t>
            </w:r>
          </w:p>
        </w:tc>
      </w:tr>
      <w:tr>
        <w:trPr/>
        <w:tc>
          <w:tcPr>
            <w:tcW w:w="2137" w:type="dxa"/>
            <w:tcBorders>
              <w:bottom w:val="dotted" w:sz="6" w:space="0" w:color="000000"/>
            </w:tcBorders>
            <w:shd w:fill="auto" w:val="clear"/>
            <w:tcMar>
              <w:bottom w:w="28" w:type="dxa"/>
            </w:tcMar>
            <w:vAlign w:val="center"/>
          </w:tcPr>
          <w:p>
            <w:pPr>
              <w:pStyle w:val="TableContents"/>
              <w:spacing w:before="0" w:after="0"/>
              <w:rPr>
                <w:rFonts w:ascii="ARIAL" w:hAnsi="ARIAL"/>
                <w:i/>
                <w:sz w:val="18"/>
              </w:rPr>
            </w:pPr>
            <w:r>
              <w:rPr>
                <w:rFonts w:ascii="ARIAL" w:hAnsi="ARIAL"/>
                <w:i/>
                <w:sz w:val="18"/>
              </w:rPr>
              <w:t>Performance-Based Restricted Stock Units (RSUs)</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3682" w:type="dxa"/>
            <w:tcBorders>
              <w:bottom w:val="dotted" w:sz="6" w:space="0" w:color="000000"/>
            </w:tcBorders>
            <w:shd w:fill="auto" w:val="clear"/>
            <w:tcMar>
              <w:bottom w:w="28" w:type="dxa"/>
            </w:tcMar>
            <w:vAlign w:val="center"/>
          </w:tcPr>
          <w:p>
            <w:pPr>
              <w:pStyle w:val="TableContents"/>
              <w:spacing w:before="0" w:after="283"/>
              <w:rPr/>
            </w:pPr>
            <w:r>
              <w:rPr/>
              <w:t>To motivate the appropriate behaviors for delivering superior long-term total shareholder return.</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4146" w:type="dxa"/>
            <w:tcBorders>
              <w:bottom w:val="dotted" w:sz="6" w:space="0" w:color="000000"/>
            </w:tcBorders>
            <w:shd w:fill="auto" w:val="clear"/>
            <w:tcMar>
              <w:bottom w:w="28" w:type="dxa"/>
            </w:tcMar>
            <w:vAlign w:val="center"/>
          </w:tcPr>
          <w:p>
            <w:pPr>
              <w:pStyle w:val="TableContents"/>
              <w:spacing w:before="0" w:after="283"/>
              <w:rPr/>
            </w:pPr>
            <w:r>
              <w:rPr/>
              <w:t>Stock price growth. Awards are subject to achievement of one-year adjusted EBITDA goals.</w:t>
            </w:r>
          </w:p>
        </w:tc>
      </w:tr>
      <w:tr>
        <w:trPr/>
        <w:tc>
          <w:tcPr>
            <w:tcW w:w="2137" w:type="dxa"/>
            <w:tcBorders/>
            <w:shd w:fill="auto" w:val="clear"/>
            <w:vAlign w:val="center"/>
          </w:tcPr>
          <w:p>
            <w:pPr>
              <w:pStyle w:val="TableContents"/>
              <w:spacing w:before="0" w:after="283"/>
              <w:rPr>
                <w:sz w:val="4"/>
                <w:szCs w:val="4"/>
              </w:rPr>
            </w:pPr>
            <w:r>
              <w:rPr>
                <w:sz w:val="4"/>
                <w:szCs w:val="4"/>
              </w:rPr>
            </w:r>
          </w:p>
        </w:tc>
        <w:tc>
          <w:tcPr>
            <w:tcW w:w="3802" w:type="dxa"/>
            <w:gridSpan w:val="2"/>
            <w:tcBorders/>
            <w:shd w:fill="auto" w:val="clear"/>
            <w:vAlign w:val="center"/>
          </w:tcPr>
          <w:p>
            <w:pPr>
              <w:pStyle w:val="TableContents"/>
              <w:spacing w:before="0" w:after="283"/>
              <w:rPr>
                <w:sz w:val="4"/>
                <w:szCs w:val="4"/>
              </w:rPr>
            </w:pPr>
            <w:r>
              <w:rPr>
                <w:sz w:val="4"/>
                <w:szCs w:val="4"/>
              </w:rPr>
            </w:r>
          </w:p>
        </w:tc>
        <w:tc>
          <w:tcPr>
            <w:tcW w:w="4266"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bottom w:val="dotted" w:sz="6" w:space="0" w:color="000000"/>
            </w:tcBorders>
            <w:shd w:fill="auto" w:val="clear"/>
            <w:tcMar>
              <w:bottom w:w="100" w:type="dxa"/>
            </w:tcMar>
            <w:vAlign w:val="center"/>
          </w:tcPr>
          <w:p>
            <w:pPr>
              <w:pStyle w:val="TableContents"/>
              <w:spacing w:before="0" w:after="0"/>
              <w:rPr>
                <w:rFonts w:ascii="ARIAL" w:hAnsi="ARIAL"/>
                <w:b/>
                <w:sz w:val="18"/>
              </w:rPr>
            </w:pPr>
            <w:r>
              <w:rPr>
                <w:rFonts w:ascii="ARIAL" w:hAnsi="ARIAL"/>
                <w:b/>
                <w:sz w:val="18"/>
              </w:rPr>
              <w:t>Health/Welfare Plan and</w:t>
            </w:r>
          </w:p>
          <w:p>
            <w:pPr>
              <w:pStyle w:val="TableContents"/>
              <w:spacing w:before="0" w:after="20"/>
              <w:rPr>
                <w:rFonts w:ascii="ARIAL" w:hAnsi="ARIAL"/>
                <w:b/>
                <w:sz w:val="18"/>
              </w:rPr>
            </w:pPr>
            <w:r>
              <w:rPr>
                <w:rFonts w:ascii="ARIAL" w:hAnsi="ARIAL"/>
                <w:b/>
                <w:sz w:val="18"/>
              </w:rPr>
              <w:t>Retirement Benefits</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3682" w:type="dxa"/>
            <w:tcBorders>
              <w:bottom w:val="dotted" w:sz="6" w:space="0" w:color="000000"/>
            </w:tcBorders>
            <w:shd w:fill="auto" w:val="clear"/>
            <w:tcMar>
              <w:bottom w:w="100" w:type="dxa"/>
            </w:tcMar>
            <w:vAlign w:val="center"/>
          </w:tcPr>
          <w:p>
            <w:pPr>
              <w:pStyle w:val="TableContents"/>
              <w:spacing w:before="0" w:after="283"/>
              <w:rPr/>
            </w:pPr>
            <w:r>
              <w:rPr/>
              <w:t>To provide competitive benefits promoting employee health and productivity and support financial security.</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4146" w:type="dxa"/>
            <w:tcBorders>
              <w:bottom w:val="dotted" w:sz="6" w:space="0" w:color="000000"/>
            </w:tcBorders>
            <w:shd w:fill="auto" w:val="clear"/>
            <w:tcMar>
              <w:bottom w:w="100" w:type="dxa"/>
            </w:tcMar>
            <w:vAlign w:val="center"/>
          </w:tcPr>
          <w:p>
            <w:pPr>
              <w:pStyle w:val="TableContents"/>
              <w:spacing w:before="0" w:after="283"/>
              <w:rPr/>
            </w:pPr>
            <w:r>
              <w:rPr/>
              <w:t>Fixed compensation component.</w:t>
            </w:r>
          </w:p>
        </w:tc>
      </w:tr>
      <w:tr>
        <w:trPr/>
        <w:tc>
          <w:tcPr>
            <w:tcW w:w="2137" w:type="dxa"/>
            <w:tcBorders/>
            <w:shd w:fill="auto" w:val="clear"/>
            <w:vAlign w:val="center"/>
          </w:tcPr>
          <w:p>
            <w:pPr>
              <w:pStyle w:val="TableContents"/>
              <w:spacing w:before="0" w:after="283"/>
              <w:rPr>
                <w:sz w:val="4"/>
                <w:szCs w:val="4"/>
              </w:rPr>
            </w:pPr>
            <w:r>
              <w:rPr>
                <w:sz w:val="4"/>
                <w:szCs w:val="4"/>
              </w:rPr>
            </w:r>
          </w:p>
        </w:tc>
        <w:tc>
          <w:tcPr>
            <w:tcW w:w="3802" w:type="dxa"/>
            <w:gridSpan w:val="2"/>
            <w:tcBorders/>
            <w:shd w:fill="auto" w:val="clear"/>
            <w:vAlign w:val="center"/>
          </w:tcPr>
          <w:p>
            <w:pPr>
              <w:pStyle w:val="TableContents"/>
              <w:spacing w:before="0" w:after="283"/>
              <w:rPr>
                <w:sz w:val="4"/>
                <w:szCs w:val="4"/>
              </w:rPr>
            </w:pPr>
            <w:r>
              <w:rPr>
                <w:sz w:val="4"/>
                <w:szCs w:val="4"/>
              </w:rPr>
            </w:r>
          </w:p>
        </w:tc>
        <w:tc>
          <w:tcPr>
            <w:tcW w:w="4266"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bottom w:val="dotted" w:sz="6" w:space="0" w:color="000000"/>
            </w:tcBorders>
            <w:shd w:fill="auto" w:val="clear"/>
            <w:tcMar>
              <w:bottom w:w="100" w:type="dxa"/>
            </w:tcMar>
            <w:vAlign w:val="center"/>
          </w:tcPr>
          <w:p>
            <w:pPr>
              <w:pStyle w:val="TableContents"/>
              <w:spacing w:before="0" w:after="0"/>
              <w:rPr>
                <w:rFonts w:ascii="ARIAL" w:hAnsi="ARIAL"/>
                <w:b/>
                <w:sz w:val="18"/>
              </w:rPr>
            </w:pPr>
            <w:r>
              <w:rPr>
                <w:rFonts w:ascii="ARIAL" w:hAnsi="ARIAL"/>
                <w:b/>
                <w:sz w:val="18"/>
              </w:rPr>
              <w:t>Perquisites and</w:t>
            </w:r>
          </w:p>
          <w:p>
            <w:pPr>
              <w:pStyle w:val="TableContents"/>
              <w:spacing w:before="0" w:after="20"/>
              <w:rPr>
                <w:rFonts w:ascii="ARIAL" w:hAnsi="ARIAL"/>
                <w:b/>
                <w:sz w:val="18"/>
              </w:rPr>
            </w:pPr>
            <w:r>
              <w:rPr>
                <w:rFonts w:ascii="ARIAL" w:hAnsi="ARIAL"/>
                <w:b/>
                <w:sz w:val="18"/>
              </w:rPr>
              <w:t>Other Benefits</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3682" w:type="dxa"/>
            <w:tcBorders>
              <w:bottom w:val="dotted" w:sz="6" w:space="0" w:color="000000"/>
            </w:tcBorders>
            <w:shd w:fill="auto" w:val="clear"/>
            <w:tcMar>
              <w:bottom w:w="100" w:type="dxa"/>
            </w:tcMar>
            <w:vAlign w:val="center"/>
          </w:tcPr>
          <w:p>
            <w:pPr>
              <w:pStyle w:val="TableContents"/>
              <w:spacing w:before="0" w:after="283"/>
              <w:rPr/>
            </w:pPr>
            <w:r>
              <w:rPr/>
              <w:t>To provide limited business-related benefits, where appropriate, and to assist in attracting and retaining executive officers.</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4146" w:type="dxa"/>
            <w:tcBorders>
              <w:bottom w:val="dotted" w:sz="6" w:space="0" w:color="000000"/>
            </w:tcBorders>
            <w:shd w:fill="auto" w:val="clear"/>
            <w:tcMar>
              <w:bottom w:w="100" w:type="dxa"/>
            </w:tcMar>
            <w:vAlign w:val="center"/>
          </w:tcPr>
          <w:p>
            <w:pPr>
              <w:pStyle w:val="TableContents"/>
              <w:spacing w:before="0" w:after="283"/>
              <w:rPr/>
            </w:pPr>
            <w:r>
              <w:rPr/>
              <w:t>Fixed compensation component.</w:t>
            </w:r>
          </w:p>
        </w:tc>
      </w:tr>
      <w:tr>
        <w:trPr/>
        <w:tc>
          <w:tcPr>
            <w:tcW w:w="2137" w:type="dxa"/>
            <w:tcBorders/>
            <w:shd w:fill="auto" w:val="clear"/>
            <w:vAlign w:val="center"/>
          </w:tcPr>
          <w:p>
            <w:pPr>
              <w:pStyle w:val="TableContents"/>
              <w:spacing w:before="0" w:after="283"/>
              <w:rPr>
                <w:sz w:val="4"/>
                <w:szCs w:val="4"/>
              </w:rPr>
            </w:pPr>
            <w:r>
              <w:rPr>
                <w:sz w:val="4"/>
                <w:szCs w:val="4"/>
              </w:rPr>
            </w:r>
          </w:p>
        </w:tc>
        <w:tc>
          <w:tcPr>
            <w:tcW w:w="3802" w:type="dxa"/>
            <w:gridSpan w:val="2"/>
            <w:tcBorders/>
            <w:shd w:fill="auto" w:val="clear"/>
            <w:vAlign w:val="center"/>
          </w:tcPr>
          <w:p>
            <w:pPr>
              <w:pStyle w:val="TableContents"/>
              <w:spacing w:before="0" w:after="283"/>
              <w:rPr>
                <w:sz w:val="4"/>
                <w:szCs w:val="4"/>
              </w:rPr>
            </w:pPr>
            <w:r>
              <w:rPr>
                <w:sz w:val="4"/>
                <w:szCs w:val="4"/>
              </w:rPr>
            </w:r>
          </w:p>
        </w:tc>
        <w:tc>
          <w:tcPr>
            <w:tcW w:w="4266"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bottom w:val="single" w:sz="6" w:space="0" w:color="000000"/>
            </w:tcBorders>
            <w:shd w:fill="auto" w:val="clear"/>
            <w:tcMar>
              <w:bottom w:w="100" w:type="dxa"/>
            </w:tcMar>
            <w:vAlign w:val="center"/>
          </w:tcPr>
          <w:p>
            <w:pPr>
              <w:pStyle w:val="TableContents"/>
              <w:spacing w:before="0" w:after="0"/>
              <w:rPr>
                <w:rFonts w:ascii="ARIAL" w:hAnsi="ARIAL"/>
                <w:b/>
                <w:sz w:val="18"/>
              </w:rPr>
            </w:pPr>
            <w:r>
              <w:rPr>
                <w:rFonts w:ascii="ARIAL" w:hAnsi="ARIAL"/>
                <w:b/>
                <w:sz w:val="18"/>
              </w:rPr>
              <w:t>Change-in-Control</w:t>
            </w:r>
          </w:p>
          <w:p>
            <w:pPr>
              <w:pStyle w:val="TableContents"/>
              <w:spacing w:before="0" w:after="20"/>
              <w:rPr>
                <w:rFonts w:ascii="ARIAL" w:hAnsi="ARIAL"/>
                <w:b/>
                <w:sz w:val="18"/>
              </w:rPr>
            </w:pPr>
            <w:r>
              <w:rPr>
                <w:rFonts w:ascii="ARIAL" w:hAnsi="ARIAL"/>
                <w:b/>
                <w:sz w:val="18"/>
              </w:rPr>
              <w:t>Protection</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3682" w:type="dxa"/>
            <w:tcBorders>
              <w:bottom w:val="single" w:sz="6" w:space="0" w:color="000000"/>
            </w:tcBorders>
            <w:shd w:fill="auto" w:val="clear"/>
            <w:tcMar>
              <w:bottom w:w="100" w:type="dxa"/>
            </w:tcMar>
            <w:vAlign w:val="center"/>
          </w:tcPr>
          <w:p>
            <w:pPr>
              <w:pStyle w:val="TableContents"/>
              <w:spacing w:before="0" w:after="283"/>
              <w:rPr/>
            </w:pPr>
            <w:r>
              <w:rPr/>
              <w:t>To provide continuity of management and bridge future employment if terminated following a change in control.</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4146" w:type="dxa"/>
            <w:tcBorders>
              <w:bottom w:val="single" w:sz="6" w:space="0" w:color="000000"/>
            </w:tcBorders>
            <w:shd w:fill="auto" w:val="clear"/>
            <w:tcMar>
              <w:bottom w:w="100" w:type="dxa"/>
            </w:tcMar>
            <w:vAlign w:val="center"/>
          </w:tcPr>
          <w:p>
            <w:pPr>
              <w:pStyle w:val="TableContents"/>
              <w:spacing w:before="0" w:after="283"/>
              <w:rPr/>
            </w:pPr>
            <w:r>
              <w:rPr/>
              <w:t>Fixed compensation component; only paid in the event the executive’s employment is terminated other than for “cause” or for “good reason,” in either case, in connection with a change in control.</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1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94" descr=""/>
                          <pic:cNvPicPr>
                            <a:picLocks noChangeAspect="1" noChangeArrowheads="1"/>
                          </pic:cNvPicPr>
                        </pic:nvPicPr>
                        <pic:blipFill>
                          <a:blip r:embed="rId19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57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CONSIDERATIONS REGARDING 2022 COMPENSATION </w:t>
      </w:r>
    </w:p>
    <w:p>
      <w:pPr>
        <w:pStyle w:val="TextBody"/>
        <w:spacing w:before="0" w:after="0"/>
        <w:jc w:val="left"/>
        <w:rPr/>
      </w:pPr>
      <w:r>
        <w:rPr/>
        <w:t> </w:t>
      </w:r>
    </w:p>
    <w:p>
      <w:pPr>
        <w:pStyle w:val="TextBody"/>
        <w:spacing w:before="0" w:after="0"/>
        <w:jc w:val="left"/>
        <w:rPr>
          <w:rFonts w:ascii="ARIAL" w:hAnsi="ARIAL"/>
          <w:b/>
          <w:color w:val="007CBA"/>
          <w:sz w:val="26"/>
        </w:rPr>
      </w:pPr>
      <w:bookmarkStart w:id="40" w:name="toc390557_33"/>
      <w:bookmarkEnd w:id="40"/>
      <w:r>
        <w:rPr>
          <w:rFonts w:ascii="ARIAL" w:hAnsi="ARIAL"/>
          <w:b/>
          <w:color w:val="007CBA"/>
          <w:sz w:val="26"/>
        </w:rPr>
        <w:t xml:space="preserve">Considerations Regarding 2022 Compensation </w:t>
      </w:r>
    </w:p>
    <w:p>
      <w:pPr>
        <w:pStyle w:val="TextBody"/>
        <w:spacing w:before="120" w:after="0"/>
        <w:jc w:val="left"/>
        <w:rPr>
          <w:rFonts w:ascii="ARIAL" w:hAnsi="ARIAL"/>
          <w:sz w:val="20"/>
        </w:rPr>
      </w:pPr>
      <w:r>
        <w:rPr>
          <w:rFonts w:ascii="ARIAL" w:hAnsi="ARIAL"/>
          <w:sz w:val="20"/>
        </w:rPr>
        <w:t xml:space="preserve">The following chart summarizes the target compensation in our 2022 executive compensation program: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460"/>
        <w:gridCol w:w="120"/>
        <w:gridCol w:w="8625"/>
      </w:tblGrid>
      <w:tr>
        <w:trPr/>
        <w:tc>
          <w:tcPr>
            <w:tcW w:w="14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25" w:type="dxa"/>
            <w:tcBorders/>
            <w:shd w:fill="auto" w:val="clear"/>
            <w:vAlign w:val="center"/>
          </w:tcPr>
          <w:p>
            <w:pPr>
              <w:pStyle w:val="TableContents"/>
              <w:spacing w:before="0" w:after="283"/>
              <w:rPr>
                <w:sz w:val="4"/>
                <w:szCs w:val="4"/>
              </w:rPr>
            </w:pPr>
            <w:r>
              <w:rPr>
                <w:sz w:val="4"/>
                <w:szCs w:val="4"/>
              </w:rPr>
            </w:r>
          </w:p>
        </w:tc>
      </w:tr>
      <w:tr>
        <w:trPr/>
        <w:tc>
          <w:tcPr>
            <w:tcW w:w="1460" w:type="dxa"/>
            <w:tcBorders/>
            <w:shd w:fill="DBDBDB" w:val="clear"/>
            <w:vAlign w:val="center"/>
          </w:tcPr>
          <w:p>
            <w:pPr>
              <w:pStyle w:val="TableContents"/>
              <w:spacing w:before="0" w:after="283"/>
              <w:rPr>
                <w:sz w:val="4"/>
                <w:szCs w:val="4"/>
              </w:rPr>
            </w:pPr>
            <w:r>
              <w:rPr>
                <w:sz w:val="4"/>
                <w:szCs w:val="4"/>
              </w:rPr>
            </w:r>
          </w:p>
        </w:tc>
        <w:tc>
          <w:tcPr>
            <w:tcW w:w="8745" w:type="dxa"/>
            <w:gridSpan w:val="2"/>
            <w:tcBorders/>
            <w:shd w:fill="DBDBDB" w:val="clear"/>
            <w:vAlign w:val="center"/>
          </w:tcPr>
          <w:p>
            <w:pPr>
              <w:pStyle w:val="TableContents"/>
              <w:spacing w:before="0" w:after="283"/>
              <w:rPr>
                <w:sz w:val="4"/>
                <w:szCs w:val="4"/>
              </w:rPr>
            </w:pPr>
            <w:r>
              <w:rPr>
                <w:sz w:val="4"/>
                <w:szCs w:val="4"/>
              </w:rPr>
            </w:r>
          </w:p>
        </w:tc>
      </w:tr>
      <w:tr>
        <w:trPr/>
        <w:tc>
          <w:tcPr>
            <w:tcW w:w="1460" w:type="dxa"/>
            <w:tcBorders/>
            <w:shd w:fill="DBDBDB" w:val="clear"/>
            <w:vAlign w:val="center"/>
          </w:tcPr>
          <w:p>
            <w:pPr>
              <w:pStyle w:val="TableContents"/>
              <w:spacing w:before="0" w:after="0"/>
              <w:rPr>
                <w:rFonts w:ascii="ARIAL" w:hAnsi="ARIAL"/>
                <w:b/>
                <w:sz w:val="18"/>
              </w:rPr>
            </w:pPr>
            <w:r>
              <w:rPr>
                <w:rFonts w:ascii="ARIAL" w:hAnsi="ARIAL"/>
                <w:b/>
                <w:sz w:val="18"/>
              </w:rPr>
              <w:t>Pay Component</w:t>
            </w:r>
          </w:p>
        </w:tc>
        <w:tc>
          <w:tcPr>
            <w:tcW w:w="120" w:type="dxa"/>
            <w:tcBorders/>
            <w:shd w:fill="DBDBDB" w:val="clear"/>
            <w:vAlign w:val="center"/>
          </w:tcPr>
          <w:p>
            <w:pPr>
              <w:pStyle w:val="TableContents"/>
              <w:spacing w:before="0" w:after="283"/>
              <w:rPr/>
            </w:pPr>
            <w:r>
              <w:rPr/>
              <w:t>  </w:t>
            </w:r>
          </w:p>
        </w:tc>
        <w:tc>
          <w:tcPr>
            <w:tcW w:w="8625" w:type="dxa"/>
            <w:tcBorders/>
            <w:shd w:fill="DBDBDB" w:val="clear"/>
            <w:vAlign w:val="center"/>
          </w:tcPr>
          <w:p>
            <w:pPr>
              <w:pStyle w:val="TableContents"/>
              <w:spacing w:before="0" w:after="283"/>
              <w:rPr>
                <w:b/>
              </w:rPr>
            </w:pPr>
            <w:r>
              <w:rPr>
                <w:b/>
              </w:rPr>
              <w:t>Summary</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8745" w:type="dxa"/>
            <w:gridSpan w:val="2"/>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6" w:space="0" w:color="000000"/>
            </w:tcBorders>
            <w:shd w:fill="auto" w:val="clear"/>
            <w:tcMar>
              <w:bottom w:w="80" w:type="dxa"/>
            </w:tcMar>
            <w:vAlign w:val="center"/>
          </w:tcPr>
          <w:p>
            <w:pPr>
              <w:pStyle w:val="TableContents"/>
              <w:spacing w:before="0" w:after="0"/>
              <w:rPr>
                <w:rFonts w:ascii="ARIAL" w:hAnsi="ARIAL"/>
                <w:b/>
                <w:sz w:val="18"/>
              </w:rPr>
            </w:pPr>
            <w:r>
              <w:rPr>
                <w:rFonts w:ascii="ARIAL" w:hAnsi="ARIAL"/>
                <w:b/>
                <w:sz w:val="18"/>
              </w:rPr>
              <w:t>Base Salary</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8625" w:type="dxa"/>
            <w:tcBorders>
              <w:bottom w:val="dotted" w:sz="6" w:space="0" w:color="000000"/>
            </w:tcBorders>
            <w:shd w:fill="auto" w:val="clear"/>
            <w:tcMar>
              <w:bottom w:w="80" w:type="dxa"/>
            </w:tcMar>
            <w:vAlign w:val="center"/>
          </w:tcPr>
          <w:p>
            <w:pPr>
              <w:pStyle w:val="TableContents"/>
              <w:spacing w:before="0" w:after="0"/>
              <w:rPr/>
            </w:pPr>
            <w:r>
              <w:rPr>
                <w:color w:val="007CBA"/>
              </w:rPr>
              <w:t>•</w:t>
            </w:r>
            <w:r>
              <w:rPr/>
              <w:t>  </w:t>
            </w:r>
            <w:r>
              <w:rPr>
                <w:rFonts w:ascii="ARIAL" w:hAnsi="ARIAL"/>
                <w:sz w:val="18"/>
              </w:rPr>
              <w:t>At the February 2022 meeting, the Committee reviewed competitive market data and individual performance evaluations. Increases were effective March 1, 2022 for all NEOs.</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8745" w:type="dxa"/>
            <w:gridSpan w:val="2"/>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6" w:space="0" w:color="000000"/>
            </w:tcBorders>
            <w:shd w:fill="auto" w:val="clear"/>
            <w:tcMar>
              <w:bottom w:w="80" w:type="dxa"/>
            </w:tcMar>
            <w:vAlign w:val="center"/>
          </w:tcPr>
          <w:p>
            <w:pPr>
              <w:pStyle w:val="TableContents"/>
              <w:spacing w:before="0" w:after="0"/>
              <w:rPr>
                <w:rFonts w:ascii="ARIAL" w:hAnsi="ARIAL"/>
                <w:b/>
                <w:sz w:val="18"/>
              </w:rPr>
            </w:pPr>
            <w:r>
              <w:rPr>
                <w:rFonts w:ascii="ARIAL" w:hAnsi="ARIAL"/>
                <w:b/>
                <w:sz w:val="18"/>
              </w:rPr>
              <w:t>Target Annual Cash</w:t>
            </w:r>
          </w:p>
          <w:p>
            <w:pPr>
              <w:pStyle w:val="TableContents"/>
              <w:spacing w:before="0" w:after="20"/>
              <w:rPr>
                <w:rFonts w:ascii="ARIAL" w:hAnsi="ARIAL"/>
                <w:b/>
                <w:sz w:val="18"/>
              </w:rPr>
            </w:pPr>
            <w:r>
              <w:rPr>
                <w:rFonts w:ascii="ARIAL" w:hAnsi="ARIAL"/>
                <w:b/>
                <w:sz w:val="18"/>
              </w:rPr>
              <w:t>Incentives</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8625" w:type="dxa"/>
            <w:tcBorders>
              <w:bottom w:val="dotted" w:sz="6" w:space="0" w:color="000000"/>
            </w:tcBorders>
            <w:shd w:fill="auto" w:val="clear"/>
            <w:tcMar>
              <w:bottom w:w="80" w:type="dxa"/>
            </w:tcMar>
            <w:vAlign w:val="center"/>
          </w:tcPr>
          <w:p>
            <w:pPr>
              <w:pStyle w:val="TableContents"/>
              <w:spacing w:before="0" w:after="0"/>
              <w:rPr/>
            </w:pPr>
            <w:r>
              <w:rPr>
                <w:color w:val="007CBA"/>
              </w:rPr>
              <w:t>•</w:t>
            </w:r>
            <w:r>
              <w:rPr/>
              <w:t>  </w:t>
            </w:r>
            <w:r>
              <w:rPr>
                <w:rFonts w:ascii="ARIAL" w:hAnsi="ARIAL"/>
                <w:sz w:val="18"/>
              </w:rPr>
              <w:t>Our CEO’s target incentive for 2022 was 140% of base earnings. For other NEOs’ target incentives for 2022 were 70% to 80% of base earnings.</w:t>
            </w:r>
          </w:p>
          <w:p>
            <w:pPr>
              <w:pStyle w:val="TableContents"/>
              <w:spacing w:before="0" w:after="20"/>
              <w:rPr/>
            </w:pPr>
            <w:r>
              <w:rPr>
                <w:color w:val="007CBA"/>
              </w:rPr>
              <w:t>•</w:t>
            </w:r>
            <w:r>
              <w:rPr/>
              <w:t>  </w:t>
            </w:r>
            <w:r>
              <w:rPr>
                <w:rFonts w:ascii="ARIAL" w:hAnsi="ARIAL"/>
                <w:sz w:val="18"/>
              </w:rPr>
              <w:t>Our CEO and other NEOs have the option to invest up to 50% of their annual cash bonuses into stock units, which are required to be held generally for a period of three years.</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8745" w:type="dxa"/>
            <w:gridSpan w:val="2"/>
            <w:tcBorders/>
            <w:shd w:fill="auto" w:val="clear"/>
            <w:vAlign w:val="center"/>
          </w:tcPr>
          <w:p>
            <w:pPr>
              <w:pStyle w:val="TableContents"/>
              <w:spacing w:before="0" w:after="283"/>
              <w:rPr>
                <w:sz w:val="4"/>
                <w:szCs w:val="4"/>
              </w:rPr>
            </w:pPr>
            <w:r>
              <w:rPr>
                <w:sz w:val="4"/>
                <w:szCs w:val="4"/>
              </w:rPr>
            </w:r>
          </w:p>
        </w:tc>
      </w:tr>
      <w:tr>
        <w:trPr/>
        <w:tc>
          <w:tcPr>
            <w:tcW w:w="1460" w:type="dxa"/>
            <w:tcBorders>
              <w:bottom w:val="dotted" w:sz="6" w:space="0" w:color="000000"/>
            </w:tcBorders>
            <w:shd w:fill="auto" w:val="clear"/>
            <w:tcMar>
              <w:bottom w:w="80" w:type="dxa"/>
            </w:tcMar>
            <w:vAlign w:val="center"/>
          </w:tcPr>
          <w:p>
            <w:pPr>
              <w:pStyle w:val="TableContents"/>
              <w:spacing w:before="0" w:after="0"/>
              <w:rPr>
                <w:rFonts w:ascii="ARIAL" w:hAnsi="ARIAL"/>
                <w:b/>
                <w:sz w:val="18"/>
              </w:rPr>
            </w:pPr>
            <w:r>
              <w:rPr>
                <w:rFonts w:ascii="ARIAL" w:hAnsi="ARIAL"/>
                <w:b/>
                <w:sz w:val="18"/>
              </w:rPr>
              <w:t>Long-Term</w:t>
            </w:r>
          </w:p>
          <w:p>
            <w:pPr>
              <w:pStyle w:val="TableContents"/>
              <w:spacing w:before="0" w:after="20"/>
              <w:rPr>
                <w:rFonts w:ascii="ARIAL" w:hAnsi="ARIAL"/>
                <w:b/>
                <w:sz w:val="18"/>
              </w:rPr>
            </w:pPr>
            <w:r>
              <w:rPr>
                <w:rFonts w:ascii="ARIAL" w:hAnsi="ARIAL"/>
                <w:b/>
                <w:sz w:val="18"/>
              </w:rPr>
              <w:t>Incentives</w:t>
            </w:r>
          </w:p>
        </w:tc>
        <w:tc>
          <w:tcPr>
            <w:tcW w:w="120" w:type="dxa"/>
            <w:tcBorders>
              <w:bottom w:val="dotted" w:sz="6" w:space="0" w:color="000000"/>
            </w:tcBorders>
            <w:shd w:fill="auto" w:val="clear"/>
            <w:tcMar>
              <w:bottom w:w="28" w:type="dxa"/>
            </w:tcMar>
            <w:vAlign w:val="center"/>
          </w:tcPr>
          <w:p>
            <w:pPr>
              <w:pStyle w:val="TableContents"/>
              <w:spacing w:before="0" w:after="283"/>
              <w:rPr/>
            </w:pPr>
            <w:r>
              <w:rPr/>
              <w:t>  </w:t>
            </w:r>
          </w:p>
        </w:tc>
        <w:tc>
          <w:tcPr>
            <w:tcW w:w="8625" w:type="dxa"/>
            <w:tcBorders>
              <w:bottom w:val="dotted" w:sz="6" w:space="0" w:color="000000"/>
            </w:tcBorders>
            <w:shd w:fill="auto" w:val="clear"/>
            <w:tcMar>
              <w:bottom w:w="80" w:type="dxa"/>
            </w:tcMar>
            <w:vAlign w:val="center"/>
          </w:tcPr>
          <w:p>
            <w:pPr>
              <w:pStyle w:val="TableContents"/>
              <w:spacing w:before="0" w:after="0"/>
              <w:rPr/>
            </w:pPr>
            <w:r>
              <w:rPr>
                <w:color w:val="007CBA"/>
              </w:rPr>
              <w:t>•</w:t>
            </w:r>
            <w:r>
              <w:rPr/>
              <w:t>  </w:t>
            </w:r>
            <w:r>
              <w:rPr>
                <w:rFonts w:ascii="ARIAL" w:hAnsi="ARIAL"/>
                <w:sz w:val="18"/>
              </w:rPr>
              <w:t>Our LTI structure consists of PSUs and performance-based RSUs.</w:t>
            </w:r>
          </w:p>
          <w:p>
            <w:pPr>
              <w:pStyle w:val="TableContents"/>
              <w:spacing w:before="0" w:after="0"/>
              <w:rPr/>
            </w:pPr>
            <w:r>
              <w:rPr>
                <w:color w:val="007CBA"/>
              </w:rPr>
              <w:t>•</w:t>
            </w:r>
            <w:r>
              <w:rPr/>
              <w:t>  </w:t>
            </w:r>
            <w:r>
              <w:rPr>
                <w:rFonts w:ascii="ARIAL" w:hAnsi="ARIAL"/>
                <w:sz w:val="18"/>
              </w:rPr>
              <w:t>The LTI awards for NEOs in 2022 were weighted 55% PSUs and 45% RSUs. The LTI grant size is based on competitive market data.</w:t>
            </w:r>
          </w:p>
          <w:p>
            <w:pPr>
              <w:pStyle w:val="TableContents"/>
              <w:spacing w:before="0" w:after="0"/>
              <w:rPr/>
            </w:pPr>
            <w:r>
              <w:rPr>
                <w:color w:val="007CBA"/>
              </w:rPr>
              <w:t>•</w:t>
            </w:r>
            <w:r>
              <w:rPr/>
              <w:t>  </w:t>
            </w:r>
            <w:r>
              <w:rPr>
                <w:rFonts w:ascii="ARIAL" w:hAnsi="ARIAL"/>
                <w:sz w:val="18"/>
              </w:rPr>
              <w:t>PSU awards in 2022 are earned based on achievement of performance levels, with 33% based on three-year cumulative Sales Growth and 67% based on three-year cumulative adjusted EBITDA performance. The Company’s relative TSR ranking compared to the S&amp;P 500 provides a modifier to the award, which may be adjusted up or down by up to 20%.</w:t>
            </w:r>
          </w:p>
          <w:p>
            <w:pPr>
              <w:pStyle w:val="TableContents"/>
              <w:spacing w:before="0" w:after="20"/>
              <w:rPr/>
            </w:pPr>
            <w:r>
              <w:rPr>
                <w:color w:val="007CBA"/>
              </w:rPr>
              <w:t>•</w:t>
            </w:r>
            <w:r>
              <w:rPr/>
              <w:t>  </w:t>
            </w:r>
            <w:r>
              <w:rPr>
                <w:rFonts w:ascii="ARIAL" w:hAnsi="ARIAL"/>
                <w:sz w:val="18"/>
              </w:rPr>
              <w:t>RSU awards to NEOs in 2022 are subject to the achievement of one-year adjusted EBITDA performance.</w:t>
            </w:r>
          </w:p>
        </w:tc>
      </w:tr>
      <w:tr>
        <w:trPr/>
        <w:tc>
          <w:tcPr>
            <w:tcW w:w="1460" w:type="dxa"/>
            <w:tcBorders/>
            <w:shd w:fill="auto" w:val="clear"/>
            <w:vAlign w:val="center"/>
          </w:tcPr>
          <w:p>
            <w:pPr>
              <w:pStyle w:val="TableContents"/>
              <w:spacing w:before="0" w:after="283"/>
              <w:rPr>
                <w:sz w:val="4"/>
                <w:szCs w:val="4"/>
              </w:rPr>
            </w:pPr>
            <w:r>
              <w:rPr>
                <w:sz w:val="4"/>
                <w:szCs w:val="4"/>
              </w:rPr>
            </w:r>
          </w:p>
        </w:tc>
        <w:tc>
          <w:tcPr>
            <w:tcW w:w="8745" w:type="dxa"/>
            <w:gridSpan w:val="2"/>
            <w:tcBorders/>
            <w:shd w:fill="auto" w:val="clear"/>
            <w:vAlign w:val="center"/>
          </w:tcPr>
          <w:p>
            <w:pPr>
              <w:pStyle w:val="TableContents"/>
              <w:spacing w:before="0" w:after="283"/>
              <w:rPr>
                <w:sz w:val="4"/>
                <w:szCs w:val="4"/>
              </w:rPr>
            </w:pPr>
            <w:r>
              <w:rPr>
                <w:sz w:val="4"/>
                <w:szCs w:val="4"/>
              </w:rPr>
            </w:r>
          </w:p>
        </w:tc>
      </w:tr>
      <w:tr>
        <w:trPr/>
        <w:tc>
          <w:tcPr>
            <w:tcW w:w="1460" w:type="dxa"/>
            <w:tcBorders>
              <w:bottom w:val="single" w:sz="6" w:space="0" w:color="000000"/>
            </w:tcBorders>
            <w:shd w:fill="auto" w:val="clear"/>
            <w:tcMar>
              <w:bottom w:w="80" w:type="dxa"/>
            </w:tcMar>
            <w:vAlign w:val="center"/>
          </w:tcPr>
          <w:p>
            <w:pPr>
              <w:pStyle w:val="TableContents"/>
              <w:spacing w:before="0" w:after="0"/>
              <w:rPr>
                <w:rFonts w:ascii="ARIAL" w:hAnsi="ARIAL"/>
                <w:b/>
                <w:sz w:val="18"/>
              </w:rPr>
            </w:pPr>
            <w:r>
              <w:rPr>
                <w:rFonts w:ascii="ARIAL" w:hAnsi="ARIAL"/>
                <w:b/>
                <w:sz w:val="18"/>
              </w:rPr>
              <w:t>Total Compensation</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625" w:type="dxa"/>
            <w:tcBorders>
              <w:bottom w:val="single" w:sz="6" w:space="0" w:color="000000"/>
            </w:tcBorders>
            <w:shd w:fill="auto" w:val="clear"/>
            <w:tcMar>
              <w:bottom w:w="80" w:type="dxa"/>
            </w:tcMar>
            <w:vAlign w:val="center"/>
          </w:tcPr>
          <w:p>
            <w:pPr>
              <w:pStyle w:val="TableContents"/>
              <w:spacing w:before="0" w:after="0"/>
              <w:rPr/>
            </w:pPr>
            <w:r>
              <w:rPr>
                <w:color w:val="007CBA"/>
              </w:rPr>
              <w:t>•</w:t>
            </w:r>
            <w:r>
              <w:rPr/>
              <w:t>  </w:t>
            </w:r>
            <w:r>
              <w:rPr>
                <w:rFonts w:ascii="ARIAL" w:hAnsi="ARIAL"/>
                <w:sz w:val="18"/>
              </w:rPr>
              <w:t>The Committee uses the size-adjusted 50th percentile of our Compensation Peer Group as a guide in setting the target for the total compensation opportunity, but considers a variety of factors in setting compensation, including the short-term and longer-term performance and leadership characteristics of the executive, and compensation may vary materially. Overall, the Committee believes targeted compensation should be more heavily weighted on variable “at-risk” compensation and longer-term components.</w:t>
            </w:r>
          </w:p>
        </w:tc>
      </w:tr>
    </w:tbl>
    <w:p>
      <w:pPr>
        <w:pStyle w:val="TextBody"/>
        <w:spacing w:before="240" w:after="0"/>
        <w:jc w:val="left"/>
        <w:rPr>
          <w:rFonts w:ascii="ARIAL" w:hAnsi="ARIAL"/>
          <w:sz w:val="20"/>
        </w:rPr>
      </w:pPr>
      <w:r>
        <w:rPr>
          <w:rFonts w:ascii="ARIAL" w:hAnsi="ARIAL"/>
          <w:sz w:val="20"/>
        </w:rPr>
        <w:t xml:space="preserve">The committee approved the following </w:t>
      </w:r>
      <w:r>
        <w:rPr>
          <w:rFonts w:ascii="ARIAL" w:hAnsi="ARIAL"/>
          <w:b/>
          <w:sz w:val="20"/>
        </w:rPr>
        <w:t xml:space="preserve">actual </w:t>
      </w:r>
      <w:r>
        <w:rPr>
          <w:rFonts w:ascii="ARIAL" w:hAnsi="ARIAL"/>
          <w:sz w:val="20"/>
        </w:rPr>
        <w:t xml:space="preserve">compensation items in February 2022: </w:t>
      </w:r>
    </w:p>
    <w:p>
      <w:pPr>
        <w:pStyle w:val="TextBody"/>
        <w:spacing w:before="240" w:after="0"/>
        <w:jc w:val="left"/>
        <w:rPr>
          <w:rFonts w:ascii="ARIAL" w:hAnsi="ARIAL"/>
          <w:b/>
          <w:color w:val="007CBA"/>
          <w:sz w:val="26"/>
        </w:rPr>
      </w:pPr>
      <w:bookmarkStart w:id="41" w:name="toc390557_34"/>
      <w:bookmarkEnd w:id="41"/>
      <w:r>
        <w:rPr>
          <w:rFonts w:ascii="ARIAL" w:hAnsi="ARIAL"/>
          <w:b/>
          <w:color w:val="007CBA"/>
          <w:sz w:val="26"/>
        </w:rPr>
        <w:t xml:space="preserve">2022 Base Salary </w:t>
      </w:r>
    </w:p>
    <w:p>
      <w:pPr>
        <w:pStyle w:val="TextBody"/>
        <w:spacing w:before="240" w:after="0"/>
        <w:jc w:val="left"/>
        <w:rPr>
          <w:rFonts w:ascii="ARIAL" w:hAnsi="ARIAL"/>
          <w:sz w:val="20"/>
        </w:rPr>
      </w:pPr>
      <w:r>
        <w:rPr>
          <w:rFonts w:ascii="ARIAL" w:hAnsi="ARIAL"/>
          <w:sz w:val="20"/>
        </w:rPr>
        <w:t xml:space="preserve">The Committee determines base salaries for the NEOs and other executives based on a number of factors, including but not limited to, market data, individual performance, the Company’s performance, internal pay equity, the advice of the Committee’s independent compensation consultant, management recommendations (except for the CEO), and, for the CEO, the Committee’s assessment of Mr. Nye’s performance. Based on these factors, the Committee approved the following increases in base salary. </w:t>
      </w:r>
    </w:p>
    <w:p>
      <w:pPr>
        <w:pStyle w:val="TextBody"/>
        <w:spacing w:before="0" w:after="0"/>
        <w:jc w:val="left"/>
        <w:rPr/>
      </w:pPr>
      <w:r>
        <w:rPr/>
        <w:t> </w:t>
      </w:r>
    </w:p>
    <w:tbl>
      <w:tblPr>
        <w:tblW w:w="4015" w:type="dxa"/>
        <w:jc w:val="left"/>
        <w:tblInd w:w="0" w:type="dxa"/>
        <w:tblCellMar>
          <w:top w:w="0" w:type="dxa"/>
          <w:left w:w="0" w:type="dxa"/>
          <w:bottom w:w="0" w:type="dxa"/>
          <w:right w:w="0" w:type="dxa"/>
        </w:tblCellMar>
      </w:tblPr>
      <w:tblGrid>
        <w:gridCol w:w="125"/>
        <w:gridCol w:w="60"/>
        <w:gridCol w:w="383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3830" w:type="dxa"/>
            <w:tcBorders/>
            <w:shd w:fill="auto" w:val="clear"/>
            <w:vAlign w:val="center"/>
          </w:tcPr>
          <w:p>
            <w:pPr>
              <w:pStyle w:val="TableContents"/>
              <w:spacing w:before="0" w:after="0"/>
              <w:jc w:val="left"/>
              <w:rPr>
                <w:rFonts w:ascii="ARIAL" w:hAnsi="ARIAL"/>
                <w:sz w:val="20"/>
              </w:rPr>
            </w:pPr>
            <w:r>
              <w:rPr>
                <w:rFonts w:ascii="ARIAL" w:hAnsi="ARIAL"/>
                <w:sz w:val="20"/>
              </w:rPr>
              <w:t xml:space="preserve">Mr. Nye: base salary remained unchanged.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Other NEOs: approximately 4.7% to 8.1% increases, based on a review of competitive market data and individual performance evaluations. </w:t>
            </w:r>
          </w:p>
        </w:tc>
      </w:tr>
    </w:tbl>
    <w:p>
      <w:pPr>
        <w:pStyle w:val="TextBody"/>
        <w:spacing w:before="0" w:after="0"/>
        <w:jc w:val="left"/>
        <w:rPr/>
      </w:pPr>
      <w:r>
        <w:rPr/>
        <w:t> </w:t>
      </w:r>
    </w:p>
    <w:tbl>
      <w:tblPr>
        <w:tblW w:w="4330" w:type="dxa"/>
        <w:jc w:val="left"/>
        <w:tblInd w:w="0" w:type="dxa"/>
        <w:tblCellMar>
          <w:top w:w="0" w:type="dxa"/>
          <w:left w:w="0" w:type="dxa"/>
          <w:bottom w:w="0" w:type="dxa"/>
          <w:right w:w="0" w:type="dxa"/>
        </w:tblCellMar>
      </w:tblPr>
      <w:tblGrid>
        <w:gridCol w:w="1715"/>
        <w:gridCol w:w="120"/>
        <w:gridCol w:w="140"/>
        <w:gridCol w:w="980"/>
        <w:gridCol w:w="60"/>
        <w:gridCol w:w="120"/>
        <w:gridCol w:w="140"/>
        <w:gridCol w:w="980"/>
        <w:gridCol w:w="75"/>
      </w:tblGrid>
      <w:tr>
        <w:trPr/>
        <w:tc>
          <w:tcPr>
            <w:tcW w:w="17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15" w:type="dxa"/>
            <w:tcBorders/>
            <w:shd w:fill="DBDBDB" w:val="clear"/>
            <w:vAlign w:val="center"/>
          </w:tcPr>
          <w:p>
            <w:pPr>
              <w:pStyle w:val="TableContents"/>
              <w:spacing w:before="0" w:after="283"/>
              <w:rPr>
                <w:sz w:val="4"/>
                <w:szCs w:val="4"/>
              </w:rPr>
            </w:pPr>
            <w:r>
              <w:rPr>
                <w:sz w:val="4"/>
                <w:szCs w:val="4"/>
              </w:rPr>
            </w:r>
          </w:p>
        </w:tc>
        <w:tc>
          <w:tcPr>
            <w:tcW w:w="1300" w:type="dxa"/>
            <w:gridSpan w:val="4"/>
            <w:tcBorders/>
            <w:shd w:fill="DBDBDB" w:val="clear"/>
            <w:vAlign w:val="center"/>
          </w:tcPr>
          <w:p>
            <w:pPr>
              <w:pStyle w:val="TableContents"/>
              <w:spacing w:before="0" w:after="283"/>
              <w:rPr>
                <w:sz w:val="4"/>
                <w:szCs w:val="4"/>
              </w:rPr>
            </w:pPr>
            <w:r>
              <w:rPr>
                <w:sz w:val="4"/>
                <w:szCs w:val="4"/>
              </w:rPr>
            </w:r>
          </w:p>
        </w:tc>
        <w:tc>
          <w:tcPr>
            <w:tcW w:w="1315" w:type="dxa"/>
            <w:gridSpan w:val="4"/>
            <w:tcBorders/>
            <w:shd w:fill="DBDBDB" w:val="clear"/>
            <w:vAlign w:val="center"/>
          </w:tcPr>
          <w:p>
            <w:pPr>
              <w:pStyle w:val="TableContents"/>
              <w:spacing w:before="0" w:after="283"/>
              <w:rPr>
                <w:sz w:val="4"/>
                <w:szCs w:val="4"/>
              </w:rPr>
            </w:pPr>
            <w:r>
              <w:rPr>
                <w:sz w:val="4"/>
                <w:szCs w:val="4"/>
              </w:rPr>
            </w:r>
          </w:p>
        </w:tc>
      </w:tr>
      <w:tr>
        <w:trPr/>
        <w:tc>
          <w:tcPr>
            <w:tcW w:w="1715" w:type="dxa"/>
            <w:tcBorders/>
            <w:shd w:fill="DBDBDB" w:val="clear"/>
            <w:vAlign w:val="center"/>
          </w:tcPr>
          <w:p>
            <w:pPr>
              <w:pStyle w:val="TableContents"/>
              <w:spacing w:before="0" w:after="0"/>
              <w:rPr>
                <w:rFonts w:ascii="ARIAL" w:hAnsi="ARIAL"/>
                <w:b/>
                <w:sz w:val="18"/>
              </w:rPr>
            </w:pPr>
            <w:r>
              <w:rPr>
                <w:rFonts w:ascii="ARIAL" w:hAnsi="ARIAL"/>
                <w:b/>
                <w:sz w:val="18"/>
              </w:rPr>
              <w:t>NEO</w:t>
            </w:r>
          </w:p>
        </w:tc>
        <w:tc>
          <w:tcPr>
            <w:tcW w:w="120" w:type="dxa"/>
            <w:tcBorders/>
            <w:shd w:fill="DBDBDB" w:val="clear"/>
            <w:vAlign w:val="center"/>
          </w:tcPr>
          <w:p>
            <w:pPr>
              <w:pStyle w:val="TableContents"/>
              <w:spacing w:before="0" w:after="283"/>
              <w:rPr/>
            </w:pPr>
            <w:r>
              <w:rPr/>
              <w:t>  </w:t>
            </w:r>
          </w:p>
        </w:tc>
        <w:tc>
          <w:tcPr>
            <w:tcW w:w="1120" w:type="dxa"/>
            <w:gridSpan w:val="2"/>
            <w:tcBorders/>
            <w:shd w:fill="DBDBDB" w:val="clear"/>
            <w:vAlign w:val="center"/>
          </w:tcPr>
          <w:p>
            <w:pPr>
              <w:pStyle w:val="TableContents"/>
              <w:spacing w:before="0" w:after="0"/>
              <w:jc w:val="center"/>
              <w:rPr>
                <w:rFonts w:ascii="ARIAL" w:hAnsi="ARIAL"/>
                <w:b/>
                <w:sz w:val="18"/>
              </w:rPr>
            </w:pPr>
            <w:r>
              <w:rPr>
                <w:rFonts w:ascii="ARIAL" w:hAnsi="ARIAL"/>
                <w:b/>
                <w:sz w:val="18"/>
              </w:rPr>
              <w:t>2022</w:t>
            </w:r>
          </w:p>
          <w:p>
            <w:pPr>
              <w:pStyle w:val="TableContents"/>
              <w:spacing w:before="0" w:after="20"/>
              <w:jc w:val="center"/>
              <w:rPr>
                <w:rFonts w:ascii="ARIAL" w:hAnsi="ARIAL"/>
                <w:b/>
                <w:sz w:val="18"/>
              </w:rPr>
            </w:pPr>
            <w:r>
              <w:rPr>
                <w:rFonts w:ascii="ARIAL" w:hAnsi="ARIAL"/>
                <w:b/>
                <w:sz w:val="18"/>
              </w:rPr>
              <w:t>Base Salary</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120" w:type="dxa"/>
            <w:gridSpan w:val="2"/>
            <w:tcBorders/>
            <w:shd w:fill="DBDBDB" w:val="clear"/>
            <w:vAlign w:val="center"/>
          </w:tcPr>
          <w:p>
            <w:pPr>
              <w:pStyle w:val="TableContents"/>
              <w:spacing w:before="0" w:after="0"/>
              <w:jc w:val="center"/>
              <w:rPr>
                <w:rFonts w:ascii="ARIAL" w:hAnsi="ARIAL"/>
                <w:b/>
                <w:sz w:val="18"/>
              </w:rPr>
            </w:pPr>
            <w:r>
              <w:rPr>
                <w:rFonts w:ascii="ARIAL" w:hAnsi="ARIAL"/>
                <w:b/>
                <w:sz w:val="18"/>
              </w:rPr>
              <w:t>2021</w:t>
            </w:r>
          </w:p>
          <w:p>
            <w:pPr>
              <w:pStyle w:val="TableContents"/>
              <w:spacing w:before="0" w:after="20"/>
              <w:jc w:val="center"/>
              <w:rPr>
                <w:rFonts w:ascii="ARIAL" w:hAnsi="ARIAL"/>
                <w:b/>
                <w:sz w:val="18"/>
              </w:rPr>
            </w:pPr>
            <w:r>
              <w:rPr>
                <w:rFonts w:ascii="ARIAL" w:hAnsi="ARIAL"/>
                <w:b/>
                <w:sz w:val="18"/>
              </w:rPr>
              <w:t>Base Salary</w:t>
            </w:r>
          </w:p>
        </w:tc>
        <w:tc>
          <w:tcPr>
            <w:tcW w:w="75" w:type="dxa"/>
            <w:tcBorders/>
            <w:shd w:fill="DBDBDB" w:val="cle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sz w:val="4"/>
                <w:szCs w:val="4"/>
              </w:rPr>
            </w:pPr>
            <w:r>
              <w:rPr>
                <w:sz w:val="4"/>
                <w:szCs w:val="4"/>
              </w:rPr>
            </w:r>
          </w:p>
        </w:tc>
        <w:tc>
          <w:tcPr>
            <w:tcW w:w="130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C. Howard Nye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1,285,000</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1,285,000</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sz w:val="4"/>
                <w:szCs w:val="4"/>
              </w:rPr>
            </w:pPr>
            <w:r>
              <w:rPr>
                <w:sz w:val="4"/>
                <w:szCs w:val="4"/>
              </w:rPr>
            </w:r>
          </w:p>
        </w:tc>
        <w:tc>
          <w:tcPr>
            <w:tcW w:w="130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James A. J. Nickolas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638,000</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590,000</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sz w:val="4"/>
                <w:szCs w:val="4"/>
              </w:rPr>
            </w:pPr>
            <w:r>
              <w:rPr>
                <w:sz w:val="4"/>
                <w:szCs w:val="4"/>
              </w:rPr>
            </w:r>
          </w:p>
        </w:tc>
        <w:tc>
          <w:tcPr>
            <w:tcW w:w="130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Roselyn R. Bar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648,000</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615,000</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sz w:val="4"/>
                <w:szCs w:val="4"/>
              </w:rPr>
            </w:pPr>
            <w:r>
              <w:rPr>
                <w:sz w:val="4"/>
                <w:szCs w:val="4"/>
              </w:rPr>
            </w:r>
          </w:p>
        </w:tc>
        <w:tc>
          <w:tcPr>
            <w:tcW w:w="130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Craig M. LaTorre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540,000</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515,800</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sz w:val="4"/>
                <w:szCs w:val="4"/>
              </w:rPr>
            </w:pPr>
            <w:r>
              <w:rPr>
                <w:sz w:val="4"/>
                <w:szCs w:val="4"/>
              </w:rPr>
            </w:r>
          </w:p>
        </w:tc>
        <w:tc>
          <w:tcPr>
            <w:tcW w:w="130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bottom w:val="single" w:sz="6"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John P. Mohr</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80" w:type="dxa"/>
            </w:tcMar>
            <w:vAlign w:val="center"/>
          </w:tcPr>
          <w:p>
            <w:pPr>
              <w:pStyle w:val="TableContents"/>
              <w:spacing w:before="0" w:after="283"/>
              <w:rPr/>
            </w:pPr>
            <w:r>
              <w:rPr/>
              <w:t>$</w:t>
            </w:r>
          </w:p>
        </w:tc>
        <w:tc>
          <w:tcPr>
            <w:tcW w:w="980" w:type="dxa"/>
            <w:tcBorders>
              <w:bottom w:val="single" w:sz="6" w:space="0" w:color="000000"/>
            </w:tcBorders>
            <w:shd w:fill="auto" w:val="clear"/>
            <w:tcMar>
              <w:bottom w:w="80" w:type="dxa"/>
            </w:tcMar>
            <w:vAlign w:val="center"/>
          </w:tcPr>
          <w:p>
            <w:pPr>
              <w:pStyle w:val="TableContents"/>
              <w:spacing w:before="0" w:after="283"/>
              <w:jc w:val="right"/>
              <w:rPr/>
            </w:pPr>
            <w:r>
              <w:rPr/>
              <w:t>426,000</w:t>
            </w:r>
          </w:p>
        </w:tc>
        <w:tc>
          <w:tcPr>
            <w:tcW w:w="60" w:type="dxa"/>
            <w:tcBorders>
              <w:bottom w:val="single" w:sz="6" w:space="0" w:color="000000"/>
            </w:tcBorders>
            <w:shd w:fill="auto" w:val="clear"/>
            <w:tcMar>
              <w:bottom w:w="8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80" w:type="dxa"/>
            </w:tcMar>
            <w:vAlign w:val="center"/>
          </w:tcPr>
          <w:p>
            <w:pPr>
              <w:pStyle w:val="TableContents"/>
              <w:spacing w:before="0" w:after="283"/>
              <w:rPr/>
            </w:pPr>
            <w:r>
              <w:rPr/>
              <w:t>$</w:t>
            </w:r>
          </w:p>
        </w:tc>
        <w:tc>
          <w:tcPr>
            <w:tcW w:w="980" w:type="dxa"/>
            <w:tcBorders>
              <w:bottom w:val="single" w:sz="6" w:space="0" w:color="000000"/>
            </w:tcBorders>
            <w:shd w:fill="auto" w:val="clear"/>
            <w:tcMar>
              <w:bottom w:w="80" w:type="dxa"/>
            </w:tcMar>
            <w:vAlign w:val="center"/>
          </w:tcPr>
          <w:p>
            <w:pPr>
              <w:pStyle w:val="TableContents"/>
              <w:spacing w:before="0" w:after="283"/>
              <w:jc w:val="right"/>
              <w:rPr/>
            </w:pPr>
            <w:r>
              <w:rPr/>
              <w:t>406,200</w:t>
            </w:r>
          </w:p>
        </w:tc>
        <w:tc>
          <w:tcPr>
            <w:tcW w:w="75" w:type="dxa"/>
            <w:tcBorders>
              <w:bottom w:val="single" w:sz="6"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58</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1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95" descr=""/>
                          <pic:cNvPicPr>
                            <a:picLocks noChangeAspect="1" noChangeArrowheads="1"/>
                          </pic:cNvPicPr>
                        </pic:nvPicPr>
                        <pic:blipFill>
                          <a:blip r:embed="rId19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2022 ANNUAL CASH INCENTIVE GOALS AND RESULTS  ◆  </w:t>
      </w:r>
      <w:r>
        <w:rPr>
          <w:rFonts w:ascii="ARIAL" w:hAnsi="ARIAL"/>
          <w:color w:val="007CBA"/>
          <w:sz w:val="16"/>
        </w:rPr>
        <w:t>COMPENSATION DISCUSSION AND ANALYSIS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color w:val="007CBA"/>
          <w:sz w:val="26"/>
        </w:rPr>
      </w:pPr>
      <w:bookmarkStart w:id="42" w:name="toc390557_35"/>
      <w:bookmarkEnd w:id="42"/>
      <w:r>
        <w:rPr>
          <w:rFonts w:ascii="ARIAL" w:hAnsi="ARIAL"/>
          <w:b/>
          <w:color w:val="007CBA"/>
          <w:sz w:val="26"/>
        </w:rPr>
        <w:t xml:space="preserve">2022 Annual Cash Incentive Goals and Results </w:t>
      </w:r>
    </w:p>
    <w:p>
      <w:pPr>
        <w:pStyle w:val="TextBody"/>
        <w:spacing w:before="120" w:after="0"/>
        <w:jc w:val="left"/>
        <w:rPr>
          <w:rFonts w:ascii="ARIAL" w:hAnsi="ARIAL"/>
          <w:sz w:val="20"/>
        </w:rPr>
      </w:pPr>
      <w:r>
        <w:rPr>
          <w:rFonts w:ascii="ARIAL" w:hAnsi="ARIAL"/>
          <w:sz w:val="20"/>
        </w:rPr>
        <w:t xml:space="preserve">NEOs and other executives are eligible to earn annual incentive compensation under our Executive Cash Incentive Plan based on the achievement of various performance metrics. Individual NEO targets (as a percent of base salary) are approved by the Committee at the beginning of the year based on a review of competitive market data, the advice of the Committee’s independent compensation consultant, and internal pay equity. </w:t>
      </w:r>
    </w:p>
    <w:p>
      <w:pPr>
        <w:pStyle w:val="TextBody"/>
        <w:spacing w:before="240" w:after="0"/>
        <w:jc w:val="left"/>
        <w:rPr>
          <w:rFonts w:ascii="ARIAL" w:hAnsi="ARIAL"/>
          <w:sz w:val="20"/>
        </w:rPr>
      </w:pPr>
      <w:r>
        <w:rPr>
          <w:rFonts w:ascii="ARIAL" w:hAnsi="ARIAL"/>
          <w:sz w:val="20"/>
        </w:rPr>
        <w:t xml:space="preserve">The Committee awards actual annual cash incentive compensation based on achievement against corporate performance objectives and individualized targeted goals. This furthers Martin Marietta’s compensation philosophy to encourage superior performance and reward the achievement of Martin Marietta’s annual goals. The Committee determined the 2022 incentive awards in February 2023. In 2022, all of the executive officers participated in the plan. The annual incentive compensation level paid for 2022 for the NEOs other than Mr. Nye was 160% to 185% of target. The annual incentive compensation level paid for 2022 for Mr. Nye was 160%. </w:t>
      </w:r>
    </w:p>
    <w:p>
      <w:pPr>
        <w:pStyle w:val="TextBody"/>
        <w:spacing w:before="240" w:after="0"/>
        <w:jc w:val="left"/>
        <w:rPr>
          <w:rFonts w:ascii="ARIAL" w:hAnsi="ARIAL"/>
          <w:sz w:val="20"/>
        </w:rPr>
      </w:pPr>
      <w:r>
        <w:rPr>
          <w:rFonts w:ascii="ARIAL" w:hAnsi="ARIAL"/>
          <w:sz w:val="20"/>
        </w:rPr>
        <w:t xml:space="preserve">In determining the incentive payment for the CEO, the Committee first reviews the achievements of Martin Marietta for the past year as compared to its targeted goals set at the end of the previous year. Our financial goals are established at the completion of our annual planning process, which for 2022 were determined in November 2021. The annual planning process includes reviews of the assumptions used by the business segments in generating their financial projections, such as industry trends and competitive assessments, current and future projected performance levels, and the risks and opportunities surrounding these baseline assumptions. The annual plan on which our financial goals are based is tied to the business environment in which we operate and can vary year-over-year. </w:t>
      </w:r>
    </w:p>
    <w:p>
      <w:pPr>
        <w:pStyle w:val="TextBody"/>
        <w:spacing w:before="240" w:after="0"/>
        <w:jc w:val="left"/>
        <w:rPr>
          <w:rFonts w:ascii="ARIAL" w:hAnsi="ARIAL"/>
          <w:sz w:val="20"/>
        </w:rPr>
      </w:pPr>
      <w:r>
        <w:rPr>
          <w:rFonts w:ascii="ARIAL" w:hAnsi="ARIAL"/>
          <w:sz w:val="20"/>
        </w:rPr>
        <w:t xml:space="preserve">Key individual performance criteria are established for each NEO, which are intended to drive strategic focus and support operational results in the Company and the functional groups. For the NEOs other than Mr. Nye, 50% of the determination is made with respect to Martin Marietta’s performance against the same goals as Mr. Nye and 50% is based on the individual’s performance against established objectives. </w:t>
      </w:r>
    </w:p>
    <w:p>
      <w:pPr>
        <w:pStyle w:val="TextBody"/>
        <w:spacing w:before="240" w:after="0"/>
        <w:jc w:val="left"/>
        <w:rPr>
          <w:rFonts w:ascii="ARIAL" w:hAnsi="ARIAL"/>
          <w:sz w:val="20"/>
        </w:rPr>
      </w:pPr>
      <w:r>
        <w:rPr>
          <w:rFonts w:ascii="ARIAL" w:hAnsi="ARIAL"/>
          <w:sz w:val="20"/>
        </w:rPr>
        <w:t xml:space="preserve">The individualized target goals are tailored for each executive, based on his or her specific areas of responsibility and the then-current and longer-term goals of Martin Marietta. In addition, the NEO’s achievement of the goals typically is in part dependent on conditions outside the control of each of the NEOs. For example, our business may be adversely affected by hurricanes or other weather-related conditions, which could have the result of impeding the achievement of certain performance-based goals. Similar to the Committee’s assessment of financial goals, the Committee’s assessment of individual performance goals generally excludes unusual or extraordinary items. </w:t>
      </w:r>
    </w:p>
    <w:p>
      <w:pPr>
        <w:pStyle w:val="TextBody"/>
        <w:spacing w:before="240" w:after="0"/>
        <w:jc w:val="left"/>
        <w:rPr>
          <w:rFonts w:ascii="ARIAL" w:hAnsi="ARIAL"/>
          <w:sz w:val="20"/>
        </w:rPr>
      </w:pPr>
      <w:r>
        <w:rPr>
          <w:rFonts w:ascii="ARIAL" w:hAnsi="ARIAL"/>
          <w:sz w:val="20"/>
        </w:rPr>
        <w:t xml:space="preserve">The Committee also reviewed and considered management’s furtherance of its strategic plan, including a primary objective of value-enhancing growth, and the advancement of the Mission, Vision, and Values of the Company to unify management with the same objectives. </w:t>
      </w:r>
    </w:p>
    <w:p>
      <w:pPr>
        <w:pStyle w:val="TextBody"/>
        <w:spacing w:before="240" w:after="0"/>
        <w:jc w:val="left"/>
        <w:rPr>
          <w:rFonts w:ascii="ARIAL" w:hAnsi="ARIAL"/>
          <w:sz w:val="20"/>
        </w:rPr>
      </w:pPr>
      <w:r>
        <w:rPr>
          <w:rFonts w:ascii="ARIAL" w:hAnsi="ARIAL"/>
          <w:sz w:val="20"/>
        </w:rPr>
        <w:t xml:space="preserve">The Committee conducted a comparative review of the individual contributions of each of the executive officers towards achieving these goals. The Committee also considered qualitative measures of performance for the executive officers, such as adherence to and implementation of Martin Marietta’s Code of Ethical Business Conduct, customer satisfaction, and product quality. </w:t>
      </w:r>
    </w:p>
    <w:p>
      <w:pPr>
        <w:pStyle w:val="TextBody"/>
        <w:spacing w:before="240" w:after="0"/>
        <w:jc w:val="left"/>
        <w:rPr>
          <w:rFonts w:ascii="ARIAL" w:hAnsi="ARIAL"/>
          <w:sz w:val="20"/>
        </w:rPr>
      </w:pPr>
      <w:r>
        <w:rPr>
          <w:rFonts w:ascii="ARIAL" w:hAnsi="ARIAL"/>
          <w:sz w:val="20"/>
        </w:rPr>
        <w:t xml:space="preserve">The maximum incentive compensation is fixed based on objective criteria as described in the Executive Cash Incentive Plan, and the Committee then determines an appropriate award payout beneath the maximum amount based on the factors described above. We set challenging, but attainable, targets and our NEOs have a reasonable expectation of receiving cash incentive awards that reflect the achievement of our short- and long-term objectives as well as their individual performances. </w:t>
      </w:r>
    </w:p>
    <w:p>
      <w:pPr>
        <w:pStyle w:val="TextBody"/>
        <w:spacing w:before="240" w:after="0"/>
        <w:jc w:val="left"/>
        <w:rPr>
          <w:rFonts w:ascii="ARIAL" w:hAnsi="ARIAL"/>
          <w:b/>
          <w:color w:val="007CBA"/>
          <w:sz w:val="26"/>
        </w:rPr>
      </w:pPr>
      <w:bookmarkStart w:id="43" w:name="toc390557_36"/>
      <w:bookmarkEnd w:id="43"/>
      <w:r>
        <w:rPr>
          <w:rFonts w:ascii="ARIAL" w:hAnsi="ARIAL"/>
          <w:b/>
          <w:color w:val="007CBA"/>
          <w:sz w:val="26"/>
        </w:rPr>
        <w:t xml:space="preserve">2022 Actual Incentive Cash Earned </w:t>
      </w:r>
    </w:p>
    <w:p>
      <w:pPr>
        <w:pStyle w:val="TextBody"/>
        <w:spacing w:before="120" w:after="0"/>
        <w:jc w:val="left"/>
        <w:rPr>
          <w:rFonts w:ascii="ARIAL" w:hAnsi="ARIAL"/>
          <w:sz w:val="20"/>
        </w:rPr>
      </w:pPr>
      <w:r>
        <w:rPr>
          <w:rFonts w:ascii="ARIAL" w:hAnsi="ARIAL"/>
          <w:sz w:val="20"/>
        </w:rPr>
        <w:t xml:space="preserve">In 2022, the Committee determined that Company and individual performance warranted the annual incentive payments in the following chart based on a review of financial metrics and other important achievements. The Committee reviews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1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96" descr=""/>
                          <pic:cNvPicPr>
                            <a:picLocks noChangeAspect="1" noChangeArrowheads="1"/>
                          </pic:cNvPicPr>
                        </pic:nvPicPr>
                        <pic:blipFill>
                          <a:blip r:embed="rId19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59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2022 ACTUAL INCENTIVE CASH EARNED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NEOs’ performance based on continuous improvement from the preceding year. As described above, the Committee considered the following financial metrics in making this determination: </w:t>
      </w:r>
    </w:p>
    <w:p>
      <w:pPr>
        <w:pStyle w:val="TextBody"/>
        <w:spacing w:before="0" w:after="0"/>
        <w:jc w:val="left"/>
        <w:rPr/>
      </w:pPr>
      <w:r>
        <w:rPr/>
        <w:t> </w:t>
      </w:r>
    </w:p>
    <w:tbl>
      <w:tblPr>
        <w:tblW w:w="6640" w:type="dxa"/>
        <w:jc w:val="left"/>
        <w:tblInd w:w="0" w:type="dxa"/>
        <w:tblCellMar>
          <w:top w:w="0" w:type="dxa"/>
          <w:left w:w="0" w:type="dxa"/>
          <w:bottom w:w="0" w:type="dxa"/>
          <w:right w:w="0" w:type="dxa"/>
        </w:tblCellMar>
      </w:tblPr>
      <w:tblGrid>
        <w:gridCol w:w="125"/>
        <w:gridCol w:w="60"/>
        <w:gridCol w:w="645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455" w:type="dxa"/>
            <w:tcBorders/>
            <w:shd w:fill="auto" w:val="clear"/>
            <w:vAlign w:val="center"/>
          </w:tcPr>
          <w:p>
            <w:pPr>
              <w:pStyle w:val="TableContents"/>
              <w:spacing w:before="0" w:after="0"/>
              <w:jc w:val="left"/>
              <w:rPr>
                <w:rFonts w:ascii="ARIAL" w:hAnsi="ARIAL"/>
                <w:sz w:val="20"/>
              </w:rPr>
            </w:pPr>
            <w:r>
              <w:rPr>
                <w:rFonts w:ascii="ARIAL" w:hAnsi="ARIAL"/>
                <w:sz w:val="20"/>
              </w:rPr>
              <w:t xml:space="preserve">Pre-Tax Earnings (profitability) as against prior year and current year plan </w:t>
            </w:r>
          </w:p>
        </w:tc>
      </w:tr>
    </w:tbl>
    <w:p>
      <w:pPr>
        <w:pStyle w:val="TextBody"/>
        <w:spacing w:before="0" w:after="0"/>
        <w:jc w:val="left"/>
        <w:rPr/>
      </w:pPr>
      <w:r>
        <w:rPr/>
        <w:t> </w:t>
      </w:r>
    </w:p>
    <w:tbl>
      <w:tblPr>
        <w:tblW w:w="5845" w:type="dxa"/>
        <w:jc w:val="left"/>
        <w:tblInd w:w="0" w:type="dxa"/>
        <w:tblCellMar>
          <w:top w:w="0" w:type="dxa"/>
          <w:left w:w="0" w:type="dxa"/>
          <w:bottom w:w="0" w:type="dxa"/>
          <w:right w:w="0" w:type="dxa"/>
        </w:tblCellMar>
      </w:tblPr>
      <w:tblGrid>
        <w:gridCol w:w="125"/>
        <w:gridCol w:w="60"/>
        <w:gridCol w:w="566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5660" w:type="dxa"/>
            <w:tcBorders/>
            <w:shd w:fill="auto" w:val="clear"/>
            <w:vAlign w:val="center"/>
          </w:tcPr>
          <w:p>
            <w:pPr>
              <w:pStyle w:val="TableContents"/>
              <w:spacing w:before="0" w:after="0"/>
              <w:jc w:val="left"/>
              <w:rPr>
                <w:rFonts w:ascii="ARIAL" w:hAnsi="ARIAL"/>
                <w:sz w:val="20"/>
              </w:rPr>
            </w:pPr>
            <w:r>
              <w:rPr>
                <w:rFonts w:ascii="ARIAL" w:hAnsi="ARIAL"/>
                <w:sz w:val="20"/>
              </w:rPr>
              <w:t xml:space="preserve">EBITDA (profitability) as against prior year and current year plan </w:t>
            </w:r>
          </w:p>
        </w:tc>
      </w:tr>
    </w:tbl>
    <w:p>
      <w:pPr>
        <w:pStyle w:val="TextBody"/>
        <w:spacing w:before="0" w:after="0"/>
        <w:jc w:val="left"/>
        <w:rPr/>
      </w:pPr>
      <w:r>
        <w:rPr/>
        <w:t> </w:t>
      </w:r>
    </w:p>
    <w:tbl>
      <w:tblPr>
        <w:tblW w:w="5425" w:type="dxa"/>
        <w:jc w:val="left"/>
        <w:tblInd w:w="0" w:type="dxa"/>
        <w:tblCellMar>
          <w:top w:w="0" w:type="dxa"/>
          <w:left w:w="0" w:type="dxa"/>
          <w:bottom w:w="0" w:type="dxa"/>
          <w:right w:w="0" w:type="dxa"/>
        </w:tblCellMar>
      </w:tblPr>
      <w:tblGrid>
        <w:gridCol w:w="125"/>
        <w:gridCol w:w="60"/>
        <w:gridCol w:w="524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0"/>
              <w:jc w:val="left"/>
              <w:rPr>
                <w:rFonts w:ascii="ARIAL" w:hAnsi="ARIAL"/>
                <w:sz w:val="20"/>
              </w:rPr>
            </w:pPr>
            <w:r>
              <w:rPr>
                <w:rFonts w:ascii="ARIAL" w:hAnsi="ARIAL"/>
                <w:sz w:val="20"/>
              </w:rPr>
              <w:t xml:space="preserve">DSO (cash flow) as against prior year and current year plan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factors outlined in the Resilience Scorecard, although the Committee did not adjust the award based on these factors </w:t>
            </w:r>
          </w:p>
        </w:tc>
      </w:tr>
    </w:tbl>
    <w:p>
      <w:pPr>
        <w:pStyle w:val="TextBody"/>
        <w:spacing w:before="240" w:after="0"/>
        <w:jc w:val="left"/>
        <w:rPr>
          <w:rFonts w:ascii="ARIAL" w:hAnsi="ARIAL"/>
          <w:sz w:val="20"/>
        </w:rPr>
      </w:pPr>
      <w:r>
        <w:rPr>
          <w:rFonts w:ascii="ARIAL" w:hAnsi="ARIAL"/>
          <w:sz w:val="20"/>
        </w:rPr>
        <w:t xml:space="preserve">The table below summarizes the targets for 2022, individual achievements and annual incentive award earned by each NEO: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64"/>
        <w:gridCol w:w="120"/>
        <w:gridCol w:w="5072"/>
        <w:gridCol w:w="60"/>
        <w:gridCol w:w="117"/>
        <w:gridCol w:w="117"/>
        <w:gridCol w:w="744"/>
        <w:gridCol w:w="422"/>
        <w:gridCol w:w="60"/>
        <w:gridCol w:w="60"/>
        <w:gridCol w:w="140"/>
        <w:gridCol w:w="980"/>
        <w:gridCol w:w="23"/>
        <w:gridCol w:w="60"/>
        <w:gridCol w:w="62"/>
        <w:gridCol w:w="145"/>
        <w:gridCol w:w="1017"/>
        <w:gridCol w:w="42"/>
      </w:tblGrid>
      <w:tr>
        <w:trPr/>
        <w:tc>
          <w:tcPr>
            <w:tcW w:w="9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r>
      <w:tr>
        <w:trPr/>
        <w:tc>
          <w:tcPr>
            <w:tcW w:w="964" w:type="dxa"/>
            <w:tcBorders/>
            <w:shd w:fill="DBDBDB" w:val="clear"/>
            <w:vAlign w:val="center"/>
          </w:tcPr>
          <w:p>
            <w:pPr>
              <w:pStyle w:val="TableContents"/>
              <w:spacing w:before="0" w:after="283"/>
              <w:rPr>
                <w:sz w:val="4"/>
                <w:szCs w:val="4"/>
              </w:rPr>
            </w:pPr>
            <w:r>
              <w:rPr>
                <w:sz w:val="4"/>
                <w:szCs w:val="4"/>
              </w:rPr>
            </w:r>
          </w:p>
        </w:tc>
        <w:tc>
          <w:tcPr>
            <w:tcW w:w="5192" w:type="dxa"/>
            <w:gridSpan w:val="2"/>
            <w:tcBorders/>
            <w:shd w:fill="DBDBDB" w:val="clear"/>
            <w:vAlign w:val="center"/>
          </w:tcPr>
          <w:p>
            <w:pPr>
              <w:pStyle w:val="TableContents"/>
              <w:spacing w:before="0" w:after="283"/>
              <w:rPr>
                <w:sz w:val="4"/>
                <w:szCs w:val="4"/>
              </w:rPr>
            </w:pPr>
            <w:r>
              <w:rPr>
                <w:sz w:val="4"/>
                <w:szCs w:val="4"/>
              </w:rPr>
            </w:r>
          </w:p>
        </w:tc>
        <w:tc>
          <w:tcPr>
            <w:tcW w:w="1460" w:type="dxa"/>
            <w:gridSpan w:val="5"/>
            <w:tcBorders/>
            <w:shd w:fill="DBDBDB" w:val="clear"/>
            <w:vAlign w:val="center"/>
          </w:tcPr>
          <w:p>
            <w:pPr>
              <w:pStyle w:val="TableContents"/>
              <w:spacing w:before="0" w:after="283"/>
              <w:rPr>
                <w:sz w:val="4"/>
                <w:szCs w:val="4"/>
              </w:rPr>
            </w:pPr>
            <w:r>
              <w:rPr>
                <w:sz w:val="4"/>
                <w:szCs w:val="4"/>
              </w:rPr>
            </w:r>
          </w:p>
        </w:tc>
        <w:tc>
          <w:tcPr>
            <w:tcW w:w="1263" w:type="dxa"/>
            <w:gridSpan w:val="5"/>
            <w:tcBorders/>
            <w:shd w:fill="DBDBDB" w:val="clear"/>
            <w:vAlign w:val="center"/>
          </w:tcPr>
          <w:p>
            <w:pPr>
              <w:pStyle w:val="TableContents"/>
              <w:spacing w:before="0" w:after="283"/>
              <w:rPr>
                <w:sz w:val="4"/>
                <w:szCs w:val="4"/>
              </w:rPr>
            </w:pPr>
            <w:r>
              <w:rPr>
                <w:sz w:val="4"/>
                <w:szCs w:val="4"/>
              </w:rPr>
            </w:r>
          </w:p>
        </w:tc>
        <w:tc>
          <w:tcPr>
            <w:tcW w:w="1326" w:type="dxa"/>
            <w:gridSpan w:val="5"/>
            <w:tcBorders/>
            <w:shd w:fill="DBDBDB" w:val="clear"/>
            <w:vAlign w:val="center"/>
          </w:tcPr>
          <w:p>
            <w:pPr>
              <w:pStyle w:val="TableContents"/>
              <w:spacing w:before="0" w:after="283"/>
              <w:rPr>
                <w:sz w:val="4"/>
                <w:szCs w:val="4"/>
              </w:rPr>
            </w:pPr>
            <w:r>
              <w:rPr>
                <w:sz w:val="4"/>
                <w:szCs w:val="4"/>
              </w:rPr>
            </w:r>
          </w:p>
        </w:tc>
      </w:tr>
      <w:tr>
        <w:trPr/>
        <w:tc>
          <w:tcPr>
            <w:tcW w:w="964" w:type="dxa"/>
            <w:tcBorders/>
            <w:shd w:fill="DBDBDB" w:val="clear"/>
            <w:vAlign w:val="center"/>
          </w:tcPr>
          <w:p>
            <w:pPr>
              <w:pStyle w:val="TableContents"/>
              <w:spacing w:before="0" w:after="0"/>
              <w:rPr>
                <w:rFonts w:ascii="ARIAL" w:hAnsi="ARIAL"/>
                <w:b/>
                <w:color w:val="007CBA"/>
                <w:sz w:val="18"/>
              </w:rPr>
            </w:pPr>
            <w:r>
              <w:rPr>
                <w:rFonts w:ascii="ARIAL" w:hAnsi="ARIAL"/>
                <w:b/>
                <w:color w:val="007CBA"/>
                <w:sz w:val="18"/>
              </w:rPr>
              <w:t>NEO</w:t>
            </w:r>
          </w:p>
        </w:tc>
        <w:tc>
          <w:tcPr>
            <w:tcW w:w="120" w:type="dxa"/>
            <w:tcBorders/>
            <w:shd w:fill="DBDBDB" w:val="clear"/>
            <w:vAlign w:val="center"/>
          </w:tcPr>
          <w:p>
            <w:pPr>
              <w:pStyle w:val="TableContents"/>
              <w:spacing w:before="0" w:after="283"/>
              <w:rPr/>
            </w:pPr>
            <w:r>
              <w:rPr/>
              <w:t>  </w:t>
            </w:r>
          </w:p>
        </w:tc>
        <w:tc>
          <w:tcPr>
            <w:tcW w:w="5072" w:type="dxa"/>
            <w:tcBorders/>
            <w:shd w:fill="DBDBDB" w:val="clear"/>
            <w:vAlign w:val="center"/>
          </w:tcPr>
          <w:p>
            <w:pPr>
              <w:pStyle w:val="TableContents"/>
              <w:spacing w:before="0" w:after="283"/>
              <w:jc w:val="center"/>
              <w:rPr>
                <w:b/>
                <w:color w:val="007CBA"/>
              </w:rPr>
            </w:pPr>
            <w:r>
              <w:rPr>
                <w:b/>
                <w:color w:val="007CBA"/>
              </w:rPr>
              <w:t>2022 Individual Goals</w:t>
            </w:r>
          </w:p>
        </w:tc>
        <w:tc>
          <w:tcPr>
            <w:tcW w:w="60" w:type="dxa"/>
            <w:tcBorders/>
            <w:shd w:fill="DBDBDB" w:val="clear"/>
            <w:vAlign w:val="center"/>
          </w:tcPr>
          <w:p>
            <w:pPr>
              <w:pStyle w:val="TableContents"/>
              <w:spacing w:before="0" w:after="283"/>
              <w:rPr/>
            </w:pPr>
            <w:r>
              <w:rPr/>
              <w:t> </w:t>
            </w:r>
          </w:p>
        </w:tc>
        <w:tc>
          <w:tcPr>
            <w:tcW w:w="1400" w:type="dxa"/>
            <w:gridSpan w:val="4"/>
            <w:tcBorders/>
            <w:shd w:fill="DBDBDB" w:val="clear"/>
            <w:vAlign w:val="center"/>
          </w:tcPr>
          <w:p>
            <w:pPr>
              <w:pStyle w:val="TableContents"/>
              <w:spacing w:before="0" w:after="0"/>
              <w:jc w:val="center"/>
              <w:rPr>
                <w:rFonts w:ascii="ARIAL" w:hAnsi="ARIAL"/>
                <w:b/>
                <w:color w:val="007CBA"/>
                <w:sz w:val="18"/>
              </w:rPr>
            </w:pPr>
            <w:r>
              <w:rPr>
                <w:rFonts w:ascii="ARIAL" w:hAnsi="ARIAL"/>
                <w:b/>
                <w:color w:val="007CBA"/>
                <w:sz w:val="18"/>
              </w:rPr>
              <w:t>Target Annual</w:t>
            </w:r>
          </w:p>
          <w:p>
            <w:pPr>
              <w:pStyle w:val="TableContents"/>
              <w:spacing w:before="0" w:after="0"/>
              <w:jc w:val="center"/>
              <w:rPr>
                <w:rFonts w:ascii="ARIAL" w:hAnsi="ARIAL"/>
                <w:b/>
                <w:color w:val="007CBA"/>
                <w:sz w:val="18"/>
              </w:rPr>
            </w:pPr>
            <w:r>
              <w:rPr>
                <w:rFonts w:ascii="ARIAL" w:hAnsi="ARIAL"/>
                <w:b/>
                <w:color w:val="007CBA"/>
                <w:sz w:val="18"/>
              </w:rPr>
              <w:t>Incentive Bonus</w:t>
            </w:r>
          </w:p>
          <w:p>
            <w:pPr>
              <w:pStyle w:val="TableContents"/>
              <w:spacing w:before="0" w:after="20"/>
              <w:jc w:val="center"/>
              <w:rPr>
                <w:rFonts w:ascii="ARIAL" w:hAnsi="ARIAL"/>
                <w:b/>
                <w:color w:val="007CBA"/>
                <w:sz w:val="18"/>
              </w:rPr>
            </w:pPr>
            <w:r>
              <w:rPr>
                <w:rFonts w:ascii="ARIAL" w:hAnsi="ARIAL"/>
                <w:b/>
                <w:color w:val="007CBA"/>
                <w:sz w:val="18"/>
              </w:rPr>
              <w:t>(% of Salary)</w:t>
            </w:r>
          </w:p>
        </w:tc>
        <w:tc>
          <w:tcPr>
            <w:tcW w:w="60" w:type="dxa"/>
            <w:tcBorders/>
            <w:shd w:fill="DBDBDB" w:val="clear"/>
            <w:vAlign w:val="center"/>
          </w:tcPr>
          <w:p>
            <w:pPr>
              <w:pStyle w:val="TableContents"/>
              <w:spacing w:before="0" w:after="283"/>
              <w:rPr/>
            </w:pPr>
            <w:r>
              <w:rPr/>
              <w:t> </w:t>
            </w:r>
          </w:p>
        </w:tc>
        <w:tc>
          <w:tcPr>
            <w:tcW w:w="1203" w:type="dxa"/>
            <w:gridSpan w:val="4"/>
            <w:tcBorders/>
            <w:shd w:fill="DBDBDB" w:val="clear"/>
            <w:vAlign w:val="center"/>
          </w:tcPr>
          <w:p>
            <w:pPr>
              <w:pStyle w:val="TableContents"/>
              <w:spacing w:before="0" w:after="0"/>
              <w:jc w:val="center"/>
              <w:rPr>
                <w:rFonts w:ascii="ARIAL" w:hAnsi="ARIAL"/>
                <w:b/>
                <w:color w:val="007CBA"/>
                <w:sz w:val="18"/>
              </w:rPr>
            </w:pPr>
            <w:r>
              <w:rPr>
                <w:rFonts w:ascii="ARIAL" w:hAnsi="ARIAL"/>
                <w:b/>
                <w:color w:val="007CBA"/>
                <w:sz w:val="18"/>
              </w:rPr>
              <w:t>2022 Target</w:t>
            </w:r>
          </w:p>
          <w:p>
            <w:pPr>
              <w:pStyle w:val="TableContents"/>
              <w:spacing w:before="0" w:after="0"/>
              <w:jc w:val="center"/>
              <w:rPr>
                <w:rFonts w:ascii="ARIAL" w:hAnsi="ARIAL"/>
                <w:b/>
                <w:color w:val="007CBA"/>
                <w:sz w:val="18"/>
              </w:rPr>
            </w:pPr>
            <w:r>
              <w:rPr>
                <w:rFonts w:ascii="ARIAL" w:hAnsi="ARIAL"/>
                <w:b/>
                <w:color w:val="007CBA"/>
                <w:sz w:val="18"/>
              </w:rPr>
              <w:t>Annual</w:t>
            </w:r>
          </w:p>
          <w:p>
            <w:pPr>
              <w:pStyle w:val="TableContents"/>
              <w:spacing w:before="0" w:after="20"/>
              <w:jc w:val="center"/>
              <w:rPr>
                <w:rFonts w:ascii="ARIAL" w:hAnsi="ARIAL"/>
                <w:b/>
                <w:color w:val="007CBA"/>
                <w:sz w:val="18"/>
              </w:rPr>
            </w:pPr>
            <w:r>
              <w:rPr>
                <w:rFonts w:ascii="ARIAL" w:hAnsi="ARIAL"/>
                <w:b/>
                <w:color w:val="007CBA"/>
                <w:sz w:val="18"/>
              </w:rPr>
              <w:t>Incentive*</w:t>
            </w:r>
          </w:p>
        </w:tc>
        <w:tc>
          <w:tcPr>
            <w:tcW w:w="60" w:type="dxa"/>
            <w:tcBorders/>
            <w:shd w:fill="DBDBDB" w:val="clear"/>
            <w:vAlign w:val="center"/>
          </w:tcPr>
          <w:p>
            <w:pPr>
              <w:pStyle w:val="TableContents"/>
              <w:spacing w:before="0" w:after="283"/>
              <w:rPr/>
            </w:pPr>
            <w:r>
              <w:rPr/>
              <w:t> </w:t>
            </w:r>
          </w:p>
        </w:tc>
        <w:tc>
          <w:tcPr>
            <w:tcW w:w="1266" w:type="dxa"/>
            <w:gridSpan w:val="4"/>
            <w:tcBorders/>
            <w:shd w:fill="DBDBDB" w:val="clear"/>
            <w:vAlign w:val="center"/>
          </w:tcPr>
          <w:p>
            <w:pPr>
              <w:pStyle w:val="TableContents"/>
              <w:spacing w:before="0" w:after="0"/>
              <w:jc w:val="center"/>
              <w:rPr>
                <w:color w:val="007CBA"/>
              </w:rPr>
            </w:pPr>
            <w:r>
              <w:rPr>
                <w:color w:val="007CBA"/>
              </w:rPr>
              <w:t>  </w:t>
            </w:r>
            <w:r>
              <w:rPr>
                <w:rFonts w:ascii="ARIAL" w:hAnsi="ARIAL"/>
                <w:b/>
                <w:color w:val="007CBA"/>
                <w:sz w:val="18"/>
              </w:rPr>
              <w:t>2022 Actual  </w:t>
            </w:r>
          </w:p>
          <w:p>
            <w:pPr>
              <w:pStyle w:val="TableContents"/>
              <w:spacing w:before="0" w:after="0"/>
              <w:jc w:val="center"/>
              <w:rPr>
                <w:rFonts w:ascii="ARIAL" w:hAnsi="ARIAL"/>
                <w:b/>
                <w:color w:val="007CBA"/>
                <w:sz w:val="18"/>
              </w:rPr>
            </w:pPr>
            <w:r>
              <w:rPr>
                <w:rFonts w:ascii="ARIAL" w:hAnsi="ARIAL"/>
                <w:b/>
                <w:color w:val="007CBA"/>
                <w:sz w:val="18"/>
              </w:rPr>
              <w:t>Annual</w:t>
            </w:r>
          </w:p>
          <w:p>
            <w:pPr>
              <w:pStyle w:val="TableContents"/>
              <w:spacing w:before="0" w:after="20"/>
              <w:jc w:val="center"/>
              <w:rPr>
                <w:rFonts w:ascii="ARIAL" w:hAnsi="ARIAL"/>
                <w:b/>
                <w:color w:val="007CBA"/>
                <w:sz w:val="18"/>
              </w:rPr>
            </w:pPr>
            <w:r>
              <w:rPr>
                <w:rFonts w:ascii="ARIAL" w:hAnsi="ARIAL"/>
                <w:b/>
                <w:color w:val="007CBA"/>
                <w:sz w:val="18"/>
              </w:rPr>
              <w:t>Incentive</w:t>
            </w:r>
          </w:p>
        </w:tc>
      </w:tr>
      <w:tr>
        <w:trPr/>
        <w:tc>
          <w:tcPr>
            <w:tcW w:w="964" w:type="dxa"/>
            <w:tcBorders/>
            <w:shd w:fill="auto" w:val="clear"/>
            <w:vAlign w:val="center"/>
          </w:tcPr>
          <w:p>
            <w:pPr>
              <w:pStyle w:val="TableContents"/>
              <w:spacing w:before="0" w:after="283"/>
              <w:rPr>
                <w:sz w:val="4"/>
                <w:szCs w:val="4"/>
              </w:rPr>
            </w:pPr>
            <w:r>
              <w:rPr>
                <w:sz w:val="4"/>
                <w:szCs w:val="4"/>
              </w:rPr>
            </w:r>
          </w:p>
        </w:tc>
        <w:tc>
          <w:tcPr>
            <w:tcW w:w="5192" w:type="dxa"/>
            <w:gridSpan w:val="2"/>
            <w:tcBorders/>
            <w:shd w:fill="auto" w:val="clear"/>
            <w:vAlign w:val="center"/>
          </w:tcPr>
          <w:p>
            <w:pPr>
              <w:pStyle w:val="TableContents"/>
              <w:spacing w:before="0" w:after="283"/>
              <w:rPr>
                <w:sz w:val="4"/>
                <w:szCs w:val="4"/>
              </w:rPr>
            </w:pPr>
            <w:r>
              <w:rPr>
                <w:sz w:val="4"/>
                <w:szCs w:val="4"/>
              </w:rPr>
            </w:r>
          </w:p>
        </w:tc>
        <w:tc>
          <w:tcPr>
            <w:tcW w:w="1460" w:type="dxa"/>
            <w:gridSpan w:val="5"/>
            <w:tcBorders/>
            <w:shd w:fill="auto" w:val="clear"/>
            <w:vAlign w:val="center"/>
          </w:tcPr>
          <w:p>
            <w:pPr>
              <w:pStyle w:val="TableContents"/>
              <w:spacing w:before="0" w:after="283"/>
              <w:rPr>
                <w:sz w:val="4"/>
                <w:szCs w:val="4"/>
              </w:rPr>
            </w:pPr>
            <w:r>
              <w:rPr>
                <w:sz w:val="4"/>
                <w:szCs w:val="4"/>
              </w:rPr>
            </w:r>
          </w:p>
        </w:tc>
        <w:tc>
          <w:tcPr>
            <w:tcW w:w="1263" w:type="dxa"/>
            <w:gridSpan w:val="5"/>
            <w:tcBorders/>
            <w:shd w:fill="auto" w:val="clear"/>
            <w:vAlign w:val="center"/>
          </w:tcPr>
          <w:p>
            <w:pPr>
              <w:pStyle w:val="TableContents"/>
              <w:spacing w:before="0" w:after="283"/>
              <w:rPr>
                <w:sz w:val="4"/>
                <w:szCs w:val="4"/>
              </w:rPr>
            </w:pPr>
            <w:r>
              <w:rPr>
                <w:sz w:val="4"/>
                <w:szCs w:val="4"/>
              </w:rPr>
            </w:r>
          </w:p>
        </w:tc>
        <w:tc>
          <w:tcPr>
            <w:tcW w:w="1326" w:type="dxa"/>
            <w:gridSpan w:val="5"/>
            <w:tcBorders/>
            <w:shd w:fill="auto" w:val="clear"/>
            <w:vAlign w:val="center"/>
          </w:tcPr>
          <w:p>
            <w:pPr>
              <w:pStyle w:val="TableContents"/>
              <w:spacing w:before="0" w:after="283"/>
              <w:rPr>
                <w:sz w:val="4"/>
                <w:szCs w:val="4"/>
              </w:rPr>
            </w:pPr>
            <w:r>
              <w:rPr>
                <w:sz w:val="4"/>
                <w:szCs w:val="4"/>
              </w:rPr>
            </w:r>
          </w:p>
        </w:tc>
      </w:tr>
      <w:tr>
        <w:trPr/>
        <w:tc>
          <w:tcPr>
            <w:tcW w:w="964"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C. Howard Nye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5072" w:type="dxa"/>
            <w:tcBorders>
              <w:bottom w:val="dotted" w:sz="8" w:space="0" w:color="000000"/>
            </w:tcBorders>
            <w:shd w:fill="auto" w:val="clear"/>
            <w:tcMar>
              <w:bottom w:w="80" w:type="dxa"/>
            </w:tcMar>
            <w:vAlign w:val="center"/>
          </w:tcPr>
          <w:p>
            <w:pPr>
              <w:pStyle w:val="TableContents"/>
              <w:spacing w:before="0" w:after="0"/>
              <w:rPr/>
            </w:pPr>
            <w:r>
              <w:rPr>
                <w:color w:val="007CBA"/>
              </w:rPr>
              <w:t>•</w:t>
            </w:r>
            <w:r>
              <w:rPr/>
              <w:t>  </w:t>
            </w:r>
            <w:r>
              <w:rPr>
                <w:rFonts w:ascii="ARIAL" w:hAnsi="ARIAL"/>
                <w:sz w:val="18"/>
              </w:rPr>
              <w:t>Drive continuous improvement in the Company’s safety culture and performance</w:t>
            </w:r>
          </w:p>
          <w:p>
            <w:pPr>
              <w:pStyle w:val="TableContents"/>
              <w:spacing w:before="0" w:after="0"/>
              <w:rPr/>
            </w:pPr>
            <w:r>
              <w:rPr/>
              <w:t> </w:t>
            </w:r>
          </w:p>
          <w:p>
            <w:pPr>
              <w:pStyle w:val="TableContents"/>
              <w:spacing w:before="0" w:after="0"/>
              <w:rPr/>
            </w:pPr>
            <w:r>
              <w:rPr>
                <w:color w:val="007CBA"/>
              </w:rPr>
              <w:t>•</w:t>
            </w:r>
            <w:r>
              <w:rPr/>
              <w:t>  </w:t>
            </w:r>
            <w:r>
              <w:rPr>
                <w:rFonts w:ascii="ARIAL" w:hAnsi="ARIAL"/>
                <w:sz w:val="18"/>
              </w:rPr>
              <w:t>Generate long-term value for shareholders through development and execution of the Company’s Strategic Operating Analysis and Review (SOAR) Plan, organic and inorganic growth, including prudent allocation of capital</w:t>
            </w:r>
          </w:p>
          <w:p>
            <w:pPr>
              <w:pStyle w:val="TableContents"/>
              <w:spacing w:before="0" w:after="0"/>
              <w:rPr/>
            </w:pPr>
            <w:r>
              <w:rPr/>
              <w:t> </w:t>
            </w:r>
          </w:p>
          <w:p>
            <w:pPr>
              <w:pStyle w:val="TableContents"/>
              <w:spacing w:before="0" w:after="0"/>
              <w:rPr/>
            </w:pPr>
            <w:r>
              <w:rPr>
                <w:color w:val="007CBA"/>
              </w:rPr>
              <w:t>•</w:t>
            </w:r>
            <w:r>
              <w:rPr/>
              <w:t>  </w:t>
            </w:r>
            <w:r>
              <w:rPr>
                <w:rFonts w:ascii="ARIAL" w:hAnsi="ARIAL"/>
                <w:sz w:val="18"/>
              </w:rPr>
              <w:t>Ongoing delivery and execution of management succession and development plans</w:t>
            </w:r>
          </w:p>
          <w:p>
            <w:pPr>
              <w:pStyle w:val="TableContents"/>
              <w:spacing w:before="0" w:after="0"/>
              <w:rPr/>
            </w:pPr>
            <w:r>
              <w:rPr/>
              <w:t> </w:t>
            </w:r>
          </w:p>
          <w:p>
            <w:pPr>
              <w:pStyle w:val="TableContents"/>
              <w:spacing w:before="0" w:after="20"/>
              <w:rPr/>
            </w:pPr>
            <w:r>
              <w:rPr>
                <w:color w:val="007CBA"/>
              </w:rPr>
              <w:t>•</w:t>
            </w:r>
            <w:r>
              <w:rPr/>
              <w:t>  </w:t>
            </w:r>
            <w:r>
              <w:rPr>
                <w:rFonts w:ascii="ARIAL" w:hAnsi="ARIAL"/>
                <w:sz w:val="18"/>
              </w:rPr>
              <w:t>Management of enterprise challenges, including ongoing leadership through the ongoing global pandemic</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7" w:type="dxa"/>
            <w:tcBorders>
              <w:bottom w:val="dotted" w:sz="8" w:space="0" w:color="000000"/>
            </w:tcBorders>
            <w:shd w:fill="auto" w:val="clear"/>
            <w:tcMar>
              <w:bottom w:w="28" w:type="dxa"/>
            </w:tcMar>
            <w:vAlign w:val="center"/>
          </w:tcPr>
          <w:p>
            <w:pPr>
              <w:pStyle w:val="TableContents"/>
              <w:spacing w:before="0" w:after="283"/>
              <w:rPr/>
            </w:pPr>
            <w:r>
              <w:rPr/>
              <w:t> </w:t>
            </w:r>
          </w:p>
        </w:tc>
        <w:tc>
          <w:tcPr>
            <w:tcW w:w="117" w:type="dxa"/>
            <w:tcBorders>
              <w:bottom w:val="dotted" w:sz="8" w:space="0" w:color="000000"/>
            </w:tcBorders>
            <w:shd w:fill="auto" w:val="clear"/>
            <w:tcMar>
              <w:bottom w:w="80" w:type="dxa"/>
            </w:tcMar>
            <w:vAlign w:val="center"/>
          </w:tcPr>
          <w:p>
            <w:pPr>
              <w:pStyle w:val="TableContents"/>
              <w:spacing w:before="0" w:after="283"/>
              <w:rPr/>
            </w:pPr>
            <w:r>
              <w:rPr/>
              <w:t> </w:t>
            </w:r>
          </w:p>
        </w:tc>
        <w:tc>
          <w:tcPr>
            <w:tcW w:w="744" w:type="dxa"/>
            <w:tcBorders>
              <w:bottom w:val="dotted" w:sz="8" w:space="0" w:color="000000"/>
            </w:tcBorders>
            <w:shd w:fill="auto" w:val="clear"/>
            <w:tcMar>
              <w:bottom w:w="80" w:type="dxa"/>
            </w:tcMar>
            <w:vAlign w:val="center"/>
          </w:tcPr>
          <w:p>
            <w:pPr>
              <w:pStyle w:val="TableContents"/>
              <w:spacing w:before="0" w:after="283"/>
              <w:jc w:val="right"/>
              <w:rPr/>
            </w:pPr>
            <w:r>
              <w:rPr/>
              <w:t>140</w:t>
            </w:r>
          </w:p>
        </w:tc>
        <w:tc>
          <w:tcPr>
            <w:tcW w:w="422" w:type="dxa"/>
            <w:tcBorders>
              <w:bottom w:val="dotted" w:sz="8" w:space="0" w:color="000000"/>
            </w:tcBorders>
            <w:shd w:fill="auto" w:val="clear"/>
            <w:tcMar>
              <w:bottom w:w="8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1,799,000</w:t>
            </w:r>
          </w:p>
        </w:tc>
        <w:tc>
          <w:tcPr>
            <w:tcW w:w="23" w:type="dxa"/>
            <w:tcBorders>
              <w:bottom w:val="dotted"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2" w:type="dxa"/>
            <w:tcBorders>
              <w:bottom w:val="dotted" w:sz="8" w:space="0" w:color="000000"/>
            </w:tcBorders>
            <w:shd w:fill="auto" w:val="clear"/>
            <w:tcMar>
              <w:bottom w:w="28" w:type="dxa"/>
            </w:tcMar>
            <w:vAlign w:val="center"/>
          </w:tcPr>
          <w:p>
            <w:pPr>
              <w:pStyle w:val="TableContents"/>
              <w:spacing w:before="0" w:after="283"/>
              <w:rPr/>
            </w:pPr>
            <w:r>
              <w:rPr/>
              <w:t> </w:t>
            </w:r>
          </w:p>
        </w:tc>
        <w:tc>
          <w:tcPr>
            <w:tcW w:w="145" w:type="dxa"/>
            <w:tcBorders>
              <w:bottom w:val="dotted" w:sz="8" w:space="0" w:color="000000"/>
            </w:tcBorders>
            <w:shd w:fill="auto" w:val="clear"/>
            <w:tcMar>
              <w:bottom w:w="80" w:type="dxa"/>
            </w:tcMar>
            <w:vAlign w:val="center"/>
          </w:tcPr>
          <w:p>
            <w:pPr>
              <w:pStyle w:val="TableContents"/>
              <w:spacing w:before="0" w:after="283"/>
              <w:rPr/>
            </w:pPr>
            <w:r>
              <w:rPr/>
              <w:t>$</w:t>
            </w:r>
          </w:p>
        </w:tc>
        <w:tc>
          <w:tcPr>
            <w:tcW w:w="1017" w:type="dxa"/>
            <w:tcBorders>
              <w:bottom w:val="dotted" w:sz="8" w:space="0" w:color="000000"/>
            </w:tcBorders>
            <w:shd w:fill="auto" w:val="clear"/>
            <w:tcMar>
              <w:bottom w:w="80" w:type="dxa"/>
            </w:tcMar>
            <w:vAlign w:val="center"/>
          </w:tcPr>
          <w:p>
            <w:pPr>
              <w:pStyle w:val="TableContents"/>
              <w:spacing w:before="0" w:after="283"/>
              <w:jc w:val="right"/>
              <w:rPr/>
            </w:pPr>
            <w:r>
              <w:rPr/>
              <w:t>2,878,400</w:t>
            </w:r>
          </w:p>
        </w:tc>
        <w:tc>
          <w:tcPr>
            <w:tcW w:w="42" w:type="dxa"/>
            <w:tcBorders>
              <w:bottom w:val="dotted" w:sz="8" w:space="0" w:color="000000"/>
            </w:tcBorders>
            <w:shd w:fill="auto" w:val="clear"/>
            <w:tcMar>
              <w:bottom w:w="80" w:type="dxa"/>
            </w:tcMar>
            <w:vAlign w:val="center"/>
          </w:tcPr>
          <w:p>
            <w:pPr>
              <w:pStyle w:val="TableContents"/>
              <w:spacing w:before="0" w:after="283"/>
              <w:rPr>
                <w:sz w:val="4"/>
                <w:szCs w:val="4"/>
              </w:rPr>
            </w:pPr>
            <w:r>
              <w:rPr>
                <w:sz w:val="4"/>
                <w:szCs w:val="4"/>
              </w:rPr>
            </w:r>
          </w:p>
        </w:tc>
      </w:tr>
      <w:tr>
        <w:trPr/>
        <w:tc>
          <w:tcPr>
            <w:tcW w:w="964" w:type="dxa"/>
            <w:tcBorders/>
            <w:shd w:fill="auto" w:val="clear"/>
            <w:vAlign w:val="center"/>
          </w:tcPr>
          <w:p>
            <w:pPr>
              <w:pStyle w:val="TableContents"/>
              <w:spacing w:before="0" w:after="283"/>
              <w:rPr>
                <w:sz w:val="4"/>
                <w:szCs w:val="4"/>
              </w:rPr>
            </w:pPr>
            <w:r>
              <w:rPr>
                <w:sz w:val="4"/>
                <w:szCs w:val="4"/>
              </w:rPr>
            </w:r>
          </w:p>
        </w:tc>
        <w:tc>
          <w:tcPr>
            <w:tcW w:w="5192" w:type="dxa"/>
            <w:gridSpan w:val="2"/>
            <w:tcBorders/>
            <w:shd w:fill="auto" w:val="clear"/>
            <w:vAlign w:val="center"/>
          </w:tcPr>
          <w:p>
            <w:pPr>
              <w:pStyle w:val="TableContents"/>
              <w:spacing w:before="0" w:after="283"/>
              <w:rPr>
                <w:sz w:val="4"/>
                <w:szCs w:val="4"/>
              </w:rPr>
            </w:pPr>
            <w:r>
              <w:rPr>
                <w:sz w:val="4"/>
                <w:szCs w:val="4"/>
              </w:rPr>
            </w:r>
          </w:p>
        </w:tc>
        <w:tc>
          <w:tcPr>
            <w:tcW w:w="1460" w:type="dxa"/>
            <w:gridSpan w:val="5"/>
            <w:tcBorders/>
            <w:shd w:fill="auto" w:val="clear"/>
            <w:vAlign w:val="center"/>
          </w:tcPr>
          <w:p>
            <w:pPr>
              <w:pStyle w:val="TableContents"/>
              <w:spacing w:before="0" w:after="283"/>
              <w:rPr>
                <w:sz w:val="4"/>
                <w:szCs w:val="4"/>
              </w:rPr>
            </w:pPr>
            <w:r>
              <w:rPr>
                <w:sz w:val="4"/>
                <w:szCs w:val="4"/>
              </w:rPr>
            </w:r>
          </w:p>
        </w:tc>
        <w:tc>
          <w:tcPr>
            <w:tcW w:w="1263" w:type="dxa"/>
            <w:gridSpan w:val="5"/>
            <w:tcBorders/>
            <w:shd w:fill="auto" w:val="clear"/>
            <w:vAlign w:val="center"/>
          </w:tcPr>
          <w:p>
            <w:pPr>
              <w:pStyle w:val="TableContents"/>
              <w:spacing w:before="0" w:after="283"/>
              <w:rPr>
                <w:sz w:val="4"/>
                <w:szCs w:val="4"/>
              </w:rPr>
            </w:pPr>
            <w:r>
              <w:rPr>
                <w:sz w:val="4"/>
                <w:szCs w:val="4"/>
              </w:rPr>
            </w:r>
          </w:p>
        </w:tc>
        <w:tc>
          <w:tcPr>
            <w:tcW w:w="1326" w:type="dxa"/>
            <w:gridSpan w:val="5"/>
            <w:tcBorders/>
            <w:shd w:fill="auto" w:val="clear"/>
            <w:vAlign w:val="center"/>
          </w:tcPr>
          <w:p>
            <w:pPr>
              <w:pStyle w:val="TableContents"/>
              <w:spacing w:before="0" w:after="283"/>
              <w:rPr>
                <w:sz w:val="4"/>
                <w:szCs w:val="4"/>
              </w:rPr>
            </w:pPr>
            <w:r>
              <w:rPr>
                <w:sz w:val="4"/>
                <w:szCs w:val="4"/>
              </w:rPr>
            </w:r>
          </w:p>
        </w:tc>
      </w:tr>
      <w:tr>
        <w:trPr/>
        <w:tc>
          <w:tcPr>
            <w:tcW w:w="964"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James A. J. Nickolas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5072" w:type="dxa"/>
            <w:tcBorders>
              <w:bottom w:val="dotted" w:sz="8" w:space="0" w:color="000000"/>
            </w:tcBorders>
            <w:shd w:fill="auto" w:val="clear"/>
            <w:tcMar>
              <w:bottom w:w="80" w:type="dxa"/>
            </w:tcMar>
            <w:vAlign w:val="center"/>
          </w:tcPr>
          <w:p>
            <w:pPr>
              <w:pStyle w:val="TableContents"/>
              <w:spacing w:before="0" w:after="0"/>
              <w:rPr/>
            </w:pPr>
            <w:r>
              <w:rPr>
                <w:color w:val="007CBA"/>
              </w:rPr>
              <w:t>•</w:t>
            </w:r>
            <w:r>
              <w:rPr/>
              <w:t>  </w:t>
            </w:r>
            <w:r>
              <w:rPr>
                <w:rFonts w:ascii="ARIAL" w:hAnsi="ARIAL"/>
                <w:sz w:val="18"/>
              </w:rPr>
              <w:t>Effective development and oversight of financial filings, audits and accounting</w:t>
            </w:r>
          </w:p>
          <w:p>
            <w:pPr>
              <w:pStyle w:val="TableContents"/>
              <w:spacing w:before="0" w:after="0"/>
              <w:rPr/>
            </w:pPr>
            <w:r>
              <w:rPr/>
              <w:t> </w:t>
            </w:r>
          </w:p>
          <w:p>
            <w:pPr>
              <w:pStyle w:val="TableContents"/>
              <w:spacing w:before="0" w:after="0"/>
              <w:rPr/>
            </w:pPr>
            <w:r>
              <w:rPr>
                <w:color w:val="007CBA"/>
              </w:rPr>
              <w:t>•</w:t>
            </w:r>
            <w:r>
              <w:rPr/>
              <w:t>  </w:t>
            </w:r>
            <w:r>
              <w:rPr>
                <w:rFonts w:ascii="ARIAL" w:hAnsi="ARIAL"/>
                <w:sz w:val="18"/>
              </w:rPr>
              <w:t>Continue to develop and execute necessary plans to ensure the strength of the Company’s balance sheet</w:t>
            </w:r>
          </w:p>
          <w:p>
            <w:pPr>
              <w:pStyle w:val="TableContents"/>
              <w:spacing w:before="0" w:after="0"/>
              <w:rPr/>
            </w:pPr>
            <w:r>
              <w:rPr/>
              <w:t> </w:t>
            </w:r>
          </w:p>
          <w:p>
            <w:pPr>
              <w:pStyle w:val="TableContents"/>
              <w:spacing w:before="0" w:after="20"/>
              <w:rPr/>
            </w:pPr>
            <w:r>
              <w:rPr>
                <w:color w:val="007CBA"/>
              </w:rPr>
              <w:t>•</w:t>
            </w:r>
            <w:r>
              <w:rPr/>
              <w:t>  </w:t>
            </w:r>
            <w:r>
              <w:rPr>
                <w:rFonts w:ascii="ARIAL" w:hAnsi="ARIAL"/>
                <w:sz w:val="18"/>
              </w:rPr>
              <w:t>Continue to develop the talent and capability of finance team</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7" w:type="dxa"/>
            <w:tcBorders>
              <w:bottom w:val="dotted" w:sz="8" w:space="0" w:color="000000"/>
            </w:tcBorders>
            <w:shd w:fill="auto" w:val="clear"/>
            <w:tcMar>
              <w:bottom w:w="28" w:type="dxa"/>
            </w:tcMar>
            <w:vAlign w:val="center"/>
          </w:tcPr>
          <w:p>
            <w:pPr>
              <w:pStyle w:val="TableContents"/>
              <w:spacing w:before="0" w:after="283"/>
              <w:rPr/>
            </w:pPr>
            <w:r>
              <w:rPr/>
              <w:t> </w:t>
            </w:r>
          </w:p>
        </w:tc>
        <w:tc>
          <w:tcPr>
            <w:tcW w:w="117" w:type="dxa"/>
            <w:tcBorders>
              <w:bottom w:val="dotted" w:sz="8" w:space="0" w:color="000000"/>
            </w:tcBorders>
            <w:shd w:fill="auto" w:val="clear"/>
            <w:tcMar>
              <w:bottom w:w="80" w:type="dxa"/>
            </w:tcMar>
            <w:vAlign w:val="center"/>
          </w:tcPr>
          <w:p>
            <w:pPr>
              <w:pStyle w:val="TableContents"/>
              <w:spacing w:before="0" w:after="283"/>
              <w:rPr/>
            </w:pPr>
            <w:r>
              <w:rPr/>
              <w:t> </w:t>
            </w:r>
          </w:p>
        </w:tc>
        <w:tc>
          <w:tcPr>
            <w:tcW w:w="744" w:type="dxa"/>
            <w:tcBorders>
              <w:bottom w:val="dotted" w:sz="8" w:space="0" w:color="000000"/>
            </w:tcBorders>
            <w:shd w:fill="auto" w:val="clear"/>
            <w:tcMar>
              <w:bottom w:w="80" w:type="dxa"/>
            </w:tcMar>
            <w:vAlign w:val="center"/>
          </w:tcPr>
          <w:p>
            <w:pPr>
              <w:pStyle w:val="TableContents"/>
              <w:spacing w:before="0" w:after="283"/>
              <w:jc w:val="right"/>
              <w:rPr/>
            </w:pPr>
            <w:r>
              <w:rPr/>
              <w:t>75</w:t>
            </w:r>
          </w:p>
        </w:tc>
        <w:tc>
          <w:tcPr>
            <w:tcW w:w="422" w:type="dxa"/>
            <w:tcBorders>
              <w:bottom w:val="dotted" w:sz="8" w:space="0" w:color="000000"/>
            </w:tcBorders>
            <w:shd w:fill="auto" w:val="clear"/>
            <w:tcMar>
              <w:bottom w:w="8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472,500</w:t>
            </w:r>
          </w:p>
        </w:tc>
        <w:tc>
          <w:tcPr>
            <w:tcW w:w="23" w:type="dxa"/>
            <w:tcBorders>
              <w:bottom w:val="dotted"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2" w:type="dxa"/>
            <w:tcBorders>
              <w:bottom w:val="dotted" w:sz="8" w:space="0" w:color="000000"/>
            </w:tcBorders>
            <w:shd w:fill="auto" w:val="clear"/>
            <w:tcMar>
              <w:bottom w:w="28" w:type="dxa"/>
            </w:tcMar>
            <w:vAlign w:val="center"/>
          </w:tcPr>
          <w:p>
            <w:pPr>
              <w:pStyle w:val="TableContents"/>
              <w:spacing w:before="0" w:after="283"/>
              <w:rPr/>
            </w:pPr>
            <w:r>
              <w:rPr/>
              <w:t> </w:t>
            </w:r>
          </w:p>
        </w:tc>
        <w:tc>
          <w:tcPr>
            <w:tcW w:w="145" w:type="dxa"/>
            <w:tcBorders>
              <w:bottom w:val="dotted" w:sz="8" w:space="0" w:color="000000"/>
            </w:tcBorders>
            <w:shd w:fill="auto" w:val="clear"/>
            <w:tcMar>
              <w:bottom w:w="80" w:type="dxa"/>
            </w:tcMar>
            <w:vAlign w:val="center"/>
          </w:tcPr>
          <w:p>
            <w:pPr>
              <w:pStyle w:val="TableContents"/>
              <w:spacing w:before="0" w:after="283"/>
              <w:rPr/>
            </w:pPr>
            <w:r>
              <w:rPr/>
              <w:t>$</w:t>
            </w:r>
          </w:p>
        </w:tc>
        <w:tc>
          <w:tcPr>
            <w:tcW w:w="1017" w:type="dxa"/>
            <w:tcBorders>
              <w:bottom w:val="dotted" w:sz="8" w:space="0" w:color="000000"/>
            </w:tcBorders>
            <w:shd w:fill="auto" w:val="clear"/>
            <w:tcMar>
              <w:bottom w:w="80" w:type="dxa"/>
            </w:tcMar>
            <w:vAlign w:val="center"/>
          </w:tcPr>
          <w:p>
            <w:pPr>
              <w:pStyle w:val="TableContents"/>
              <w:spacing w:before="0" w:after="283"/>
              <w:jc w:val="right"/>
              <w:rPr/>
            </w:pPr>
            <w:r>
              <w:rPr/>
              <w:t>803,558</w:t>
            </w:r>
          </w:p>
        </w:tc>
        <w:tc>
          <w:tcPr>
            <w:tcW w:w="42" w:type="dxa"/>
            <w:tcBorders>
              <w:bottom w:val="dotted" w:sz="8" w:space="0" w:color="000000"/>
            </w:tcBorders>
            <w:shd w:fill="auto" w:val="clear"/>
            <w:tcMar>
              <w:bottom w:w="80" w:type="dxa"/>
            </w:tcMar>
            <w:vAlign w:val="center"/>
          </w:tcPr>
          <w:p>
            <w:pPr>
              <w:pStyle w:val="TableContents"/>
              <w:spacing w:before="0" w:after="283"/>
              <w:rPr>
                <w:sz w:val="4"/>
                <w:szCs w:val="4"/>
              </w:rPr>
            </w:pPr>
            <w:r>
              <w:rPr>
                <w:sz w:val="4"/>
                <w:szCs w:val="4"/>
              </w:rPr>
            </w:r>
          </w:p>
        </w:tc>
      </w:tr>
      <w:tr>
        <w:trPr/>
        <w:tc>
          <w:tcPr>
            <w:tcW w:w="964" w:type="dxa"/>
            <w:tcBorders/>
            <w:shd w:fill="auto" w:val="clear"/>
            <w:vAlign w:val="center"/>
          </w:tcPr>
          <w:p>
            <w:pPr>
              <w:pStyle w:val="TableContents"/>
              <w:spacing w:before="0" w:after="283"/>
              <w:rPr>
                <w:sz w:val="4"/>
                <w:szCs w:val="4"/>
              </w:rPr>
            </w:pPr>
            <w:r>
              <w:rPr>
                <w:sz w:val="4"/>
                <w:szCs w:val="4"/>
              </w:rPr>
            </w:r>
          </w:p>
        </w:tc>
        <w:tc>
          <w:tcPr>
            <w:tcW w:w="5192" w:type="dxa"/>
            <w:gridSpan w:val="2"/>
            <w:tcBorders/>
            <w:shd w:fill="auto" w:val="clear"/>
            <w:vAlign w:val="center"/>
          </w:tcPr>
          <w:p>
            <w:pPr>
              <w:pStyle w:val="TableContents"/>
              <w:spacing w:before="0" w:after="283"/>
              <w:rPr>
                <w:sz w:val="4"/>
                <w:szCs w:val="4"/>
              </w:rPr>
            </w:pPr>
            <w:r>
              <w:rPr>
                <w:sz w:val="4"/>
                <w:szCs w:val="4"/>
              </w:rPr>
            </w:r>
          </w:p>
        </w:tc>
        <w:tc>
          <w:tcPr>
            <w:tcW w:w="1460" w:type="dxa"/>
            <w:gridSpan w:val="5"/>
            <w:tcBorders/>
            <w:shd w:fill="auto" w:val="clear"/>
            <w:vAlign w:val="center"/>
          </w:tcPr>
          <w:p>
            <w:pPr>
              <w:pStyle w:val="TableContents"/>
              <w:spacing w:before="0" w:after="283"/>
              <w:rPr>
                <w:sz w:val="4"/>
                <w:szCs w:val="4"/>
              </w:rPr>
            </w:pPr>
            <w:r>
              <w:rPr>
                <w:sz w:val="4"/>
                <w:szCs w:val="4"/>
              </w:rPr>
            </w:r>
          </w:p>
        </w:tc>
        <w:tc>
          <w:tcPr>
            <w:tcW w:w="1263" w:type="dxa"/>
            <w:gridSpan w:val="5"/>
            <w:tcBorders/>
            <w:shd w:fill="auto" w:val="clear"/>
            <w:vAlign w:val="center"/>
          </w:tcPr>
          <w:p>
            <w:pPr>
              <w:pStyle w:val="TableContents"/>
              <w:spacing w:before="0" w:after="283"/>
              <w:rPr>
                <w:sz w:val="4"/>
                <w:szCs w:val="4"/>
              </w:rPr>
            </w:pPr>
            <w:r>
              <w:rPr>
                <w:sz w:val="4"/>
                <w:szCs w:val="4"/>
              </w:rPr>
            </w:r>
          </w:p>
        </w:tc>
        <w:tc>
          <w:tcPr>
            <w:tcW w:w="1326" w:type="dxa"/>
            <w:gridSpan w:val="5"/>
            <w:tcBorders/>
            <w:shd w:fill="auto" w:val="clear"/>
            <w:vAlign w:val="center"/>
          </w:tcPr>
          <w:p>
            <w:pPr>
              <w:pStyle w:val="TableContents"/>
              <w:spacing w:before="0" w:after="283"/>
              <w:rPr>
                <w:sz w:val="4"/>
                <w:szCs w:val="4"/>
              </w:rPr>
            </w:pPr>
            <w:r>
              <w:rPr>
                <w:sz w:val="4"/>
                <w:szCs w:val="4"/>
              </w:rPr>
            </w:r>
          </w:p>
        </w:tc>
      </w:tr>
      <w:tr>
        <w:trPr/>
        <w:tc>
          <w:tcPr>
            <w:tcW w:w="964"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Roselyn R. Bar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5072" w:type="dxa"/>
            <w:tcBorders>
              <w:bottom w:val="dotted" w:sz="8" w:space="0" w:color="000000"/>
            </w:tcBorders>
            <w:shd w:fill="auto" w:val="clear"/>
            <w:tcMar>
              <w:bottom w:w="80" w:type="dxa"/>
            </w:tcMar>
            <w:vAlign w:val="center"/>
          </w:tcPr>
          <w:p>
            <w:pPr>
              <w:pStyle w:val="TableContents"/>
              <w:spacing w:before="0" w:after="0"/>
              <w:rPr/>
            </w:pPr>
            <w:r>
              <w:rPr>
                <w:color w:val="007CBA"/>
              </w:rPr>
              <w:t>•</w:t>
            </w:r>
            <w:r>
              <w:rPr/>
              <w:t>  </w:t>
            </w:r>
            <w:r>
              <w:rPr>
                <w:rFonts w:ascii="ARIAL" w:hAnsi="ARIAL"/>
                <w:sz w:val="18"/>
              </w:rPr>
              <w:t>Effective management of the legal department, including appropriate handling of compliance and securities laws matters, annual and periodic reporting, corporate governance, transactions, and robust case assessment</w:t>
            </w:r>
          </w:p>
          <w:p>
            <w:pPr>
              <w:pStyle w:val="TableContents"/>
              <w:spacing w:before="0" w:after="0"/>
              <w:rPr/>
            </w:pPr>
            <w:r>
              <w:rPr/>
              <w:t> </w:t>
            </w:r>
          </w:p>
          <w:p>
            <w:pPr>
              <w:pStyle w:val="TableContents"/>
              <w:spacing w:before="0" w:after="0"/>
              <w:rPr/>
            </w:pPr>
            <w:r>
              <w:rPr>
                <w:color w:val="007CBA"/>
              </w:rPr>
              <w:t>•</w:t>
            </w:r>
            <w:r>
              <w:rPr/>
              <w:t>  </w:t>
            </w:r>
            <w:r>
              <w:rPr>
                <w:rFonts w:ascii="ARIAL" w:hAnsi="ARIAL"/>
                <w:sz w:val="18"/>
              </w:rPr>
              <w:t>Provide oversight of ethics program as Chief Ethics Officer</w:t>
            </w:r>
          </w:p>
          <w:p>
            <w:pPr>
              <w:pStyle w:val="TableContents"/>
              <w:spacing w:before="0" w:after="0"/>
              <w:rPr/>
            </w:pPr>
            <w:r>
              <w:rPr/>
              <w:t> </w:t>
            </w:r>
          </w:p>
          <w:p>
            <w:pPr>
              <w:pStyle w:val="TableContents"/>
              <w:spacing w:before="0" w:after="0"/>
              <w:rPr/>
            </w:pPr>
            <w:r>
              <w:rPr>
                <w:color w:val="007CBA"/>
              </w:rPr>
              <w:t>•</w:t>
            </w:r>
            <w:r>
              <w:rPr/>
              <w:t>  </w:t>
            </w:r>
            <w:r>
              <w:rPr>
                <w:rFonts w:ascii="ARIAL" w:hAnsi="ARIAL"/>
                <w:sz w:val="18"/>
              </w:rPr>
              <w:t>Oversee Sustainability function</w:t>
            </w:r>
          </w:p>
          <w:p>
            <w:pPr>
              <w:pStyle w:val="TableContents"/>
              <w:spacing w:before="0" w:after="0"/>
              <w:rPr/>
            </w:pPr>
            <w:r>
              <w:rPr/>
              <w:t> </w:t>
            </w:r>
          </w:p>
          <w:p>
            <w:pPr>
              <w:pStyle w:val="TableContents"/>
              <w:spacing w:before="0" w:after="20"/>
              <w:rPr/>
            </w:pPr>
            <w:r>
              <w:rPr>
                <w:color w:val="007CBA"/>
              </w:rPr>
              <w:t>•</w:t>
            </w:r>
            <w:r>
              <w:rPr/>
              <w:t>  </w:t>
            </w:r>
            <w:r>
              <w:rPr>
                <w:rFonts w:ascii="ARIAL" w:hAnsi="ARIAL"/>
                <w:sz w:val="18"/>
              </w:rPr>
              <w:t>Continue to improve processes and management of Corporate Secretary function</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7" w:type="dxa"/>
            <w:tcBorders>
              <w:bottom w:val="dotted" w:sz="8" w:space="0" w:color="000000"/>
            </w:tcBorders>
            <w:shd w:fill="auto" w:val="clear"/>
            <w:tcMar>
              <w:bottom w:w="28" w:type="dxa"/>
            </w:tcMar>
            <w:vAlign w:val="center"/>
          </w:tcPr>
          <w:p>
            <w:pPr>
              <w:pStyle w:val="TableContents"/>
              <w:spacing w:before="0" w:after="283"/>
              <w:rPr/>
            </w:pPr>
            <w:r>
              <w:rPr/>
              <w:t> </w:t>
            </w:r>
          </w:p>
        </w:tc>
        <w:tc>
          <w:tcPr>
            <w:tcW w:w="117" w:type="dxa"/>
            <w:tcBorders>
              <w:bottom w:val="dotted" w:sz="8" w:space="0" w:color="000000"/>
            </w:tcBorders>
            <w:shd w:fill="auto" w:val="clear"/>
            <w:tcMar>
              <w:bottom w:w="80" w:type="dxa"/>
            </w:tcMar>
            <w:vAlign w:val="center"/>
          </w:tcPr>
          <w:p>
            <w:pPr>
              <w:pStyle w:val="TableContents"/>
              <w:spacing w:before="0" w:after="283"/>
              <w:rPr/>
            </w:pPr>
            <w:r>
              <w:rPr/>
              <w:t> </w:t>
            </w:r>
          </w:p>
        </w:tc>
        <w:tc>
          <w:tcPr>
            <w:tcW w:w="744" w:type="dxa"/>
            <w:tcBorders>
              <w:bottom w:val="dotted" w:sz="8" w:space="0" w:color="000000"/>
            </w:tcBorders>
            <w:shd w:fill="auto" w:val="clear"/>
            <w:tcMar>
              <w:bottom w:w="80" w:type="dxa"/>
            </w:tcMar>
            <w:vAlign w:val="center"/>
          </w:tcPr>
          <w:p>
            <w:pPr>
              <w:pStyle w:val="TableContents"/>
              <w:spacing w:before="0" w:after="283"/>
              <w:jc w:val="right"/>
              <w:rPr/>
            </w:pPr>
            <w:r>
              <w:rPr/>
              <w:t>80</w:t>
            </w:r>
          </w:p>
        </w:tc>
        <w:tc>
          <w:tcPr>
            <w:tcW w:w="422" w:type="dxa"/>
            <w:tcBorders>
              <w:bottom w:val="dotted" w:sz="8" w:space="0" w:color="000000"/>
            </w:tcBorders>
            <w:shd w:fill="auto" w:val="clear"/>
            <w:tcMar>
              <w:bottom w:w="8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514,000</w:t>
            </w:r>
          </w:p>
        </w:tc>
        <w:tc>
          <w:tcPr>
            <w:tcW w:w="23" w:type="dxa"/>
            <w:tcBorders>
              <w:bottom w:val="dotted"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2" w:type="dxa"/>
            <w:tcBorders>
              <w:bottom w:val="dotted" w:sz="8" w:space="0" w:color="000000"/>
            </w:tcBorders>
            <w:shd w:fill="auto" w:val="clear"/>
            <w:tcMar>
              <w:bottom w:w="28" w:type="dxa"/>
            </w:tcMar>
            <w:vAlign w:val="center"/>
          </w:tcPr>
          <w:p>
            <w:pPr>
              <w:pStyle w:val="TableContents"/>
              <w:spacing w:before="0" w:after="283"/>
              <w:rPr/>
            </w:pPr>
            <w:r>
              <w:rPr/>
              <w:t> </w:t>
            </w:r>
          </w:p>
        </w:tc>
        <w:tc>
          <w:tcPr>
            <w:tcW w:w="145" w:type="dxa"/>
            <w:tcBorders>
              <w:bottom w:val="dotted" w:sz="8" w:space="0" w:color="000000"/>
            </w:tcBorders>
            <w:shd w:fill="auto" w:val="clear"/>
            <w:tcMar>
              <w:bottom w:w="80" w:type="dxa"/>
            </w:tcMar>
            <w:vAlign w:val="center"/>
          </w:tcPr>
          <w:p>
            <w:pPr>
              <w:pStyle w:val="TableContents"/>
              <w:spacing w:before="0" w:after="283"/>
              <w:rPr/>
            </w:pPr>
            <w:r>
              <w:rPr/>
              <w:t>$</w:t>
            </w:r>
          </w:p>
        </w:tc>
        <w:tc>
          <w:tcPr>
            <w:tcW w:w="1017" w:type="dxa"/>
            <w:tcBorders>
              <w:bottom w:val="dotted" w:sz="8" w:space="0" w:color="000000"/>
            </w:tcBorders>
            <w:shd w:fill="auto" w:val="clear"/>
            <w:tcMar>
              <w:bottom w:w="80" w:type="dxa"/>
            </w:tcMar>
            <w:vAlign w:val="center"/>
          </w:tcPr>
          <w:p>
            <w:pPr>
              <w:pStyle w:val="TableContents"/>
              <w:spacing w:before="0" w:after="283"/>
              <w:jc w:val="right"/>
              <w:rPr/>
            </w:pPr>
            <w:r>
              <w:rPr/>
              <w:t>950,000</w:t>
            </w:r>
          </w:p>
        </w:tc>
        <w:tc>
          <w:tcPr>
            <w:tcW w:w="42" w:type="dxa"/>
            <w:tcBorders>
              <w:bottom w:val="dotted" w:sz="8" w:space="0" w:color="000000"/>
            </w:tcBorders>
            <w:shd w:fill="auto" w:val="clear"/>
            <w:tcMar>
              <w:bottom w:w="80" w:type="dxa"/>
            </w:tcMar>
            <w:vAlign w:val="center"/>
          </w:tcPr>
          <w:p>
            <w:pPr>
              <w:pStyle w:val="TableContents"/>
              <w:spacing w:before="0" w:after="283"/>
              <w:rPr>
                <w:sz w:val="4"/>
                <w:szCs w:val="4"/>
              </w:rPr>
            </w:pPr>
            <w:r>
              <w:rPr>
                <w:sz w:val="4"/>
                <w:szCs w:val="4"/>
              </w:rPr>
            </w:r>
          </w:p>
        </w:tc>
      </w:tr>
      <w:tr>
        <w:trPr/>
        <w:tc>
          <w:tcPr>
            <w:tcW w:w="964" w:type="dxa"/>
            <w:tcBorders/>
            <w:shd w:fill="auto" w:val="clear"/>
            <w:vAlign w:val="center"/>
          </w:tcPr>
          <w:p>
            <w:pPr>
              <w:pStyle w:val="TableContents"/>
              <w:spacing w:before="0" w:after="283"/>
              <w:rPr>
                <w:sz w:val="4"/>
                <w:szCs w:val="4"/>
              </w:rPr>
            </w:pPr>
            <w:r>
              <w:rPr>
                <w:sz w:val="4"/>
                <w:szCs w:val="4"/>
              </w:rPr>
            </w:r>
          </w:p>
        </w:tc>
        <w:tc>
          <w:tcPr>
            <w:tcW w:w="5192" w:type="dxa"/>
            <w:gridSpan w:val="2"/>
            <w:tcBorders/>
            <w:shd w:fill="auto" w:val="clear"/>
            <w:vAlign w:val="center"/>
          </w:tcPr>
          <w:p>
            <w:pPr>
              <w:pStyle w:val="TableContents"/>
              <w:spacing w:before="0" w:after="283"/>
              <w:rPr>
                <w:sz w:val="4"/>
                <w:szCs w:val="4"/>
              </w:rPr>
            </w:pPr>
            <w:r>
              <w:rPr>
                <w:sz w:val="4"/>
                <w:szCs w:val="4"/>
              </w:rPr>
            </w:r>
          </w:p>
        </w:tc>
        <w:tc>
          <w:tcPr>
            <w:tcW w:w="1460" w:type="dxa"/>
            <w:gridSpan w:val="5"/>
            <w:tcBorders/>
            <w:shd w:fill="auto" w:val="clear"/>
            <w:vAlign w:val="center"/>
          </w:tcPr>
          <w:p>
            <w:pPr>
              <w:pStyle w:val="TableContents"/>
              <w:spacing w:before="0" w:after="283"/>
              <w:rPr>
                <w:sz w:val="4"/>
                <w:szCs w:val="4"/>
              </w:rPr>
            </w:pPr>
            <w:r>
              <w:rPr>
                <w:sz w:val="4"/>
                <w:szCs w:val="4"/>
              </w:rPr>
            </w:r>
          </w:p>
        </w:tc>
        <w:tc>
          <w:tcPr>
            <w:tcW w:w="1263" w:type="dxa"/>
            <w:gridSpan w:val="5"/>
            <w:tcBorders/>
            <w:shd w:fill="auto" w:val="clear"/>
            <w:vAlign w:val="center"/>
          </w:tcPr>
          <w:p>
            <w:pPr>
              <w:pStyle w:val="TableContents"/>
              <w:spacing w:before="0" w:after="283"/>
              <w:rPr>
                <w:sz w:val="4"/>
                <w:szCs w:val="4"/>
              </w:rPr>
            </w:pPr>
            <w:r>
              <w:rPr>
                <w:sz w:val="4"/>
                <w:szCs w:val="4"/>
              </w:rPr>
            </w:r>
          </w:p>
        </w:tc>
        <w:tc>
          <w:tcPr>
            <w:tcW w:w="1326" w:type="dxa"/>
            <w:gridSpan w:val="5"/>
            <w:tcBorders/>
            <w:shd w:fill="auto" w:val="clear"/>
            <w:vAlign w:val="center"/>
          </w:tcPr>
          <w:p>
            <w:pPr>
              <w:pStyle w:val="TableContents"/>
              <w:spacing w:before="0" w:after="283"/>
              <w:rPr>
                <w:sz w:val="4"/>
                <w:szCs w:val="4"/>
              </w:rPr>
            </w:pPr>
            <w:r>
              <w:rPr>
                <w:sz w:val="4"/>
                <w:szCs w:val="4"/>
              </w:rPr>
            </w:r>
          </w:p>
        </w:tc>
      </w:tr>
      <w:tr>
        <w:trPr/>
        <w:tc>
          <w:tcPr>
            <w:tcW w:w="964"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Craig M. LaTorre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5072" w:type="dxa"/>
            <w:tcBorders>
              <w:bottom w:val="dotted" w:sz="8" w:space="0" w:color="000000"/>
            </w:tcBorders>
            <w:shd w:fill="auto" w:val="clear"/>
            <w:tcMar>
              <w:bottom w:w="80" w:type="dxa"/>
            </w:tcMar>
            <w:vAlign w:val="center"/>
          </w:tcPr>
          <w:p>
            <w:pPr>
              <w:pStyle w:val="TableContents"/>
              <w:spacing w:before="0" w:after="0"/>
              <w:rPr/>
            </w:pPr>
            <w:r>
              <w:rPr>
                <w:color w:val="007CBA"/>
              </w:rPr>
              <w:t>•</w:t>
            </w:r>
            <w:r>
              <w:rPr/>
              <w:t>  </w:t>
            </w:r>
            <w:r>
              <w:rPr>
                <w:rFonts w:ascii="ARIAL" w:hAnsi="ARIAL"/>
                <w:sz w:val="18"/>
              </w:rPr>
              <w:t>Define and develop the safety strategy and gain business alignment on long-term safety initiatives</w:t>
            </w:r>
          </w:p>
          <w:p>
            <w:pPr>
              <w:pStyle w:val="TableContents"/>
              <w:spacing w:before="0" w:after="0"/>
              <w:rPr/>
            </w:pPr>
            <w:r>
              <w:rPr/>
              <w:t> </w:t>
            </w:r>
          </w:p>
          <w:p>
            <w:pPr>
              <w:pStyle w:val="TableContents"/>
              <w:spacing w:before="0" w:after="0"/>
              <w:rPr/>
            </w:pPr>
            <w:r>
              <w:rPr>
                <w:color w:val="007CBA"/>
              </w:rPr>
              <w:t>•</w:t>
            </w:r>
            <w:r>
              <w:rPr/>
              <w:t>  </w:t>
            </w:r>
            <w:r>
              <w:rPr>
                <w:rFonts w:ascii="ARIAL" w:hAnsi="ARIAL"/>
                <w:sz w:val="18"/>
              </w:rPr>
              <w:t>Continuously evaluate, update and execute protocols to protect employee health and safety</w:t>
            </w:r>
          </w:p>
          <w:p>
            <w:pPr>
              <w:pStyle w:val="TableContents"/>
              <w:spacing w:before="0" w:after="0"/>
              <w:rPr/>
            </w:pPr>
            <w:r>
              <w:rPr/>
              <w:t> </w:t>
            </w:r>
          </w:p>
          <w:p>
            <w:pPr>
              <w:pStyle w:val="TableContents"/>
              <w:spacing w:before="0" w:after="0"/>
              <w:rPr/>
            </w:pPr>
            <w:r>
              <w:rPr>
                <w:color w:val="007CBA"/>
              </w:rPr>
              <w:t>•</w:t>
            </w:r>
            <w:r>
              <w:rPr/>
              <w:t>  </w:t>
            </w:r>
            <w:r>
              <w:rPr>
                <w:rFonts w:ascii="ARIAL" w:hAnsi="ARIAL"/>
                <w:sz w:val="18"/>
              </w:rPr>
              <w:t>Develop and implement key Human Resources priorities, which include talent acquisition, employee development, performance management and succession planning</w:t>
            </w:r>
          </w:p>
          <w:p>
            <w:pPr>
              <w:pStyle w:val="TableContents"/>
              <w:spacing w:before="0" w:after="0"/>
              <w:rPr/>
            </w:pPr>
            <w:r>
              <w:rPr/>
              <w:t> </w:t>
            </w:r>
          </w:p>
          <w:p>
            <w:pPr>
              <w:pStyle w:val="TableContents"/>
              <w:spacing w:before="0" w:after="20"/>
              <w:rPr/>
            </w:pPr>
            <w:r>
              <w:rPr>
                <w:color w:val="007CBA"/>
              </w:rPr>
              <w:t>•</w:t>
            </w:r>
            <w:r>
              <w:rPr/>
              <w:t>  </w:t>
            </w:r>
            <w:r>
              <w:rPr>
                <w:rFonts w:ascii="ARIAL" w:hAnsi="ARIAL"/>
                <w:sz w:val="18"/>
              </w:rPr>
              <w:t>Effective leadership of the Company’s total rewards, diversity, inclusion, employee engagement efforts</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7" w:type="dxa"/>
            <w:tcBorders>
              <w:bottom w:val="dotted" w:sz="8" w:space="0" w:color="000000"/>
            </w:tcBorders>
            <w:shd w:fill="auto" w:val="clear"/>
            <w:tcMar>
              <w:bottom w:w="28" w:type="dxa"/>
            </w:tcMar>
            <w:vAlign w:val="center"/>
          </w:tcPr>
          <w:p>
            <w:pPr>
              <w:pStyle w:val="TableContents"/>
              <w:spacing w:before="0" w:after="283"/>
              <w:rPr/>
            </w:pPr>
            <w:r>
              <w:rPr/>
              <w:t> </w:t>
            </w:r>
          </w:p>
        </w:tc>
        <w:tc>
          <w:tcPr>
            <w:tcW w:w="117" w:type="dxa"/>
            <w:tcBorders>
              <w:bottom w:val="dotted" w:sz="8" w:space="0" w:color="000000"/>
            </w:tcBorders>
            <w:shd w:fill="auto" w:val="clear"/>
            <w:tcMar>
              <w:bottom w:w="80" w:type="dxa"/>
            </w:tcMar>
            <w:vAlign w:val="center"/>
          </w:tcPr>
          <w:p>
            <w:pPr>
              <w:pStyle w:val="TableContents"/>
              <w:spacing w:before="0" w:after="283"/>
              <w:rPr/>
            </w:pPr>
            <w:r>
              <w:rPr/>
              <w:t> </w:t>
            </w:r>
          </w:p>
        </w:tc>
        <w:tc>
          <w:tcPr>
            <w:tcW w:w="744" w:type="dxa"/>
            <w:tcBorders>
              <w:bottom w:val="dotted" w:sz="8" w:space="0" w:color="000000"/>
            </w:tcBorders>
            <w:shd w:fill="auto" w:val="clear"/>
            <w:tcMar>
              <w:bottom w:w="80" w:type="dxa"/>
            </w:tcMar>
            <w:vAlign w:val="center"/>
          </w:tcPr>
          <w:p>
            <w:pPr>
              <w:pStyle w:val="TableContents"/>
              <w:spacing w:before="0" w:after="283"/>
              <w:jc w:val="right"/>
              <w:rPr/>
            </w:pPr>
            <w:r>
              <w:rPr/>
              <w:t>70</w:t>
            </w:r>
          </w:p>
        </w:tc>
        <w:tc>
          <w:tcPr>
            <w:tcW w:w="422" w:type="dxa"/>
            <w:tcBorders>
              <w:bottom w:val="dotted" w:sz="8" w:space="0" w:color="000000"/>
            </w:tcBorders>
            <w:shd w:fill="auto" w:val="clear"/>
            <w:tcMar>
              <w:bottom w:w="8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80" w:type="dxa"/>
            </w:tcMar>
            <w:vAlign w:val="center"/>
          </w:tcPr>
          <w:p>
            <w:pPr>
              <w:pStyle w:val="TableContents"/>
              <w:spacing w:before="0" w:after="283"/>
              <w:rPr/>
            </w:pPr>
            <w:r>
              <w:rPr/>
              <w:t>$</w:t>
            </w:r>
          </w:p>
        </w:tc>
        <w:tc>
          <w:tcPr>
            <w:tcW w:w="980" w:type="dxa"/>
            <w:tcBorders>
              <w:bottom w:val="dotted" w:sz="8" w:space="0" w:color="000000"/>
            </w:tcBorders>
            <w:shd w:fill="auto" w:val="clear"/>
            <w:tcMar>
              <w:bottom w:w="80" w:type="dxa"/>
            </w:tcMar>
            <w:vAlign w:val="center"/>
          </w:tcPr>
          <w:p>
            <w:pPr>
              <w:pStyle w:val="TableContents"/>
              <w:spacing w:before="0" w:after="283"/>
              <w:jc w:val="right"/>
              <w:rPr/>
            </w:pPr>
            <w:r>
              <w:rPr/>
              <w:t>375,177</w:t>
            </w:r>
          </w:p>
        </w:tc>
        <w:tc>
          <w:tcPr>
            <w:tcW w:w="23" w:type="dxa"/>
            <w:tcBorders>
              <w:bottom w:val="dotted"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2" w:type="dxa"/>
            <w:tcBorders>
              <w:bottom w:val="dotted" w:sz="8" w:space="0" w:color="000000"/>
            </w:tcBorders>
            <w:shd w:fill="auto" w:val="clear"/>
            <w:tcMar>
              <w:bottom w:w="28" w:type="dxa"/>
            </w:tcMar>
            <w:vAlign w:val="center"/>
          </w:tcPr>
          <w:p>
            <w:pPr>
              <w:pStyle w:val="TableContents"/>
              <w:spacing w:before="0" w:after="283"/>
              <w:rPr/>
            </w:pPr>
            <w:r>
              <w:rPr/>
              <w:t> </w:t>
            </w:r>
          </w:p>
        </w:tc>
        <w:tc>
          <w:tcPr>
            <w:tcW w:w="145" w:type="dxa"/>
            <w:tcBorders>
              <w:bottom w:val="dotted" w:sz="8" w:space="0" w:color="000000"/>
            </w:tcBorders>
            <w:shd w:fill="auto" w:val="clear"/>
            <w:tcMar>
              <w:bottom w:w="80" w:type="dxa"/>
            </w:tcMar>
            <w:vAlign w:val="center"/>
          </w:tcPr>
          <w:p>
            <w:pPr>
              <w:pStyle w:val="TableContents"/>
              <w:spacing w:before="0" w:after="283"/>
              <w:rPr/>
            </w:pPr>
            <w:r>
              <w:rPr/>
              <w:t>$</w:t>
            </w:r>
          </w:p>
        </w:tc>
        <w:tc>
          <w:tcPr>
            <w:tcW w:w="1017" w:type="dxa"/>
            <w:tcBorders>
              <w:bottom w:val="dotted" w:sz="8" w:space="0" w:color="000000"/>
            </w:tcBorders>
            <w:shd w:fill="auto" w:val="clear"/>
            <w:tcMar>
              <w:bottom w:w="80" w:type="dxa"/>
            </w:tcMar>
            <w:vAlign w:val="center"/>
          </w:tcPr>
          <w:p>
            <w:pPr>
              <w:pStyle w:val="TableContents"/>
              <w:spacing w:before="0" w:after="283"/>
              <w:jc w:val="right"/>
              <w:rPr/>
            </w:pPr>
            <w:r>
              <w:rPr/>
              <w:t>600,419</w:t>
            </w:r>
          </w:p>
        </w:tc>
        <w:tc>
          <w:tcPr>
            <w:tcW w:w="42" w:type="dxa"/>
            <w:tcBorders>
              <w:bottom w:val="dotted" w:sz="8" w:space="0" w:color="000000"/>
            </w:tcBorders>
            <w:shd w:fill="auto" w:val="clear"/>
            <w:tcMar>
              <w:bottom w:w="80" w:type="dxa"/>
            </w:tcMar>
            <w:vAlign w:val="center"/>
          </w:tcPr>
          <w:p>
            <w:pPr>
              <w:pStyle w:val="TableContents"/>
              <w:spacing w:before="0" w:after="283"/>
              <w:rPr>
                <w:sz w:val="4"/>
                <w:szCs w:val="4"/>
              </w:rPr>
            </w:pPr>
            <w:r>
              <w:rPr>
                <w:sz w:val="4"/>
                <w:szCs w:val="4"/>
              </w:rPr>
            </w:r>
          </w:p>
        </w:tc>
      </w:tr>
      <w:tr>
        <w:trPr/>
        <w:tc>
          <w:tcPr>
            <w:tcW w:w="964" w:type="dxa"/>
            <w:tcBorders/>
            <w:shd w:fill="auto" w:val="clear"/>
            <w:vAlign w:val="center"/>
          </w:tcPr>
          <w:p>
            <w:pPr>
              <w:pStyle w:val="TableContents"/>
              <w:spacing w:before="0" w:after="283"/>
              <w:rPr>
                <w:sz w:val="4"/>
                <w:szCs w:val="4"/>
              </w:rPr>
            </w:pPr>
            <w:r>
              <w:rPr>
                <w:sz w:val="4"/>
                <w:szCs w:val="4"/>
              </w:rPr>
            </w:r>
          </w:p>
        </w:tc>
        <w:tc>
          <w:tcPr>
            <w:tcW w:w="5192" w:type="dxa"/>
            <w:gridSpan w:val="2"/>
            <w:tcBorders/>
            <w:shd w:fill="auto" w:val="clear"/>
            <w:vAlign w:val="center"/>
          </w:tcPr>
          <w:p>
            <w:pPr>
              <w:pStyle w:val="TableContents"/>
              <w:spacing w:before="0" w:after="283"/>
              <w:rPr>
                <w:sz w:val="4"/>
                <w:szCs w:val="4"/>
              </w:rPr>
            </w:pPr>
            <w:r>
              <w:rPr>
                <w:sz w:val="4"/>
                <w:szCs w:val="4"/>
              </w:rPr>
            </w:r>
          </w:p>
        </w:tc>
        <w:tc>
          <w:tcPr>
            <w:tcW w:w="1460" w:type="dxa"/>
            <w:gridSpan w:val="5"/>
            <w:tcBorders/>
            <w:shd w:fill="auto" w:val="clear"/>
            <w:vAlign w:val="center"/>
          </w:tcPr>
          <w:p>
            <w:pPr>
              <w:pStyle w:val="TableContents"/>
              <w:spacing w:before="0" w:after="283"/>
              <w:rPr>
                <w:sz w:val="4"/>
                <w:szCs w:val="4"/>
              </w:rPr>
            </w:pPr>
            <w:r>
              <w:rPr>
                <w:sz w:val="4"/>
                <w:szCs w:val="4"/>
              </w:rPr>
            </w:r>
          </w:p>
        </w:tc>
        <w:tc>
          <w:tcPr>
            <w:tcW w:w="1263" w:type="dxa"/>
            <w:gridSpan w:val="5"/>
            <w:tcBorders/>
            <w:shd w:fill="auto" w:val="clear"/>
            <w:vAlign w:val="center"/>
          </w:tcPr>
          <w:p>
            <w:pPr>
              <w:pStyle w:val="TableContents"/>
              <w:spacing w:before="0" w:after="283"/>
              <w:rPr>
                <w:sz w:val="4"/>
                <w:szCs w:val="4"/>
              </w:rPr>
            </w:pPr>
            <w:r>
              <w:rPr>
                <w:sz w:val="4"/>
                <w:szCs w:val="4"/>
              </w:rPr>
            </w:r>
          </w:p>
        </w:tc>
        <w:tc>
          <w:tcPr>
            <w:tcW w:w="1326" w:type="dxa"/>
            <w:gridSpan w:val="5"/>
            <w:tcBorders/>
            <w:shd w:fill="auto" w:val="clear"/>
            <w:vAlign w:val="center"/>
          </w:tcPr>
          <w:p>
            <w:pPr>
              <w:pStyle w:val="TableContents"/>
              <w:spacing w:before="0" w:after="283"/>
              <w:rPr>
                <w:sz w:val="4"/>
                <w:szCs w:val="4"/>
              </w:rPr>
            </w:pPr>
            <w:r>
              <w:rPr>
                <w:sz w:val="4"/>
                <w:szCs w:val="4"/>
              </w:rPr>
            </w:r>
          </w:p>
        </w:tc>
      </w:tr>
      <w:tr>
        <w:trPr/>
        <w:tc>
          <w:tcPr>
            <w:tcW w:w="964" w:type="dxa"/>
            <w:tcBorders>
              <w:bottom w:val="single"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John P. Mohr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5072" w:type="dxa"/>
            <w:tcBorders>
              <w:bottom w:val="single" w:sz="8" w:space="0" w:color="000000"/>
            </w:tcBorders>
            <w:shd w:fill="auto" w:val="clear"/>
            <w:tcMar>
              <w:bottom w:w="80" w:type="dxa"/>
            </w:tcMar>
            <w:vAlign w:val="center"/>
          </w:tcPr>
          <w:p>
            <w:pPr>
              <w:pStyle w:val="TableContents"/>
              <w:spacing w:before="0" w:after="0"/>
              <w:rPr/>
            </w:pPr>
            <w:r>
              <w:rPr>
                <w:color w:val="007CBA"/>
              </w:rPr>
              <w:t>•</w:t>
            </w:r>
            <w:r>
              <w:rPr/>
              <w:t>  </w:t>
            </w:r>
            <w:r>
              <w:rPr>
                <w:rFonts w:ascii="ARIAL" w:hAnsi="ARIAL"/>
                <w:sz w:val="18"/>
              </w:rPr>
              <w:t>Promote and drive tech initiatives, including mobility initiatives, that both support short term needs and create a foundation for future growth</w:t>
            </w:r>
          </w:p>
          <w:p>
            <w:pPr>
              <w:pStyle w:val="TableContents"/>
              <w:spacing w:before="0" w:after="0"/>
              <w:rPr/>
            </w:pPr>
            <w:r>
              <w:rPr/>
              <w:t> </w:t>
            </w:r>
          </w:p>
          <w:p>
            <w:pPr>
              <w:pStyle w:val="TableContents"/>
              <w:spacing w:before="0" w:after="0"/>
              <w:rPr/>
            </w:pPr>
            <w:r>
              <w:rPr>
                <w:color w:val="007CBA"/>
              </w:rPr>
              <w:t>•</w:t>
            </w:r>
            <w:r>
              <w:rPr/>
              <w:t>  </w:t>
            </w:r>
            <w:r>
              <w:rPr>
                <w:rFonts w:ascii="ARIAL" w:hAnsi="ARIAL"/>
                <w:sz w:val="18"/>
              </w:rPr>
              <w:t>Continue to simplify application portfolio, streamline and automate new solutions and realize cost savings</w:t>
            </w:r>
          </w:p>
          <w:p>
            <w:pPr>
              <w:pStyle w:val="TableContents"/>
              <w:spacing w:before="0" w:after="0"/>
              <w:rPr/>
            </w:pPr>
            <w:r>
              <w:rPr/>
              <w:t> </w:t>
            </w:r>
          </w:p>
          <w:p>
            <w:pPr>
              <w:pStyle w:val="TableContents"/>
              <w:spacing w:before="0" w:after="20"/>
              <w:rPr/>
            </w:pPr>
            <w:r>
              <w:rPr>
                <w:color w:val="007CBA"/>
              </w:rPr>
              <w:t>•</w:t>
            </w:r>
            <w:r>
              <w:rPr/>
              <w:t>  </w:t>
            </w:r>
            <w:r>
              <w:rPr>
                <w:rFonts w:ascii="ARIAL" w:hAnsi="ARIAL"/>
                <w:sz w:val="18"/>
              </w:rPr>
              <w:t>Provide ongoing support for existing systems to ensure reliability, security and data integrity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7" w:type="dxa"/>
            <w:tcBorders>
              <w:bottom w:val="single" w:sz="8" w:space="0" w:color="000000"/>
            </w:tcBorders>
            <w:shd w:fill="auto" w:val="clear"/>
            <w:tcMar>
              <w:bottom w:w="28" w:type="dxa"/>
            </w:tcMar>
            <w:vAlign w:val="center"/>
          </w:tcPr>
          <w:p>
            <w:pPr>
              <w:pStyle w:val="TableContents"/>
              <w:spacing w:before="0" w:after="283"/>
              <w:rPr/>
            </w:pPr>
            <w:r>
              <w:rPr/>
              <w:t> </w:t>
            </w:r>
          </w:p>
        </w:tc>
        <w:tc>
          <w:tcPr>
            <w:tcW w:w="117" w:type="dxa"/>
            <w:tcBorders>
              <w:bottom w:val="single" w:sz="8" w:space="0" w:color="000000"/>
            </w:tcBorders>
            <w:shd w:fill="auto" w:val="clear"/>
            <w:tcMar>
              <w:bottom w:w="80" w:type="dxa"/>
            </w:tcMar>
            <w:vAlign w:val="center"/>
          </w:tcPr>
          <w:p>
            <w:pPr>
              <w:pStyle w:val="TableContents"/>
              <w:spacing w:before="0" w:after="283"/>
              <w:rPr/>
            </w:pPr>
            <w:r>
              <w:rPr/>
              <w:t> </w:t>
            </w:r>
          </w:p>
        </w:tc>
        <w:tc>
          <w:tcPr>
            <w:tcW w:w="744" w:type="dxa"/>
            <w:tcBorders>
              <w:bottom w:val="single" w:sz="8" w:space="0" w:color="000000"/>
            </w:tcBorders>
            <w:shd w:fill="auto" w:val="clear"/>
            <w:tcMar>
              <w:bottom w:w="80" w:type="dxa"/>
            </w:tcMar>
            <w:vAlign w:val="center"/>
          </w:tcPr>
          <w:p>
            <w:pPr>
              <w:pStyle w:val="TableContents"/>
              <w:spacing w:before="0" w:after="283"/>
              <w:jc w:val="right"/>
              <w:rPr/>
            </w:pPr>
            <w:r>
              <w:rPr/>
              <w:t>70</w:t>
            </w:r>
          </w:p>
        </w:tc>
        <w:tc>
          <w:tcPr>
            <w:tcW w:w="422" w:type="dxa"/>
            <w:tcBorders>
              <w:bottom w:val="single" w:sz="8" w:space="0" w:color="000000"/>
            </w:tcBorders>
            <w:shd w:fill="auto" w:val="clear"/>
            <w:tcMar>
              <w:bottom w:w="80" w:type="dxa"/>
            </w:tcMar>
            <w:vAlign w:val="center"/>
          </w:tcPr>
          <w:p>
            <w:pPr>
              <w:pStyle w:val="TableContents"/>
              <w:spacing w:before="0" w:after="283"/>
              <w:rPr/>
            </w:pPr>
            <w:r>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80" w:type="dxa"/>
            </w:tcMar>
            <w:vAlign w:val="center"/>
          </w:tcPr>
          <w:p>
            <w:pPr>
              <w:pStyle w:val="TableContents"/>
              <w:spacing w:before="0" w:after="283"/>
              <w:rPr/>
            </w:pPr>
            <w:r>
              <w:rPr/>
              <w:t>$</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295,890</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2" w:type="dxa"/>
            <w:tcBorders>
              <w:bottom w:val="single" w:sz="8" w:space="0" w:color="000000"/>
            </w:tcBorders>
            <w:shd w:fill="auto" w:val="clear"/>
            <w:tcMar>
              <w:bottom w:w="28" w:type="dxa"/>
            </w:tcMar>
            <w:vAlign w:val="center"/>
          </w:tcPr>
          <w:p>
            <w:pPr>
              <w:pStyle w:val="TableContents"/>
              <w:spacing w:before="0" w:after="283"/>
              <w:rPr/>
            </w:pPr>
            <w:r>
              <w:rPr/>
              <w:t> </w:t>
            </w:r>
          </w:p>
        </w:tc>
        <w:tc>
          <w:tcPr>
            <w:tcW w:w="145" w:type="dxa"/>
            <w:tcBorders>
              <w:bottom w:val="single" w:sz="8" w:space="0" w:color="000000"/>
            </w:tcBorders>
            <w:shd w:fill="auto" w:val="clear"/>
            <w:tcMar>
              <w:bottom w:w="80" w:type="dxa"/>
            </w:tcMar>
            <w:vAlign w:val="center"/>
          </w:tcPr>
          <w:p>
            <w:pPr>
              <w:pStyle w:val="TableContents"/>
              <w:spacing w:before="0" w:after="283"/>
              <w:rPr/>
            </w:pPr>
            <w:r>
              <w:rPr/>
              <w:t>$</w:t>
            </w:r>
          </w:p>
        </w:tc>
        <w:tc>
          <w:tcPr>
            <w:tcW w:w="1017" w:type="dxa"/>
            <w:tcBorders>
              <w:bottom w:val="single" w:sz="8" w:space="0" w:color="000000"/>
            </w:tcBorders>
            <w:shd w:fill="auto" w:val="clear"/>
            <w:tcMar>
              <w:bottom w:w="80" w:type="dxa"/>
            </w:tcMar>
            <w:vAlign w:val="center"/>
          </w:tcPr>
          <w:p>
            <w:pPr>
              <w:pStyle w:val="TableContents"/>
              <w:spacing w:before="0" w:after="283"/>
              <w:jc w:val="right"/>
              <w:rPr/>
            </w:pPr>
            <w:r>
              <w:rPr/>
              <w:t>473,536</w:t>
            </w:r>
          </w:p>
        </w:tc>
        <w:tc>
          <w:tcPr>
            <w:tcW w:w="42"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3880" w:type="dxa"/>
        <w:jc w:val="left"/>
        <w:tblInd w:w="0" w:type="dxa"/>
        <w:tblCellMar>
          <w:top w:w="0" w:type="dxa"/>
          <w:left w:w="0" w:type="dxa"/>
          <w:bottom w:w="0" w:type="dxa"/>
          <w:right w:w="0" w:type="dxa"/>
        </w:tblCellMar>
      </w:tblPr>
      <w:tblGrid>
        <w:gridCol w:w="155"/>
        <w:gridCol w:w="3725"/>
      </w:tblGrid>
      <w:tr>
        <w:trPr/>
        <w:tc>
          <w:tcPr>
            <w:tcW w:w="155" w:type="dxa"/>
            <w:tcBorders/>
            <w:shd w:fill="auto" w:val="clear"/>
            <w:vAlign w:val="center"/>
          </w:tcPr>
          <w:p>
            <w:pPr>
              <w:pStyle w:val="TableContents"/>
              <w:spacing w:before="0" w:after="283"/>
              <w:jc w:val="left"/>
              <w:rPr/>
            </w:pPr>
            <w:r>
              <w:rPr/>
              <w:t>*</w:t>
            </w:r>
          </w:p>
        </w:tc>
        <w:tc>
          <w:tcPr>
            <w:tcW w:w="3725" w:type="dxa"/>
            <w:tcBorders/>
            <w:shd w:fill="auto" w:val="clear"/>
            <w:vAlign w:val="center"/>
          </w:tcPr>
          <w:p>
            <w:pPr>
              <w:pStyle w:val="TableContents"/>
              <w:spacing w:before="0" w:after="0"/>
              <w:jc w:val="left"/>
              <w:rPr>
                <w:rFonts w:ascii="ARIAL" w:hAnsi="ARIAL"/>
                <w:sz w:val="18"/>
              </w:rPr>
            </w:pPr>
            <w:r>
              <w:rPr>
                <w:rFonts w:ascii="ARIAL" w:hAnsi="ARIAL"/>
                <w:sz w:val="18"/>
              </w:rPr>
              <w:t xml:space="preserve">Based on actual base salary earned in 2022. </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60</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1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7" descr=""/>
                          <pic:cNvPicPr>
                            <a:picLocks noChangeAspect="1" noChangeArrowheads="1"/>
                          </pic:cNvPicPr>
                        </pic:nvPicPr>
                        <pic:blipFill>
                          <a:blip r:embed="rId19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ANNUAL INCENTIVE FEATURE: STOCK PURCHASE PLAN  ◆  </w:t>
      </w:r>
      <w:r>
        <w:rPr>
          <w:rFonts w:ascii="ARIAL" w:hAnsi="ARIAL"/>
          <w:color w:val="007CBA"/>
          <w:sz w:val="16"/>
        </w:rPr>
        <w:t>COMPENSATION DISCUSSION AND ANALYSIS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color w:val="007CBA"/>
          <w:sz w:val="26"/>
        </w:rPr>
      </w:pPr>
      <w:bookmarkStart w:id="44" w:name="toc390557_37"/>
      <w:bookmarkEnd w:id="44"/>
      <w:r>
        <w:rPr>
          <w:rFonts w:ascii="ARIAL" w:hAnsi="ARIAL"/>
          <w:b/>
          <w:color w:val="007CBA"/>
          <w:sz w:val="26"/>
        </w:rPr>
        <w:t xml:space="preserve">Annual Incentive Feature: Stock Purchase Plan </w:t>
      </w:r>
    </w:p>
    <w:p>
      <w:pPr>
        <w:pStyle w:val="TextBody"/>
        <w:spacing w:before="120" w:after="0"/>
        <w:jc w:val="left"/>
        <w:rPr>
          <w:rFonts w:ascii="ARIAL" w:hAnsi="ARIAL"/>
          <w:sz w:val="20"/>
        </w:rPr>
      </w:pPr>
      <w:r>
        <w:rPr>
          <w:rFonts w:ascii="ARIAL" w:hAnsi="ARIAL"/>
          <w:sz w:val="20"/>
        </w:rPr>
        <w:t xml:space="preserve">The Incentive Stock Plan further promotes the alignment of executive compensation levels with our investors’ financial interests by allowing a portion of the annual bonus award to be deferred into Company stock units that vest based on continued service. The voluntary election allows executives to invest up to 50% of their annual cash incentive compensation to purchase units that are subsequently converted into shares of common stock pursuant to the terms of the plan at a 20% discount from the market price of Martin Marietta’s common stock on the date the amount of the incentive compensation is determined. The discount is used to account for the risk of trading current cash compensation for “at-risk” shares which may decline in value. </w:t>
      </w:r>
    </w:p>
    <w:p>
      <w:pPr>
        <w:pStyle w:val="TextBody"/>
        <w:spacing w:before="240" w:after="0"/>
        <w:jc w:val="left"/>
        <w:rPr>
          <w:rFonts w:ascii="ARIAL" w:hAnsi="ARIAL"/>
          <w:sz w:val="20"/>
        </w:rPr>
      </w:pPr>
      <w:r>
        <w:rPr>
          <w:rFonts w:ascii="ARIAL" w:hAnsi="ARIAL"/>
          <w:sz w:val="20"/>
        </w:rPr>
        <w:t xml:space="preserve">The units generally vest in three years from the date of the award and are distributed in shares of common stock. If an executive officer voluntarily terminates employment before the units vest, the stock units are forfeited and the executive officer receives a cash payment equal to the lesser of the cash that was invested or the fair value of the share units on the day of termination. </w:t>
      </w:r>
    </w:p>
    <w:p>
      <w:pPr>
        <w:pStyle w:val="TextBody"/>
        <w:spacing w:before="240" w:after="0"/>
        <w:jc w:val="left"/>
        <w:rPr>
          <w:rFonts w:ascii="ARIAL" w:hAnsi="ARIAL"/>
          <w:sz w:val="20"/>
        </w:rPr>
      </w:pPr>
      <w:r>
        <w:rPr>
          <w:rFonts w:ascii="ARIAL" w:hAnsi="ARIAL"/>
          <w:sz w:val="20"/>
        </w:rPr>
        <w:t xml:space="preserve">The contribution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 </w:t>
      </w:r>
    </w:p>
    <w:p>
      <w:pPr>
        <w:pStyle w:val="TextBody"/>
        <w:spacing w:before="240" w:after="0"/>
        <w:jc w:val="left"/>
        <w:rPr>
          <w:rFonts w:ascii="ARIAL" w:hAnsi="ARIAL"/>
          <w:b/>
          <w:color w:val="71BE9A"/>
          <w:sz w:val="26"/>
        </w:rPr>
      </w:pPr>
      <w:bookmarkStart w:id="45" w:name="toc390557_38"/>
      <w:bookmarkEnd w:id="45"/>
      <w:r>
        <w:rPr>
          <w:rFonts w:ascii="ARIAL" w:hAnsi="ARIAL"/>
          <w:b/>
          <w:color w:val="71BE9A"/>
          <w:sz w:val="26"/>
        </w:rPr>
        <w:t xml:space="preserve">2022 Long-Term Incentive Compensation Overview </w:t>
      </w:r>
    </w:p>
    <w:p>
      <w:pPr>
        <w:pStyle w:val="TextBody"/>
        <w:spacing w:before="120" w:after="0"/>
        <w:jc w:val="left"/>
        <w:rPr>
          <w:rFonts w:ascii="ARIAL" w:hAnsi="ARIAL"/>
          <w:sz w:val="20"/>
        </w:rPr>
      </w:pPr>
      <w:r>
        <w:rPr>
          <w:rFonts w:ascii="ARIAL" w:hAnsi="ARIAL"/>
          <w:sz w:val="20"/>
        </w:rPr>
        <w:t xml:space="preserve">Our LTI plan design reflects the objectives of our compensation program and is in-line with current market approaches, based on the advice of the Committee’s independent compensation consultant. Our plan design objectives are a simplified LTI program that is transparent and enhances the line of sight between our performance and compensation. </w:t>
      </w:r>
    </w:p>
    <w:p>
      <w:pPr>
        <w:pStyle w:val="TextBody"/>
        <w:spacing w:before="240" w:after="0"/>
        <w:jc w:val="left"/>
        <w:rPr>
          <w:rFonts w:ascii="ARIAL" w:hAnsi="ARIAL"/>
          <w:sz w:val="20"/>
        </w:rPr>
      </w:pPr>
      <w:r>
        <w:rPr>
          <w:rFonts w:ascii="ARIAL" w:hAnsi="ARIAL"/>
          <w:sz w:val="20"/>
        </w:rPr>
        <w:t xml:space="preserve">The award in 2022 for all NEOs was determined as a fixed percentage of base salary with some variation for position and grade, which amount was converted into common stock units based on the average Martin Marietta stock price for the 20-day period ending on February 14, 2022, the day the Martin Marietta Board of Directors confirmed the award, or $380.93. This award value was then divided into PSUs and performance-based RSUs, with 55% of the total award for NEOs consisting of the PSUs at target level and 45% of the total award for NEOs consisting of performance-based RSUs. The Committee believes that the incentive mix (PSUs and performance-based RSUs) constitutes an appropriate pay process and streamlined plan, which more fully reflects the performance of the Company and is better aligned with each NEO’s role within Martin Marietta. See a further description under Outstanding Equity Awards at Fiscal Year-End and corresponding footnotes on page 75. </w:t>
      </w:r>
    </w:p>
    <w:p>
      <w:pPr>
        <w:pStyle w:val="TextBody"/>
        <w:spacing w:before="240" w:after="0"/>
        <w:jc w:val="left"/>
        <w:rPr>
          <w:rFonts w:ascii="ARIAL" w:hAnsi="ARIAL"/>
          <w:sz w:val="20"/>
        </w:rPr>
      </w:pPr>
      <w:r>
        <w:rPr>
          <w:rFonts w:ascii="ARIAL" w:hAnsi="ARIAL"/>
          <w:sz w:val="20"/>
        </w:rPr>
        <w:t xml:space="preserve">The following table provides a notional example of the LTI plan design. </w:t>
      </w:r>
    </w:p>
    <w:p>
      <w:pPr>
        <w:pStyle w:val="TextBody"/>
        <w:spacing w:before="0" w:after="0"/>
        <w:jc w:val="left"/>
        <w:rPr/>
      </w:pPr>
      <w:r>
        <w:rPr/>
        <w:t> </w:t>
      </w:r>
    </w:p>
    <w:tbl>
      <w:tblPr>
        <w:tblW w:w="5795" w:type="dxa"/>
        <w:jc w:val="left"/>
        <w:tblInd w:w="0" w:type="dxa"/>
        <w:tblCellMar>
          <w:top w:w="0" w:type="dxa"/>
          <w:left w:w="0" w:type="dxa"/>
          <w:bottom w:w="0" w:type="dxa"/>
          <w:right w:w="0" w:type="dxa"/>
        </w:tblCellMar>
      </w:tblPr>
      <w:tblGrid>
        <w:gridCol w:w="935"/>
        <w:gridCol w:w="120"/>
        <w:gridCol w:w="575"/>
        <w:gridCol w:w="120"/>
        <w:gridCol w:w="920"/>
        <w:gridCol w:w="120"/>
        <w:gridCol w:w="455"/>
        <w:gridCol w:w="120"/>
        <w:gridCol w:w="920"/>
        <w:gridCol w:w="120"/>
        <w:gridCol w:w="455"/>
        <w:gridCol w:w="120"/>
        <w:gridCol w:w="815"/>
      </w:tblGrid>
      <w:tr>
        <w:trPr/>
        <w:tc>
          <w:tcPr>
            <w:tcW w:w="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r>
      <w:tr>
        <w:trPr/>
        <w:tc>
          <w:tcPr>
            <w:tcW w:w="935" w:type="dxa"/>
            <w:tcBorders/>
            <w:shd w:fill="DBDBDB" w:val="clear"/>
            <w:vAlign w:val="center"/>
          </w:tcPr>
          <w:p>
            <w:pPr>
              <w:pStyle w:val="TableContents"/>
              <w:spacing w:before="0" w:after="283"/>
              <w:rPr>
                <w:sz w:val="4"/>
                <w:szCs w:val="4"/>
              </w:rPr>
            </w:pPr>
            <w:r>
              <w:rPr>
                <w:sz w:val="4"/>
                <w:szCs w:val="4"/>
              </w:rPr>
            </w:r>
          </w:p>
        </w:tc>
        <w:tc>
          <w:tcPr>
            <w:tcW w:w="695" w:type="dxa"/>
            <w:gridSpan w:val="2"/>
            <w:tcBorders/>
            <w:shd w:fill="DBDBDB" w:val="clear"/>
            <w:vAlign w:val="center"/>
          </w:tcPr>
          <w:p>
            <w:pPr>
              <w:pStyle w:val="TableContents"/>
              <w:spacing w:before="0" w:after="283"/>
              <w:rPr>
                <w:sz w:val="4"/>
                <w:szCs w:val="4"/>
              </w:rPr>
            </w:pPr>
            <w:r>
              <w:rPr>
                <w:sz w:val="4"/>
                <w:szCs w:val="4"/>
              </w:rPr>
            </w:r>
          </w:p>
        </w:tc>
        <w:tc>
          <w:tcPr>
            <w:tcW w:w="1040" w:type="dxa"/>
            <w:gridSpan w:val="2"/>
            <w:tcBorders/>
            <w:shd w:fill="DBDBDB" w:val="clear"/>
            <w:vAlign w:val="center"/>
          </w:tcPr>
          <w:p>
            <w:pPr>
              <w:pStyle w:val="TableContents"/>
              <w:spacing w:before="0" w:after="283"/>
              <w:rPr>
                <w:sz w:val="4"/>
                <w:szCs w:val="4"/>
              </w:rPr>
            </w:pPr>
            <w:r>
              <w:rPr>
                <w:sz w:val="4"/>
                <w:szCs w:val="4"/>
              </w:rPr>
            </w:r>
          </w:p>
        </w:tc>
        <w:tc>
          <w:tcPr>
            <w:tcW w:w="575" w:type="dxa"/>
            <w:gridSpan w:val="2"/>
            <w:tcBorders/>
            <w:shd w:fill="DBDBDB" w:val="clear"/>
            <w:vAlign w:val="center"/>
          </w:tcPr>
          <w:p>
            <w:pPr>
              <w:pStyle w:val="TableContents"/>
              <w:spacing w:before="0" w:after="283"/>
              <w:rPr>
                <w:sz w:val="4"/>
                <w:szCs w:val="4"/>
              </w:rPr>
            </w:pPr>
            <w:r>
              <w:rPr>
                <w:sz w:val="4"/>
                <w:szCs w:val="4"/>
              </w:rPr>
            </w:r>
          </w:p>
        </w:tc>
        <w:tc>
          <w:tcPr>
            <w:tcW w:w="1040" w:type="dxa"/>
            <w:gridSpan w:val="2"/>
            <w:tcBorders/>
            <w:shd w:fill="DBDBDB" w:val="clear"/>
            <w:vAlign w:val="center"/>
          </w:tcPr>
          <w:p>
            <w:pPr>
              <w:pStyle w:val="TableContents"/>
              <w:spacing w:before="0" w:after="283"/>
              <w:rPr>
                <w:sz w:val="4"/>
                <w:szCs w:val="4"/>
              </w:rPr>
            </w:pPr>
            <w:r>
              <w:rPr>
                <w:sz w:val="4"/>
                <w:szCs w:val="4"/>
              </w:rPr>
            </w:r>
          </w:p>
        </w:tc>
        <w:tc>
          <w:tcPr>
            <w:tcW w:w="575" w:type="dxa"/>
            <w:gridSpan w:val="2"/>
            <w:tcBorders/>
            <w:shd w:fill="DBDBDB" w:val="clear"/>
            <w:vAlign w:val="center"/>
          </w:tcPr>
          <w:p>
            <w:pPr>
              <w:pStyle w:val="TableContents"/>
              <w:spacing w:before="0" w:after="283"/>
              <w:rPr>
                <w:sz w:val="4"/>
                <w:szCs w:val="4"/>
              </w:rPr>
            </w:pPr>
            <w:r>
              <w:rPr>
                <w:sz w:val="4"/>
                <w:szCs w:val="4"/>
              </w:rPr>
            </w:r>
          </w:p>
        </w:tc>
        <w:tc>
          <w:tcPr>
            <w:tcW w:w="935" w:type="dxa"/>
            <w:gridSpan w:val="2"/>
            <w:tcBorders/>
            <w:shd w:fill="DBDBDB" w:val="clear"/>
            <w:vAlign w:val="center"/>
          </w:tcPr>
          <w:p>
            <w:pPr>
              <w:pStyle w:val="TableContents"/>
              <w:spacing w:before="0" w:after="283"/>
              <w:rPr>
                <w:sz w:val="4"/>
                <w:szCs w:val="4"/>
              </w:rPr>
            </w:pPr>
            <w:r>
              <w:rPr>
                <w:sz w:val="4"/>
                <w:szCs w:val="4"/>
              </w:rPr>
            </w:r>
          </w:p>
        </w:tc>
      </w:tr>
      <w:tr>
        <w:trPr/>
        <w:tc>
          <w:tcPr>
            <w:tcW w:w="935" w:type="dxa"/>
            <w:tcBorders/>
            <w:shd w:fill="DBDBDB" w:val="clear"/>
            <w:vAlign w:val="center"/>
          </w:tcPr>
          <w:p>
            <w:pPr>
              <w:pStyle w:val="TableContents"/>
              <w:spacing w:before="0" w:after="0"/>
              <w:jc w:val="center"/>
              <w:rPr>
                <w:rFonts w:ascii="ARIAL" w:hAnsi="ARIAL"/>
                <w:b/>
                <w:sz w:val="18"/>
              </w:rPr>
            </w:pPr>
            <w:r>
              <w:rPr>
                <w:rFonts w:ascii="ARIAL" w:hAnsi="ARIAL"/>
                <w:b/>
                <w:sz w:val="18"/>
              </w:rPr>
              <w:t>Salary</w:t>
            </w:r>
          </w:p>
          <w:p>
            <w:pPr>
              <w:pStyle w:val="TableContents"/>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spacing w:before="0" w:after="283"/>
              <w:rPr/>
            </w:pPr>
            <w:r>
              <w:rPr/>
              <w:t>  </w:t>
            </w:r>
          </w:p>
        </w:tc>
        <w:tc>
          <w:tcPr>
            <w:tcW w:w="575" w:type="dxa"/>
            <w:tcBorders/>
            <w:shd w:fill="DBDBDB" w:val="clear"/>
            <w:vAlign w:val="center"/>
          </w:tcPr>
          <w:p>
            <w:pPr>
              <w:pStyle w:val="TableContents"/>
              <w:spacing w:before="0" w:after="0"/>
              <w:jc w:val="center"/>
              <w:rPr>
                <w:rFonts w:ascii="ARIAL" w:hAnsi="ARIAL"/>
                <w:b/>
                <w:sz w:val="18"/>
              </w:rPr>
            </w:pPr>
            <w:r>
              <w:rPr>
                <w:rFonts w:ascii="ARIAL" w:hAnsi="ARIAL"/>
                <w:b/>
                <w:sz w:val="18"/>
              </w:rPr>
              <w:t>LTI</w:t>
            </w:r>
          </w:p>
          <w:p>
            <w:pPr>
              <w:pStyle w:val="TableContents"/>
              <w:spacing w:before="0" w:after="0"/>
              <w:jc w:val="center"/>
              <w:rPr>
                <w:rFonts w:ascii="ARIAL" w:hAnsi="ARIAL"/>
                <w:b/>
                <w:sz w:val="18"/>
              </w:rPr>
            </w:pPr>
            <w:r>
              <w:rPr>
                <w:rFonts w:ascii="ARIAL" w:hAnsi="ARIAL"/>
                <w:b/>
                <w:sz w:val="18"/>
              </w:rPr>
              <w:t>Target</w:t>
            </w:r>
          </w:p>
          <w:p>
            <w:pPr>
              <w:pStyle w:val="TableContents"/>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spacing w:before="0" w:after="283"/>
              <w:rPr/>
            </w:pPr>
            <w:r>
              <w:rPr/>
              <w:t>  </w:t>
            </w:r>
          </w:p>
        </w:tc>
        <w:tc>
          <w:tcPr>
            <w:tcW w:w="920" w:type="dxa"/>
            <w:tcBorders/>
            <w:shd w:fill="DBDBDB" w:val="clear"/>
            <w:vAlign w:val="center"/>
          </w:tcPr>
          <w:p>
            <w:pPr>
              <w:pStyle w:val="TableContents"/>
              <w:spacing w:before="0" w:after="0"/>
              <w:jc w:val="center"/>
              <w:rPr>
                <w:rFonts w:ascii="ARIAL" w:hAnsi="ARIAL"/>
                <w:b/>
                <w:sz w:val="18"/>
              </w:rPr>
            </w:pPr>
            <w:r>
              <w:rPr>
                <w:rFonts w:ascii="ARIAL" w:hAnsi="ARIAL"/>
                <w:b/>
                <w:sz w:val="18"/>
              </w:rPr>
              <w:t>LTI</w:t>
            </w:r>
          </w:p>
          <w:p>
            <w:pPr>
              <w:pStyle w:val="TableContents"/>
              <w:spacing w:before="0" w:after="0"/>
              <w:jc w:val="center"/>
              <w:rPr>
                <w:rFonts w:ascii="ARIAL" w:hAnsi="ARIAL"/>
                <w:b/>
                <w:sz w:val="18"/>
              </w:rPr>
            </w:pPr>
            <w:r>
              <w:rPr>
                <w:rFonts w:ascii="ARIAL" w:hAnsi="ARIAL"/>
                <w:b/>
                <w:sz w:val="18"/>
              </w:rPr>
              <w:t>Target</w:t>
            </w:r>
          </w:p>
          <w:p>
            <w:pPr>
              <w:pStyle w:val="TableContents"/>
              <w:spacing w:before="0" w:after="0"/>
              <w:jc w:val="center"/>
              <w:rPr>
                <w:rFonts w:ascii="ARIAL" w:hAnsi="ARIAL"/>
                <w:b/>
                <w:sz w:val="18"/>
              </w:rPr>
            </w:pPr>
            <w:r>
              <w:rPr>
                <w:rFonts w:ascii="ARIAL" w:hAnsi="ARIAL"/>
                <w:b/>
                <w:sz w:val="18"/>
              </w:rPr>
              <w:t>Value</w:t>
            </w:r>
          </w:p>
          <w:p>
            <w:pPr>
              <w:pStyle w:val="TableContents"/>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spacing w:before="0" w:after="283"/>
              <w:rPr/>
            </w:pPr>
            <w:r>
              <w:rPr/>
              <w:t>  </w:t>
            </w:r>
          </w:p>
        </w:tc>
        <w:tc>
          <w:tcPr>
            <w:tcW w:w="455" w:type="dxa"/>
            <w:tcBorders/>
            <w:shd w:fill="DBDBDB" w:val="clear"/>
            <w:vAlign w:val="center"/>
          </w:tcPr>
          <w:p>
            <w:pPr>
              <w:pStyle w:val="TableContents"/>
              <w:spacing w:before="0" w:after="0"/>
              <w:jc w:val="center"/>
              <w:rPr>
                <w:rFonts w:ascii="ARIAL" w:hAnsi="ARIAL"/>
                <w:b/>
                <w:sz w:val="18"/>
              </w:rPr>
            </w:pPr>
            <w:r>
              <w:rPr>
                <w:rFonts w:ascii="ARIAL" w:hAnsi="ARIAL"/>
                <w:b/>
                <w:sz w:val="18"/>
              </w:rPr>
              <w:t>PSU</w:t>
            </w:r>
          </w:p>
          <w:p>
            <w:pPr>
              <w:pStyle w:val="TableContents"/>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spacing w:before="0" w:after="283"/>
              <w:rPr/>
            </w:pPr>
            <w:r>
              <w:rPr/>
              <w:t>  </w:t>
            </w:r>
          </w:p>
        </w:tc>
        <w:tc>
          <w:tcPr>
            <w:tcW w:w="920" w:type="dxa"/>
            <w:tcBorders/>
            <w:shd w:fill="DBDBDB" w:val="clear"/>
            <w:vAlign w:val="center"/>
          </w:tcPr>
          <w:p>
            <w:pPr>
              <w:pStyle w:val="TableContents"/>
              <w:spacing w:before="0" w:after="0"/>
              <w:jc w:val="center"/>
              <w:rPr>
                <w:rFonts w:ascii="ARIAL" w:hAnsi="ARIAL"/>
                <w:b/>
                <w:sz w:val="18"/>
              </w:rPr>
            </w:pPr>
            <w:r>
              <w:rPr>
                <w:rFonts w:ascii="ARIAL" w:hAnsi="ARIAL"/>
                <w:b/>
                <w:sz w:val="18"/>
              </w:rPr>
              <w:t>PSU</w:t>
            </w:r>
          </w:p>
          <w:p>
            <w:pPr>
              <w:pStyle w:val="TableContents"/>
              <w:spacing w:before="0" w:after="0"/>
              <w:jc w:val="center"/>
              <w:rPr>
                <w:rFonts w:ascii="ARIAL" w:hAnsi="ARIAL"/>
                <w:b/>
                <w:sz w:val="18"/>
              </w:rPr>
            </w:pPr>
            <w:r>
              <w:rPr>
                <w:rFonts w:ascii="ARIAL" w:hAnsi="ARIAL"/>
                <w:b/>
                <w:sz w:val="18"/>
              </w:rPr>
              <w:t>Value</w:t>
            </w:r>
          </w:p>
          <w:p>
            <w:pPr>
              <w:pStyle w:val="TableContents"/>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spacing w:before="0" w:after="283"/>
              <w:rPr/>
            </w:pPr>
            <w:r>
              <w:rPr/>
              <w:t>  </w:t>
            </w:r>
          </w:p>
        </w:tc>
        <w:tc>
          <w:tcPr>
            <w:tcW w:w="455" w:type="dxa"/>
            <w:tcBorders/>
            <w:shd w:fill="DBDBDB" w:val="clear"/>
            <w:vAlign w:val="center"/>
          </w:tcPr>
          <w:p>
            <w:pPr>
              <w:pStyle w:val="TableContents"/>
              <w:spacing w:before="0" w:after="0"/>
              <w:jc w:val="center"/>
              <w:rPr>
                <w:rFonts w:ascii="ARIAL" w:hAnsi="ARIAL"/>
                <w:b/>
                <w:sz w:val="18"/>
              </w:rPr>
            </w:pPr>
            <w:r>
              <w:rPr>
                <w:rFonts w:ascii="ARIAL" w:hAnsi="ARIAL"/>
                <w:b/>
                <w:sz w:val="18"/>
              </w:rPr>
              <w:t>RSU</w:t>
            </w:r>
          </w:p>
          <w:p>
            <w:pPr>
              <w:pStyle w:val="TableContents"/>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spacing w:before="0" w:after="283"/>
              <w:rPr/>
            </w:pPr>
            <w:r>
              <w:rPr/>
              <w:t>  </w:t>
            </w:r>
          </w:p>
        </w:tc>
        <w:tc>
          <w:tcPr>
            <w:tcW w:w="815" w:type="dxa"/>
            <w:tcBorders/>
            <w:shd w:fill="DBDBDB" w:val="clear"/>
            <w:vAlign w:val="center"/>
          </w:tcPr>
          <w:p>
            <w:pPr>
              <w:pStyle w:val="TableContents"/>
              <w:spacing w:before="0" w:after="0"/>
              <w:jc w:val="center"/>
              <w:rPr>
                <w:rFonts w:ascii="ARIAL" w:hAnsi="ARIAL"/>
                <w:b/>
                <w:sz w:val="18"/>
              </w:rPr>
            </w:pPr>
            <w:r>
              <w:rPr>
                <w:rFonts w:ascii="ARIAL" w:hAnsi="ARIAL"/>
                <w:b/>
                <w:sz w:val="18"/>
              </w:rPr>
              <w:t>RSU</w:t>
            </w:r>
          </w:p>
          <w:p>
            <w:pPr>
              <w:pStyle w:val="TableContents"/>
              <w:spacing w:before="0" w:after="0"/>
              <w:jc w:val="center"/>
              <w:rPr>
                <w:rFonts w:ascii="ARIAL" w:hAnsi="ARIAL"/>
                <w:b/>
                <w:sz w:val="18"/>
              </w:rPr>
            </w:pPr>
            <w:r>
              <w:rPr>
                <w:rFonts w:ascii="ARIAL" w:hAnsi="ARIAL"/>
                <w:b/>
                <w:sz w:val="18"/>
              </w:rPr>
              <w:t>Value</w:t>
            </w:r>
          </w:p>
          <w:p>
            <w:pPr>
              <w:pStyle w:val="TableContents"/>
              <w:spacing w:before="0" w:after="20"/>
              <w:jc w:val="center"/>
              <w:rPr>
                <w:rFonts w:ascii="ARIAL" w:hAnsi="ARIAL"/>
                <w:b/>
                <w:sz w:val="18"/>
              </w:rPr>
            </w:pPr>
            <w:r>
              <w:rPr>
                <w:rFonts w:ascii="ARIAL" w:hAnsi="ARIAL"/>
                <w:b/>
                <w:sz w:val="18"/>
              </w:rPr>
              <w:t>$</w:t>
            </w:r>
          </w:p>
        </w:tc>
      </w:tr>
      <w:tr>
        <w:trPr/>
        <w:tc>
          <w:tcPr>
            <w:tcW w:w="935" w:type="dxa"/>
            <w:tcBorders/>
            <w:shd w:fill="auto" w:val="clear"/>
            <w:vAlign w:val="center"/>
          </w:tcPr>
          <w:p>
            <w:pPr>
              <w:pStyle w:val="TableContents"/>
              <w:spacing w:before="0" w:after="283"/>
              <w:rPr>
                <w:sz w:val="4"/>
                <w:szCs w:val="4"/>
              </w:rPr>
            </w:pPr>
            <w:r>
              <w:rPr>
                <w:sz w:val="4"/>
                <w:szCs w:val="4"/>
              </w:rPr>
            </w:r>
          </w:p>
        </w:tc>
        <w:tc>
          <w:tcPr>
            <w:tcW w:w="695"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575"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57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935" w:type="dxa"/>
            <w:tcBorders>
              <w:bottom w:val="single" w:sz="6" w:space="0" w:color="000000"/>
            </w:tcBorders>
            <w:shd w:fill="auto" w:val="clear"/>
            <w:tcMar>
              <w:bottom w:w="100" w:type="dxa"/>
            </w:tcMar>
            <w:vAlign w:val="center"/>
          </w:tcPr>
          <w:p>
            <w:pPr>
              <w:pStyle w:val="TableContents"/>
              <w:spacing w:before="0" w:after="283"/>
              <w:jc w:val="center"/>
              <w:rPr/>
            </w:pPr>
            <w:r>
              <w:rPr/>
              <w:t>$150,000</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575" w:type="dxa"/>
            <w:tcBorders>
              <w:bottom w:val="single" w:sz="6" w:space="0" w:color="000000"/>
            </w:tcBorders>
            <w:shd w:fill="auto" w:val="clear"/>
            <w:tcMar>
              <w:bottom w:w="100" w:type="dxa"/>
            </w:tcMar>
            <w:vAlign w:val="center"/>
          </w:tcPr>
          <w:p>
            <w:pPr>
              <w:pStyle w:val="TableContents"/>
              <w:spacing w:before="0" w:after="283"/>
              <w:jc w:val="center"/>
              <w:rPr/>
            </w:pPr>
            <w:r>
              <w:rPr/>
              <w:t>140%</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920" w:type="dxa"/>
            <w:tcBorders>
              <w:bottom w:val="single" w:sz="6" w:space="0" w:color="000000"/>
            </w:tcBorders>
            <w:shd w:fill="auto" w:val="clear"/>
            <w:tcMar>
              <w:bottom w:w="100" w:type="dxa"/>
            </w:tcMar>
            <w:vAlign w:val="center"/>
          </w:tcPr>
          <w:p>
            <w:pPr>
              <w:pStyle w:val="TableContents"/>
              <w:spacing w:before="0" w:after="283"/>
              <w:jc w:val="center"/>
              <w:rPr/>
            </w:pPr>
            <w:r>
              <w:rPr/>
              <w:t>$210,000</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455" w:type="dxa"/>
            <w:tcBorders>
              <w:bottom w:val="single" w:sz="6" w:space="0" w:color="000000"/>
            </w:tcBorders>
            <w:shd w:fill="auto" w:val="clear"/>
            <w:tcMar>
              <w:bottom w:w="100" w:type="dxa"/>
            </w:tcMar>
            <w:vAlign w:val="center"/>
          </w:tcPr>
          <w:p>
            <w:pPr>
              <w:pStyle w:val="TableContents"/>
              <w:spacing w:before="0" w:after="283"/>
              <w:jc w:val="center"/>
              <w:rPr/>
            </w:pPr>
            <w:r>
              <w:rPr/>
              <w:t>55%</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920" w:type="dxa"/>
            <w:tcBorders>
              <w:bottom w:val="single" w:sz="6" w:space="0" w:color="000000"/>
            </w:tcBorders>
            <w:shd w:fill="auto" w:val="clear"/>
            <w:tcMar>
              <w:bottom w:w="100" w:type="dxa"/>
            </w:tcMar>
            <w:vAlign w:val="center"/>
          </w:tcPr>
          <w:p>
            <w:pPr>
              <w:pStyle w:val="TableContents"/>
              <w:spacing w:before="0" w:after="283"/>
              <w:jc w:val="center"/>
              <w:rPr/>
            </w:pPr>
            <w:r>
              <w:rPr/>
              <w:t>$115,500</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455" w:type="dxa"/>
            <w:tcBorders>
              <w:bottom w:val="single" w:sz="6" w:space="0" w:color="000000"/>
            </w:tcBorders>
            <w:shd w:fill="auto" w:val="clear"/>
            <w:tcMar>
              <w:bottom w:w="100" w:type="dxa"/>
            </w:tcMar>
            <w:vAlign w:val="center"/>
          </w:tcPr>
          <w:p>
            <w:pPr>
              <w:pStyle w:val="TableContents"/>
              <w:spacing w:before="0" w:after="283"/>
              <w:jc w:val="center"/>
              <w:rPr/>
            </w:pPr>
            <w:r>
              <w:rPr/>
              <w:t>45%</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15" w:type="dxa"/>
            <w:tcBorders>
              <w:bottom w:val="single" w:sz="6" w:space="0" w:color="000000"/>
            </w:tcBorders>
            <w:shd w:fill="auto" w:val="clear"/>
            <w:tcMar>
              <w:bottom w:w="100" w:type="dxa"/>
            </w:tcMar>
            <w:vAlign w:val="center"/>
          </w:tcPr>
          <w:p>
            <w:pPr>
              <w:pStyle w:val="TableContents"/>
              <w:spacing w:before="0" w:after="283"/>
              <w:jc w:val="center"/>
              <w:rPr/>
            </w:pPr>
            <w:r>
              <w:rPr/>
              <w:t>$94,500</w:t>
            </w:r>
          </w:p>
        </w:tc>
      </w:tr>
    </w:tbl>
    <w:p>
      <w:pPr>
        <w:pStyle w:val="TextBody"/>
        <w:spacing w:before="240" w:after="0"/>
        <w:jc w:val="left"/>
        <w:rPr>
          <w:rFonts w:ascii="ARIAL" w:hAnsi="ARIAL"/>
          <w:b/>
          <w:color w:val="007CBA"/>
          <w:sz w:val="26"/>
        </w:rPr>
      </w:pPr>
      <w:bookmarkStart w:id="46" w:name="toc390557_39"/>
      <w:bookmarkEnd w:id="46"/>
      <w:r>
        <w:rPr>
          <w:rFonts w:ascii="ARIAL" w:hAnsi="ARIAL"/>
          <w:b/>
          <w:color w:val="007CBA"/>
          <w:sz w:val="26"/>
        </w:rPr>
        <w:t xml:space="preserve">PSU Awards (55% of LTI Award) </w:t>
      </w:r>
    </w:p>
    <w:p>
      <w:pPr>
        <w:pStyle w:val="TextBody"/>
        <w:spacing w:before="120" w:after="0"/>
        <w:jc w:val="left"/>
        <w:rPr>
          <w:rFonts w:ascii="ARIAL" w:hAnsi="ARIAL"/>
          <w:sz w:val="20"/>
        </w:rPr>
      </w:pPr>
      <w:r>
        <w:rPr>
          <w:rFonts w:ascii="ARIAL" w:hAnsi="ARIAL"/>
          <w:sz w:val="20"/>
        </w:rPr>
        <w:t xml:space="preserve">One of our compensation objectives is to align the potential rewards to senior management with increases in shareholder value. In that regard, the PSUs give the recipient the opportunity to receive Martin Marietta common stock if specific performance goals are achieved, consisting of: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283"/>
              <w:jc w:val="left"/>
              <w:rPr/>
            </w:pPr>
            <w:r>
              <w:rPr/>
              <w:t>1)</w:t>
            </w:r>
          </w:p>
        </w:tc>
        <w:tc>
          <w:tcPr>
            <w:tcW w:w="10000" w:type="dxa"/>
            <w:tcBorders/>
            <w:shd w:fill="auto" w:val="clear"/>
            <w:vAlign w:val="center"/>
          </w:tcPr>
          <w:p>
            <w:pPr>
              <w:pStyle w:val="TableContents"/>
              <w:spacing w:before="0" w:after="0"/>
              <w:jc w:val="left"/>
              <w:rPr>
                <w:rFonts w:ascii="ARIAL" w:hAnsi="ARIAL"/>
                <w:sz w:val="20"/>
              </w:rPr>
            </w:pPr>
            <w:r>
              <w:rPr>
                <w:rFonts w:ascii="ARIAL" w:hAnsi="ARIAL"/>
                <w:sz w:val="20"/>
              </w:rPr>
              <w:t xml:space="preserve">Adjusted earnings before Interest, Income Taxes, Depreciation and Amortization (EBITDA), measuring profitability and comprising 67% of the total target award, and </w:t>
            </w:r>
          </w:p>
        </w:tc>
      </w:tr>
    </w:tbl>
    <w:p>
      <w:pPr>
        <w:pStyle w:val="TextBody"/>
        <w:spacing w:before="0" w:after="0"/>
        <w:jc w:val="left"/>
        <w:rPr/>
      </w:pPr>
      <w:r>
        <w:rPr/>
        <w:t> </w:t>
      </w:r>
    </w:p>
    <w:tbl>
      <w:tblPr>
        <w:tblW w:w="7150" w:type="dxa"/>
        <w:jc w:val="left"/>
        <w:tblInd w:w="0" w:type="dxa"/>
        <w:tblCellMar>
          <w:top w:w="0" w:type="dxa"/>
          <w:left w:w="0" w:type="dxa"/>
          <w:bottom w:w="0" w:type="dxa"/>
          <w:right w:w="0" w:type="dxa"/>
        </w:tblCellMar>
      </w:tblPr>
      <w:tblGrid>
        <w:gridCol w:w="230"/>
        <w:gridCol w:w="6920"/>
      </w:tblGrid>
      <w:tr>
        <w:trPr/>
        <w:tc>
          <w:tcPr>
            <w:tcW w:w="230" w:type="dxa"/>
            <w:tcBorders/>
            <w:shd w:fill="auto" w:val="clear"/>
            <w:vAlign w:val="center"/>
          </w:tcPr>
          <w:p>
            <w:pPr>
              <w:pStyle w:val="TableContents"/>
              <w:spacing w:before="0" w:after="283"/>
              <w:jc w:val="left"/>
              <w:rPr/>
            </w:pPr>
            <w:r>
              <w:rPr/>
              <w:t>2)</w:t>
            </w:r>
          </w:p>
        </w:tc>
        <w:tc>
          <w:tcPr>
            <w:tcW w:w="6920" w:type="dxa"/>
            <w:tcBorders/>
            <w:shd w:fill="auto" w:val="clear"/>
            <w:vAlign w:val="center"/>
          </w:tcPr>
          <w:p>
            <w:pPr>
              <w:pStyle w:val="TableContents"/>
              <w:spacing w:before="0" w:after="0"/>
              <w:jc w:val="left"/>
              <w:rPr>
                <w:rFonts w:ascii="ARIAL" w:hAnsi="ARIAL"/>
                <w:sz w:val="20"/>
              </w:rPr>
            </w:pPr>
            <w:r>
              <w:rPr>
                <w:rFonts w:ascii="ARIAL" w:hAnsi="ARIAL"/>
                <w:sz w:val="20"/>
              </w:rPr>
              <w:t xml:space="preserve">Sales Growth, measuring growth and comprising 33% of the total target award. </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1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8" descr=""/>
                          <pic:cNvPicPr>
                            <a:picLocks noChangeAspect="1" noChangeArrowheads="1"/>
                          </pic:cNvPicPr>
                        </pic:nvPicPr>
                        <pic:blipFill>
                          <a:blip r:embed="rId19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61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PSU AWARDS (55% OF LTI AWARD)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283"/>
              <w:jc w:val="left"/>
              <w:rPr/>
            </w:pPr>
            <w:r>
              <w:rPr/>
              <w:t>3)</w:t>
            </w:r>
          </w:p>
        </w:tc>
        <w:tc>
          <w:tcPr>
            <w:tcW w:w="10016" w:type="dxa"/>
            <w:tcBorders/>
            <w:shd w:fill="auto" w:val="clear"/>
            <w:vAlign w:val="center"/>
          </w:tcPr>
          <w:p>
            <w:pPr>
              <w:pStyle w:val="TableContents"/>
              <w:spacing w:before="0" w:after="0"/>
              <w:jc w:val="left"/>
              <w:rPr>
                <w:rFonts w:ascii="ARIAL" w:hAnsi="ARIAL"/>
                <w:sz w:val="20"/>
              </w:rPr>
            </w:pPr>
            <w:r>
              <w:rPr>
                <w:rFonts w:ascii="ARIAL" w:hAnsi="ARIAL"/>
                <w:sz w:val="20"/>
              </w:rPr>
              <w:t xml:space="preserve">In addition, relative Total Shareholder Return (rTSR) will act as a modifier for the performance such that Martin Marietta’s performance will be measured against the S&amp;P 500, and will modify the total award by a range of -20% to +20%. </w:t>
            </w:r>
          </w:p>
        </w:tc>
      </w:tr>
    </w:tbl>
    <w:p>
      <w:pPr>
        <w:pStyle w:val="TextBody"/>
        <w:spacing w:before="240" w:after="0"/>
        <w:jc w:val="left"/>
        <w:rPr>
          <w:rFonts w:ascii="ARIAL" w:hAnsi="ARIAL"/>
          <w:sz w:val="20"/>
        </w:rPr>
      </w:pPr>
      <w:r>
        <w:rPr>
          <w:rFonts w:ascii="ARIAL" w:hAnsi="ARIAL"/>
          <w:sz w:val="20"/>
        </w:rPr>
        <w:t xml:space="preserve">The following table summarizes the weighting of our PSU performance measures: </w:t>
      </w:r>
    </w:p>
    <w:p>
      <w:pPr>
        <w:pStyle w:val="TextBody"/>
        <w:spacing w:before="0" w:after="0"/>
        <w:jc w:val="left"/>
        <w:rPr/>
      </w:pPr>
      <w:r>
        <w:rPr/>
        <w:t> </w:t>
      </w:r>
    </w:p>
    <w:tbl>
      <w:tblPr>
        <w:tblW w:w="3555" w:type="dxa"/>
        <w:jc w:val="left"/>
        <w:tblInd w:w="0" w:type="dxa"/>
        <w:tblCellMar>
          <w:top w:w="0" w:type="dxa"/>
          <w:left w:w="0" w:type="dxa"/>
          <w:bottom w:w="0" w:type="dxa"/>
          <w:right w:w="0" w:type="dxa"/>
        </w:tblCellMar>
      </w:tblPr>
      <w:tblGrid>
        <w:gridCol w:w="1010"/>
        <w:gridCol w:w="120"/>
        <w:gridCol w:w="1160"/>
        <w:gridCol w:w="120"/>
        <w:gridCol w:w="114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1010" w:type="dxa"/>
            <w:tcBorders/>
            <w:shd w:fill="DBDBDB" w:val="clear"/>
            <w:vAlign w:val="center"/>
          </w:tcPr>
          <w:p>
            <w:pPr>
              <w:pStyle w:val="TableContents"/>
              <w:spacing w:before="0" w:after="283"/>
              <w:rPr>
                <w:sz w:val="4"/>
                <w:szCs w:val="4"/>
              </w:rPr>
            </w:pPr>
            <w:r>
              <w:rPr>
                <w:sz w:val="4"/>
                <w:szCs w:val="4"/>
              </w:rPr>
            </w:r>
          </w:p>
        </w:tc>
        <w:tc>
          <w:tcPr>
            <w:tcW w:w="1280" w:type="dxa"/>
            <w:gridSpan w:val="2"/>
            <w:tcBorders/>
            <w:shd w:fill="DBDBDB" w:val="clear"/>
            <w:vAlign w:val="center"/>
          </w:tcPr>
          <w:p>
            <w:pPr>
              <w:pStyle w:val="TableContents"/>
              <w:spacing w:before="0" w:after="283"/>
              <w:rPr>
                <w:sz w:val="4"/>
                <w:szCs w:val="4"/>
              </w:rPr>
            </w:pPr>
            <w:r>
              <w:rPr>
                <w:sz w:val="4"/>
                <w:szCs w:val="4"/>
              </w:rPr>
            </w:r>
          </w:p>
        </w:tc>
        <w:tc>
          <w:tcPr>
            <w:tcW w:w="1265" w:type="dxa"/>
            <w:gridSpan w:val="2"/>
            <w:tcBorders/>
            <w:shd w:fill="DBDBDB" w:val="clear"/>
            <w:vAlign w:val="center"/>
          </w:tcPr>
          <w:p>
            <w:pPr>
              <w:pStyle w:val="TableContents"/>
              <w:spacing w:before="0" w:after="283"/>
              <w:rPr>
                <w:sz w:val="4"/>
                <w:szCs w:val="4"/>
              </w:rPr>
            </w:pPr>
            <w:r>
              <w:rPr>
                <w:sz w:val="4"/>
                <w:szCs w:val="4"/>
              </w:rPr>
            </w:r>
          </w:p>
        </w:tc>
      </w:tr>
      <w:tr>
        <w:trPr/>
        <w:tc>
          <w:tcPr>
            <w:tcW w:w="1010" w:type="dxa"/>
            <w:tcBorders/>
            <w:shd w:fill="DBDBDB" w:val="clear"/>
            <w:vAlign w:val="center"/>
          </w:tcPr>
          <w:p>
            <w:pPr>
              <w:pStyle w:val="TableContents"/>
              <w:spacing w:before="0" w:after="0"/>
              <w:jc w:val="center"/>
              <w:rPr>
                <w:rFonts w:ascii="ARIAL" w:hAnsi="ARIAL"/>
                <w:b/>
                <w:sz w:val="18"/>
              </w:rPr>
            </w:pPr>
            <w:r>
              <w:rPr>
                <w:rFonts w:ascii="ARIAL" w:hAnsi="ARIAL"/>
                <w:b/>
                <w:sz w:val="18"/>
              </w:rPr>
              <w:t>Cumulative</w:t>
            </w:r>
          </w:p>
          <w:p>
            <w:pPr>
              <w:pStyle w:val="TableContents"/>
              <w:spacing w:before="0" w:after="20"/>
              <w:jc w:val="center"/>
              <w:rPr>
                <w:rFonts w:ascii="ARIAL" w:hAnsi="ARIAL"/>
                <w:b/>
                <w:sz w:val="18"/>
              </w:rPr>
            </w:pPr>
            <w:r>
              <w:rPr>
                <w:rFonts w:ascii="ARIAL" w:hAnsi="ARIAL"/>
                <w:b/>
                <w:sz w:val="18"/>
              </w:rPr>
              <w:t>EBITDA</w:t>
            </w:r>
          </w:p>
        </w:tc>
        <w:tc>
          <w:tcPr>
            <w:tcW w:w="120" w:type="dxa"/>
            <w:tcBorders/>
            <w:shd w:fill="DBDBDB" w:val="clear"/>
            <w:vAlign w:val="center"/>
          </w:tcPr>
          <w:p>
            <w:pPr>
              <w:pStyle w:val="TableContents"/>
              <w:spacing w:before="0" w:after="283"/>
              <w:rPr/>
            </w:pPr>
            <w:r>
              <w:rPr/>
              <w:t>  </w:t>
            </w:r>
          </w:p>
        </w:tc>
        <w:tc>
          <w:tcPr>
            <w:tcW w:w="1160" w:type="dxa"/>
            <w:tcBorders/>
            <w:shd w:fill="DBDBDB" w:val="clear"/>
            <w:vAlign w:val="center"/>
          </w:tcPr>
          <w:p>
            <w:pPr>
              <w:pStyle w:val="TableContents"/>
              <w:spacing w:before="0" w:after="0"/>
              <w:jc w:val="center"/>
              <w:rPr>
                <w:rFonts w:ascii="ARIAL" w:hAnsi="ARIAL"/>
                <w:b/>
                <w:sz w:val="18"/>
              </w:rPr>
            </w:pPr>
            <w:r>
              <w:rPr>
                <w:rFonts w:ascii="ARIAL" w:hAnsi="ARIAL"/>
                <w:b/>
                <w:sz w:val="18"/>
              </w:rPr>
              <w:t>Cumulative</w:t>
            </w:r>
          </w:p>
          <w:p>
            <w:pPr>
              <w:pStyle w:val="TableContents"/>
              <w:spacing w:before="0" w:after="20"/>
              <w:jc w:val="center"/>
              <w:rPr>
                <w:rFonts w:ascii="ARIAL" w:hAnsi="ARIAL"/>
                <w:b/>
                <w:sz w:val="18"/>
              </w:rPr>
            </w:pPr>
            <w:r>
              <w:rPr>
                <w:rFonts w:ascii="ARIAL" w:hAnsi="ARIAL"/>
                <w:b/>
                <w:sz w:val="18"/>
              </w:rPr>
              <w:t>Sales Growth</w:t>
            </w:r>
          </w:p>
        </w:tc>
        <w:tc>
          <w:tcPr>
            <w:tcW w:w="120" w:type="dxa"/>
            <w:tcBorders/>
            <w:shd w:fill="DBDBDB" w:val="clear"/>
            <w:vAlign w:val="center"/>
          </w:tcPr>
          <w:p>
            <w:pPr>
              <w:pStyle w:val="TableContents"/>
              <w:spacing w:before="0" w:after="283"/>
              <w:rPr/>
            </w:pPr>
            <w:r>
              <w:rPr/>
              <w:t>  </w:t>
            </w:r>
          </w:p>
        </w:tc>
        <w:tc>
          <w:tcPr>
            <w:tcW w:w="1145" w:type="dxa"/>
            <w:tcBorders/>
            <w:shd w:fill="DBDBDB" w:val="clear"/>
            <w:vAlign w:val="center"/>
          </w:tcPr>
          <w:p>
            <w:pPr>
              <w:pStyle w:val="TableContents"/>
              <w:spacing w:before="0" w:after="0"/>
              <w:jc w:val="center"/>
              <w:rPr>
                <w:rFonts w:ascii="ARIAL" w:hAnsi="ARIAL"/>
                <w:b/>
                <w:sz w:val="18"/>
              </w:rPr>
            </w:pPr>
            <w:r>
              <w:rPr>
                <w:rFonts w:ascii="ARIAL" w:hAnsi="ARIAL"/>
                <w:b/>
                <w:sz w:val="18"/>
              </w:rPr>
              <w:t>Relative TSR</w:t>
            </w:r>
          </w:p>
          <w:p>
            <w:pPr>
              <w:pStyle w:val="TableContents"/>
              <w:spacing w:before="0" w:after="20"/>
              <w:jc w:val="center"/>
              <w:rPr>
                <w:rFonts w:ascii="ARIAL" w:hAnsi="ARIAL"/>
                <w:b/>
                <w:sz w:val="18"/>
              </w:rPr>
            </w:pPr>
            <w:r>
              <w:rPr>
                <w:rFonts w:ascii="ARIAL" w:hAnsi="ARIAL"/>
                <w:b/>
                <w:sz w:val="18"/>
              </w:rPr>
              <w:t>Modifier    </w:t>
            </w:r>
          </w:p>
        </w:tc>
      </w:tr>
      <w:tr>
        <w:trPr/>
        <w:tc>
          <w:tcPr>
            <w:tcW w:w="1010" w:type="dxa"/>
            <w:tcBorders/>
            <w:shd w:fill="auto" w:val="clear"/>
            <w:vAlign w:val="center"/>
          </w:tcPr>
          <w:p>
            <w:pPr>
              <w:pStyle w:val="TableContents"/>
              <w:spacing w:before="0" w:after="283"/>
              <w:rPr>
                <w:sz w:val="4"/>
                <w:szCs w:val="4"/>
              </w:rPr>
            </w:pPr>
            <w:r>
              <w:rPr>
                <w:sz w:val="4"/>
                <w:szCs w:val="4"/>
              </w:rPr>
            </w:r>
          </w:p>
        </w:tc>
        <w:tc>
          <w:tcPr>
            <w:tcW w:w="128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r>
      <w:tr>
        <w:trPr/>
        <w:tc>
          <w:tcPr>
            <w:tcW w:w="1010" w:type="dxa"/>
            <w:tcBorders>
              <w:bottom w:val="single" w:sz="6" w:space="0" w:color="000000"/>
            </w:tcBorders>
            <w:shd w:fill="auto" w:val="clear"/>
            <w:tcMar>
              <w:bottom w:w="100" w:type="dxa"/>
            </w:tcMar>
            <w:vAlign w:val="center"/>
          </w:tcPr>
          <w:p>
            <w:pPr>
              <w:pStyle w:val="TableContents"/>
              <w:spacing w:before="0" w:after="283"/>
              <w:jc w:val="center"/>
              <w:rPr/>
            </w:pPr>
            <w:r>
              <w:rPr/>
              <w:t>67%</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160" w:type="dxa"/>
            <w:tcBorders>
              <w:bottom w:val="single" w:sz="6" w:space="0" w:color="000000"/>
            </w:tcBorders>
            <w:shd w:fill="auto" w:val="clear"/>
            <w:tcMar>
              <w:bottom w:w="100" w:type="dxa"/>
            </w:tcMar>
            <w:vAlign w:val="center"/>
          </w:tcPr>
          <w:p>
            <w:pPr>
              <w:pStyle w:val="TableContents"/>
              <w:spacing w:before="0" w:after="283"/>
              <w:jc w:val="center"/>
              <w:rPr/>
            </w:pPr>
            <w:r>
              <w:rPr/>
              <w:t>33%</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145" w:type="dxa"/>
            <w:tcBorders>
              <w:bottom w:val="single" w:sz="6" w:space="0" w:color="000000"/>
            </w:tcBorders>
            <w:shd w:fill="auto" w:val="clear"/>
            <w:tcMar>
              <w:bottom w:w="100" w:type="dxa"/>
            </w:tcMar>
            <w:vAlign w:val="center"/>
          </w:tcPr>
          <w:p>
            <w:pPr>
              <w:pStyle w:val="TableContents"/>
              <w:spacing w:before="0" w:after="283"/>
              <w:jc w:val="center"/>
              <w:rPr/>
            </w:pPr>
            <w:r>
              <w:rPr/>
              <w:t>+/-20%</w:t>
            </w:r>
          </w:p>
        </w:tc>
      </w:tr>
    </w:tbl>
    <w:p>
      <w:pPr>
        <w:pStyle w:val="TextBody"/>
        <w:spacing w:before="240" w:after="0"/>
        <w:jc w:val="left"/>
        <w:rPr>
          <w:rFonts w:ascii="ARIAL" w:hAnsi="ARIAL"/>
          <w:sz w:val="20"/>
        </w:rPr>
      </w:pPr>
      <w:r>
        <w:rPr>
          <w:rFonts w:ascii="ARIAL" w:hAnsi="ARIAL"/>
          <w:sz w:val="20"/>
        </w:rPr>
        <w:t xml:space="preserve">Adjusted EBITDA and Sales Growth are two of the drivers of our performance and metrics of significance to our investors. The total payout opportunity for PSUs in 2022 was 0% to 240%: 50% of target if the threshold level is satisfied, 100% of target if the target level is satisfied, and 200% of target if the maximum level is satisfied. The rTSR modifier over the three-year measurement period is then applied to the final award to adjust it up or down by up to 20%. The threshold must be satisfied to receive PSUs for each performance metric. If the threshold is not met, none of the PSUs relating to that metric will vest. </w:t>
      </w:r>
    </w:p>
    <w:p>
      <w:pPr>
        <w:pStyle w:val="TextBody"/>
        <w:spacing w:before="240" w:after="0"/>
        <w:jc w:val="left"/>
        <w:rPr>
          <w:rFonts w:ascii="ARIAL" w:hAnsi="ARIAL"/>
          <w:sz w:val="20"/>
        </w:rPr>
      </w:pPr>
      <w:r>
        <w:rPr>
          <w:rFonts w:ascii="ARIAL" w:hAnsi="ARIAL"/>
          <w:sz w:val="20"/>
        </w:rPr>
        <w:t xml:space="preserve">Performance for each metric is measured independently, so PSUs can be earned as long as the threshold is satisfied for at least one metric. The “Target” level is generally viewed as achievable although it has not been achieved every year. The “Maximum” level is attainable if we outperform in the area measured. PSU payments are capped at the target level if three-year TSR is negative. </w:t>
      </w:r>
    </w:p>
    <w:p>
      <w:pPr>
        <w:pStyle w:val="TextBody"/>
        <w:spacing w:before="240" w:after="0"/>
        <w:jc w:val="left"/>
        <w:rPr>
          <w:rFonts w:ascii="ARIAL" w:hAnsi="ARIAL"/>
          <w:sz w:val="20"/>
        </w:rPr>
      </w:pPr>
      <w:r>
        <w:rPr>
          <w:rFonts w:ascii="ARIAL" w:hAnsi="ARIAL"/>
          <w:sz w:val="20"/>
        </w:rPr>
        <w:t xml:space="preserve">The performance will be measured in February 2025 for the three-year period beginning January 2022 through December 2024 to determine (1) the three-year cumulative Adjusted EBITDA for Martin Marietta against the target identified in the PSU Award Agreement, and (2) the three-year cumulative Sales Growth against the target identified in the PSU Award Agreement. The payment amount will be further modified by the rTSR for the three-year period as against the S&amp;P 500, as set forth in the PSU Award Agreement. The Committee in its discretion may adjust the final award values only as set forth in the Agreement, either collectively or on an individual basis, in recognition of factors that are unusual or nonrecurring. </w:t>
      </w:r>
    </w:p>
    <w:p>
      <w:pPr>
        <w:pStyle w:val="TextBody"/>
        <w:spacing w:before="240" w:after="0"/>
        <w:jc w:val="left"/>
        <w:rPr>
          <w:rFonts w:ascii="ARIAL" w:hAnsi="ARIAL"/>
          <w:sz w:val="20"/>
        </w:rPr>
      </w:pPr>
      <w:r>
        <w:rPr>
          <w:rFonts w:ascii="ARIAL" w:hAnsi="ARIAL"/>
          <w:sz w:val="20"/>
        </w:rPr>
        <w:t xml:space="preserve">Over the three-year performance period, up to one-third of the target PSUs may be locked-in each year, subject to the rTSR modifier, based on one-third of the three-year cumulative EBITDA and Sales Growth goals. Each year, any earned PSUs are not distributed until the end of the three-year measurement period when the cumulative three-year performance is determined. The actual PSUs will equal the greater of the total PSUs earned for each of the annual periods or the amount earned for cumulative three-year performance (capped at 200% of target). The final amount of earned PSUs to be distributed is then subject to the three-year rTSR modifier. </w:t>
      </w:r>
    </w:p>
    <w:p>
      <w:pPr>
        <w:pStyle w:val="TextBody"/>
        <w:spacing w:before="240" w:after="0"/>
        <w:jc w:val="left"/>
        <w:rPr>
          <w:rFonts w:ascii="ARIAL" w:hAnsi="ARIAL"/>
          <w:sz w:val="20"/>
        </w:rPr>
      </w:pPr>
      <w:r>
        <w:rPr>
          <w:rFonts w:ascii="ARIAL" w:hAnsi="ARIAL"/>
          <w:sz w:val="20"/>
        </w:rPr>
        <w:t xml:space="preserve">The PSUs will convert to unrestricted common stock and be distributed to the extent that the performance goals have been met, which will be determined in February 2025. These awards are also generally subject to continued employment through the date the PSUs vest. The actual financial performance targets and achievement against those targets will be disclosed at the end of the three-year performance period. </w:t>
      </w:r>
    </w:p>
    <w:p>
      <w:pPr>
        <w:pStyle w:val="TextBody"/>
        <w:spacing w:before="240" w:after="0"/>
        <w:jc w:val="left"/>
        <w:rPr>
          <w:rFonts w:ascii="ARIAL" w:hAnsi="ARIAL"/>
          <w:b/>
          <w:color w:val="007CBA"/>
          <w:sz w:val="26"/>
        </w:rPr>
      </w:pPr>
      <w:bookmarkStart w:id="47" w:name="toc390557_40"/>
      <w:bookmarkEnd w:id="47"/>
      <w:r>
        <w:rPr>
          <w:rFonts w:ascii="ARIAL" w:hAnsi="ARIAL"/>
          <w:b/>
          <w:color w:val="007CBA"/>
          <w:sz w:val="26"/>
        </w:rPr>
        <w:t xml:space="preserve">Selection of Relative TSR </w:t>
      </w:r>
    </w:p>
    <w:p>
      <w:pPr>
        <w:pStyle w:val="TextBody"/>
        <w:spacing w:before="120" w:after="0"/>
        <w:jc w:val="left"/>
        <w:rPr>
          <w:rFonts w:ascii="ARIAL" w:hAnsi="ARIAL"/>
          <w:sz w:val="20"/>
        </w:rPr>
      </w:pPr>
      <w:r>
        <w:rPr>
          <w:rFonts w:ascii="ARIAL" w:hAnsi="ARIAL"/>
          <w:sz w:val="20"/>
        </w:rPr>
        <w:t xml:space="preserve">We selected rTSR for the PSUs to measure our performance against the companies in the S&amp;P 500 index. We recognize that every industry faces different challenges and opportunities, and that the S&amp;P 500 index does not perfectly correlate to the environment in which Martin Marietta operates. However, we believe that the majority of similar companies in the building construction materials industry are not publicly-held companies or are not U.S. companies, and therefore accurate information to potentially use as comparisons is not readily available. As a result, we believe that comparing our TSR against the S&amp;P 500 index is appropriate because (1) it measures the interest of investors for whom we compete, (2) there is no consensus of a significantly better peer group with readily available comparable financial information; and (3) by using rTSR as a modifier rather than a primary measurement, we give our other performance measures more weight and their focus on profitability and growth both provide long-term value creation. </w:t>
      </w:r>
    </w:p>
    <w:p>
      <w:pPr>
        <w:pStyle w:val="TextBody"/>
        <w:spacing w:before="240" w:after="0"/>
        <w:jc w:val="left"/>
        <w:rPr>
          <w:rFonts w:ascii="ARIAL" w:hAnsi="ARIAL"/>
          <w:sz w:val="20"/>
        </w:rPr>
      </w:pPr>
      <w:r>
        <w:rPr>
          <w:rFonts w:ascii="ARIAL" w:hAnsi="ARIAL"/>
          <w:sz w:val="20"/>
        </w:rPr>
        <w:t xml:space="preserve">We believe that Adjusted EBITDA, Sales Growth and rTSR metrics drive the behaviors of our management team in ways that are intended to create the most value for our shareholders.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62</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15"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9" descr=""/>
                          <pic:cNvPicPr>
                            <a:picLocks noChangeAspect="1" noChangeArrowheads="1"/>
                          </pic:cNvPicPr>
                        </pic:nvPicPr>
                        <pic:blipFill>
                          <a:blip r:embed="rId20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PERFORMANCE-BASED RSU AWARDS (45% OF LTI AWARD)  ◆  </w:t>
      </w:r>
      <w:r>
        <w:rPr>
          <w:rFonts w:ascii="ARIAL" w:hAnsi="ARIAL"/>
          <w:color w:val="007CBA"/>
          <w:sz w:val="16"/>
        </w:rPr>
        <w:t>COMPENSATION DISCUSSION AND ANALYSIS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color w:val="007CBA"/>
          <w:sz w:val="26"/>
        </w:rPr>
      </w:pPr>
      <w:bookmarkStart w:id="48" w:name="toc390557_41"/>
      <w:bookmarkEnd w:id="48"/>
      <w:r>
        <w:rPr>
          <w:rFonts w:ascii="ARIAL" w:hAnsi="ARIAL"/>
          <w:b/>
          <w:color w:val="007CBA"/>
          <w:sz w:val="26"/>
        </w:rPr>
        <w:t xml:space="preserve">Performance-Based RSU Awards (45% of LTI Award) </w:t>
      </w:r>
    </w:p>
    <w:p>
      <w:pPr>
        <w:pStyle w:val="TextBody"/>
        <w:spacing w:before="120" w:after="0"/>
        <w:jc w:val="left"/>
        <w:rPr>
          <w:rFonts w:ascii="ARIAL" w:hAnsi="ARIAL"/>
          <w:sz w:val="20"/>
        </w:rPr>
      </w:pPr>
      <w:r>
        <w:rPr>
          <w:rFonts w:ascii="ARIAL" w:hAnsi="ARIAL"/>
          <w:sz w:val="20"/>
        </w:rPr>
        <w:t xml:space="preserve">RSUs vest in three equal portions, each on the anniversary of the grant date (February 14, 2022) over a period of three years, subject to satisfaction of the performance measure and generally to continued employment through each one of those anniversaries. Once the restricted period ends (each anniversary for one third of the total RSU award), the recipient will be issued unrestricted shares of common stock (minus applicable taxes). The 2022 RSUs awarded to executive officers are also subject to a performance measure that a stated level of Adjusted EBITDA be achieved during the first year. If the performance measure is satisfied, then the RSUs will continue to vest. If the performance measure is not satisfied, then the RSUs will be forfeited. For the 2022 grants, the performance measure was satisfied. </w:t>
      </w:r>
    </w:p>
    <w:p>
      <w:pPr>
        <w:pStyle w:val="TextBody"/>
        <w:spacing w:before="240" w:after="0"/>
        <w:jc w:val="left"/>
        <w:rPr>
          <w:rFonts w:ascii="ARIAL" w:hAnsi="ARIAL"/>
          <w:b/>
          <w:color w:val="007CBA"/>
          <w:sz w:val="26"/>
        </w:rPr>
      </w:pPr>
      <w:bookmarkStart w:id="49" w:name="toc390557_42"/>
      <w:bookmarkEnd w:id="49"/>
      <w:r>
        <w:rPr>
          <w:rFonts w:ascii="ARIAL" w:hAnsi="ARIAL"/>
          <w:b/>
          <w:color w:val="007CBA"/>
          <w:sz w:val="26"/>
        </w:rPr>
        <w:t xml:space="preserve">2022-2024 Performance Goals </w:t>
      </w:r>
    </w:p>
    <w:p>
      <w:pPr>
        <w:pStyle w:val="TextBody"/>
        <w:spacing w:before="120" w:after="0"/>
        <w:jc w:val="left"/>
        <w:rPr>
          <w:rFonts w:ascii="ARIAL" w:hAnsi="ARIAL"/>
          <w:sz w:val="20"/>
        </w:rPr>
      </w:pPr>
      <w:r>
        <w:rPr>
          <w:rFonts w:ascii="ARIAL" w:hAnsi="ARIAL"/>
          <w:sz w:val="20"/>
        </w:rPr>
        <w:t xml:space="preserve">In setting minimum and maximum levels of payment, we reviewed historical levels of performance against our long-range plan commitments and conducted sensitivity analyses on alternative outcomes focused on identifying likely minimum and maximum boundary performance levels. Levels between 100% and the minimum and maximum levels were derived using linear interpolation between the performance hurdles. </w:t>
      </w:r>
    </w:p>
    <w:p>
      <w:pPr>
        <w:pStyle w:val="TextBody"/>
        <w:spacing w:before="240" w:after="0"/>
        <w:jc w:val="left"/>
        <w:rPr>
          <w:rFonts w:ascii="ARIAL" w:hAnsi="ARIAL"/>
          <w:sz w:val="20"/>
        </w:rPr>
      </w:pPr>
      <w:r>
        <w:rPr>
          <w:rFonts w:ascii="ARIAL" w:hAnsi="ARIAL"/>
          <w:sz w:val="20"/>
        </w:rPr>
        <w:t xml:space="preserve">The specific Adjusted EBITDA and Sales Growth target values for the 2022-2024 PSUs are not publicly disclosed at the time of grant due to the proprietary nature and competitive sensitivity of the information. However, the method used to calculate the awards will be based on actual performance compared to our 2022-2024 targets, with straight-line interpolation between points. The individual award agreements require the adjustment of goals to ensure that the ultimate payouts are not impacted to the benefit or detriment of management by specified events, such as unplanned pension contributions, changes in accounting (GAAP) standards or impact of an acquisition or divestiture. The Committee may exercise its discretion to reduce the final vesting percentage to no more than target if the Company’s three-year TSR is less than zero. </w:t>
      </w:r>
    </w:p>
    <w:p>
      <w:pPr>
        <w:pStyle w:val="TextBody"/>
        <w:spacing w:before="240" w:after="0"/>
        <w:jc w:val="left"/>
        <w:rPr>
          <w:rFonts w:ascii="ARIAL" w:hAnsi="ARIAL"/>
          <w:sz w:val="20"/>
        </w:rPr>
      </w:pPr>
      <w:r>
        <w:rPr>
          <w:rFonts w:ascii="ARIAL" w:hAnsi="ARIAL"/>
          <w:sz w:val="20"/>
        </w:rPr>
        <w:t xml:space="preserve">The following table provides a summary of the long-term incentives that each of the NEOs was granted in 2022. </w:t>
      </w:r>
    </w:p>
    <w:p>
      <w:pPr>
        <w:pStyle w:val="TextBody"/>
        <w:spacing w:before="0" w:after="0"/>
        <w:jc w:val="left"/>
        <w:rPr/>
      </w:pPr>
      <w:r>
        <w:rPr/>
        <w:t> </w:t>
      </w:r>
    </w:p>
    <w:tbl>
      <w:tblPr>
        <w:tblW w:w="6330" w:type="dxa"/>
        <w:jc w:val="left"/>
        <w:tblInd w:w="0" w:type="dxa"/>
        <w:tblCellMar>
          <w:top w:w="0" w:type="dxa"/>
          <w:left w:w="0" w:type="dxa"/>
          <w:bottom w:w="0" w:type="dxa"/>
          <w:right w:w="0" w:type="dxa"/>
        </w:tblCellMar>
      </w:tblPr>
      <w:tblGrid>
        <w:gridCol w:w="1715"/>
        <w:gridCol w:w="120"/>
        <w:gridCol w:w="195"/>
        <w:gridCol w:w="1820"/>
        <w:gridCol w:w="60"/>
        <w:gridCol w:w="120"/>
        <w:gridCol w:w="180"/>
        <w:gridCol w:w="2045"/>
        <w:gridCol w:w="75"/>
      </w:tblGrid>
      <w:tr>
        <w:trPr/>
        <w:tc>
          <w:tcPr>
            <w:tcW w:w="17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15" w:type="dxa"/>
            <w:tcBorders/>
            <w:shd w:fill="DBDBDB" w:val="clear"/>
            <w:vAlign w:val="center"/>
          </w:tcPr>
          <w:p>
            <w:pPr>
              <w:pStyle w:val="TableContents"/>
              <w:spacing w:before="0" w:after="283"/>
              <w:rPr>
                <w:sz w:val="4"/>
                <w:szCs w:val="4"/>
              </w:rPr>
            </w:pPr>
            <w:r>
              <w:rPr>
                <w:sz w:val="4"/>
                <w:szCs w:val="4"/>
              </w:rPr>
            </w:r>
          </w:p>
        </w:tc>
        <w:tc>
          <w:tcPr>
            <w:tcW w:w="2195" w:type="dxa"/>
            <w:gridSpan w:val="4"/>
            <w:tcBorders/>
            <w:shd w:fill="DBDBDB" w:val="clear"/>
            <w:vAlign w:val="center"/>
          </w:tcPr>
          <w:p>
            <w:pPr>
              <w:pStyle w:val="TableContents"/>
              <w:spacing w:before="0" w:after="283"/>
              <w:rPr>
                <w:sz w:val="4"/>
                <w:szCs w:val="4"/>
              </w:rPr>
            </w:pPr>
            <w:r>
              <w:rPr>
                <w:sz w:val="4"/>
                <w:szCs w:val="4"/>
              </w:rPr>
            </w:r>
          </w:p>
        </w:tc>
        <w:tc>
          <w:tcPr>
            <w:tcW w:w="2420" w:type="dxa"/>
            <w:gridSpan w:val="4"/>
            <w:tcBorders/>
            <w:shd w:fill="DBDBDB" w:val="clear"/>
            <w:vAlign w:val="center"/>
          </w:tcPr>
          <w:p>
            <w:pPr>
              <w:pStyle w:val="TableContents"/>
              <w:spacing w:before="0" w:after="283"/>
              <w:rPr>
                <w:sz w:val="4"/>
                <w:szCs w:val="4"/>
              </w:rPr>
            </w:pPr>
            <w:r>
              <w:rPr>
                <w:sz w:val="4"/>
                <w:szCs w:val="4"/>
              </w:rPr>
            </w:r>
          </w:p>
        </w:tc>
      </w:tr>
      <w:tr>
        <w:trPr/>
        <w:tc>
          <w:tcPr>
            <w:tcW w:w="1715" w:type="dxa"/>
            <w:tcBorders/>
            <w:shd w:fill="DBDBDB" w:val="clear"/>
            <w:vAlign w:val="center"/>
          </w:tcPr>
          <w:p>
            <w:pPr>
              <w:pStyle w:val="TableContents"/>
              <w:spacing w:before="0" w:after="0"/>
              <w:rPr>
                <w:rFonts w:ascii="ARIAL" w:hAnsi="ARIAL"/>
                <w:b/>
                <w:sz w:val="18"/>
              </w:rPr>
            </w:pPr>
            <w:r>
              <w:rPr>
                <w:rFonts w:ascii="ARIAL" w:hAnsi="ARIAL"/>
                <w:b/>
                <w:sz w:val="18"/>
              </w:rPr>
              <w:t>NEO</w:t>
            </w:r>
          </w:p>
        </w:tc>
        <w:tc>
          <w:tcPr>
            <w:tcW w:w="120" w:type="dxa"/>
            <w:tcBorders/>
            <w:shd w:fill="DBDBDB" w:val="clear"/>
            <w:vAlign w:val="center"/>
          </w:tcPr>
          <w:p>
            <w:pPr>
              <w:pStyle w:val="TableContents"/>
              <w:spacing w:before="0" w:after="283"/>
              <w:rPr/>
            </w:pPr>
            <w:r>
              <w:rPr/>
              <w:t>  </w:t>
            </w:r>
          </w:p>
        </w:tc>
        <w:tc>
          <w:tcPr>
            <w:tcW w:w="2015" w:type="dxa"/>
            <w:gridSpan w:val="2"/>
            <w:tcBorders/>
            <w:shd w:fill="DBDBDB" w:val="clear"/>
            <w:vAlign w:val="center"/>
          </w:tcPr>
          <w:p>
            <w:pPr>
              <w:pStyle w:val="TableContents"/>
              <w:spacing w:before="0" w:after="0"/>
              <w:jc w:val="center"/>
              <w:rPr>
                <w:rFonts w:ascii="ARIAL" w:hAnsi="ARIAL"/>
                <w:b/>
                <w:sz w:val="18"/>
              </w:rPr>
            </w:pPr>
            <w:r>
              <w:rPr>
                <w:rFonts w:ascii="ARIAL" w:hAnsi="ARIAL"/>
                <w:b/>
                <w:sz w:val="18"/>
              </w:rPr>
              <w:t>RSUs</w:t>
            </w:r>
          </w:p>
          <w:p>
            <w:pPr>
              <w:pStyle w:val="TableContents"/>
              <w:spacing w:before="0" w:after="0"/>
              <w:jc w:val="center"/>
              <w:rPr>
                <w:rFonts w:ascii="ARIAL" w:hAnsi="ARIAL"/>
                <w:b/>
                <w:sz w:val="18"/>
              </w:rPr>
            </w:pPr>
            <w:r>
              <w:rPr>
                <w:rFonts w:ascii="ARIAL" w:hAnsi="ARIAL"/>
                <w:b/>
                <w:sz w:val="18"/>
              </w:rPr>
              <w:t>(3 year annual</w:t>
              <w:br/>
              <w:t>installment vesting</w:t>
              <w:br/>
              <w:t>subject to achievement</w:t>
              <w:br/>
              <w:t>of performance</w:t>
              <w:br/>
              <w:t>measure)</w:t>
            </w:r>
          </w:p>
          <w:p>
            <w:pPr>
              <w:pStyle w:val="TableContents"/>
              <w:spacing w:before="0" w:after="20"/>
              <w:jc w:val="center"/>
              <w:rPr>
                <w:rFonts w:ascii="ARIAL" w:hAnsi="ARIAL"/>
                <w:b/>
                <w:sz w:val="18"/>
              </w:rPr>
            </w:pPr>
            <w:r>
              <w:rPr>
                <w:rFonts w:ascii="ARIAL" w:hAnsi="ARIAL"/>
                <w:b/>
                <w:sz w:val="18"/>
              </w:rPr>
              <w:t>(# of shares)</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2225" w:type="dxa"/>
            <w:gridSpan w:val="2"/>
            <w:tcBorders/>
            <w:shd w:fill="DBDBDB" w:val="clear"/>
            <w:vAlign w:val="center"/>
          </w:tcPr>
          <w:p>
            <w:pPr>
              <w:pStyle w:val="TableContents"/>
              <w:spacing w:before="0" w:after="0"/>
              <w:jc w:val="center"/>
              <w:rPr>
                <w:rFonts w:ascii="ARIAL" w:hAnsi="ARIAL"/>
                <w:b/>
                <w:sz w:val="18"/>
              </w:rPr>
            </w:pPr>
            <w:r>
              <w:rPr>
                <w:rFonts w:ascii="ARIAL" w:hAnsi="ARIAL"/>
                <w:b/>
                <w:sz w:val="18"/>
              </w:rPr>
              <w:t>PSUs – Target</w:t>
            </w:r>
          </w:p>
          <w:p>
            <w:pPr>
              <w:pStyle w:val="TableContents"/>
              <w:spacing w:before="0" w:after="0"/>
              <w:jc w:val="center"/>
              <w:rPr>
                <w:rFonts w:ascii="ARIAL" w:hAnsi="ARIAL"/>
                <w:b/>
                <w:sz w:val="18"/>
              </w:rPr>
            </w:pPr>
            <w:r>
              <w:rPr>
                <w:rFonts w:ascii="ARIAL" w:hAnsi="ARIAL"/>
                <w:b/>
                <w:sz w:val="18"/>
              </w:rPr>
              <w:t>(3 year cliff vesting</w:t>
            </w:r>
          </w:p>
          <w:p>
            <w:pPr>
              <w:pStyle w:val="TableContents"/>
              <w:spacing w:before="0" w:after="0"/>
              <w:jc w:val="center"/>
              <w:rPr/>
            </w:pPr>
            <w:r>
              <w:rPr/>
              <w:t>  </w:t>
            </w:r>
            <w:r>
              <w:rPr>
                <w:rFonts w:ascii="ARIAL" w:hAnsi="ARIAL"/>
                <w:b/>
                <w:sz w:val="18"/>
              </w:rPr>
              <w:t>subject to achievement  </w:t>
            </w:r>
          </w:p>
          <w:p>
            <w:pPr>
              <w:pStyle w:val="TableContents"/>
              <w:spacing w:before="0" w:after="0"/>
              <w:jc w:val="center"/>
              <w:rPr>
                <w:rFonts w:ascii="ARIAL" w:hAnsi="ARIAL"/>
                <w:b/>
                <w:sz w:val="18"/>
              </w:rPr>
            </w:pPr>
            <w:r>
              <w:rPr>
                <w:rFonts w:ascii="ARIAL" w:hAnsi="ARIAL"/>
                <w:b/>
                <w:sz w:val="18"/>
              </w:rPr>
              <w:t>of performance</w:t>
            </w:r>
          </w:p>
          <w:p>
            <w:pPr>
              <w:pStyle w:val="TableContents"/>
              <w:spacing w:before="0" w:after="0"/>
              <w:jc w:val="center"/>
              <w:rPr>
                <w:rFonts w:ascii="ARIAL" w:hAnsi="ARIAL"/>
                <w:b/>
                <w:sz w:val="18"/>
              </w:rPr>
            </w:pPr>
            <w:r>
              <w:rPr>
                <w:rFonts w:ascii="ARIAL" w:hAnsi="ARIAL"/>
                <w:b/>
                <w:sz w:val="18"/>
              </w:rPr>
              <w:t>measures)</w:t>
            </w:r>
          </w:p>
          <w:p>
            <w:pPr>
              <w:pStyle w:val="TableContents"/>
              <w:spacing w:before="0" w:after="20"/>
              <w:jc w:val="center"/>
              <w:rPr>
                <w:rFonts w:ascii="ARIAL" w:hAnsi="ARIAL"/>
                <w:b/>
                <w:sz w:val="18"/>
              </w:rPr>
            </w:pPr>
            <w:r>
              <w:rPr>
                <w:rFonts w:ascii="ARIAL" w:hAnsi="ARIAL"/>
                <w:b/>
                <w:sz w:val="18"/>
              </w:rPr>
              <w:t>(# of shares)</w:t>
            </w:r>
          </w:p>
        </w:tc>
        <w:tc>
          <w:tcPr>
            <w:tcW w:w="75" w:type="dxa"/>
            <w:tcBorders/>
            <w:shd w:fill="DBDBDB" w:val="cle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sz w:val="4"/>
                <w:szCs w:val="4"/>
              </w:rPr>
            </w:pPr>
            <w:r>
              <w:rPr>
                <w:sz w:val="4"/>
                <w:szCs w:val="4"/>
              </w:rPr>
            </w:r>
          </w:p>
        </w:tc>
        <w:tc>
          <w:tcPr>
            <w:tcW w:w="2195" w:type="dxa"/>
            <w:gridSpan w:val="4"/>
            <w:tcBorders/>
            <w:shd w:fill="auto" w:val="clear"/>
            <w:vAlign w:val="center"/>
          </w:tcPr>
          <w:p>
            <w:pPr>
              <w:pStyle w:val="TableContents"/>
              <w:spacing w:before="0" w:after="283"/>
              <w:rPr>
                <w:sz w:val="4"/>
                <w:szCs w:val="4"/>
              </w:rPr>
            </w:pPr>
            <w:r>
              <w:rPr>
                <w:sz w:val="4"/>
                <w:szCs w:val="4"/>
              </w:rPr>
            </w:r>
          </w:p>
        </w:tc>
        <w:tc>
          <w:tcPr>
            <w:tcW w:w="2420"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C. Howard Nye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95" w:type="dxa"/>
            <w:tcBorders>
              <w:bottom w:val="dotted" w:sz="8" w:space="0" w:color="000000"/>
            </w:tcBorders>
            <w:shd w:fill="auto" w:val="clear"/>
            <w:tcMar>
              <w:bottom w:w="80" w:type="dxa"/>
            </w:tcMar>
            <w:vAlign w:val="center"/>
          </w:tcPr>
          <w:p>
            <w:pPr>
              <w:pStyle w:val="TableContents"/>
              <w:spacing w:before="0" w:after="283"/>
              <w:rPr/>
            </w:pPr>
            <w:r>
              <w:rPr/>
              <w:t> </w:t>
            </w:r>
          </w:p>
        </w:tc>
        <w:tc>
          <w:tcPr>
            <w:tcW w:w="1820" w:type="dxa"/>
            <w:tcBorders>
              <w:bottom w:val="dotted" w:sz="8" w:space="0" w:color="000000"/>
            </w:tcBorders>
            <w:shd w:fill="auto" w:val="clear"/>
            <w:tcMar>
              <w:bottom w:w="80" w:type="dxa"/>
            </w:tcMar>
            <w:vAlign w:val="center"/>
          </w:tcPr>
          <w:p>
            <w:pPr>
              <w:pStyle w:val="TableContents"/>
              <w:spacing w:before="0" w:after="283"/>
              <w:jc w:val="right"/>
              <w:rPr/>
            </w:pPr>
            <w:r>
              <w:rPr/>
              <w:t>8,270</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80" w:type="dxa"/>
            <w:tcBorders>
              <w:bottom w:val="dotted" w:sz="8" w:space="0" w:color="000000"/>
            </w:tcBorders>
            <w:shd w:fill="auto" w:val="clear"/>
            <w:tcMar>
              <w:bottom w:w="80" w:type="dxa"/>
            </w:tcMar>
            <w:vAlign w:val="center"/>
          </w:tcPr>
          <w:p>
            <w:pPr>
              <w:pStyle w:val="TableContents"/>
              <w:spacing w:before="0" w:after="283"/>
              <w:rPr/>
            </w:pPr>
            <w:r>
              <w:rPr/>
              <w:t> </w:t>
            </w:r>
          </w:p>
        </w:tc>
        <w:tc>
          <w:tcPr>
            <w:tcW w:w="2045" w:type="dxa"/>
            <w:tcBorders>
              <w:bottom w:val="dotted" w:sz="8" w:space="0" w:color="000000"/>
            </w:tcBorders>
            <w:shd w:fill="auto" w:val="clear"/>
            <w:tcMar>
              <w:bottom w:w="80" w:type="dxa"/>
            </w:tcMar>
            <w:vAlign w:val="center"/>
          </w:tcPr>
          <w:p>
            <w:pPr>
              <w:pStyle w:val="TableContents"/>
              <w:spacing w:before="0" w:after="283"/>
              <w:jc w:val="right"/>
              <w:rPr/>
            </w:pPr>
            <w:r>
              <w:rPr/>
              <w:t>10,107</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sz w:val="4"/>
                <w:szCs w:val="4"/>
              </w:rPr>
            </w:pPr>
            <w:r>
              <w:rPr>
                <w:sz w:val="4"/>
                <w:szCs w:val="4"/>
              </w:rPr>
            </w:r>
          </w:p>
        </w:tc>
        <w:tc>
          <w:tcPr>
            <w:tcW w:w="2195" w:type="dxa"/>
            <w:gridSpan w:val="4"/>
            <w:tcBorders/>
            <w:shd w:fill="auto" w:val="clear"/>
            <w:vAlign w:val="center"/>
          </w:tcPr>
          <w:p>
            <w:pPr>
              <w:pStyle w:val="TableContents"/>
              <w:spacing w:before="0" w:after="283"/>
              <w:rPr>
                <w:sz w:val="4"/>
                <w:szCs w:val="4"/>
              </w:rPr>
            </w:pPr>
            <w:r>
              <w:rPr>
                <w:sz w:val="4"/>
                <w:szCs w:val="4"/>
              </w:rPr>
            </w:r>
          </w:p>
        </w:tc>
        <w:tc>
          <w:tcPr>
            <w:tcW w:w="2420"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James A. J. Nickolas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95" w:type="dxa"/>
            <w:tcBorders>
              <w:bottom w:val="dotted" w:sz="8" w:space="0" w:color="000000"/>
            </w:tcBorders>
            <w:shd w:fill="auto" w:val="clear"/>
            <w:tcMar>
              <w:bottom w:w="80" w:type="dxa"/>
            </w:tcMar>
            <w:vAlign w:val="center"/>
          </w:tcPr>
          <w:p>
            <w:pPr>
              <w:pStyle w:val="TableContents"/>
              <w:spacing w:before="0" w:after="283"/>
              <w:rPr/>
            </w:pPr>
            <w:r>
              <w:rPr/>
              <w:t> </w:t>
            </w:r>
          </w:p>
        </w:tc>
        <w:tc>
          <w:tcPr>
            <w:tcW w:w="1820" w:type="dxa"/>
            <w:tcBorders>
              <w:bottom w:val="dotted" w:sz="8" w:space="0" w:color="000000"/>
            </w:tcBorders>
            <w:shd w:fill="auto" w:val="clear"/>
            <w:tcMar>
              <w:bottom w:w="80" w:type="dxa"/>
            </w:tcMar>
            <w:vAlign w:val="center"/>
          </w:tcPr>
          <w:p>
            <w:pPr>
              <w:pStyle w:val="TableContents"/>
              <w:spacing w:before="0" w:after="283"/>
              <w:jc w:val="right"/>
              <w:rPr/>
            </w:pPr>
            <w:r>
              <w:rPr/>
              <w:t>1,508</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80" w:type="dxa"/>
            <w:tcBorders>
              <w:bottom w:val="dotted" w:sz="8" w:space="0" w:color="000000"/>
            </w:tcBorders>
            <w:shd w:fill="auto" w:val="clear"/>
            <w:tcMar>
              <w:bottom w:w="80" w:type="dxa"/>
            </w:tcMar>
            <w:vAlign w:val="center"/>
          </w:tcPr>
          <w:p>
            <w:pPr>
              <w:pStyle w:val="TableContents"/>
              <w:spacing w:before="0" w:after="283"/>
              <w:rPr/>
            </w:pPr>
            <w:r>
              <w:rPr/>
              <w:t> </w:t>
            </w:r>
          </w:p>
        </w:tc>
        <w:tc>
          <w:tcPr>
            <w:tcW w:w="2045" w:type="dxa"/>
            <w:tcBorders>
              <w:bottom w:val="dotted" w:sz="8" w:space="0" w:color="000000"/>
            </w:tcBorders>
            <w:shd w:fill="auto" w:val="clear"/>
            <w:tcMar>
              <w:bottom w:w="80" w:type="dxa"/>
            </w:tcMar>
            <w:vAlign w:val="center"/>
          </w:tcPr>
          <w:p>
            <w:pPr>
              <w:pStyle w:val="TableContents"/>
              <w:spacing w:before="0" w:after="283"/>
              <w:jc w:val="right"/>
              <w:rPr/>
            </w:pPr>
            <w:r>
              <w:rPr/>
              <w:t>1,843</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sz w:val="4"/>
                <w:szCs w:val="4"/>
              </w:rPr>
            </w:pPr>
            <w:r>
              <w:rPr>
                <w:sz w:val="4"/>
                <w:szCs w:val="4"/>
              </w:rPr>
            </w:r>
          </w:p>
        </w:tc>
        <w:tc>
          <w:tcPr>
            <w:tcW w:w="2195" w:type="dxa"/>
            <w:gridSpan w:val="4"/>
            <w:tcBorders/>
            <w:shd w:fill="auto" w:val="clear"/>
            <w:vAlign w:val="center"/>
          </w:tcPr>
          <w:p>
            <w:pPr>
              <w:pStyle w:val="TableContents"/>
              <w:spacing w:before="0" w:after="283"/>
              <w:rPr>
                <w:sz w:val="4"/>
                <w:szCs w:val="4"/>
              </w:rPr>
            </w:pPr>
            <w:r>
              <w:rPr>
                <w:sz w:val="4"/>
                <w:szCs w:val="4"/>
              </w:rPr>
            </w:r>
          </w:p>
        </w:tc>
        <w:tc>
          <w:tcPr>
            <w:tcW w:w="2420"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Roselyn R. Bar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95" w:type="dxa"/>
            <w:tcBorders>
              <w:bottom w:val="dotted" w:sz="8" w:space="0" w:color="000000"/>
            </w:tcBorders>
            <w:shd w:fill="auto" w:val="clear"/>
            <w:tcMar>
              <w:bottom w:w="80" w:type="dxa"/>
            </w:tcMar>
            <w:vAlign w:val="center"/>
          </w:tcPr>
          <w:p>
            <w:pPr>
              <w:pStyle w:val="TableContents"/>
              <w:spacing w:before="0" w:after="283"/>
              <w:rPr/>
            </w:pPr>
            <w:r>
              <w:rPr/>
              <w:t> </w:t>
            </w:r>
          </w:p>
        </w:tc>
        <w:tc>
          <w:tcPr>
            <w:tcW w:w="1820" w:type="dxa"/>
            <w:tcBorders>
              <w:bottom w:val="dotted" w:sz="8" w:space="0" w:color="000000"/>
            </w:tcBorders>
            <w:shd w:fill="auto" w:val="clear"/>
            <w:tcMar>
              <w:bottom w:w="80" w:type="dxa"/>
            </w:tcMar>
            <w:vAlign w:val="center"/>
          </w:tcPr>
          <w:p>
            <w:pPr>
              <w:pStyle w:val="TableContents"/>
              <w:spacing w:before="0" w:after="283"/>
              <w:jc w:val="right"/>
              <w:rPr/>
            </w:pPr>
            <w:r>
              <w:rPr/>
              <w:t>1,531</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80" w:type="dxa"/>
            <w:tcBorders>
              <w:bottom w:val="dotted" w:sz="8" w:space="0" w:color="000000"/>
            </w:tcBorders>
            <w:shd w:fill="auto" w:val="clear"/>
            <w:tcMar>
              <w:bottom w:w="80" w:type="dxa"/>
            </w:tcMar>
            <w:vAlign w:val="center"/>
          </w:tcPr>
          <w:p>
            <w:pPr>
              <w:pStyle w:val="TableContents"/>
              <w:spacing w:before="0" w:after="283"/>
              <w:rPr/>
            </w:pPr>
            <w:r>
              <w:rPr/>
              <w:t> </w:t>
            </w:r>
          </w:p>
        </w:tc>
        <w:tc>
          <w:tcPr>
            <w:tcW w:w="2045" w:type="dxa"/>
            <w:tcBorders>
              <w:bottom w:val="dotted" w:sz="8" w:space="0" w:color="000000"/>
            </w:tcBorders>
            <w:shd w:fill="auto" w:val="clear"/>
            <w:tcMar>
              <w:bottom w:w="80" w:type="dxa"/>
            </w:tcMar>
            <w:vAlign w:val="center"/>
          </w:tcPr>
          <w:p>
            <w:pPr>
              <w:pStyle w:val="TableContents"/>
              <w:spacing w:before="0" w:after="283"/>
              <w:jc w:val="right"/>
              <w:rPr/>
            </w:pPr>
            <w:r>
              <w:rPr/>
              <w:t>1,872</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sz w:val="4"/>
                <w:szCs w:val="4"/>
              </w:rPr>
            </w:pPr>
            <w:r>
              <w:rPr>
                <w:sz w:val="4"/>
                <w:szCs w:val="4"/>
              </w:rPr>
            </w:r>
          </w:p>
        </w:tc>
        <w:tc>
          <w:tcPr>
            <w:tcW w:w="2195" w:type="dxa"/>
            <w:gridSpan w:val="4"/>
            <w:tcBorders/>
            <w:shd w:fill="auto" w:val="clear"/>
            <w:vAlign w:val="center"/>
          </w:tcPr>
          <w:p>
            <w:pPr>
              <w:pStyle w:val="TableContents"/>
              <w:spacing w:before="0" w:after="283"/>
              <w:rPr>
                <w:sz w:val="4"/>
                <w:szCs w:val="4"/>
              </w:rPr>
            </w:pPr>
            <w:r>
              <w:rPr>
                <w:sz w:val="4"/>
                <w:szCs w:val="4"/>
              </w:rPr>
            </w:r>
          </w:p>
        </w:tc>
        <w:tc>
          <w:tcPr>
            <w:tcW w:w="2420"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bottom w:val="dotted" w:sz="8"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Craig M. LaTorre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95" w:type="dxa"/>
            <w:tcBorders>
              <w:bottom w:val="dotted" w:sz="8" w:space="0" w:color="000000"/>
            </w:tcBorders>
            <w:shd w:fill="auto" w:val="clear"/>
            <w:tcMar>
              <w:bottom w:w="80" w:type="dxa"/>
            </w:tcMar>
            <w:vAlign w:val="center"/>
          </w:tcPr>
          <w:p>
            <w:pPr>
              <w:pStyle w:val="TableContents"/>
              <w:spacing w:before="0" w:after="283"/>
              <w:rPr/>
            </w:pPr>
            <w:r>
              <w:rPr/>
              <w:t> </w:t>
            </w:r>
          </w:p>
        </w:tc>
        <w:tc>
          <w:tcPr>
            <w:tcW w:w="1820" w:type="dxa"/>
            <w:tcBorders>
              <w:bottom w:val="dotted" w:sz="8" w:space="0" w:color="000000"/>
            </w:tcBorders>
            <w:shd w:fill="auto" w:val="clear"/>
            <w:tcMar>
              <w:bottom w:w="80" w:type="dxa"/>
            </w:tcMar>
            <w:vAlign w:val="center"/>
          </w:tcPr>
          <w:p>
            <w:pPr>
              <w:pStyle w:val="TableContents"/>
              <w:spacing w:before="0" w:after="283"/>
              <w:jc w:val="right"/>
              <w:rPr/>
            </w:pPr>
            <w:r>
              <w:rPr/>
              <w:t>1,117</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80" w:type="dxa"/>
            <w:tcBorders>
              <w:bottom w:val="dotted" w:sz="8" w:space="0" w:color="000000"/>
            </w:tcBorders>
            <w:shd w:fill="auto" w:val="clear"/>
            <w:tcMar>
              <w:bottom w:w="80" w:type="dxa"/>
            </w:tcMar>
            <w:vAlign w:val="center"/>
          </w:tcPr>
          <w:p>
            <w:pPr>
              <w:pStyle w:val="TableContents"/>
              <w:spacing w:before="0" w:after="283"/>
              <w:rPr/>
            </w:pPr>
            <w:r>
              <w:rPr/>
              <w:t> </w:t>
            </w:r>
          </w:p>
        </w:tc>
        <w:tc>
          <w:tcPr>
            <w:tcW w:w="2045" w:type="dxa"/>
            <w:tcBorders>
              <w:bottom w:val="dotted" w:sz="8" w:space="0" w:color="000000"/>
            </w:tcBorders>
            <w:shd w:fill="auto" w:val="clear"/>
            <w:tcMar>
              <w:bottom w:w="80" w:type="dxa"/>
            </w:tcMar>
            <w:vAlign w:val="center"/>
          </w:tcPr>
          <w:p>
            <w:pPr>
              <w:pStyle w:val="TableContents"/>
              <w:spacing w:before="0" w:after="283"/>
              <w:jc w:val="right"/>
              <w:rPr/>
            </w:pPr>
            <w:r>
              <w:rPr/>
              <w:t>1,365</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sz w:val="4"/>
                <w:szCs w:val="4"/>
              </w:rPr>
            </w:pPr>
            <w:r>
              <w:rPr>
                <w:sz w:val="4"/>
                <w:szCs w:val="4"/>
              </w:rPr>
            </w:r>
          </w:p>
        </w:tc>
        <w:tc>
          <w:tcPr>
            <w:tcW w:w="2195" w:type="dxa"/>
            <w:gridSpan w:val="4"/>
            <w:tcBorders/>
            <w:shd w:fill="auto" w:val="clear"/>
            <w:vAlign w:val="center"/>
          </w:tcPr>
          <w:p>
            <w:pPr>
              <w:pStyle w:val="TableContents"/>
              <w:spacing w:before="0" w:after="283"/>
              <w:rPr>
                <w:sz w:val="4"/>
                <w:szCs w:val="4"/>
              </w:rPr>
            </w:pPr>
            <w:r>
              <w:rPr>
                <w:sz w:val="4"/>
                <w:szCs w:val="4"/>
              </w:rPr>
            </w:r>
          </w:p>
        </w:tc>
        <w:tc>
          <w:tcPr>
            <w:tcW w:w="2420"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bottom w:val="single" w:sz="6" w:space="0" w:color="000000"/>
            </w:tcBorders>
            <w:shd w:fill="auto" w:val="clear"/>
            <w:tcMar>
              <w:bottom w:w="80" w:type="dxa"/>
            </w:tcMar>
            <w:vAlign w:val="center"/>
          </w:tcPr>
          <w:p>
            <w:pPr>
              <w:pStyle w:val="TableContents"/>
              <w:spacing w:before="0" w:after="0"/>
              <w:rPr>
                <w:rFonts w:ascii="ARIAL" w:hAnsi="ARIAL"/>
                <w:sz w:val="18"/>
              </w:rPr>
            </w:pPr>
            <w:r>
              <w:rPr>
                <w:rFonts w:ascii="ARIAL" w:hAnsi="ARIAL"/>
                <w:sz w:val="18"/>
              </w:rPr>
              <w:t>John P. Mohr</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95" w:type="dxa"/>
            <w:tcBorders>
              <w:bottom w:val="single" w:sz="6" w:space="0" w:color="000000"/>
            </w:tcBorders>
            <w:shd w:fill="auto" w:val="clear"/>
            <w:tcMar>
              <w:bottom w:w="80" w:type="dxa"/>
            </w:tcMar>
            <w:vAlign w:val="center"/>
          </w:tcPr>
          <w:p>
            <w:pPr>
              <w:pStyle w:val="TableContents"/>
              <w:spacing w:before="0" w:after="283"/>
              <w:rPr/>
            </w:pPr>
            <w:r>
              <w:rPr/>
              <w:t> </w:t>
            </w:r>
          </w:p>
        </w:tc>
        <w:tc>
          <w:tcPr>
            <w:tcW w:w="1820" w:type="dxa"/>
            <w:tcBorders>
              <w:bottom w:val="single" w:sz="6" w:space="0" w:color="000000"/>
            </w:tcBorders>
            <w:shd w:fill="auto" w:val="clear"/>
            <w:tcMar>
              <w:bottom w:w="80" w:type="dxa"/>
            </w:tcMar>
            <w:vAlign w:val="center"/>
          </w:tcPr>
          <w:p>
            <w:pPr>
              <w:pStyle w:val="TableContents"/>
              <w:spacing w:before="0" w:after="283"/>
              <w:jc w:val="right"/>
              <w:rPr/>
            </w:pPr>
            <w:r>
              <w:rPr/>
              <w:t>781</w:t>
            </w:r>
          </w:p>
        </w:tc>
        <w:tc>
          <w:tcPr>
            <w:tcW w:w="60" w:type="dxa"/>
            <w:tcBorders>
              <w:bottom w:val="single" w:sz="6" w:space="0" w:color="000000"/>
            </w:tcBorders>
            <w:shd w:fill="auto" w:val="clear"/>
            <w:tcMar>
              <w:bottom w:w="8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80" w:type="dxa"/>
            <w:tcBorders>
              <w:bottom w:val="single" w:sz="6" w:space="0" w:color="000000"/>
            </w:tcBorders>
            <w:shd w:fill="auto" w:val="clear"/>
            <w:tcMar>
              <w:bottom w:w="80" w:type="dxa"/>
            </w:tcMar>
            <w:vAlign w:val="center"/>
          </w:tcPr>
          <w:p>
            <w:pPr>
              <w:pStyle w:val="TableContents"/>
              <w:spacing w:before="0" w:after="283"/>
              <w:rPr/>
            </w:pPr>
            <w:r>
              <w:rPr/>
              <w:t> </w:t>
            </w:r>
          </w:p>
        </w:tc>
        <w:tc>
          <w:tcPr>
            <w:tcW w:w="2045" w:type="dxa"/>
            <w:tcBorders>
              <w:bottom w:val="single" w:sz="6" w:space="0" w:color="000000"/>
            </w:tcBorders>
            <w:shd w:fill="auto" w:val="clear"/>
            <w:tcMar>
              <w:bottom w:w="80" w:type="dxa"/>
            </w:tcMar>
            <w:vAlign w:val="center"/>
          </w:tcPr>
          <w:p>
            <w:pPr>
              <w:pStyle w:val="TableContents"/>
              <w:spacing w:before="0" w:after="283"/>
              <w:jc w:val="right"/>
              <w:rPr/>
            </w:pPr>
            <w:r>
              <w:rPr/>
              <w:t>954</w:t>
            </w:r>
          </w:p>
        </w:tc>
        <w:tc>
          <w:tcPr>
            <w:tcW w:w="75" w:type="dxa"/>
            <w:tcBorders>
              <w:bottom w:val="single" w:sz="6" w:space="0" w:color="000000"/>
            </w:tcBorders>
            <w:shd w:fill="auto" w:val="clear"/>
            <w:tcMar>
              <w:bottom w:w="80" w:type="dxa"/>
            </w:tcM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In setting performance goals for the three-year PSUs awarded in 2022, the Committee considered various factors and received advice from its independent compensation consultant in choosing the metrics and establishing the goals, including: </w:t>
      </w:r>
    </w:p>
    <w:p>
      <w:pPr>
        <w:pStyle w:val="TextBody"/>
        <w:spacing w:before="0" w:after="0"/>
        <w:jc w:val="left"/>
        <w:rPr/>
      </w:pPr>
      <w:r>
        <w:rPr/>
        <w:t> </w:t>
      </w:r>
    </w:p>
    <w:tbl>
      <w:tblPr>
        <w:tblW w:w="8275" w:type="dxa"/>
        <w:jc w:val="left"/>
        <w:tblInd w:w="0" w:type="dxa"/>
        <w:tblCellMar>
          <w:top w:w="0" w:type="dxa"/>
          <w:left w:w="0" w:type="dxa"/>
          <w:bottom w:w="0" w:type="dxa"/>
          <w:right w:w="0" w:type="dxa"/>
        </w:tblCellMar>
      </w:tblPr>
      <w:tblGrid>
        <w:gridCol w:w="125"/>
        <w:gridCol w:w="60"/>
        <w:gridCol w:w="809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09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metrics reflect drivers of our performance and we believe are important to our investors. </w:t>
            </w:r>
          </w:p>
        </w:tc>
      </w:tr>
    </w:tbl>
    <w:p>
      <w:pPr>
        <w:pStyle w:val="TextBody"/>
        <w:spacing w:before="0" w:after="0"/>
        <w:jc w:val="left"/>
        <w:rPr/>
      </w:pPr>
      <w:r>
        <w:rPr/>
        <w:t> </w:t>
      </w:r>
    </w:p>
    <w:tbl>
      <w:tblPr>
        <w:tblW w:w="6895" w:type="dxa"/>
        <w:jc w:val="left"/>
        <w:tblInd w:w="0" w:type="dxa"/>
        <w:tblCellMar>
          <w:top w:w="0" w:type="dxa"/>
          <w:left w:w="0" w:type="dxa"/>
          <w:bottom w:w="0" w:type="dxa"/>
          <w:right w:w="0" w:type="dxa"/>
        </w:tblCellMar>
      </w:tblPr>
      <w:tblGrid>
        <w:gridCol w:w="125"/>
        <w:gridCol w:w="60"/>
        <w:gridCol w:w="671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71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goals are consistent with our business plan and positive over prior year. </w:t>
            </w:r>
          </w:p>
        </w:tc>
      </w:tr>
    </w:tbl>
    <w:p>
      <w:pPr>
        <w:pStyle w:val="TextBody"/>
        <w:spacing w:before="0" w:after="0"/>
        <w:jc w:val="left"/>
        <w:rPr/>
      </w:pPr>
      <w:r>
        <w:rPr/>
        <w:t> </w:t>
      </w:r>
    </w:p>
    <w:tbl>
      <w:tblPr>
        <w:tblW w:w="6190" w:type="dxa"/>
        <w:jc w:val="left"/>
        <w:tblInd w:w="0" w:type="dxa"/>
        <w:tblCellMar>
          <w:top w:w="0" w:type="dxa"/>
          <w:left w:w="0" w:type="dxa"/>
          <w:bottom w:w="0" w:type="dxa"/>
          <w:right w:w="0" w:type="dxa"/>
        </w:tblCellMar>
      </w:tblPr>
      <w:tblGrid>
        <w:gridCol w:w="125"/>
        <w:gridCol w:w="60"/>
        <w:gridCol w:w="600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005"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have a history of setting challenging target and maximum goals. </w:t>
            </w:r>
          </w:p>
        </w:tc>
      </w:tr>
    </w:tbl>
    <w:p>
      <w:pPr>
        <w:pStyle w:val="TextBody"/>
        <w:spacing w:before="240" w:after="0"/>
        <w:jc w:val="left"/>
        <w:rPr>
          <w:rFonts w:ascii="ARIAL" w:hAnsi="ARIAL"/>
          <w:sz w:val="20"/>
        </w:rPr>
      </w:pPr>
      <w:r>
        <w:rPr>
          <w:rFonts w:ascii="ARIAL" w:hAnsi="ARIAL"/>
          <w:sz w:val="20"/>
        </w:rPr>
        <w:t xml:space="preserve">In addition, we have looked at the alignment of our payouts with the Company’s performance, including TSR, and found that pay and performance are aligned.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1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00" descr=""/>
                          <pic:cNvPicPr>
                            <a:picLocks noChangeAspect="1" noChangeArrowheads="1"/>
                          </pic:cNvPicPr>
                        </pic:nvPicPr>
                        <pic:blipFill>
                          <a:blip r:embed="rId20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63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2022-2024 PERFORMANCE GOALS </w:t>
      </w:r>
    </w:p>
    <w:p>
      <w:pPr>
        <w:pStyle w:val="TextBody"/>
        <w:spacing w:before="0" w:after="0"/>
        <w:jc w:val="left"/>
        <w:rPr/>
      </w:pPr>
      <w:r>
        <w:rPr/>
        <w:t> </w:t>
      </w:r>
    </w:p>
    <w:p>
      <w:pPr>
        <w:pStyle w:val="TextBody"/>
        <w:spacing w:before="0" w:after="0"/>
        <w:jc w:val="left"/>
        <w:rPr>
          <w:rFonts w:ascii="ARIAL" w:hAnsi="ARIAL"/>
          <w:b/>
          <w:color w:val="007CBA"/>
          <w:sz w:val="20"/>
        </w:rPr>
      </w:pPr>
      <w:r>
        <w:rPr>
          <w:rFonts w:ascii="ARIAL" w:hAnsi="ARIAL"/>
          <w:b/>
          <w:color w:val="007CBA"/>
          <w:sz w:val="20"/>
        </w:rPr>
        <w:t xml:space="preserve">2022 Performance Goals and Metrics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175"/>
        <w:gridCol w:w="120"/>
        <w:gridCol w:w="2187"/>
        <w:gridCol w:w="60"/>
        <w:gridCol w:w="60"/>
        <w:gridCol w:w="120"/>
        <w:gridCol w:w="1321"/>
        <w:gridCol w:w="120"/>
        <w:gridCol w:w="1707"/>
        <w:gridCol w:w="60"/>
        <w:gridCol w:w="60"/>
        <w:gridCol w:w="120"/>
        <w:gridCol w:w="1249"/>
        <w:gridCol w:w="120"/>
        <w:gridCol w:w="1726"/>
      </w:tblGrid>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r>
      <w:tr>
        <w:trPr/>
        <w:tc>
          <w:tcPr>
            <w:tcW w:w="3482" w:type="dxa"/>
            <w:gridSpan w:val="3"/>
            <w:tcBorders/>
            <w:shd w:fill="DBDBDB"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3268" w:type="dxa"/>
            <w:gridSpan w:val="4"/>
            <w:tcBorders/>
            <w:shd w:fill="DBDBDB"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3215" w:type="dxa"/>
            <w:gridSpan w:val="4"/>
            <w:tcBorders/>
            <w:shd w:fill="DBDBDB" w:val="clear"/>
            <w:vAlign w:val="center"/>
          </w:tcPr>
          <w:p>
            <w:pPr>
              <w:pStyle w:val="TableContents"/>
              <w:spacing w:before="0" w:after="283"/>
              <w:rPr>
                <w:sz w:val="4"/>
                <w:szCs w:val="4"/>
              </w:rPr>
            </w:pPr>
            <w:r>
              <w:rPr>
                <w:sz w:val="4"/>
                <w:szCs w:val="4"/>
              </w:rPr>
            </w:r>
          </w:p>
        </w:tc>
      </w:tr>
      <w:tr>
        <w:trPr/>
        <w:tc>
          <w:tcPr>
            <w:tcW w:w="3482" w:type="dxa"/>
            <w:gridSpan w:val="3"/>
            <w:tcBorders/>
            <w:shd w:fill="DBDBDB" w:val="clear"/>
            <w:vAlign w:val="center"/>
          </w:tcPr>
          <w:p>
            <w:pPr>
              <w:pStyle w:val="TableContents"/>
              <w:spacing w:before="0" w:after="0"/>
              <w:jc w:val="center"/>
              <w:rPr>
                <w:rFonts w:ascii="ARIAL" w:hAnsi="ARIAL"/>
                <w:b/>
                <w:sz w:val="18"/>
              </w:rPr>
            </w:pPr>
            <w:r>
              <w:rPr>
                <w:rFonts w:ascii="ARIAL" w:hAnsi="ARIAL"/>
                <w:b/>
                <w:sz w:val="18"/>
              </w:rPr>
              <w:t>Relative TSR (Modifier +/- 20%)*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3148" w:type="dxa"/>
            <w:gridSpan w:val="3"/>
            <w:tcBorders/>
            <w:shd w:fill="DBDBDB" w:val="clear"/>
            <w:vAlign w:val="center"/>
          </w:tcPr>
          <w:p>
            <w:pPr>
              <w:pStyle w:val="TableContents"/>
              <w:spacing w:before="0" w:after="283"/>
              <w:jc w:val="center"/>
              <w:rPr>
                <w:b/>
              </w:rPr>
            </w:pPr>
            <w:r>
              <w:rPr>
                <w:b/>
              </w:rPr>
              <w:t>EBITDA (67%)***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3095" w:type="dxa"/>
            <w:gridSpan w:val="3"/>
            <w:tcBorders/>
            <w:shd w:fill="DBDBDB" w:val="clear"/>
            <w:vAlign w:val="center"/>
          </w:tcPr>
          <w:p>
            <w:pPr>
              <w:pStyle w:val="TableContents"/>
              <w:spacing w:before="0" w:after="283"/>
              <w:jc w:val="center"/>
              <w:rPr>
                <w:b/>
              </w:rPr>
            </w:pPr>
            <w:r>
              <w:rPr>
                <w:b/>
              </w:rPr>
              <w:t>Sales Growth (33%)</w:t>
            </w:r>
          </w:p>
        </w:tc>
      </w:tr>
      <w:tr>
        <w:trPr/>
        <w:tc>
          <w:tcPr>
            <w:tcW w:w="1175" w:type="dxa"/>
            <w:tcBorders/>
            <w:shd w:fill="DBDBDB" w:val="clear"/>
            <w:vAlign w:val="center"/>
          </w:tcPr>
          <w:p>
            <w:pPr>
              <w:pStyle w:val="TableContents"/>
              <w:spacing w:before="0" w:after="283"/>
              <w:rPr>
                <w:sz w:val="4"/>
                <w:szCs w:val="4"/>
              </w:rPr>
            </w:pPr>
            <w:r>
              <w:rPr>
                <w:sz w:val="4"/>
                <w:szCs w:val="4"/>
              </w:rPr>
            </w:r>
          </w:p>
        </w:tc>
        <w:tc>
          <w:tcPr>
            <w:tcW w:w="2307" w:type="dxa"/>
            <w:gridSpan w:val="2"/>
            <w:tcBorders/>
            <w:shd w:fill="DBDBDB"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441" w:type="dxa"/>
            <w:gridSpan w:val="2"/>
            <w:tcBorders/>
            <w:shd w:fill="DBDBDB" w:val="clear"/>
            <w:vAlign w:val="center"/>
          </w:tcPr>
          <w:p>
            <w:pPr>
              <w:pStyle w:val="TableContents"/>
              <w:spacing w:before="0" w:after="283"/>
              <w:rPr>
                <w:sz w:val="4"/>
                <w:szCs w:val="4"/>
              </w:rPr>
            </w:pPr>
            <w:r>
              <w:rPr>
                <w:sz w:val="4"/>
                <w:szCs w:val="4"/>
              </w:rPr>
            </w:r>
          </w:p>
        </w:tc>
        <w:tc>
          <w:tcPr>
            <w:tcW w:w="1827" w:type="dxa"/>
            <w:gridSpan w:val="2"/>
            <w:tcBorders/>
            <w:shd w:fill="DBDBDB"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369" w:type="dxa"/>
            <w:gridSpan w:val="2"/>
            <w:tcBorders/>
            <w:shd w:fill="DBDBDB" w:val="clear"/>
            <w:vAlign w:val="center"/>
          </w:tcPr>
          <w:p>
            <w:pPr>
              <w:pStyle w:val="TableContents"/>
              <w:spacing w:before="0" w:after="283"/>
              <w:rPr>
                <w:sz w:val="4"/>
                <w:szCs w:val="4"/>
              </w:rPr>
            </w:pPr>
            <w:r>
              <w:rPr>
                <w:sz w:val="4"/>
                <w:szCs w:val="4"/>
              </w:rPr>
            </w:r>
          </w:p>
        </w:tc>
        <w:tc>
          <w:tcPr>
            <w:tcW w:w="1846" w:type="dxa"/>
            <w:gridSpan w:val="2"/>
            <w:tcBorders/>
            <w:shd w:fill="DBDBDB" w:val="clear"/>
            <w:vAlign w:val="center"/>
          </w:tcPr>
          <w:p>
            <w:pPr>
              <w:pStyle w:val="TableContents"/>
              <w:spacing w:before="0" w:after="283"/>
              <w:rPr>
                <w:sz w:val="4"/>
                <w:szCs w:val="4"/>
              </w:rPr>
            </w:pPr>
            <w:r>
              <w:rPr>
                <w:sz w:val="4"/>
                <w:szCs w:val="4"/>
              </w:rPr>
            </w:r>
          </w:p>
        </w:tc>
      </w:tr>
      <w:tr>
        <w:trPr/>
        <w:tc>
          <w:tcPr>
            <w:tcW w:w="1175" w:type="dxa"/>
            <w:tcBorders/>
            <w:shd w:fill="DBDBDB" w:val="clear"/>
            <w:vAlign w:val="center"/>
          </w:tcPr>
          <w:p>
            <w:pPr>
              <w:pStyle w:val="TableContents"/>
              <w:spacing w:before="0" w:after="0"/>
              <w:rPr>
                <w:rFonts w:ascii="ARIAL" w:hAnsi="ARIAL"/>
                <w:b/>
                <w:sz w:val="18"/>
              </w:rPr>
            </w:pPr>
            <w:r>
              <w:rPr>
                <w:rFonts w:ascii="ARIAL" w:hAnsi="ARIAL"/>
                <w:b/>
                <w:sz w:val="18"/>
              </w:rPr>
              <w:t>TSR</w:t>
            </w:r>
          </w:p>
          <w:p>
            <w:pPr>
              <w:pStyle w:val="TableContents"/>
              <w:spacing w:before="0" w:after="0"/>
              <w:rPr>
                <w:rFonts w:ascii="ARIAL" w:hAnsi="ARIAL"/>
                <w:b/>
                <w:sz w:val="18"/>
              </w:rPr>
            </w:pPr>
            <w:r>
              <w:rPr>
                <w:rFonts w:ascii="ARIAL" w:hAnsi="ARIAL"/>
                <w:b/>
                <w:sz w:val="18"/>
              </w:rPr>
              <w:t>Percentile</w:t>
            </w:r>
          </w:p>
          <w:p>
            <w:pPr>
              <w:pStyle w:val="TableContents"/>
              <w:spacing w:before="0" w:after="20"/>
              <w:rPr>
                <w:rFonts w:ascii="ARIAL" w:hAnsi="ARIAL"/>
                <w:b/>
                <w:sz w:val="18"/>
              </w:rPr>
            </w:pPr>
            <w:r>
              <w:rPr>
                <w:rFonts w:ascii="ARIAL" w:hAnsi="ARIAL"/>
                <w:b/>
                <w:sz w:val="18"/>
              </w:rPr>
              <w:t>Achievement</w:t>
            </w:r>
          </w:p>
        </w:tc>
        <w:tc>
          <w:tcPr>
            <w:tcW w:w="120" w:type="dxa"/>
            <w:tcBorders/>
            <w:shd w:fill="DBDBDB" w:val="clear"/>
            <w:vAlign w:val="center"/>
          </w:tcPr>
          <w:p>
            <w:pPr>
              <w:pStyle w:val="TableContents"/>
              <w:spacing w:before="0" w:after="283"/>
              <w:rPr/>
            </w:pPr>
            <w:r>
              <w:rPr/>
              <w:t>  </w:t>
            </w:r>
          </w:p>
        </w:tc>
        <w:tc>
          <w:tcPr>
            <w:tcW w:w="2187" w:type="dxa"/>
            <w:tcBorders/>
            <w:shd w:fill="DBDBDB" w:val="clear"/>
            <w:vAlign w:val="center"/>
          </w:tcPr>
          <w:p>
            <w:pPr>
              <w:pStyle w:val="TableContents"/>
              <w:spacing w:before="0" w:after="0"/>
              <w:rPr>
                <w:rFonts w:ascii="ARIAL" w:hAnsi="ARIAL"/>
                <w:b/>
                <w:sz w:val="18"/>
              </w:rPr>
            </w:pPr>
            <w:r>
              <w:rPr>
                <w:rFonts w:ascii="ARIAL" w:hAnsi="ARIAL"/>
                <w:b/>
                <w:sz w:val="18"/>
              </w:rPr>
              <w:t>Payout</w:t>
            </w:r>
          </w:p>
          <w:p>
            <w:pPr>
              <w:pStyle w:val="TableContents"/>
              <w:spacing w:before="0" w:after="20"/>
              <w:rPr>
                <w:rFonts w:ascii="ARIAL" w:hAnsi="ARIAL"/>
                <w:b/>
                <w:sz w:val="18"/>
              </w:rPr>
            </w:pPr>
            <w:r>
              <w:rPr>
                <w:rFonts w:ascii="ARIAL" w:hAnsi="ARIAL"/>
                <w:b/>
                <w:sz w:val="18"/>
              </w:rPr>
              <w:t>Factor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321" w:type="dxa"/>
            <w:tcBorders/>
            <w:shd w:fill="DBDBDB" w:val="clear"/>
            <w:vAlign w:val="center"/>
          </w:tcPr>
          <w:p>
            <w:pPr>
              <w:pStyle w:val="TableContents"/>
              <w:spacing w:before="0" w:after="0"/>
              <w:rPr>
                <w:rFonts w:ascii="ARIAL" w:hAnsi="ARIAL"/>
                <w:b/>
                <w:sz w:val="18"/>
              </w:rPr>
            </w:pPr>
            <w:r>
              <w:rPr>
                <w:rFonts w:ascii="ARIAL" w:hAnsi="ARIAL"/>
                <w:b/>
                <w:sz w:val="18"/>
              </w:rPr>
              <w:t>EBITDA</w:t>
            </w:r>
          </w:p>
          <w:p>
            <w:pPr>
              <w:pStyle w:val="TableContents"/>
              <w:spacing w:before="0" w:after="20"/>
              <w:rPr>
                <w:rFonts w:ascii="ARIAL" w:hAnsi="ARIAL"/>
                <w:b/>
                <w:sz w:val="18"/>
              </w:rPr>
            </w:pPr>
            <w:r>
              <w:rPr>
                <w:rFonts w:ascii="ARIAL" w:hAnsi="ARIAL"/>
                <w:b/>
                <w:sz w:val="18"/>
              </w:rPr>
              <w:t>Achievement</w:t>
            </w:r>
          </w:p>
        </w:tc>
        <w:tc>
          <w:tcPr>
            <w:tcW w:w="120" w:type="dxa"/>
            <w:tcBorders/>
            <w:shd w:fill="DBDBDB" w:val="clear"/>
            <w:vAlign w:val="center"/>
          </w:tcPr>
          <w:p>
            <w:pPr>
              <w:pStyle w:val="TableContents"/>
              <w:spacing w:before="0" w:after="283"/>
              <w:rPr/>
            </w:pPr>
            <w:r>
              <w:rPr/>
              <w:t>  </w:t>
            </w:r>
          </w:p>
        </w:tc>
        <w:tc>
          <w:tcPr>
            <w:tcW w:w="1707" w:type="dxa"/>
            <w:tcBorders/>
            <w:shd w:fill="DBDBDB" w:val="clear"/>
            <w:vAlign w:val="center"/>
          </w:tcPr>
          <w:p>
            <w:pPr>
              <w:pStyle w:val="TableContents"/>
              <w:spacing w:before="0" w:after="0"/>
              <w:rPr>
                <w:rFonts w:ascii="ARIAL" w:hAnsi="ARIAL"/>
                <w:b/>
                <w:sz w:val="18"/>
              </w:rPr>
            </w:pPr>
            <w:r>
              <w:rPr>
                <w:rFonts w:ascii="ARIAL" w:hAnsi="ARIAL"/>
                <w:b/>
                <w:sz w:val="18"/>
              </w:rPr>
              <w:t>Payout</w:t>
            </w:r>
          </w:p>
          <w:p>
            <w:pPr>
              <w:pStyle w:val="TableContents"/>
              <w:spacing w:before="0" w:after="20"/>
              <w:rPr>
                <w:rFonts w:ascii="ARIAL" w:hAnsi="ARIAL"/>
                <w:b/>
                <w:sz w:val="18"/>
              </w:rPr>
            </w:pPr>
            <w:r>
              <w:rPr>
                <w:rFonts w:ascii="ARIAL" w:hAnsi="ARIAL"/>
                <w:b/>
                <w:sz w:val="18"/>
              </w:rPr>
              <w:t>Factor**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249" w:type="dxa"/>
            <w:tcBorders/>
            <w:shd w:fill="DBDBDB" w:val="clear"/>
            <w:vAlign w:val="center"/>
          </w:tcPr>
          <w:p>
            <w:pPr>
              <w:pStyle w:val="TableContents"/>
              <w:spacing w:before="0" w:after="0"/>
              <w:rPr>
                <w:rFonts w:ascii="ARIAL" w:hAnsi="ARIAL"/>
                <w:b/>
                <w:sz w:val="18"/>
              </w:rPr>
            </w:pPr>
            <w:r>
              <w:rPr>
                <w:rFonts w:ascii="ARIAL" w:hAnsi="ARIAL"/>
                <w:b/>
                <w:sz w:val="18"/>
              </w:rPr>
              <w:t>Sales</w:t>
            </w:r>
          </w:p>
          <w:p>
            <w:pPr>
              <w:pStyle w:val="TableContents"/>
              <w:spacing w:before="0" w:after="0"/>
              <w:rPr>
                <w:rFonts w:ascii="ARIAL" w:hAnsi="ARIAL"/>
                <w:b/>
                <w:sz w:val="18"/>
              </w:rPr>
            </w:pPr>
            <w:r>
              <w:rPr>
                <w:rFonts w:ascii="ARIAL" w:hAnsi="ARIAL"/>
                <w:b/>
                <w:sz w:val="18"/>
              </w:rPr>
              <w:t>Growth</w:t>
            </w:r>
          </w:p>
          <w:p>
            <w:pPr>
              <w:pStyle w:val="TableContents"/>
              <w:spacing w:before="0" w:after="20"/>
              <w:rPr>
                <w:rFonts w:ascii="ARIAL" w:hAnsi="ARIAL"/>
                <w:b/>
                <w:sz w:val="18"/>
              </w:rPr>
            </w:pPr>
            <w:r>
              <w:rPr>
                <w:rFonts w:ascii="ARIAL" w:hAnsi="ARIAL"/>
                <w:b/>
                <w:sz w:val="18"/>
              </w:rPr>
              <w:t>Achievement</w:t>
            </w:r>
          </w:p>
        </w:tc>
        <w:tc>
          <w:tcPr>
            <w:tcW w:w="120" w:type="dxa"/>
            <w:tcBorders/>
            <w:shd w:fill="DBDBDB" w:val="clear"/>
            <w:vAlign w:val="center"/>
          </w:tcPr>
          <w:p>
            <w:pPr>
              <w:pStyle w:val="TableContents"/>
              <w:spacing w:before="0" w:after="283"/>
              <w:rPr/>
            </w:pPr>
            <w:r>
              <w:rPr/>
              <w:t>  </w:t>
            </w:r>
          </w:p>
        </w:tc>
        <w:tc>
          <w:tcPr>
            <w:tcW w:w="1726" w:type="dxa"/>
            <w:tcBorders/>
            <w:shd w:fill="DBDBDB" w:val="clear"/>
            <w:vAlign w:val="center"/>
          </w:tcPr>
          <w:p>
            <w:pPr>
              <w:pStyle w:val="TableContents"/>
              <w:spacing w:before="0" w:after="0"/>
              <w:rPr>
                <w:rFonts w:ascii="ARIAL" w:hAnsi="ARIAL"/>
                <w:b/>
                <w:sz w:val="18"/>
              </w:rPr>
            </w:pPr>
            <w:r>
              <w:rPr>
                <w:rFonts w:ascii="ARIAL" w:hAnsi="ARIAL"/>
                <w:b/>
                <w:sz w:val="18"/>
              </w:rPr>
              <w:t>Payout</w:t>
            </w:r>
          </w:p>
          <w:p>
            <w:pPr>
              <w:pStyle w:val="TableContents"/>
              <w:spacing w:before="0" w:after="20"/>
              <w:rPr>
                <w:rFonts w:ascii="ARIAL" w:hAnsi="ARIAL"/>
                <w:b/>
                <w:sz w:val="18"/>
              </w:rPr>
            </w:pPr>
            <w:r>
              <w:rPr>
                <w:rFonts w:ascii="ARIAL" w:hAnsi="ARIAL"/>
                <w:b/>
                <w:sz w:val="18"/>
              </w:rPr>
              <w:t>Factor**</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2307"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441" w:type="dxa"/>
            <w:gridSpan w:val="2"/>
            <w:tcBorders/>
            <w:shd w:fill="auto" w:val="clear"/>
            <w:vAlign w:val="center"/>
          </w:tcPr>
          <w:p>
            <w:pPr>
              <w:pStyle w:val="TableContents"/>
              <w:spacing w:before="0" w:after="283"/>
              <w:rPr>
                <w:sz w:val="4"/>
                <w:szCs w:val="4"/>
              </w:rPr>
            </w:pPr>
            <w:r>
              <w:rPr>
                <w:sz w:val="4"/>
                <w:szCs w:val="4"/>
              </w:rPr>
            </w:r>
          </w:p>
        </w:tc>
        <w:tc>
          <w:tcPr>
            <w:tcW w:w="1827"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369" w:type="dxa"/>
            <w:gridSpan w:val="2"/>
            <w:tcBorders/>
            <w:shd w:fill="auto" w:val="clear"/>
            <w:vAlign w:val="center"/>
          </w:tcPr>
          <w:p>
            <w:pPr>
              <w:pStyle w:val="TableContents"/>
              <w:spacing w:before="0" w:after="283"/>
              <w:rPr>
                <w:sz w:val="4"/>
                <w:szCs w:val="4"/>
              </w:rPr>
            </w:pPr>
            <w:r>
              <w:rPr>
                <w:sz w:val="4"/>
                <w:szCs w:val="4"/>
              </w:rPr>
            </w:r>
          </w:p>
        </w:tc>
        <w:tc>
          <w:tcPr>
            <w:tcW w:w="1846"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bottom w:val="dotted" w:sz="8" w:space="0" w:color="000000"/>
            </w:tcBorders>
            <w:shd w:fill="auto" w:val="clear"/>
            <w:tcMar>
              <w:bottom w:w="100" w:type="dxa"/>
            </w:tcMar>
            <w:vAlign w:val="center"/>
          </w:tcPr>
          <w:p>
            <w:pPr>
              <w:pStyle w:val="TableContents"/>
              <w:spacing w:before="0" w:after="0"/>
              <w:rPr/>
            </w:pPr>
            <w:r>
              <w:rPr/>
              <w:t>        ≥ </w:t>
            </w:r>
            <w:r>
              <w:rPr>
                <w:rFonts w:ascii="ARIAL" w:hAnsi="ARIAL"/>
                <w:sz w:val="18"/>
              </w:rPr>
              <w:t>75th</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2187" w:type="dxa"/>
            <w:tcBorders>
              <w:bottom w:val="dotted" w:sz="8" w:space="0" w:color="000000"/>
            </w:tcBorders>
            <w:shd w:fill="auto" w:val="clear"/>
            <w:tcMar>
              <w:bottom w:w="100" w:type="dxa"/>
            </w:tcMar>
            <w:vAlign w:val="center"/>
          </w:tcPr>
          <w:p>
            <w:pPr>
              <w:pStyle w:val="TableContents"/>
              <w:spacing w:before="0" w:after="283"/>
              <w:jc w:val="center"/>
              <w:rPr/>
            </w:pPr>
            <w:r>
              <w:rPr/>
              <w:t>+20% (Maximum)</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321" w:type="dxa"/>
            <w:tcBorders>
              <w:bottom w:val="dotted" w:sz="8" w:space="0" w:color="000000"/>
            </w:tcBorders>
            <w:shd w:fill="auto" w:val="clear"/>
            <w:tcMar>
              <w:bottom w:w="100" w:type="dxa"/>
            </w:tcMar>
            <w:vAlign w:val="center"/>
          </w:tcPr>
          <w:p>
            <w:pPr>
              <w:pStyle w:val="TableContents"/>
              <w:spacing w:before="0" w:after="283"/>
              <w:jc w:val="center"/>
              <w:rPr/>
            </w:pPr>
            <w:r>
              <w:rPr/>
              <w:t>Plan + ≥ $.515B</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707" w:type="dxa"/>
            <w:tcBorders>
              <w:bottom w:val="dotted" w:sz="8" w:space="0" w:color="000000"/>
            </w:tcBorders>
            <w:shd w:fill="auto" w:val="clear"/>
            <w:tcMar>
              <w:bottom w:w="100" w:type="dxa"/>
            </w:tcMar>
            <w:vAlign w:val="center"/>
          </w:tcPr>
          <w:p>
            <w:pPr>
              <w:pStyle w:val="TableContents"/>
              <w:spacing w:before="0" w:after="283"/>
              <w:jc w:val="center"/>
              <w:rPr/>
            </w:pPr>
            <w:r>
              <w:rPr/>
              <w:t>200% (Maximum)</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249" w:type="dxa"/>
            <w:tcBorders>
              <w:bottom w:val="dotted" w:sz="8" w:space="0" w:color="000000"/>
            </w:tcBorders>
            <w:shd w:fill="auto" w:val="clear"/>
            <w:tcMar>
              <w:bottom w:w="100" w:type="dxa"/>
            </w:tcMar>
            <w:vAlign w:val="center"/>
          </w:tcPr>
          <w:p>
            <w:pPr>
              <w:pStyle w:val="TableContents"/>
              <w:spacing w:before="0" w:after="283"/>
              <w:jc w:val="center"/>
              <w:rPr/>
            </w:pPr>
            <w:r>
              <w:rPr/>
              <w:t>Plan + ≥ 6.0%</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726" w:type="dxa"/>
            <w:tcBorders>
              <w:bottom w:val="dotted" w:sz="8" w:space="0" w:color="000000"/>
            </w:tcBorders>
            <w:shd w:fill="auto" w:val="clear"/>
            <w:tcMar>
              <w:bottom w:w="100" w:type="dxa"/>
            </w:tcMar>
            <w:vAlign w:val="center"/>
          </w:tcPr>
          <w:p>
            <w:pPr>
              <w:pStyle w:val="TableContents"/>
              <w:spacing w:before="0" w:after="283"/>
              <w:jc w:val="center"/>
              <w:rPr/>
            </w:pPr>
            <w:r>
              <w:rPr/>
              <w:t>200% (Maximum)</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2307"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441" w:type="dxa"/>
            <w:gridSpan w:val="2"/>
            <w:tcBorders/>
            <w:shd w:fill="auto" w:val="clear"/>
            <w:vAlign w:val="center"/>
          </w:tcPr>
          <w:p>
            <w:pPr>
              <w:pStyle w:val="TableContents"/>
              <w:spacing w:before="0" w:after="283"/>
              <w:rPr>
                <w:sz w:val="4"/>
                <w:szCs w:val="4"/>
              </w:rPr>
            </w:pPr>
            <w:r>
              <w:rPr>
                <w:sz w:val="4"/>
                <w:szCs w:val="4"/>
              </w:rPr>
            </w:r>
          </w:p>
        </w:tc>
        <w:tc>
          <w:tcPr>
            <w:tcW w:w="1827"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369" w:type="dxa"/>
            <w:gridSpan w:val="2"/>
            <w:tcBorders/>
            <w:shd w:fill="auto" w:val="clear"/>
            <w:vAlign w:val="center"/>
          </w:tcPr>
          <w:p>
            <w:pPr>
              <w:pStyle w:val="TableContents"/>
              <w:spacing w:before="0" w:after="283"/>
              <w:rPr>
                <w:sz w:val="4"/>
                <w:szCs w:val="4"/>
              </w:rPr>
            </w:pPr>
            <w:r>
              <w:rPr>
                <w:sz w:val="4"/>
                <w:szCs w:val="4"/>
              </w:rPr>
            </w:r>
          </w:p>
        </w:tc>
        <w:tc>
          <w:tcPr>
            <w:tcW w:w="1846"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bottom w:val="dotted" w:sz="8" w:space="0" w:color="000000"/>
            </w:tcBorders>
            <w:shd w:fill="auto" w:val="clear"/>
            <w:tcMar>
              <w:bottom w:w="100" w:type="dxa"/>
            </w:tcMar>
            <w:vAlign w:val="center"/>
          </w:tcPr>
          <w:p>
            <w:pPr>
              <w:pStyle w:val="TableContents"/>
              <w:spacing w:before="0" w:after="0"/>
              <w:rPr/>
            </w:pPr>
            <w:r>
              <w:rPr/>
              <w:t>        </w:t>
            </w:r>
            <w:r>
              <w:rPr>
                <w:rFonts w:ascii="ARIAL" w:hAnsi="ARIAL"/>
                <w:sz w:val="18"/>
              </w:rPr>
              <w:t>50th</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2187" w:type="dxa"/>
            <w:tcBorders>
              <w:bottom w:val="dotted" w:sz="8" w:space="0" w:color="000000"/>
            </w:tcBorders>
            <w:shd w:fill="auto" w:val="clear"/>
            <w:tcMar>
              <w:bottom w:w="100" w:type="dxa"/>
            </w:tcMar>
            <w:vAlign w:val="center"/>
          </w:tcPr>
          <w:p>
            <w:pPr>
              <w:pStyle w:val="TableContents"/>
              <w:spacing w:before="0" w:after="283"/>
              <w:jc w:val="center"/>
              <w:rPr/>
            </w:pPr>
            <w:r>
              <w:rPr/>
              <w:t>0% adjustment (Target)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321" w:type="dxa"/>
            <w:tcBorders>
              <w:bottom w:val="dotted" w:sz="8" w:space="0" w:color="000000"/>
            </w:tcBorders>
            <w:shd w:fill="auto" w:val="clear"/>
            <w:tcMar>
              <w:bottom w:w="100" w:type="dxa"/>
            </w:tcMar>
            <w:vAlign w:val="center"/>
          </w:tcPr>
          <w:p>
            <w:pPr>
              <w:pStyle w:val="TableContents"/>
              <w:spacing w:before="0" w:after="283"/>
              <w:jc w:val="center"/>
              <w:rPr/>
            </w:pPr>
            <w:r>
              <w:rPr/>
              <w:t>Plan EBITDA</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707" w:type="dxa"/>
            <w:tcBorders>
              <w:bottom w:val="dotted" w:sz="8" w:space="0" w:color="000000"/>
            </w:tcBorders>
            <w:shd w:fill="auto" w:val="clear"/>
            <w:tcMar>
              <w:bottom w:w="100" w:type="dxa"/>
            </w:tcMar>
            <w:vAlign w:val="center"/>
          </w:tcPr>
          <w:p>
            <w:pPr>
              <w:pStyle w:val="TableContents"/>
              <w:spacing w:before="0" w:after="283"/>
              <w:jc w:val="center"/>
              <w:rPr/>
            </w:pPr>
            <w:r>
              <w:rPr/>
              <w:t>100% (Target)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249" w:type="dxa"/>
            <w:tcBorders>
              <w:bottom w:val="dotted" w:sz="8" w:space="0" w:color="000000"/>
            </w:tcBorders>
            <w:shd w:fill="auto" w:val="clear"/>
            <w:tcMar>
              <w:bottom w:w="100" w:type="dxa"/>
            </w:tcMar>
            <w:vAlign w:val="center"/>
          </w:tcPr>
          <w:p>
            <w:pPr>
              <w:pStyle w:val="TableContents"/>
              <w:spacing w:before="0" w:after="283"/>
              <w:jc w:val="center"/>
              <w:rPr/>
            </w:pPr>
            <w:r>
              <w:rPr/>
              <w:t>Plan Growth</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726" w:type="dxa"/>
            <w:tcBorders>
              <w:bottom w:val="dotted" w:sz="8" w:space="0" w:color="000000"/>
            </w:tcBorders>
            <w:shd w:fill="auto" w:val="clear"/>
            <w:tcMar>
              <w:bottom w:w="100" w:type="dxa"/>
            </w:tcMar>
            <w:vAlign w:val="center"/>
          </w:tcPr>
          <w:p>
            <w:pPr>
              <w:pStyle w:val="TableContents"/>
              <w:spacing w:before="0" w:after="283"/>
              <w:jc w:val="center"/>
              <w:rPr/>
            </w:pPr>
            <w:r>
              <w:rPr/>
              <w:t>100% (Target)</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2307"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441" w:type="dxa"/>
            <w:gridSpan w:val="2"/>
            <w:tcBorders/>
            <w:shd w:fill="auto" w:val="clear"/>
            <w:vAlign w:val="center"/>
          </w:tcPr>
          <w:p>
            <w:pPr>
              <w:pStyle w:val="TableContents"/>
              <w:spacing w:before="0" w:after="283"/>
              <w:rPr>
                <w:sz w:val="4"/>
                <w:szCs w:val="4"/>
              </w:rPr>
            </w:pPr>
            <w:r>
              <w:rPr>
                <w:sz w:val="4"/>
                <w:szCs w:val="4"/>
              </w:rPr>
            </w:r>
          </w:p>
        </w:tc>
        <w:tc>
          <w:tcPr>
            <w:tcW w:w="1827"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369" w:type="dxa"/>
            <w:gridSpan w:val="2"/>
            <w:tcBorders/>
            <w:shd w:fill="auto" w:val="clear"/>
            <w:vAlign w:val="center"/>
          </w:tcPr>
          <w:p>
            <w:pPr>
              <w:pStyle w:val="TableContents"/>
              <w:spacing w:before="0" w:after="283"/>
              <w:rPr>
                <w:sz w:val="4"/>
                <w:szCs w:val="4"/>
              </w:rPr>
            </w:pPr>
            <w:r>
              <w:rPr>
                <w:sz w:val="4"/>
                <w:szCs w:val="4"/>
              </w:rPr>
            </w:r>
          </w:p>
        </w:tc>
        <w:tc>
          <w:tcPr>
            <w:tcW w:w="1846"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bottom w:val="dotted" w:sz="8" w:space="0" w:color="000000"/>
            </w:tcBorders>
            <w:shd w:fill="auto" w:val="clear"/>
            <w:tcMar>
              <w:bottom w:w="100" w:type="dxa"/>
            </w:tcMar>
            <w:vAlign w:val="center"/>
          </w:tcPr>
          <w:p>
            <w:pPr>
              <w:pStyle w:val="TableContents"/>
              <w:spacing w:before="0" w:after="0"/>
              <w:rPr/>
            </w:pPr>
            <w:r>
              <w:rPr/>
              <w:t>        ≤ </w:t>
            </w:r>
            <w:r>
              <w:rPr>
                <w:rFonts w:ascii="ARIAL" w:hAnsi="ARIAL"/>
                <w:sz w:val="18"/>
              </w:rPr>
              <w:t>25th</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2187" w:type="dxa"/>
            <w:tcBorders>
              <w:bottom w:val="dotted" w:sz="8" w:space="0" w:color="000000"/>
            </w:tcBorders>
            <w:shd w:fill="auto" w:val="clear"/>
            <w:tcMar>
              <w:bottom w:w="100" w:type="dxa"/>
            </w:tcMar>
            <w:vAlign w:val="center"/>
          </w:tcPr>
          <w:p>
            <w:pPr>
              <w:pStyle w:val="TableContents"/>
              <w:spacing w:before="0" w:after="283"/>
              <w:jc w:val="center"/>
              <w:rPr/>
            </w:pPr>
            <w:r>
              <w:rPr/>
              <w:t>-20% (Threshold)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321" w:type="dxa"/>
            <w:tcBorders>
              <w:bottom w:val="dotted" w:sz="8" w:space="0" w:color="000000"/>
            </w:tcBorders>
            <w:shd w:fill="auto" w:val="clear"/>
            <w:tcMar>
              <w:bottom w:w="100" w:type="dxa"/>
            </w:tcMar>
            <w:vAlign w:val="center"/>
          </w:tcPr>
          <w:p>
            <w:pPr>
              <w:pStyle w:val="TableContents"/>
              <w:spacing w:before="0" w:after="283"/>
              <w:jc w:val="center"/>
              <w:rPr/>
            </w:pPr>
            <w:r>
              <w:rPr/>
              <w:t>Plan - $1.568B</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707" w:type="dxa"/>
            <w:tcBorders>
              <w:bottom w:val="dotted" w:sz="8" w:space="0" w:color="000000"/>
            </w:tcBorders>
            <w:shd w:fill="auto" w:val="clear"/>
            <w:tcMar>
              <w:bottom w:w="100" w:type="dxa"/>
            </w:tcMar>
            <w:vAlign w:val="center"/>
          </w:tcPr>
          <w:p>
            <w:pPr>
              <w:pStyle w:val="TableContents"/>
              <w:spacing w:before="0" w:after="283"/>
              <w:jc w:val="center"/>
              <w:rPr/>
            </w:pPr>
            <w:r>
              <w:rPr/>
              <w:t>50% (Threshold)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249" w:type="dxa"/>
            <w:tcBorders>
              <w:bottom w:val="dotted" w:sz="8" w:space="0" w:color="000000"/>
            </w:tcBorders>
            <w:shd w:fill="auto" w:val="clear"/>
            <w:tcMar>
              <w:bottom w:w="100" w:type="dxa"/>
            </w:tcMar>
            <w:vAlign w:val="center"/>
          </w:tcPr>
          <w:p>
            <w:pPr>
              <w:pStyle w:val="TableContents"/>
              <w:spacing w:before="0" w:after="283"/>
              <w:jc w:val="center"/>
              <w:rPr/>
            </w:pPr>
            <w:r>
              <w:rPr/>
              <w:t>Plan - 3.0%</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726" w:type="dxa"/>
            <w:tcBorders>
              <w:bottom w:val="dotted" w:sz="8" w:space="0" w:color="000000"/>
            </w:tcBorders>
            <w:shd w:fill="auto" w:val="clear"/>
            <w:tcMar>
              <w:bottom w:w="100" w:type="dxa"/>
            </w:tcMar>
            <w:vAlign w:val="center"/>
          </w:tcPr>
          <w:p>
            <w:pPr>
              <w:pStyle w:val="TableContents"/>
              <w:spacing w:before="0" w:after="283"/>
              <w:jc w:val="center"/>
              <w:rPr/>
            </w:pPr>
            <w:r>
              <w:rPr/>
              <w:t>50% (Threshold)</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2307"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441" w:type="dxa"/>
            <w:gridSpan w:val="2"/>
            <w:tcBorders/>
            <w:shd w:fill="auto" w:val="clear"/>
            <w:vAlign w:val="center"/>
          </w:tcPr>
          <w:p>
            <w:pPr>
              <w:pStyle w:val="TableContents"/>
              <w:spacing w:before="0" w:after="283"/>
              <w:rPr>
                <w:sz w:val="4"/>
                <w:szCs w:val="4"/>
              </w:rPr>
            </w:pPr>
            <w:r>
              <w:rPr>
                <w:sz w:val="4"/>
                <w:szCs w:val="4"/>
              </w:rPr>
            </w:r>
          </w:p>
        </w:tc>
        <w:tc>
          <w:tcPr>
            <w:tcW w:w="1827"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369" w:type="dxa"/>
            <w:gridSpan w:val="2"/>
            <w:tcBorders/>
            <w:shd w:fill="auto" w:val="clear"/>
            <w:vAlign w:val="center"/>
          </w:tcPr>
          <w:p>
            <w:pPr>
              <w:pStyle w:val="TableContents"/>
              <w:spacing w:before="0" w:after="283"/>
              <w:rPr>
                <w:sz w:val="4"/>
                <w:szCs w:val="4"/>
              </w:rPr>
            </w:pPr>
            <w:r>
              <w:rPr>
                <w:sz w:val="4"/>
                <w:szCs w:val="4"/>
              </w:rPr>
            </w:r>
          </w:p>
        </w:tc>
        <w:tc>
          <w:tcPr>
            <w:tcW w:w="1846"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2187"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321" w:type="dxa"/>
            <w:tcBorders>
              <w:bottom w:val="single" w:sz="6" w:space="0" w:color="000000"/>
            </w:tcBorders>
            <w:shd w:fill="auto" w:val="clear"/>
            <w:tcMar>
              <w:bottom w:w="100" w:type="dxa"/>
            </w:tcMar>
            <w:vAlign w:val="center"/>
          </w:tcPr>
          <w:p>
            <w:pPr>
              <w:pStyle w:val="TableContents"/>
              <w:spacing w:before="0" w:after="283"/>
              <w:jc w:val="center"/>
              <w:rPr/>
            </w:pPr>
            <w:r>
              <w:rPr/>
              <w:t>Plan - &gt; $1.568B</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707" w:type="dxa"/>
            <w:tcBorders>
              <w:bottom w:val="single" w:sz="6" w:space="0" w:color="000000"/>
            </w:tcBorders>
            <w:shd w:fill="auto" w:val="clear"/>
            <w:tcMar>
              <w:bottom w:w="100" w:type="dxa"/>
            </w:tcMar>
            <w:vAlign w:val="center"/>
          </w:tcPr>
          <w:p>
            <w:pPr>
              <w:pStyle w:val="TableContents"/>
              <w:spacing w:before="0" w:after="283"/>
              <w:jc w:val="center"/>
              <w:rPr/>
            </w:pPr>
            <w:r>
              <w:rPr/>
              <w:t>0%</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249" w:type="dxa"/>
            <w:tcBorders>
              <w:bottom w:val="single" w:sz="6" w:space="0" w:color="000000"/>
            </w:tcBorders>
            <w:shd w:fill="auto" w:val="clear"/>
            <w:tcMar>
              <w:bottom w:w="100" w:type="dxa"/>
            </w:tcMar>
            <w:vAlign w:val="center"/>
          </w:tcPr>
          <w:p>
            <w:pPr>
              <w:pStyle w:val="TableContents"/>
              <w:spacing w:before="0" w:after="283"/>
              <w:jc w:val="center"/>
              <w:rPr/>
            </w:pPr>
            <w:r>
              <w:rPr/>
              <w:t>Plan - &gt; 3.0%</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726" w:type="dxa"/>
            <w:tcBorders>
              <w:bottom w:val="single" w:sz="6" w:space="0" w:color="000000"/>
            </w:tcBorders>
            <w:shd w:fill="auto" w:val="clear"/>
            <w:tcMar>
              <w:bottom w:w="100" w:type="dxa"/>
            </w:tcMar>
            <w:vAlign w:val="center"/>
          </w:tcPr>
          <w:p>
            <w:pPr>
              <w:pStyle w:val="TableContents"/>
              <w:spacing w:before="0" w:after="283"/>
              <w:jc w:val="center"/>
              <w:rPr/>
            </w:pPr>
            <w:r>
              <w:rPr/>
              <w:t>0%</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ARIAL" w:hAnsi="ARIAL"/>
                <w:sz w:val="18"/>
              </w:rPr>
            </w:pPr>
            <w:r>
              <w:rPr>
                <w:rFonts w:ascii="ARIAL" w:hAnsi="ARIAL"/>
                <w:sz w:val="18"/>
              </w:rPr>
              <w:t xml:space="preserve">rTSR is calculated as (i) the average of our closing stock price over the final 20 trading days of the measurement period, minus the average of our closing stock price over the first 20 trading days of the measurement period, plus the value of reinvested dividends divided by (ii) the average of our closing stock price over the first 20 trading days of the measurement period, and is measured against each of the companies in the S&amp;P 500 index (excluding any Companies acquired during the measurement period). </w:t>
            </w:r>
          </w:p>
        </w:tc>
      </w:tr>
    </w:tbl>
    <w:tbl>
      <w:tblPr>
        <w:tblW w:w="4870" w:type="dxa"/>
        <w:jc w:val="left"/>
        <w:tblInd w:w="0" w:type="dxa"/>
        <w:tblCellMar>
          <w:top w:w="0" w:type="dxa"/>
          <w:left w:w="0" w:type="dxa"/>
          <w:bottom w:w="0" w:type="dxa"/>
          <w:right w:w="0" w:type="dxa"/>
        </w:tblCellMar>
      </w:tblPr>
      <w:tblGrid>
        <w:gridCol w:w="275"/>
        <w:gridCol w:w="4595"/>
      </w:tblGrid>
      <w:tr>
        <w:trPr/>
        <w:tc>
          <w:tcPr>
            <w:tcW w:w="275" w:type="dxa"/>
            <w:tcBorders/>
            <w:shd w:fill="auto" w:val="clear"/>
            <w:vAlign w:val="center"/>
          </w:tcPr>
          <w:p>
            <w:pPr>
              <w:pStyle w:val="TableContents"/>
              <w:spacing w:before="0" w:after="283"/>
              <w:jc w:val="left"/>
              <w:rPr/>
            </w:pPr>
            <w:r>
              <w:rPr/>
              <w:t>**</w:t>
            </w:r>
          </w:p>
        </w:tc>
        <w:tc>
          <w:tcPr>
            <w:tcW w:w="4595" w:type="dxa"/>
            <w:tcBorders/>
            <w:shd w:fill="auto" w:val="clear"/>
            <w:vAlign w:val="center"/>
          </w:tcPr>
          <w:p>
            <w:pPr>
              <w:pStyle w:val="TableContents"/>
              <w:spacing w:before="0" w:after="0"/>
              <w:jc w:val="left"/>
              <w:rPr>
                <w:rFonts w:ascii="ARIAL" w:hAnsi="ARIAL"/>
                <w:sz w:val="18"/>
              </w:rPr>
            </w:pPr>
            <w:r>
              <w:rPr>
                <w:rFonts w:ascii="ARIAL" w:hAnsi="ARIAL"/>
                <w:sz w:val="18"/>
              </w:rPr>
              <w:t xml:space="preserve">Threshold and maximum are a percentage of the target. </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jc w:val="left"/>
              <w:rPr/>
            </w:pPr>
            <w:r>
              <w:rPr/>
              <w:t>***</w:t>
            </w:r>
          </w:p>
        </w:tc>
        <w:tc>
          <w:tcPr>
            <w:tcW w:w="9954" w:type="dxa"/>
            <w:tcBorders/>
            <w:shd w:fill="auto" w:val="clear"/>
            <w:vAlign w:val="center"/>
          </w:tcPr>
          <w:p>
            <w:pPr>
              <w:pStyle w:val="TableContents"/>
              <w:spacing w:before="0" w:after="0"/>
              <w:jc w:val="left"/>
              <w:rPr>
                <w:rFonts w:ascii="ARIAL" w:hAnsi="ARIAL"/>
                <w:sz w:val="18"/>
              </w:rPr>
            </w:pPr>
            <w:r>
              <w:rPr>
                <w:rFonts w:ascii="ARIAL" w:hAnsi="ARIAL"/>
                <w:sz w:val="18"/>
              </w:rPr>
              <w:t xml:space="preserve">Adjusted EBITDA is calculated from Martin Marietta’s audited financial statements in the same manner as set forth in the reconciliations as provided in Appendix B, with the exception that adjustments are taken for certain nonrecurring items in accordance with the award agreements. </w:t>
            </w:r>
          </w:p>
        </w:tc>
      </w:tr>
    </w:tbl>
    <w:p>
      <w:pPr>
        <w:pStyle w:val="TextBody"/>
        <w:spacing w:before="240" w:after="0"/>
        <w:jc w:val="left"/>
        <w:rPr>
          <w:rFonts w:ascii="ARIAL" w:hAnsi="ARIAL"/>
          <w:b/>
          <w:color w:val="007CBA"/>
          <w:sz w:val="26"/>
        </w:rPr>
      </w:pPr>
      <w:bookmarkStart w:id="50" w:name="toc390557_43"/>
      <w:bookmarkEnd w:id="50"/>
      <w:r>
        <w:rPr>
          <w:rFonts w:ascii="ARIAL" w:hAnsi="ARIAL"/>
          <w:b/>
          <w:color w:val="007CBA"/>
          <w:sz w:val="26"/>
        </w:rPr>
        <w:t xml:space="preserve">2020-2022 PSU Award Payouts </w:t>
      </w:r>
    </w:p>
    <w:p>
      <w:pPr>
        <w:pStyle w:val="TextBody"/>
        <w:spacing w:before="120" w:after="0"/>
        <w:jc w:val="left"/>
        <w:rPr>
          <w:rFonts w:ascii="ARIAL" w:hAnsi="ARIAL"/>
          <w:sz w:val="20"/>
        </w:rPr>
      </w:pPr>
      <w:r>
        <w:rPr>
          <w:rFonts w:ascii="ARIAL" w:hAnsi="ARIAL"/>
          <w:sz w:val="20"/>
        </w:rPr>
        <w:t xml:space="preserve">PSUs that were granted in 2020 vested on December 31, 2022, because the applicable performance criteria were satisfied. These PSUs were certified and paid out in February 2023. The PSU payouts for the three-year performance period ended December 31, 2022 were calculated by comparing actual corporate performance for each metric for the period January 1, 2020 through December 31, 2022, against a table of payment levels from 0% to 200% (with the 100% payout level being considered target) established at the beginning of the performance period. </w:t>
      </w:r>
    </w:p>
    <w:p>
      <w:pPr>
        <w:pStyle w:val="TextBody"/>
        <w:spacing w:before="240" w:after="0"/>
        <w:jc w:val="left"/>
        <w:rPr>
          <w:rFonts w:ascii="ARIAL" w:hAnsi="ARIAL"/>
          <w:sz w:val="20"/>
        </w:rPr>
      </w:pPr>
      <w:r>
        <w:rPr>
          <w:rFonts w:ascii="ARIAL" w:hAnsi="ARIAL"/>
          <w:sz w:val="20"/>
        </w:rPr>
        <w:t xml:space="preserve">For the three-year performance period ended December 31, 2022, actual results were 173.2% of target. The results were above targeted level for each metric. Adjusted EBITDA (weighted 67%) was $4.29 billion compared to our pre-established target of $3.97 billion and generated a 107.2% payout factor and Sales Growth (weighted 33%) was 22.44% compared to our pre-established target of 4.5% and generated a 66% payout factor. The rTSR modifier, which provides for an adjustment up or down of up to 20%, resulted in a 109.3% adjustment as our TSR over the three-year measurement period was at the 61.6th percentile of S&amp;P 500 companies over the same period. The awards are calculated pursuant to the provisions provided in the award agreements. The Committee cannot make any adjustments to the final payout factor beyond the adjustments specified in the award agreements. </w:t>
      </w:r>
    </w:p>
    <w:p>
      <w:pPr>
        <w:pStyle w:val="TextBody"/>
        <w:spacing w:before="0" w:after="0"/>
        <w:jc w:val="left"/>
        <w:rPr/>
      </w:pPr>
      <w:r>
        <w:rPr/>
        <w:t> </w:t>
      </w:r>
    </w:p>
    <w:tbl>
      <w:tblPr>
        <w:tblW w:w="8560" w:type="dxa"/>
        <w:jc w:val="left"/>
        <w:tblInd w:w="0" w:type="dxa"/>
        <w:tblCellMar>
          <w:top w:w="0" w:type="dxa"/>
          <w:left w:w="0" w:type="dxa"/>
          <w:bottom w:w="0" w:type="dxa"/>
          <w:right w:w="0" w:type="dxa"/>
        </w:tblCellMar>
      </w:tblPr>
      <w:tblGrid>
        <w:gridCol w:w="1445"/>
        <w:gridCol w:w="120"/>
        <w:gridCol w:w="60"/>
        <w:gridCol w:w="1415"/>
        <w:gridCol w:w="60"/>
        <w:gridCol w:w="120"/>
        <w:gridCol w:w="60"/>
        <w:gridCol w:w="1595"/>
        <w:gridCol w:w="60"/>
        <w:gridCol w:w="120"/>
        <w:gridCol w:w="108"/>
        <w:gridCol w:w="962"/>
        <w:gridCol w:w="60"/>
        <w:gridCol w:w="120"/>
        <w:gridCol w:w="60"/>
        <w:gridCol w:w="2120"/>
        <w:gridCol w:w="75"/>
      </w:tblGrid>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45" w:type="dxa"/>
            <w:tcBorders/>
            <w:shd w:fill="DBDBDB" w:val="clear"/>
            <w:vAlign w:val="center"/>
          </w:tcPr>
          <w:p>
            <w:pPr>
              <w:pStyle w:val="TableContents"/>
              <w:spacing w:before="0" w:after="283"/>
              <w:rPr>
                <w:sz w:val="4"/>
                <w:szCs w:val="4"/>
              </w:rPr>
            </w:pPr>
            <w:r>
              <w:rPr>
                <w:sz w:val="4"/>
                <w:szCs w:val="4"/>
              </w:rPr>
            </w:r>
          </w:p>
        </w:tc>
        <w:tc>
          <w:tcPr>
            <w:tcW w:w="1655" w:type="dxa"/>
            <w:gridSpan w:val="4"/>
            <w:tcBorders/>
            <w:shd w:fill="DBDBDB" w:val="clear"/>
            <w:vAlign w:val="center"/>
          </w:tcPr>
          <w:p>
            <w:pPr>
              <w:pStyle w:val="TableContents"/>
              <w:spacing w:before="0" w:after="283"/>
              <w:rPr>
                <w:sz w:val="4"/>
                <w:szCs w:val="4"/>
              </w:rPr>
            </w:pPr>
            <w:r>
              <w:rPr>
                <w:sz w:val="4"/>
                <w:szCs w:val="4"/>
              </w:rPr>
            </w:r>
          </w:p>
        </w:tc>
        <w:tc>
          <w:tcPr>
            <w:tcW w:w="1835" w:type="dxa"/>
            <w:gridSpan w:val="4"/>
            <w:tcBorders/>
            <w:shd w:fill="DBDBDB" w:val="clear"/>
            <w:vAlign w:val="center"/>
          </w:tcPr>
          <w:p>
            <w:pPr>
              <w:pStyle w:val="TableContents"/>
              <w:spacing w:before="0" w:after="283"/>
              <w:rPr>
                <w:sz w:val="4"/>
                <w:szCs w:val="4"/>
              </w:rPr>
            </w:pPr>
            <w:r>
              <w:rPr>
                <w:sz w:val="4"/>
                <w:szCs w:val="4"/>
              </w:rPr>
            </w:r>
          </w:p>
        </w:tc>
        <w:tc>
          <w:tcPr>
            <w:tcW w:w="1250" w:type="dxa"/>
            <w:gridSpan w:val="4"/>
            <w:tcBorders/>
            <w:shd w:fill="DBDBDB" w:val="clear"/>
            <w:vAlign w:val="center"/>
          </w:tcPr>
          <w:p>
            <w:pPr>
              <w:pStyle w:val="TableContents"/>
              <w:spacing w:before="0" w:after="283"/>
              <w:rPr>
                <w:sz w:val="4"/>
                <w:szCs w:val="4"/>
              </w:rPr>
            </w:pPr>
            <w:r>
              <w:rPr>
                <w:sz w:val="4"/>
                <w:szCs w:val="4"/>
              </w:rPr>
            </w:r>
          </w:p>
        </w:tc>
        <w:tc>
          <w:tcPr>
            <w:tcW w:w="2375" w:type="dxa"/>
            <w:gridSpan w:val="4"/>
            <w:tcBorders/>
            <w:shd w:fill="DBDBDB" w:val="clear"/>
            <w:vAlign w:val="center"/>
          </w:tcPr>
          <w:p>
            <w:pPr>
              <w:pStyle w:val="TableContents"/>
              <w:spacing w:before="0" w:after="283"/>
              <w:rPr>
                <w:sz w:val="4"/>
                <w:szCs w:val="4"/>
              </w:rPr>
            </w:pPr>
            <w:r>
              <w:rPr>
                <w:sz w:val="4"/>
                <w:szCs w:val="4"/>
              </w:rPr>
            </w:r>
          </w:p>
        </w:tc>
      </w:tr>
      <w:tr>
        <w:trPr/>
        <w:tc>
          <w:tcPr>
            <w:tcW w:w="1445" w:type="dxa"/>
            <w:tcBorders/>
            <w:shd w:fill="DBDBDB" w:val="clear"/>
            <w:vAlign w:val="center"/>
          </w:tcPr>
          <w:p>
            <w:pPr>
              <w:pStyle w:val="TableContents"/>
              <w:spacing w:before="0" w:after="0"/>
              <w:rPr>
                <w:rFonts w:ascii="ARIAL" w:hAnsi="ARIAL"/>
                <w:b/>
                <w:sz w:val="18"/>
              </w:rPr>
            </w:pPr>
            <w:r>
              <w:rPr>
                <w:rFonts w:ascii="ARIAL" w:hAnsi="ARIAL"/>
                <w:b/>
                <w:sz w:val="18"/>
              </w:rPr>
              <w:t>Measure</w:t>
            </w:r>
          </w:p>
        </w:tc>
        <w:tc>
          <w:tcPr>
            <w:tcW w:w="120" w:type="dxa"/>
            <w:tcBorders/>
            <w:shd w:fill="DBDBDB" w:val="clear"/>
            <w:vAlign w:val="center"/>
          </w:tcPr>
          <w:p>
            <w:pPr>
              <w:pStyle w:val="TableContents"/>
              <w:spacing w:before="0" w:after="283"/>
              <w:rPr/>
            </w:pPr>
            <w:r>
              <w:rPr/>
              <w:t>  </w:t>
            </w:r>
          </w:p>
        </w:tc>
        <w:tc>
          <w:tcPr>
            <w:tcW w:w="1475" w:type="dxa"/>
            <w:gridSpan w:val="2"/>
            <w:tcBorders/>
            <w:shd w:fill="DBDBDB" w:val="clear"/>
            <w:vAlign w:val="center"/>
          </w:tcPr>
          <w:p>
            <w:pPr>
              <w:pStyle w:val="TableContents"/>
              <w:spacing w:before="0" w:after="0"/>
              <w:jc w:val="center"/>
              <w:rPr>
                <w:rFonts w:ascii="ARIAL" w:hAnsi="ARIAL"/>
                <w:b/>
                <w:sz w:val="18"/>
              </w:rPr>
            </w:pPr>
            <w:r>
              <w:rPr>
                <w:rFonts w:ascii="ARIAL" w:hAnsi="ARIAL"/>
                <w:b/>
                <w:sz w:val="18"/>
              </w:rPr>
              <w:t>Performance</w:t>
            </w:r>
          </w:p>
          <w:p>
            <w:pPr>
              <w:pStyle w:val="TableContents"/>
              <w:spacing w:before="0" w:after="20"/>
              <w:jc w:val="center"/>
              <w:rPr>
                <w:rFonts w:ascii="ARIAL" w:hAnsi="ARIAL"/>
                <w:b/>
                <w:sz w:val="18"/>
              </w:rPr>
            </w:pPr>
            <w:r>
              <w:rPr>
                <w:rFonts w:ascii="ARIAL" w:hAnsi="ARIAL"/>
                <w:b/>
                <w:sz w:val="18"/>
              </w:rPr>
              <w:t>Target</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655" w:type="dxa"/>
            <w:gridSpan w:val="2"/>
            <w:tcBorders/>
            <w:shd w:fill="DBDBDB" w:val="clear"/>
            <w:vAlign w:val="center"/>
          </w:tcPr>
          <w:p>
            <w:pPr>
              <w:pStyle w:val="TableContents"/>
              <w:spacing w:before="0" w:after="0"/>
              <w:jc w:val="center"/>
              <w:rPr>
                <w:rFonts w:ascii="ARIAL" w:hAnsi="ARIAL"/>
                <w:b/>
                <w:sz w:val="18"/>
              </w:rPr>
            </w:pPr>
            <w:r>
              <w:rPr>
                <w:rFonts w:ascii="ARIAL" w:hAnsi="ARIAL"/>
                <w:b/>
                <w:sz w:val="18"/>
              </w:rPr>
              <w:t>Performance</w:t>
            </w:r>
          </w:p>
          <w:p>
            <w:pPr>
              <w:pStyle w:val="TableContents"/>
              <w:spacing w:before="0" w:after="20"/>
              <w:jc w:val="center"/>
              <w:rPr>
                <w:rFonts w:ascii="ARIAL" w:hAnsi="ARIAL"/>
                <w:b/>
                <w:sz w:val="18"/>
              </w:rPr>
            </w:pPr>
            <w:r>
              <w:rPr>
                <w:rFonts w:ascii="ARIAL" w:hAnsi="ARIAL"/>
                <w:b/>
                <w:sz w:val="18"/>
              </w:rPr>
              <w:t>Result</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070" w:type="dxa"/>
            <w:gridSpan w:val="2"/>
            <w:tcBorders/>
            <w:shd w:fill="DBDBDB" w:val="clear"/>
            <w:vAlign w:val="center"/>
          </w:tcPr>
          <w:p>
            <w:pPr>
              <w:pStyle w:val="TableContents"/>
              <w:spacing w:before="0" w:after="283"/>
              <w:jc w:val="center"/>
              <w:rPr>
                <w:b/>
              </w:rPr>
            </w:pPr>
            <w:r>
              <w:rPr>
                <w:b/>
              </w:rPr>
              <w:t>Weighting</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2180" w:type="dxa"/>
            <w:gridSpan w:val="2"/>
            <w:tcBorders/>
            <w:shd w:fill="DBDBDB" w:val="clear"/>
            <w:vAlign w:val="center"/>
          </w:tcPr>
          <w:p>
            <w:pPr>
              <w:pStyle w:val="TableContents"/>
              <w:spacing w:before="0" w:after="0"/>
              <w:jc w:val="center"/>
              <w:rPr>
                <w:rFonts w:ascii="ARIAL" w:hAnsi="ARIAL"/>
                <w:b/>
                <w:sz w:val="18"/>
              </w:rPr>
            </w:pPr>
            <w:r>
              <w:rPr>
                <w:rFonts w:ascii="ARIAL" w:hAnsi="ARIAL"/>
                <w:b/>
                <w:sz w:val="18"/>
              </w:rPr>
              <w:t>Weighted</w:t>
            </w:r>
          </w:p>
          <w:p>
            <w:pPr>
              <w:pStyle w:val="TableContents"/>
              <w:spacing w:before="0" w:after="20"/>
              <w:jc w:val="center"/>
              <w:rPr>
                <w:rFonts w:ascii="ARIAL" w:hAnsi="ARIAL"/>
                <w:b/>
                <w:sz w:val="18"/>
              </w:rPr>
            </w:pPr>
            <w:r>
              <w:rPr>
                <w:rFonts w:ascii="ARIAL" w:hAnsi="ARIAL"/>
                <w:b/>
                <w:sz w:val="18"/>
              </w:rPr>
              <w:t>Payout Factor</w:t>
            </w:r>
          </w:p>
        </w:tc>
        <w:tc>
          <w:tcPr>
            <w:tcW w:w="75" w:type="dxa"/>
            <w:tcBorders/>
            <w:shd w:fill="DBDBDB"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c>
          <w:tcPr>
            <w:tcW w:w="1835"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2375" w:type="dxa"/>
            <w:gridSpan w:val="4"/>
            <w:tcBorders/>
            <w:shd w:fill="auto" w:val="clear"/>
            <w:vAlign w:val="center"/>
          </w:tcPr>
          <w:p>
            <w:pPr>
              <w:pStyle w:val="TableContents"/>
              <w:spacing w:before="0" w:after="283"/>
              <w:rPr>
                <w:sz w:val="4"/>
                <w:szCs w:val="4"/>
              </w:rPr>
            </w:pPr>
            <w:r>
              <w:rPr>
                <w:sz w:val="4"/>
                <w:szCs w:val="4"/>
              </w:rPr>
            </w:r>
          </w:p>
        </w:tc>
      </w:tr>
      <w:tr>
        <w:trPr/>
        <w:tc>
          <w:tcPr>
            <w:tcW w:w="144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Adjusted EBITDA</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415" w:type="dxa"/>
            <w:tcBorders>
              <w:bottom w:val="dotted" w:sz="8" w:space="0" w:color="000000"/>
            </w:tcBorders>
            <w:shd w:fill="auto" w:val="clear"/>
            <w:tcMar>
              <w:bottom w:w="100" w:type="dxa"/>
            </w:tcMar>
            <w:vAlign w:val="center"/>
          </w:tcPr>
          <w:p>
            <w:pPr>
              <w:pStyle w:val="TableContents"/>
              <w:spacing w:before="0" w:after="283"/>
              <w:jc w:val="right"/>
              <w:rPr/>
            </w:pPr>
            <w:r>
              <w:rPr/>
              <w:t>$3.97B</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595" w:type="dxa"/>
            <w:tcBorders>
              <w:bottom w:val="dotted" w:sz="8" w:space="0" w:color="000000"/>
            </w:tcBorders>
            <w:shd w:fill="auto" w:val="clear"/>
            <w:tcMar>
              <w:bottom w:w="100" w:type="dxa"/>
            </w:tcMar>
            <w:vAlign w:val="center"/>
          </w:tcPr>
          <w:p>
            <w:pPr>
              <w:pStyle w:val="TableContents"/>
              <w:spacing w:before="0" w:after="283"/>
              <w:jc w:val="right"/>
              <w:rPr/>
            </w:pPr>
            <w:r>
              <w:rPr/>
              <w:t>$4.29B</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08" w:type="dxa"/>
            <w:tcBorders>
              <w:bottom w:val="dotted" w:sz="8" w:space="0" w:color="000000"/>
            </w:tcBorders>
            <w:shd w:fill="auto" w:val="clear"/>
            <w:tcMar>
              <w:bottom w:w="100" w:type="dxa"/>
            </w:tcMar>
            <w:vAlign w:val="center"/>
          </w:tcPr>
          <w:p>
            <w:pPr>
              <w:pStyle w:val="TableContents"/>
              <w:spacing w:before="0" w:after="283"/>
              <w:rPr/>
            </w:pPr>
            <w:r>
              <w:rPr/>
              <w:t> </w:t>
            </w:r>
          </w:p>
        </w:tc>
        <w:tc>
          <w:tcPr>
            <w:tcW w:w="962" w:type="dxa"/>
            <w:tcBorders>
              <w:bottom w:val="dotted" w:sz="8" w:space="0" w:color="000000"/>
            </w:tcBorders>
            <w:shd w:fill="auto" w:val="clear"/>
            <w:tcMar>
              <w:bottom w:w="100" w:type="dxa"/>
            </w:tcMar>
            <w:vAlign w:val="center"/>
          </w:tcPr>
          <w:p>
            <w:pPr>
              <w:pStyle w:val="TableContents"/>
              <w:spacing w:before="0" w:after="283"/>
              <w:jc w:val="right"/>
              <w:rPr/>
            </w:pPr>
            <w:r>
              <w:rPr/>
              <w:t>67%</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2120" w:type="dxa"/>
            <w:tcBorders>
              <w:bottom w:val="dotted" w:sz="8" w:space="0" w:color="000000"/>
            </w:tcBorders>
            <w:shd w:fill="auto" w:val="clear"/>
            <w:tcMar>
              <w:bottom w:w="100" w:type="dxa"/>
            </w:tcMar>
            <w:vAlign w:val="center"/>
          </w:tcPr>
          <w:p>
            <w:pPr>
              <w:pStyle w:val="TableContents"/>
              <w:spacing w:before="0" w:after="283"/>
              <w:jc w:val="right"/>
              <w:rPr/>
            </w:pPr>
            <w:r>
              <w:rPr/>
              <w:t>107.2%</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c>
          <w:tcPr>
            <w:tcW w:w="1835"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2375" w:type="dxa"/>
            <w:gridSpan w:val="4"/>
            <w:tcBorders/>
            <w:shd w:fill="auto" w:val="clear"/>
            <w:vAlign w:val="center"/>
          </w:tcPr>
          <w:p>
            <w:pPr>
              <w:pStyle w:val="TableContents"/>
              <w:spacing w:before="0" w:after="283"/>
              <w:rPr>
                <w:sz w:val="4"/>
                <w:szCs w:val="4"/>
              </w:rPr>
            </w:pPr>
            <w:r>
              <w:rPr>
                <w:sz w:val="4"/>
                <w:szCs w:val="4"/>
              </w:rPr>
            </w:r>
          </w:p>
        </w:tc>
      </w:tr>
      <w:tr>
        <w:trPr/>
        <w:tc>
          <w:tcPr>
            <w:tcW w:w="144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Sales Growth</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415" w:type="dxa"/>
            <w:tcBorders>
              <w:bottom w:val="dotted" w:sz="8" w:space="0" w:color="000000"/>
            </w:tcBorders>
            <w:shd w:fill="auto" w:val="clear"/>
            <w:tcMar>
              <w:bottom w:w="100" w:type="dxa"/>
            </w:tcMar>
            <w:vAlign w:val="center"/>
          </w:tcPr>
          <w:p>
            <w:pPr>
              <w:pStyle w:val="TableContents"/>
              <w:spacing w:before="0" w:after="283"/>
              <w:jc w:val="right"/>
              <w:rPr/>
            </w:pPr>
            <w:r>
              <w:rPr/>
              <w:t>4.5%</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595" w:type="dxa"/>
            <w:tcBorders>
              <w:bottom w:val="dotted" w:sz="8" w:space="0" w:color="000000"/>
            </w:tcBorders>
            <w:shd w:fill="auto" w:val="clear"/>
            <w:tcMar>
              <w:bottom w:w="100" w:type="dxa"/>
            </w:tcMar>
            <w:vAlign w:val="center"/>
          </w:tcPr>
          <w:p>
            <w:pPr>
              <w:pStyle w:val="TableContents"/>
              <w:spacing w:before="0" w:after="283"/>
              <w:jc w:val="right"/>
              <w:rPr/>
            </w:pPr>
            <w:r>
              <w:rPr/>
              <w:t>22.44%</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08" w:type="dxa"/>
            <w:tcBorders>
              <w:bottom w:val="dotted" w:sz="8" w:space="0" w:color="000000"/>
            </w:tcBorders>
            <w:shd w:fill="auto" w:val="clear"/>
            <w:tcMar>
              <w:bottom w:w="100" w:type="dxa"/>
            </w:tcMar>
            <w:vAlign w:val="center"/>
          </w:tcPr>
          <w:p>
            <w:pPr>
              <w:pStyle w:val="TableContents"/>
              <w:spacing w:before="0" w:after="283"/>
              <w:rPr/>
            </w:pPr>
            <w:r>
              <w:rPr/>
              <w:t> </w:t>
            </w:r>
          </w:p>
        </w:tc>
        <w:tc>
          <w:tcPr>
            <w:tcW w:w="962" w:type="dxa"/>
            <w:tcBorders>
              <w:bottom w:val="dotted" w:sz="8" w:space="0" w:color="000000"/>
            </w:tcBorders>
            <w:shd w:fill="auto" w:val="clear"/>
            <w:tcMar>
              <w:bottom w:w="100" w:type="dxa"/>
            </w:tcMar>
            <w:vAlign w:val="center"/>
          </w:tcPr>
          <w:p>
            <w:pPr>
              <w:pStyle w:val="TableContents"/>
              <w:spacing w:before="0" w:after="283"/>
              <w:jc w:val="right"/>
              <w:rPr/>
            </w:pPr>
            <w:r>
              <w:rPr/>
              <w:t>33%</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2120" w:type="dxa"/>
            <w:tcBorders>
              <w:bottom w:val="dotted" w:sz="8" w:space="0" w:color="000000"/>
            </w:tcBorders>
            <w:shd w:fill="auto" w:val="clear"/>
            <w:tcMar>
              <w:bottom w:w="100" w:type="dxa"/>
            </w:tcMar>
            <w:vAlign w:val="center"/>
          </w:tcPr>
          <w:p>
            <w:pPr>
              <w:pStyle w:val="TableContents"/>
              <w:spacing w:before="0" w:after="283"/>
              <w:jc w:val="right"/>
              <w:rPr/>
            </w:pPr>
            <w:r>
              <w:rPr/>
              <w:t>66%</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c>
          <w:tcPr>
            <w:tcW w:w="1835"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2375" w:type="dxa"/>
            <w:gridSpan w:val="4"/>
            <w:tcBorders/>
            <w:shd w:fill="auto" w:val="clear"/>
            <w:vAlign w:val="center"/>
          </w:tcPr>
          <w:p>
            <w:pPr>
              <w:pStyle w:val="TableContents"/>
              <w:spacing w:before="0" w:after="283"/>
              <w:rPr>
                <w:sz w:val="4"/>
                <w:szCs w:val="4"/>
              </w:rPr>
            </w:pPr>
            <w:r>
              <w:rPr>
                <w:sz w:val="4"/>
                <w:szCs w:val="4"/>
              </w:rPr>
            </w:r>
          </w:p>
        </w:tc>
      </w:tr>
      <w:tr>
        <w:trPr/>
        <w:tc>
          <w:tcPr>
            <w:tcW w:w="1445" w:type="dxa"/>
            <w:tcBorders>
              <w:bottom w:val="single" w:sz="6"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Relative TSR</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415" w:type="dxa"/>
            <w:tcBorders>
              <w:bottom w:val="single" w:sz="6" w:space="0" w:color="000000"/>
            </w:tcBorders>
            <w:shd w:fill="auto" w:val="clear"/>
            <w:tcMar>
              <w:bottom w:w="100" w:type="dxa"/>
            </w:tcMar>
            <w:vAlign w:val="center"/>
          </w:tcPr>
          <w:p>
            <w:pPr>
              <w:pStyle w:val="TableContents"/>
              <w:spacing w:before="0" w:after="283"/>
              <w:jc w:val="right"/>
              <w:rPr/>
            </w:pPr>
            <w:r>
              <w:rPr/>
              <w:t>50th percentile</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595" w:type="dxa"/>
            <w:tcBorders>
              <w:bottom w:val="single" w:sz="6" w:space="0" w:color="000000"/>
            </w:tcBorders>
            <w:shd w:fill="auto" w:val="clear"/>
            <w:tcMar>
              <w:bottom w:w="100" w:type="dxa"/>
            </w:tcMar>
            <w:vAlign w:val="center"/>
          </w:tcPr>
          <w:p>
            <w:pPr>
              <w:pStyle w:val="TableContents"/>
              <w:spacing w:before="0" w:after="283"/>
              <w:jc w:val="right"/>
              <w:rPr/>
            </w:pPr>
            <w:r>
              <w:rPr/>
              <w:t>61.6th percentile</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08" w:type="dxa"/>
            <w:tcBorders>
              <w:bottom w:val="single" w:sz="6" w:space="0" w:color="000000"/>
            </w:tcBorders>
            <w:shd w:fill="auto" w:val="clear"/>
            <w:tcMar>
              <w:bottom w:w="100" w:type="dxa"/>
            </w:tcMar>
            <w:vAlign w:val="center"/>
          </w:tcPr>
          <w:p>
            <w:pPr>
              <w:pStyle w:val="TableContents"/>
              <w:spacing w:before="0" w:after="283"/>
              <w:rPr/>
            </w:pPr>
            <w:r>
              <w:rPr/>
              <w:t> </w:t>
            </w:r>
          </w:p>
        </w:tc>
        <w:tc>
          <w:tcPr>
            <w:tcW w:w="962" w:type="dxa"/>
            <w:tcBorders>
              <w:bottom w:val="single" w:sz="6" w:space="0" w:color="000000"/>
            </w:tcBorders>
            <w:shd w:fill="auto" w:val="clear"/>
            <w:tcMar>
              <w:bottom w:w="100" w:type="dxa"/>
            </w:tcMar>
            <w:vAlign w:val="center"/>
          </w:tcPr>
          <w:p>
            <w:pPr>
              <w:pStyle w:val="TableContents"/>
              <w:spacing w:before="0" w:after="283"/>
              <w:jc w:val="right"/>
              <w:rPr/>
            </w:pPr>
            <w:r>
              <w:rPr/>
              <w:t>+/-20%</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2120" w:type="dxa"/>
            <w:tcBorders>
              <w:bottom w:val="single" w:sz="6" w:space="0" w:color="000000"/>
            </w:tcBorders>
            <w:shd w:fill="auto" w:val="clear"/>
            <w:tcMar>
              <w:bottom w:w="100" w:type="dxa"/>
            </w:tcMar>
            <w:vAlign w:val="center"/>
          </w:tcPr>
          <w:p>
            <w:pPr>
              <w:pStyle w:val="TableContents"/>
              <w:spacing w:before="0" w:after="283"/>
              <w:jc w:val="right"/>
              <w:rPr/>
            </w:pPr>
            <w:r>
              <w:rPr/>
              <w:t>109.3% of total award</w:t>
            </w:r>
          </w:p>
        </w:tc>
        <w:tc>
          <w:tcPr>
            <w:tcW w:w="75"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64</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1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1" descr=""/>
                          <pic:cNvPicPr>
                            <a:picLocks noChangeAspect="1" noChangeArrowheads="1"/>
                          </pic:cNvPicPr>
                        </pic:nvPicPr>
                        <pic:blipFill>
                          <a:blip r:embed="rId20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2020-2022 PSU AWARD PAYOUTS  ◆  </w:t>
      </w:r>
      <w:r>
        <w:rPr>
          <w:rFonts w:ascii="ARIAL" w:hAnsi="ARIAL"/>
          <w:color w:val="007CBA"/>
          <w:sz w:val="16"/>
        </w:rPr>
        <w:t>COMPENSATION DISCUSSION AND ANALYSIS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Based on a weighted payout factor of 189%, the following table shows the payouts under the 2020-2022 PSUs. </w:t>
      </w:r>
    </w:p>
    <w:p>
      <w:pPr>
        <w:pStyle w:val="TextBody"/>
        <w:spacing w:before="0" w:after="0"/>
        <w:jc w:val="left"/>
        <w:rPr/>
      </w:pPr>
      <w:r>
        <w:rPr/>
        <w:t> </w:t>
      </w:r>
    </w:p>
    <w:tbl>
      <w:tblPr>
        <w:tblW w:w="5457" w:type="dxa"/>
        <w:jc w:val="left"/>
        <w:tblInd w:w="0" w:type="dxa"/>
        <w:tblCellMar>
          <w:top w:w="0" w:type="dxa"/>
          <w:left w:w="0" w:type="dxa"/>
          <w:bottom w:w="0" w:type="dxa"/>
          <w:right w:w="0" w:type="dxa"/>
        </w:tblCellMar>
      </w:tblPr>
      <w:tblGrid>
        <w:gridCol w:w="1967"/>
        <w:gridCol w:w="137"/>
        <w:gridCol w:w="180"/>
        <w:gridCol w:w="2045"/>
        <w:gridCol w:w="68"/>
        <w:gridCol w:w="137"/>
        <w:gridCol w:w="68"/>
        <w:gridCol w:w="780"/>
        <w:gridCol w:w="75"/>
      </w:tblGrid>
      <w:tr>
        <w:trPr/>
        <w:tc>
          <w:tcPr>
            <w:tcW w:w="196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382" w:type="dxa"/>
            <w:gridSpan w:val="8"/>
            <w:tcBorders/>
            <w:shd w:fill="DBDBDB" w:val="clear"/>
            <w:vAlign w:val="center"/>
          </w:tcPr>
          <w:p>
            <w:pPr>
              <w:pStyle w:val="TableContents"/>
              <w:spacing w:before="0" w:after="0"/>
              <w:jc w:val="center"/>
              <w:rPr>
                <w:rFonts w:ascii="ARIAL" w:hAnsi="ARIAL"/>
                <w:b/>
                <w:sz w:val="18"/>
              </w:rPr>
            </w:pPr>
            <w:r>
              <w:rPr>
                <w:rFonts w:ascii="ARIAL" w:hAnsi="ARIAL"/>
                <w:b/>
                <w:sz w:val="18"/>
              </w:rPr>
              <w:t>Payment Calculation for PSUs Granted in 2020</w:t>
            </w:r>
          </w:p>
          <w:p>
            <w:pPr>
              <w:pStyle w:val="TableContents"/>
              <w:spacing w:before="0" w:after="20"/>
              <w:jc w:val="center"/>
              <w:rPr>
                <w:rFonts w:ascii="ARIAL" w:hAnsi="ARIAL"/>
                <w:b/>
                <w:sz w:val="18"/>
              </w:rPr>
            </w:pPr>
            <w:r>
              <w:rPr>
                <w:rFonts w:ascii="ARIAL" w:hAnsi="ARIAL"/>
                <w:b/>
                <w:sz w:val="18"/>
              </w:rPr>
              <w:t>Certified on February 21, 2023</w:t>
            </w:r>
          </w:p>
        </w:tc>
        <w:tc>
          <w:tcPr>
            <w:tcW w:w="75" w:type="dxa"/>
            <w:tcBorders/>
            <w:shd w:fill="DBDBDB" w:val="clear"/>
            <w:vAlign w:val="center"/>
          </w:tcPr>
          <w:p>
            <w:pPr>
              <w:pStyle w:val="TableContents"/>
              <w:spacing w:before="0" w:after="283"/>
              <w:rPr/>
            </w:pPr>
            <w:r>
              <w:rPr/>
              <w:t> </w:t>
            </w:r>
          </w:p>
        </w:tc>
      </w:tr>
      <w:tr>
        <w:trPr/>
        <w:tc>
          <w:tcPr>
            <w:tcW w:w="1967" w:type="dxa"/>
            <w:tcBorders/>
            <w:shd w:fill="DBDBDB" w:val="clear"/>
            <w:vAlign w:val="center"/>
          </w:tcPr>
          <w:p>
            <w:pPr>
              <w:pStyle w:val="TableContents"/>
              <w:spacing w:before="0" w:after="0"/>
              <w:rPr>
                <w:rFonts w:ascii="ARIAL" w:hAnsi="ARIAL"/>
                <w:b/>
                <w:sz w:val="18"/>
              </w:rPr>
            </w:pPr>
            <w:r>
              <w:rPr>
                <w:rFonts w:ascii="ARIAL" w:hAnsi="ARIAL"/>
                <w:b/>
                <w:sz w:val="18"/>
              </w:rPr>
              <w:t>NEO</w:t>
            </w:r>
          </w:p>
        </w:tc>
        <w:tc>
          <w:tcPr>
            <w:tcW w:w="137" w:type="dxa"/>
            <w:tcBorders/>
            <w:shd w:fill="DBDBDB" w:val="clear"/>
            <w:vAlign w:val="center"/>
          </w:tcPr>
          <w:p>
            <w:pPr>
              <w:pStyle w:val="TableContents"/>
              <w:spacing w:before="0" w:after="283"/>
              <w:rPr/>
            </w:pPr>
            <w:r>
              <w:rPr/>
              <w:t>  </w:t>
            </w:r>
          </w:p>
        </w:tc>
        <w:tc>
          <w:tcPr>
            <w:tcW w:w="2225" w:type="dxa"/>
            <w:gridSpan w:val="2"/>
            <w:tcBorders/>
            <w:shd w:fill="DBDBDB" w:val="clear"/>
            <w:vAlign w:val="center"/>
          </w:tcPr>
          <w:p>
            <w:pPr>
              <w:pStyle w:val="TableContents"/>
              <w:spacing w:before="0" w:after="283"/>
              <w:rPr>
                <w:b/>
              </w:rPr>
            </w:pPr>
            <w:r>
              <w:rPr>
                <w:b/>
              </w:rPr>
              <w:t>Target Units Granted</w:t>
              <w:br/>
              <w:t>in 2020 (shares)</w:t>
            </w:r>
          </w:p>
        </w:tc>
        <w:tc>
          <w:tcPr>
            <w:tcW w:w="68" w:type="dxa"/>
            <w:tcBorders/>
            <w:shd w:fill="DBDBDB" w:val="clear"/>
            <w:vAlign w:val="center"/>
          </w:tcPr>
          <w:p>
            <w:pPr>
              <w:pStyle w:val="TableContents"/>
              <w:spacing w:before="0" w:after="283"/>
              <w:rPr/>
            </w:pPr>
            <w:r>
              <w:rPr/>
              <w:t> </w:t>
            </w:r>
          </w:p>
        </w:tc>
        <w:tc>
          <w:tcPr>
            <w:tcW w:w="137" w:type="dxa"/>
            <w:tcBorders/>
            <w:shd w:fill="DBDBDB" w:val="clear"/>
            <w:vAlign w:val="center"/>
          </w:tcPr>
          <w:p>
            <w:pPr>
              <w:pStyle w:val="TableContents"/>
              <w:spacing w:before="0" w:after="283"/>
              <w:rPr/>
            </w:pPr>
            <w:r>
              <w:rPr/>
              <w:t>  </w:t>
            </w:r>
          </w:p>
        </w:tc>
        <w:tc>
          <w:tcPr>
            <w:tcW w:w="848" w:type="dxa"/>
            <w:gridSpan w:val="2"/>
            <w:tcBorders/>
            <w:shd w:fill="DBDBDB" w:val="clear"/>
            <w:vAlign w:val="center"/>
          </w:tcPr>
          <w:p>
            <w:pPr>
              <w:pStyle w:val="TableContents"/>
              <w:spacing w:before="0" w:after="0"/>
              <w:rPr>
                <w:rFonts w:ascii="ARIAL" w:hAnsi="ARIAL"/>
                <w:b/>
                <w:sz w:val="18"/>
              </w:rPr>
            </w:pPr>
            <w:r>
              <w:rPr>
                <w:rFonts w:ascii="ARIAL" w:hAnsi="ARIAL"/>
                <w:b/>
                <w:sz w:val="18"/>
              </w:rPr>
              <w:t>Payout</w:t>
            </w:r>
          </w:p>
          <w:p>
            <w:pPr>
              <w:pStyle w:val="TableContents"/>
              <w:spacing w:before="0" w:after="20"/>
              <w:rPr>
                <w:rFonts w:ascii="ARIAL" w:hAnsi="ARIAL"/>
                <w:b/>
                <w:sz w:val="18"/>
              </w:rPr>
            </w:pPr>
            <w:r>
              <w:rPr>
                <w:rFonts w:ascii="ARIAL" w:hAnsi="ARIAL"/>
                <w:b/>
                <w:sz w:val="18"/>
              </w:rPr>
              <w:t>(shares)</w:t>
            </w:r>
          </w:p>
        </w:tc>
        <w:tc>
          <w:tcPr>
            <w:tcW w:w="75" w:type="dxa"/>
            <w:tcBorders/>
            <w:shd w:fill="DBDBDB" w:val="clear"/>
            <w:vAlign w:val="center"/>
          </w:tcPr>
          <w:p>
            <w:pPr>
              <w:pStyle w:val="TableContents"/>
              <w:spacing w:before="0" w:after="283"/>
              <w:rPr/>
            </w:pPr>
            <w:r>
              <w:rPr/>
              <w:t> </w:t>
            </w:r>
          </w:p>
        </w:tc>
      </w:tr>
      <w:tr>
        <w:trPr/>
        <w:tc>
          <w:tcPr>
            <w:tcW w:w="1967" w:type="dxa"/>
            <w:tcBorders/>
            <w:shd w:fill="auto" w:val="clear"/>
            <w:vAlign w:val="center"/>
          </w:tcPr>
          <w:p>
            <w:pPr>
              <w:pStyle w:val="TableContents"/>
              <w:spacing w:before="0" w:after="283"/>
              <w:rPr>
                <w:sz w:val="4"/>
                <w:szCs w:val="4"/>
              </w:rPr>
            </w:pPr>
            <w:r>
              <w:rPr>
                <w:sz w:val="4"/>
                <w:szCs w:val="4"/>
              </w:rPr>
            </w:r>
          </w:p>
        </w:tc>
        <w:tc>
          <w:tcPr>
            <w:tcW w:w="243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967"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C. Howard Nye</w:t>
            </w:r>
          </w:p>
        </w:tc>
        <w:tc>
          <w:tcPr>
            <w:tcW w:w="137" w:type="dxa"/>
            <w:tcBorders>
              <w:bottom w:val="dotted" w:sz="8" w:space="0" w:color="000000"/>
            </w:tcBorders>
            <w:shd w:fill="auto" w:val="clear"/>
            <w:tcMar>
              <w:bottom w:w="28" w:type="dxa"/>
            </w:tcMar>
            <w:vAlign w:val="center"/>
          </w:tcPr>
          <w:p>
            <w:pPr>
              <w:pStyle w:val="TableContents"/>
              <w:spacing w:before="0" w:after="283"/>
              <w:rPr/>
            </w:pPr>
            <w:r>
              <w:rPr/>
              <w:t>  </w:t>
            </w:r>
          </w:p>
        </w:tc>
        <w:tc>
          <w:tcPr>
            <w:tcW w:w="180" w:type="dxa"/>
            <w:tcBorders>
              <w:bottom w:val="dotted" w:sz="8" w:space="0" w:color="000000"/>
            </w:tcBorders>
            <w:shd w:fill="auto" w:val="clear"/>
            <w:tcMar>
              <w:bottom w:w="100" w:type="dxa"/>
            </w:tcMar>
            <w:vAlign w:val="center"/>
          </w:tcPr>
          <w:p>
            <w:pPr>
              <w:pStyle w:val="TableContents"/>
              <w:spacing w:before="0" w:after="283"/>
              <w:rPr/>
            </w:pPr>
            <w:r>
              <w:rPr/>
              <w:t> </w:t>
            </w:r>
          </w:p>
        </w:tc>
        <w:tc>
          <w:tcPr>
            <w:tcW w:w="2045" w:type="dxa"/>
            <w:tcBorders>
              <w:bottom w:val="dotted" w:sz="8" w:space="0" w:color="000000"/>
            </w:tcBorders>
            <w:shd w:fill="auto" w:val="clear"/>
            <w:tcMar>
              <w:bottom w:w="100" w:type="dxa"/>
            </w:tcMar>
            <w:vAlign w:val="center"/>
          </w:tcPr>
          <w:p>
            <w:pPr>
              <w:pStyle w:val="TableContents"/>
              <w:spacing w:before="0" w:after="283"/>
              <w:jc w:val="right"/>
              <w:rPr/>
            </w:pPr>
            <w:r>
              <w:rPr/>
              <w:t>11,804</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137"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780" w:type="dxa"/>
            <w:tcBorders>
              <w:bottom w:val="dotted" w:sz="8" w:space="0" w:color="000000"/>
            </w:tcBorders>
            <w:shd w:fill="auto" w:val="clear"/>
            <w:tcMar>
              <w:bottom w:w="100" w:type="dxa"/>
            </w:tcMar>
            <w:vAlign w:val="center"/>
          </w:tcPr>
          <w:p>
            <w:pPr>
              <w:pStyle w:val="TableContents"/>
              <w:spacing w:before="0" w:after="283"/>
              <w:jc w:val="right"/>
              <w:rPr/>
            </w:pPr>
            <w:r>
              <w:rPr/>
              <w:t>22,347</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1967" w:type="dxa"/>
            <w:tcBorders/>
            <w:shd w:fill="auto" w:val="clear"/>
            <w:vAlign w:val="center"/>
          </w:tcPr>
          <w:p>
            <w:pPr>
              <w:pStyle w:val="TableContents"/>
              <w:spacing w:before="0" w:after="283"/>
              <w:rPr>
                <w:sz w:val="4"/>
                <w:szCs w:val="4"/>
              </w:rPr>
            </w:pPr>
            <w:r>
              <w:rPr>
                <w:sz w:val="4"/>
                <w:szCs w:val="4"/>
              </w:rPr>
            </w:r>
          </w:p>
        </w:tc>
        <w:tc>
          <w:tcPr>
            <w:tcW w:w="243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967"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James A. J. Nickolas</w:t>
            </w:r>
          </w:p>
        </w:tc>
        <w:tc>
          <w:tcPr>
            <w:tcW w:w="137" w:type="dxa"/>
            <w:tcBorders>
              <w:bottom w:val="dotted" w:sz="8" w:space="0" w:color="000000"/>
            </w:tcBorders>
            <w:shd w:fill="auto" w:val="clear"/>
            <w:tcMar>
              <w:bottom w:w="28" w:type="dxa"/>
            </w:tcMar>
            <w:vAlign w:val="center"/>
          </w:tcPr>
          <w:p>
            <w:pPr>
              <w:pStyle w:val="TableContents"/>
              <w:spacing w:before="0" w:after="283"/>
              <w:rPr/>
            </w:pPr>
            <w:r>
              <w:rPr/>
              <w:t>  </w:t>
            </w:r>
          </w:p>
        </w:tc>
        <w:tc>
          <w:tcPr>
            <w:tcW w:w="180" w:type="dxa"/>
            <w:tcBorders>
              <w:bottom w:val="dotted" w:sz="8" w:space="0" w:color="000000"/>
            </w:tcBorders>
            <w:shd w:fill="auto" w:val="clear"/>
            <w:tcMar>
              <w:bottom w:w="100" w:type="dxa"/>
            </w:tcMar>
            <w:vAlign w:val="center"/>
          </w:tcPr>
          <w:p>
            <w:pPr>
              <w:pStyle w:val="TableContents"/>
              <w:spacing w:before="0" w:after="283"/>
              <w:rPr/>
            </w:pPr>
            <w:r>
              <w:rPr/>
              <w:t> </w:t>
            </w:r>
          </w:p>
        </w:tc>
        <w:tc>
          <w:tcPr>
            <w:tcW w:w="2045" w:type="dxa"/>
            <w:tcBorders>
              <w:bottom w:val="dotted" w:sz="8" w:space="0" w:color="000000"/>
            </w:tcBorders>
            <w:shd w:fill="auto" w:val="clear"/>
            <w:tcMar>
              <w:bottom w:w="100" w:type="dxa"/>
            </w:tcMar>
            <w:vAlign w:val="center"/>
          </w:tcPr>
          <w:p>
            <w:pPr>
              <w:pStyle w:val="TableContents"/>
              <w:spacing w:before="0" w:after="283"/>
              <w:jc w:val="right"/>
              <w:rPr/>
            </w:pPr>
            <w:r>
              <w:rPr/>
              <w:t>1,946</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137"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780" w:type="dxa"/>
            <w:tcBorders>
              <w:bottom w:val="dotted" w:sz="8" w:space="0" w:color="000000"/>
            </w:tcBorders>
            <w:shd w:fill="auto" w:val="clear"/>
            <w:tcMar>
              <w:bottom w:w="100" w:type="dxa"/>
            </w:tcMar>
            <w:vAlign w:val="center"/>
          </w:tcPr>
          <w:p>
            <w:pPr>
              <w:pStyle w:val="TableContents"/>
              <w:spacing w:before="0" w:after="283"/>
              <w:jc w:val="right"/>
              <w:rPr/>
            </w:pPr>
            <w:r>
              <w:rPr/>
              <w:t>3,684</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1967" w:type="dxa"/>
            <w:tcBorders/>
            <w:shd w:fill="auto" w:val="clear"/>
            <w:vAlign w:val="center"/>
          </w:tcPr>
          <w:p>
            <w:pPr>
              <w:pStyle w:val="TableContents"/>
              <w:spacing w:before="0" w:after="283"/>
              <w:rPr>
                <w:sz w:val="4"/>
                <w:szCs w:val="4"/>
              </w:rPr>
            </w:pPr>
            <w:r>
              <w:rPr>
                <w:sz w:val="4"/>
                <w:szCs w:val="4"/>
              </w:rPr>
            </w:r>
          </w:p>
        </w:tc>
        <w:tc>
          <w:tcPr>
            <w:tcW w:w="243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967"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Roselyn R. Bar</w:t>
            </w:r>
          </w:p>
        </w:tc>
        <w:tc>
          <w:tcPr>
            <w:tcW w:w="137" w:type="dxa"/>
            <w:tcBorders>
              <w:bottom w:val="dotted" w:sz="8" w:space="0" w:color="000000"/>
            </w:tcBorders>
            <w:shd w:fill="auto" w:val="clear"/>
            <w:tcMar>
              <w:bottom w:w="28" w:type="dxa"/>
            </w:tcMar>
            <w:vAlign w:val="center"/>
          </w:tcPr>
          <w:p>
            <w:pPr>
              <w:pStyle w:val="TableContents"/>
              <w:spacing w:before="0" w:after="283"/>
              <w:rPr/>
            </w:pPr>
            <w:r>
              <w:rPr/>
              <w:t>  </w:t>
            </w:r>
          </w:p>
        </w:tc>
        <w:tc>
          <w:tcPr>
            <w:tcW w:w="180" w:type="dxa"/>
            <w:tcBorders>
              <w:bottom w:val="dotted" w:sz="8" w:space="0" w:color="000000"/>
            </w:tcBorders>
            <w:shd w:fill="auto" w:val="clear"/>
            <w:tcMar>
              <w:bottom w:w="100" w:type="dxa"/>
            </w:tcMar>
            <w:vAlign w:val="center"/>
          </w:tcPr>
          <w:p>
            <w:pPr>
              <w:pStyle w:val="TableContents"/>
              <w:spacing w:before="0" w:after="283"/>
              <w:rPr/>
            </w:pPr>
            <w:r>
              <w:rPr/>
              <w:t> </w:t>
            </w:r>
          </w:p>
        </w:tc>
        <w:tc>
          <w:tcPr>
            <w:tcW w:w="2045" w:type="dxa"/>
            <w:tcBorders>
              <w:bottom w:val="dotted" w:sz="8" w:space="0" w:color="000000"/>
            </w:tcBorders>
            <w:shd w:fill="auto" w:val="clear"/>
            <w:tcMar>
              <w:bottom w:w="100" w:type="dxa"/>
            </w:tcMar>
            <w:vAlign w:val="center"/>
          </w:tcPr>
          <w:p>
            <w:pPr>
              <w:pStyle w:val="TableContents"/>
              <w:spacing w:before="0" w:after="283"/>
              <w:jc w:val="right"/>
              <w:rPr/>
            </w:pPr>
            <w:r>
              <w:rPr/>
              <w:t>2,032</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137"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780" w:type="dxa"/>
            <w:tcBorders>
              <w:bottom w:val="dotted" w:sz="8" w:space="0" w:color="000000"/>
            </w:tcBorders>
            <w:shd w:fill="auto" w:val="clear"/>
            <w:tcMar>
              <w:bottom w:w="100" w:type="dxa"/>
            </w:tcMar>
            <w:vAlign w:val="center"/>
          </w:tcPr>
          <w:p>
            <w:pPr>
              <w:pStyle w:val="TableContents"/>
              <w:spacing w:before="0" w:after="283"/>
              <w:jc w:val="right"/>
              <w:rPr/>
            </w:pPr>
            <w:r>
              <w:rPr/>
              <w:t>3,847</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1967" w:type="dxa"/>
            <w:tcBorders/>
            <w:shd w:fill="auto" w:val="clear"/>
            <w:vAlign w:val="center"/>
          </w:tcPr>
          <w:p>
            <w:pPr>
              <w:pStyle w:val="TableContents"/>
              <w:spacing w:before="0" w:after="283"/>
              <w:rPr>
                <w:sz w:val="4"/>
                <w:szCs w:val="4"/>
              </w:rPr>
            </w:pPr>
            <w:r>
              <w:rPr>
                <w:sz w:val="4"/>
                <w:szCs w:val="4"/>
              </w:rPr>
            </w:r>
          </w:p>
        </w:tc>
        <w:tc>
          <w:tcPr>
            <w:tcW w:w="243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967"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Craig M. LaTorre</w:t>
            </w:r>
          </w:p>
        </w:tc>
        <w:tc>
          <w:tcPr>
            <w:tcW w:w="137" w:type="dxa"/>
            <w:tcBorders>
              <w:bottom w:val="dotted" w:sz="8" w:space="0" w:color="000000"/>
            </w:tcBorders>
            <w:shd w:fill="auto" w:val="clear"/>
            <w:tcMar>
              <w:bottom w:w="28" w:type="dxa"/>
            </w:tcMar>
            <w:vAlign w:val="center"/>
          </w:tcPr>
          <w:p>
            <w:pPr>
              <w:pStyle w:val="TableContents"/>
              <w:spacing w:before="0" w:after="283"/>
              <w:rPr/>
            </w:pPr>
            <w:r>
              <w:rPr/>
              <w:t>  </w:t>
            </w:r>
          </w:p>
        </w:tc>
        <w:tc>
          <w:tcPr>
            <w:tcW w:w="180" w:type="dxa"/>
            <w:tcBorders>
              <w:bottom w:val="dotted" w:sz="8" w:space="0" w:color="000000"/>
            </w:tcBorders>
            <w:shd w:fill="auto" w:val="clear"/>
            <w:tcMar>
              <w:bottom w:w="100" w:type="dxa"/>
            </w:tcMar>
            <w:vAlign w:val="center"/>
          </w:tcPr>
          <w:p>
            <w:pPr>
              <w:pStyle w:val="TableContents"/>
              <w:spacing w:before="0" w:after="283"/>
              <w:rPr/>
            </w:pPr>
            <w:r>
              <w:rPr/>
              <w:t> </w:t>
            </w:r>
          </w:p>
        </w:tc>
        <w:tc>
          <w:tcPr>
            <w:tcW w:w="2045" w:type="dxa"/>
            <w:tcBorders>
              <w:bottom w:val="dotted" w:sz="8" w:space="0" w:color="000000"/>
            </w:tcBorders>
            <w:shd w:fill="auto" w:val="clear"/>
            <w:tcMar>
              <w:bottom w:w="100" w:type="dxa"/>
            </w:tcMar>
            <w:vAlign w:val="center"/>
          </w:tcPr>
          <w:p>
            <w:pPr>
              <w:pStyle w:val="TableContents"/>
              <w:spacing w:before="0" w:after="283"/>
              <w:jc w:val="right"/>
              <w:rPr/>
            </w:pPr>
            <w:r>
              <w:rPr/>
              <w:t>1,461</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137"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780" w:type="dxa"/>
            <w:tcBorders>
              <w:bottom w:val="dotted" w:sz="8" w:space="0" w:color="000000"/>
            </w:tcBorders>
            <w:shd w:fill="auto" w:val="clear"/>
            <w:tcMar>
              <w:bottom w:w="100" w:type="dxa"/>
            </w:tcMar>
            <w:vAlign w:val="center"/>
          </w:tcPr>
          <w:p>
            <w:pPr>
              <w:pStyle w:val="TableContents"/>
              <w:spacing w:before="0" w:after="283"/>
              <w:jc w:val="right"/>
              <w:rPr/>
            </w:pPr>
            <w:r>
              <w:rPr/>
              <w:t>2,766</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1967" w:type="dxa"/>
            <w:tcBorders/>
            <w:shd w:fill="auto" w:val="clear"/>
            <w:vAlign w:val="center"/>
          </w:tcPr>
          <w:p>
            <w:pPr>
              <w:pStyle w:val="TableContents"/>
              <w:spacing w:before="0" w:after="283"/>
              <w:rPr>
                <w:sz w:val="4"/>
                <w:szCs w:val="4"/>
              </w:rPr>
            </w:pPr>
            <w:r>
              <w:rPr>
                <w:sz w:val="4"/>
                <w:szCs w:val="4"/>
              </w:rPr>
            </w:r>
          </w:p>
        </w:tc>
        <w:tc>
          <w:tcPr>
            <w:tcW w:w="243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967" w:type="dxa"/>
            <w:tcBorders>
              <w:bottom w:val="single" w:sz="6"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John P. Mohr</w:t>
            </w:r>
          </w:p>
        </w:tc>
        <w:tc>
          <w:tcPr>
            <w:tcW w:w="137" w:type="dxa"/>
            <w:tcBorders>
              <w:bottom w:val="single" w:sz="6" w:space="0" w:color="000000"/>
            </w:tcBorders>
            <w:shd w:fill="auto" w:val="clear"/>
            <w:tcMar>
              <w:bottom w:w="28" w:type="dxa"/>
            </w:tcMar>
            <w:vAlign w:val="center"/>
          </w:tcPr>
          <w:p>
            <w:pPr>
              <w:pStyle w:val="TableContents"/>
              <w:spacing w:before="0" w:after="283"/>
              <w:rPr/>
            </w:pPr>
            <w:r>
              <w:rPr/>
              <w:t>  </w:t>
            </w:r>
          </w:p>
        </w:tc>
        <w:tc>
          <w:tcPr>
            <w:tcW w:w="180" w:type="dxa"/>
            <w:tcBorders>
              <w:bottom w:val="single" w:sz="6" w:space="0" w:color="000000"/>
            </w:tcBorders>
            <w:shd w:fill="auto" w:val="clear"/>
            <w:tcMar>
              <w:bottom w:w="100" w:type="dxa"/>
            </w:tcMar>
            <w:vAlign w:val="center"/>
          </w:tcPr>
          <w:p>
            <w:pPr>
              <w:pStyle w:val="TableContents"/>
              <w:spacing w:before="0" w:after="283"/>
              <w:rPr/>
            </w:pPr>
            <w:r>
              <w:rPr/>
              <w:t> </w:t>
            </w:r>
          </w:p>
        </w:tc>
        <w:tc>
          <w:tcPr>
            <w:tcW w:w="2045" w:type="dxa"/>
            <w:tcBorders>
              <w:bottom w:val="single" w:sz="6" w:space="0" w:color="000000"/>
            </w:tcBorders>
            <w:shd w:fill="auto" w:val="clear"/>
            <w:tcMar>
              <w:bottom w:w="100" w:type="dxa"/>
            </w:tcMar>
            <w:vAlign w:val="center"/>
          </w:tcPr>
          <w:p>
            <w:pPr>
              <w:pStyle w:val="TableContents"/>
              <w:spacing w:before="0" w:after="283"/>
              <w:jc w:val="right"/>
              <w:rPr/>
            </w:pPr>
            <w:r>
              <w:rPr/>
              <w:t>985</w:t>
            </w:r>
          </w:p>
        </w:tc>
        <w:tc>
          <w:tcPr>
            <w:tcW w:w="68" w:type="dxa"/>
            <w:tcBorders>
              <w:bottom w:val="single" w:sz="6" w:space="0" w:color="000000"/>
            </w:tcBorders>
            <w:shd w:fill="auto" w:val="clear"/>
            <w:tcMar>
              <w:bottom w:w="100" w:type="dxa"/>
            </w:tcMar>
            <w:vAlign w:val="center"/>
          </w:tcPr>
          <w:p>
            <w:pPr>
              <w:pStyle w:val="TableContents"/>
              <w:spacing w:before="0" w:after="283"/>
              <w:rPr/>
            </w:pPr>
            <w:r>
              <w:rPr/>
              <w:t> </w:t>
            </w:r>
          </w:p>
        </w:tc>
        <w:tc>
          <w:tcPr>
            <w:tcW w:w="137" w:type="dxa"/>
            <w:tcBorders>
              <w:bottom w:val="single" w:sz="6" w:space="0" w:color="000000"/>
            </w:tcBorders>
            <w:shd w:fill="auto" w:val="clear"/>
            <w:tcMar>
              <w:bottom w:w="28" w:type="dxa"/>
            </w:tcMar>
            <w:vAlign w:val="center"/>
          </w:tcPr>
          <w:p>
            <w:pPr>
              <w:pStyle w:val="TableContents"/>
              <w:spacing w:before="0" w:after="283"/>
              <w:rPr/>
            </w:pPr>
            <w:r>
              <w:rPr/>
              <w:t>  </w:t>
            </w:r>
          </w:p>
        </w:tc>
        <w:tc>
          <w:tcPr>
            <w:tcW w:w="68" w:type="dxa"/>
            <w:tcBorders>
              <w:bottom w:val="single" w:sz="6" w:space="0" w:color="000000"/>
            </w:tcBorders>
            <w:shd w:fill="auto" w:val="clear"/>
            <w:tcMar>
              <w:bottom w:w="100" w:type="dxa"/>
            </w:tcMar>
            <w:vAlign w:val="center"/>
          </w:tcPr>
          <w:p>
            <w:pPr>
              <w:pStyle w:val="TableContents"/>
              <w:spacing w:before="0" w:after="283"/>
              <w:rPr/>
            </w:pPr>
            <w:r>
              <w:rPr/>
              <w:t> </w:t>
            </w:r>
          </w:p>
        </w:tc>
        <w:tc>
          <w:tcPr>
            <w:tcW w:w="780" w:type="dxa"/>
            <w:tcBorders>
              <w:bottom w:val="single" w:sz="6" w:space="0" w:color="000000"/>
            </w:tcBorders>
            <w:shd w:fill="auto" w:val="clear"/>
            <w:tcMar>
              <w:bottom w:w="100" w:type="dxa"/>
            </w:tcMar>
            <w:vAlign w:val="center"/>
          </w:tcPr>
          <w:p>
            <w:pPr>
              <w:pStyle w:val="TableContents"/>
              <w:spacing w:before="0" w:after="283"/>
              <w:jc w:val="right"/>
              <w:rPr/>
            </w:pPr>
            <w:r>
              <w:rPr/>
              <w:t>1,865</w:t>
            </w:r>
          </w:p>
        </w:tc>
        <w:tc>
          <w:tcPr>
            <w:tcW w:w="75"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240" w:after="0"/>
        <w:jc w:val="left"/>
        <w:rPr>
          <w:rFonts w:ascii="ARIAL" w:hAnsi="ARIAL"/>
          <w:b/>
          <w:color w:val="71BE9A"/>
          <w:sz w:val="26"/>
        </w:rPr>
      </w:pPr>
      <w:bookmarkStart w:id="51" w:name="toc390557_44"/>
      <w:bookmarkEnd w:id="51"/>
      <w:r>
        <w:rPr>
          <w:rFonts w:ascii="ARIAL" w:hAnsi="ARIAL"/>
          <w:b/>
          <w:color w:val="71BE9A"/>
          <w:sz w:val="26"/>
        </w:rPr>
        <w:t xml:space="preserve">Ongoing Corporate Governance Policies </w:t>
      </w:r>
    </w:p>
    <w:p>
      <w:pPr>
        <w:pStyle w:val="TextBody"/>
        <w:spacing w:before="120" w:after="0"/>
        <w:jc w:val="left"/>
        <w:rPr>
          <w:rFonts w:ascii="ARIAL" w:hAnsi="ARIAL"/>
          <w:sz w:val="20"/>
        </w:rPr>
      </w:pPr>
      <w:r>
        <w:rPr>
          <w:rFonts w:ascii="ARIAL" w:hAnsi="ARIAL"/>
          <w:sz w:val="20"/>
        </w:rPr>
        <w:t xml:space="preserve">We endeavor to maintain good corporate governance standards relating to our executive compensation policies and practices, including the following that were in effect during 2022 that directly impacted compensation: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Committee is comprised solely of independent Directors who regularly schedule and meet in executive sessions without management present. </w:t>
            </w:r>
          </w:p>
        </w:tc>
      </w:tr>
    </w:tbl>
    <w:p>
      <w:pPr>
        <w:pStyle w:val="TextBody"/>
        <w:spacing w:before="0" w:after="0"/>
        <w:jc w:val="left"/>
        <w:rPr/>
      </w:pPr>
      <w:r>
        <w:rPr/>
        <w:t> </w:t>
      </w:r>
    </w:p>
    <w:tbl>
      <w:tblPr>
        <w:tblW w:w="8425" w:type="dxa"/>
        <w:jc w:val="left"/>
        <w:tblInd w:w="0" w:type="dxa"/>
        <w:tblCellMar>
          <w:top w:w="0" w:type="dxa"/>
          <w:left w:w="0" w:type="dxa"/>
          <w:bottom w:w="0" w:type="dxa"/>
          <w:right w:w="0" w:type="dxa"/>
        </w:tblCellMar>
      </w:tblPr>
      <w:tblGrid>
        <w:gridCol w:w="125"/>
        <w:gridCol w:w="60"/>
        <w:gridCol w:w="824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24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Committee’s independent compensation consultant is retained directly by the Committee.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Committee conducts an annual review of and approves our compensation strategy, including a review of our compensation-related risk profile, to ensure that our compensation-related risks are not reasonably likely to have a material adverse effect on the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pay for performance, with approximately 88% of our CEO’s total target pay opportunity being performance-based “at-risk” compensation. </w:t>
            </w:r>
          </w:p>
        </w:tc>
      </w:tr>
    </w:tbl>
    <w:p>
      <w:pPr>
        <w:pStyle w:val="TextBody"/>
        <w:spacing w:before="0" w:after="0"/>
        <w:jc w:val="left"/>
        <w:rPr/>
      </w:pPr>
      <w:r>
        <w:rPr/>
        <w:t> </w:t>
      </w:r>
    </w:p>
    <w:tbl>
      <w:tblPr>
        <w:tblW w:w="7975" w:type="dxa"/>
        <w:jc w:val="left"/>
        <w:tblInd w:w="0" w:type="dxa"/>
        <w:tblCellMar>
          <w:top w:w="0" w:type="dxa"/>
          <w:left w:w="0" w:type="dxa"/>
          <w:bottom w:w="0" w:type="dxa"/>
          <w:right w:w="0" w:type="dxa"/>
        </w:tblCellMar>
      </w:tblPr>
      <w:tblGrid>
        <w:gridCol w:w="125"/>
        <w:gridCol w:w="60"/>
        <w:gridCol w:w="779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790"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cap PSU payments at target if three-year TSR is negative, regardless of our ranking. </w:t>
            </w:r>
          </w:p>
        </w:tc>
      </w:tr>
    </w:tbl>
    <w:p>
      <w:pPr>
        <w:pStyle w:val="TextBody"/>
        <w:spacing w:before="0" w:after="0"/>
        <w:jc w:val="left"/>
        <w:rPr/>
      </w:pPr>
      <w:r>
        <w:rPr/>
        <w:t> </w:t>
      </w:r>
    </w:p>
    <w:tbl>
      <w:tblPr>
        <w:tblW w:w="3670" w:type="dxa"/>
        <w:jc w:val="left"/>
        <w:tblInd w:w="0" w:type="dxa"/>
        <w:tblCellMar>
          <w:top w:w="0" w:type="dxa"/>
          <w:left w:w="0" w:type="dxa"/>
          <w:bottom w:w="0" w:type="dxa"/>
          <w:right w:w="0" w:type="dxa"/>
        </w:tblCellMar>
      </w:tblPr>
      <w:tblGrid>
        <w:gridCol w:w="125"/>
        <w:gridCol w:w="60"/>
        <w:gridCol w:w="348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limit perquisites and other benefits. </w:t>
            </w:r>
          </w:p>
        </w:tc>
      </w:tr>
    </w:tbl>
    <w:p>
      <w:pPr>
        <w:pStyle w:val="TextBody"/>
        <w:spacing w:before="240" w:after="0"/>
        <w:jc w:val="left"/>
        <w:rPr>
          <w:rFonts w:ascii="ARIAL" w:hAnsi="ARIAL"/>
          <w:b/>
          <w:color w:val="71BE9A"/>
          <w:sz w:val="26"/>
        </w:rPr>
      </w:pPr>
      <w:bookmarkStart w:id="52" w:name="toc390557_45"/>
      <w:bookmarkEnd w:id="52"/>
      <w:r>
        <w:rPr>
          <w:rFonts w:ascii="ARIAL" w:hAnsi="ARIAL"/>
          <w:b/>
          <w:color w:val="71BE9A"/>
          <w:sz w:val="26"/>
        </w:rPr>
        <w:t xml:space="preserve">Compensation Decision Process </w:t>
      </w:r>
    </w:p>
    <w:p>
      <w:pPr>
        <w:pStyle w:val="TextBody"/>
        <w:spacing w:before="120" w:after="0"/>
        <w:jc w:val="left"/>
        <w:rPr>
          <w:rFonts w:ascii="ARIAL" w:hAnsi="ARIAL"/>
          <w:b/>
          <w:color w:val="007CBA"/>
          <w:sz w:val="26"/>
        </w:rPr>
      </w:pPr>
      <w:r>
        <w:rPr>
          <w:rFonts w:ascii="ARIAL" w:hAnsi="ARIAL"/>
          <w:b/>
          <w:color w:val="007CBA"/>
          <w:sz w:val="26"/>
        </w:rPr>
        <w:t xml:space="preserve">Role of Management and the Committee </w:t>
      </w:r>
    </w:p>
    <w:p>
      <w:pPr>
        <w:pStyle w:val="TextBody"/>
        <w:spacing w:before="120" w:after="0"/>
        <w:jc w:val="left"/>
        <w:rPr>
          <w:rFonts w:ascii="ARIAL" w:hAnsi="ARIAL"/>
          <w:sz w:val="20"/>
        </w:rPr>
      </w:pPr>
      <w:r>
        <w:rPr>
          <w:rFonts w:ascii="ARIAL" w:hAnsi="ARIAL"/>
          <w:sz w:val="20"/>
        </w:rPr>
        <w:t xml:space="preserve">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NYSE rules, and the Committee operates pursuant to a written charter, a copy of which can be viewed on Martin Marietta’s website at ir.martinmarietta.com/corporate-governance. </w:t>
      </w:r>
    </w:p>
    <w:p>
      <w:pPr>
        <w:pStyle w:val="TextBody"/>
        <w:spacing w:before="240" w:after="0"/>
        <w:jc w:val="left"/>
        <w:rPr>
          <w:rFonts w:ascii="ARIAL" w:hAnsi="ARIAL"/>
          <w:sz w:val="20"/>
        </w:rPr>
      </w:pPr>
      <w:r>
        <w:rPr>
          <w:rFonts w:ascii="ARIAL" w:hAnsi="ARIAL"/>
          <w:sz w:val="20"/>
        </w:rPr>
        <w:t xml:space="preserve">The performance of the CEO and each other executive officer is reviewed regularly by the Committee. Based on this review, the Committee sets compensation for all executive officers. Compensation decisions with respect to the executive officers other than the CEO are based in part on recommendations by the CEO, with input from the Senior Vice President and Chief Human Resource Officer, with respect to salary adjustments and annual cash and equity awards. The Committee can accept, reject or modify any recommended adjustments or awards to executive officers. For the CEO, the Committee sets the levels of annual adjustments and awards based on the criteria it deems to be appropriate under the circumstances with input from the independent compensation consultant. There are no employment agreements between Martin Marietta and any executive officer of Martin Marietta, including the CEO.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1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02" descr=""/>
                          <pic:cNvPicPr>
                            <a:picLocks noChangeAspect="1" noChangeArrowheads="1"/>
                          </pic:cNvPicPr>
                        </pic:nvPicPr>
                        <pic:blipFill>
                          <a:blip r:embed="rId20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65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COMPENSATION DECISION PROCESS </w:t>
      </w:r>
    </w:p>
    <w:p>
      <w:pPr>
        <w:pStyle w:val="TextBody"/>
        <w:spacing w:before="0" w:after="0"/>
        <w:jc w:val="left"/>
        <w:rPr/>
      </w:pPr>
      <w:r>
        <w:rPr/>
        <w:t> </w:t>
      </w:r>
    </w:p>
    <w:p>
      <w:pPr>
        <w:pStyle w:val="TextBody"/>
        <w:spacing w:before="0" w:after="0"/>
        <w:jc w:val="left"/>
        <w:rPr>
          <w:rFonts w:ascii="ARIAL" w:hAnsi="ARIAL"/>
          <w:b/>
          <w:color w:val="007CBA"/>
          <w:sz w:val="26"/>
        </w:rPr>
      </w:pPr>
      <w:r>
        <w:rPr>
          <w:rFonts w:ascii="ARIAL" w:hAnsi="ARIAL"/>
          <w:b/>
          <w:color w:val="007CBA"/>
          <w:sz w:val="26"/>
        </w:rPr>
        <w:t xml:space="preserve">Role of the Independent Compensation Consultant </w:t>
      </w:r>
    </w:p>
    <w:p>
      <w:pPr>
        <w:pStyle w:val="TextBody"/>
        <w:spacing w:before="120" w:after="0"/>
        <w:jc w:val="left"/>
        <w:rPr>
          <w:rFonts w:ascii="ARIAL" w:hAnsi="ARIAL"/>
          <w:sz w:val="20"/>
        </w:rPr>
      </w:pPr>
      <w:r>
        <w:rPr>
          <w:rFonts w:ascii="ARIAL" w:hAnsi="ARIAL"/>
          <w:sz w:val="20"/>
        </w:rPr>
        <w:t xml:space="preserve">The Committee retained Pay Governance, an independent compensation consultant, in accordance with the Committee’s charter. </w:t>
      </w:r>
    </w:p>
    <w:p>
      <w:pPr>
        <w:pStyle w:val="TextBody"/>
        <w:spacing w:before="240" w:after="0"/>
        <w:jc w:val="left"/>
        <w:rPr>
          <w:rFonts w:ascii="ARIAL" w:hAnsi="ARIAL"/>
          <w:sz w:val="20"/>
        </w:rPr>
      </w:pPr>
      <w:r>
        <w:rPr>
          <w:rFonts w:ascii="ARIAL" w:hAnsi="ARIAL"/>
          <w:sz w:val="20"/>
        </w:rPr>
        <w:t xml:space="preserve">The consultant reports directly to the Committee. The Committee retains sole authority to hire or terminate the consultant, approve its compensation, determine the nature and scope of services, and evaluate performance. The compensation consultant attends Committee meetings, either in person or by telephone, as requested, and communicates with the Committee Chair between meetings. The Committee makes all final decisions. </w:t>
      </w:r>
    </w:p>
    <w:p>
      <w:pPr>
        <w:pStyle w:val="TextBody"/>
        <w:spacing w:before="240" w:after="0"/>
        <w:jc w:val="left"/>
        <w:rPr>
          <w:rFonts w:ascii="ARIAL" w:hAnsi="ARIAL"/>
          <w:sz w:val="20"/>
        </w:rPr>
      </w:pPr>
      <w:r>
        <w:rPr>
          <w:rFonts w:ascii="ARIAL" w:hAnsi="ARIAL"/>
          <w:sz w:val="20"/>
        </w:rPr>
        <w:t xml:space="preserve">The compensation consultant’s specific roles include, but are not limited to,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Advise the Committee on executive compensation trends and regulatory developments and other factors affecting executive officer compensation, as well as any other areas of concern or risk.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Provide a total compensation assessment for executives compared to peer companies and recommendations for executive pay.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Serve as a resource to the Committee Chair for meeting agendas and supporting materials in advance of each meeting. </w:t>
            </w:r>
          </w:p>
        </w:tc>
      </w:tr>
    </w:tbl>
    <w:p>
      <w:pPr>
        <w:pStyle w:val="TextBody"/>
        <w:spacing w:before="0" w:after="0"/>
        <w:jc w:val="left"/>
        <w:rPr/>
      </w:pPr>
      <w:r>
        <w:rPr/>
        <w:t> </w:t>
      </w:r>
    </w:p>
    <w:tbl>
      <w:tblPr>
        <w:tblW w:w="6370" w:type="dxa"/>
        <w:jc w:val="left"/>
        <w:tblInd w:w="0" w:type="dxa"/>
        <w:tblCellMar>
          <w:top w:w="0" w:type="dxa"/>
          <w:left w:w="0" w:type="dxa"/>
          <w:bottom w:w="0" w:type="dxa"/>
          <w:right w:w="0" w:type="dxa"/>
        </w:tblCellMar>
      </w:tblPr>
      <w:tblGrid>
        <w:gridCol w:w="125"/>
        <w:gridCol w:w="60"/>
        <w:gridCol w:w="618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185" w:type="dxa"/>
            <w:tcBorders/>
            <w:shd w:fill="auto" w:val="clear"/>
            <w:vAlign w:val="center"/>
          </w:tcPr>
          <w:p>
            <w:pPr>
              <w:pStyle w:val="TableContents"/>
              <w:spacing w:before="0" w:after="0"/>
              <w:jc w:val="left"/>
              <w:rPr>
                <w:rFonts w:ascii="ARIAL" w:hAnsi="ARIAL"/>
                <w:sz w:val="20"/>
              </w:rPr>
            </w:pPr>
            <w:r>
              <w:rPr>
                <w:rFonts w:ascii="ARIAL" w:hAnsi="ARIAL"/>
                <w:sz w:val="20"/>
              </w:rPr>
              <w:t xml:space="preserve">Review and comment on proxy disclosure items, including this CD&amp;A. </w:t>
            </w:r>
          </w:p>
        </w:tc>
      </w:tr>
    </w:tbl>
    <w:p>
      <w:pPr>
        <w:pStyle w:val="TextBody"/>
        <w:spacing w:before="0" w:after="0"/>
        <w:jc w:val="left"/>
        <w:rPr/>
      </w:pPr>
      <w:r>
        <w:rPr/>
        <w:t> </w:t>
      </w:r>
    </w:p>
    <w:tbl>
      <w:tblPr>
        <w:tblW w:w="5860" w:type="dxa"/>
        <w:jc w:val="left"/>
        <w:tblInd w:w="0" w:type="dxa"/>
        <w:tblCellMar>
          <w:top w:w="0" w:type="dxa"/>
          <w:left w:w="0" w:type="dxa"/>
          <w:bottom w:w="0" w:type="dxa"/>
          <w:right w:w="0" w:type="dxa"/>
        </w:tblCellMar>
      </w:tblPr>
      <w:tblGrid>
        <w:gridCol w:w="125"/>
        <w:gridCol w:w="60"/>
        <w:gridCol w:w="567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jc w:val="left"/>
              <w:rPr>
                <w:rFonts w:ascii="ARIAL" w:hAnsi="ARIAL"/>
                <w:sz w:val="20"/>
              </w:rPr>
            </w:pPr>
            <w:r>
              <w:rPr>
                <w:rFonts w:ascii="ARIAL" w:hAnsi="ARIAL"/>
                <w:sz w:val="20"/>
              </w:rPr>
              <w:t xml:space="preserve">Advise the Committee on management’s pay recommendations. </w:t>
            </w:r>
          </w:p>
        </w:tc>
      </w:tr>
    </w:tbl>
    <w:p>
      <w:pPr>
        <w:pStyle w:val="TextBody"/>
        <w:spacing w:before="240" w:after="0"/>
        <w:jc w:val="left"/>
        <w:rPr>
          <w:rFonts w:ascii="ARIAL" w:hAnsi="ARIAL"/>
          <w:sz w:val="20"/>
        </w:rPr>
      </w:pPr>
      <w:r>
        <w:rPr>
          <w:rFonts w:ascii="ARIAL" w:hAnsi="ARIAL"/>
          <w:sz w:val="20"/>
        </w:rPr>
        <w:t xml:space="preserve">Based on these activities, the compensation consultant makes recommendations regarding, and proposes adjustments to, our executive officer compensation program as it deems appropriate. While the consultant works closely with the appropriate members of our executive management team in performing these activities, the consultant reports directly to and is retained by the Committee on all executive compensation matters, and speaks to the Committee and the Chair of the Committee on a regular basis without management present. </w:t>
      </w:r>
    </w:p>
    <w:p>
      <w:pPr>
        <w:pStyle w:val="TextBody"/>
        <w:spacing w:before="240" w:after="0"/>
        <w:jc w:val="left"/>
        <w:rPr>
          <w:rFonts w:ascii="ARIAL" w:hAnsi="ARIAL"/>
          <w:b/>
          <w:color w:val="007CBA"/>
          <w:sz w:val="26"/>
        </w:rPr>
      </w:pPr>
      <w:r>
        <w:rPr>
          <w:rFonts w:ascii="ARIAL" w:hAnsi="ARIAL"/>
          <w:b/>
          <w:color w:val="007CBA"/>
          <w:sz w:val="26"/>
        </w:rPr>
        <w:t xml:space="preserve">Role of Peer Companies and Competitive Market Data </w:t>
      </w:r>
    </w:p>
    <w:p>
      <w:pPr>
        <w:pStyle w:val="TextBody"/>
        <w:spacing w:before="120" w:after="0"/>
        <w:jc w:val="left"/>
        <w:rPr>
          <w:rFonts w:ascii="ARIAL" w:hAnsi="ARIAL"/>
          <w:sz w:val="20"/>
        </w:rPr>
      </w:pPr>
      <w:r>
        <w:rPr>
          <w:rFonts w:ascii="ARIAL" w:hAnsi="ARIAL"/>
          <w:sz w:val="20"/>
        </w:rPr>
        <w:t xml:space="preserve">The Committee considered peer groups for two elements of the executive compensation program in 2022: the Compensation Peer Group, consisting of 13 companies that the Committee believes compete with us for talent, and the TSR Peer Group, consisting of the S&amp;P 500, which the Committee believes compete with us for investors and is used to assess the achievement of rTSR measured for the PSU awards. </w:t>
      </w:r>
    </w:p>
    <w:p>
      <w:pPr>
        <w:pStyle w:val="TextBody"/>
        <w:spacing w:before="240" w:after="0"/>
        <w:jc w:val="left"/>
        <w:rPr>
          <w:rFonts w:ascii="ARIAL" w:hAnsi="ARIAL"/>
          <w:sz w:val="20"/>
        </w:rPr>
      </w:pPr>
      <w:r>
        <w:rPr>
          <w:rFonts w:ascii="ARIAL" w:hAnsi="ARIAL"/>
          <w:sz w:val="20"/>
        </w:rPr>
        <w:t xml:space="preserve">Annually, the Committee studies competitive total compensation market data provided by its independent compensation consultant. To assess competitive pay levels, the Committee reviews and approves the composition of our Compensation Peer Group. The following peer group criteria are considered: </w:t>
      </w:r>
    </w:p>
    <w:p>
      <w:pPr>
        <w:pStyle w:val="TextBody"/>
        <w:spacing w:before="0" w:after="0"/>
        <w:jc w:val="left"/>
        <w:rPr/>
      </w:pPr>
      <w:r>
        <w:rPr/>
        <w:t> </w:t>
      </w:r>
    </w:p>
    <w:tbl>
      <w:tblPr>
        <w:tblW w:w="1585" w:type="dxa"/>
        <w:jc w:val="left"/>
        <w:tblInd w:w="0" w:type="dxa"/>
        <w:tblCellMar>
          <w:top w:w="0" w:type="dxa"/>
          <w:left w:w="0" w:type="dxa"/>
          <w:bottom w:w="0" w:type="dxa"/>
          <w:right w:w="0" w:type="dxa"/>
        </w:tblCellMar>
      </w:tblPr>
      <w:tblGrid>
        <w:gridCol w:w="125"/>
        <w:gridCol w:w="60"/>
        <w:gridCol w:w="140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0"/>
              <w:jc w:val="left"/>
              <w:rPr>
                <w:rFonts w:ascii="ARIAL" w:hAnsi="ARIAL"/>
                <w:sz w:val="20"/>
              </w:rPr>
            </w:pPr>
            <w:r>
              <w:rPr>
                <w:rFonts w:ascii="ARIAL" w:hAnsi="ARIAL"/>
                <w:sz w:val="20"/>
              </w:rPr>
              <w:t xml:space="preserve">Company size; </w:t>
            </w:r>
          </w:p>
        </w:tc>
      </w:tr>
    </w:tbl>
    <w:p>
      <w:pPr>
        <w:pStyle w:val="TextBody"/>
        <w:spacing w:before="0" w:after="0"/>
        <w:jc w:val="left"/>
        <w:rPr/>
      </w:pPr>
      <w:r>
        <w:rPr/>
        <w:t> </w:t>
      </w:r>
    </w:p>
    <w:tbl>
      <w:tblPr>
        <w:tblW w:w="2200" w:type="dxa"/>
        <w:jc w:val="left"/>
        <w:tblInd w:w="0" w:type="dxa"/>
        <w:tblCellMar>
          <w:top w:w="0" w:type="dxa"/>
          <w:left w:w="0" w:type="dxa"/>
          <w:bottom w:w="0" w:type="dxa"/>
          <w:right w:w="0" w:type="dxa"/>
        </w:tblCellMar>
      </w:tblPr>
      <w:tblGrid>
        <w:gridCol w:w="125"/>
        <w:gridCol w:w="60"/>
        <w:gridCol w:w="201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2015" w:type="dxa"/>
            <w:tcBorders/>
            <w:shd w:fill="auto" w:val="clear"/>
            <w:vAlign w:val="center"/>
          </w:tcPr>
          <w:p>
            <w:pPr>
              <w:pStyle w:val="TableContents"/>
              <w:spacing w:before="0" w:after="0"/>
              <w:jc w:val="left"/>
              <w:rPr>
                <w:rFonts w:ascii="ARIAL" w:hAnsi="ARIAL"/>
                <w:sz w:val="20"/>
              </w:rPr>
            </w:pPr>
            <w:r>
              <w:rPr>
                <w:rFonts w:ascii="ARIAL" w:hAnsi="ARIAL"/>
                <w:sz w:val="20"/>
              </w:rPr>
              <w:t xml:space="preserve">Company market cap; </w:t>
            </w:r>
          </w:p>
        </w:tc>
      </w:tr>
    </w:tbl>
    <w:p>
      <w:pPr>
        <w:pStyle w:val="TextBody"/>
        <w:spacing w:before="0" w:after="0"/>
        <w:jc w:val="left"/>
        <w:rPr/>
      </w:pPr>
      <w:r>
        <w:rPr/>
        <w:t> </w:t>
      </w:r>
    </w:p>
    <w:tbl>
      <w:tblPr>
        <w:tblW w:w="9805" w:type="dxa"/>
        <w:jc w:val="left"/>
        <w:tblInd w:w="0" w:type="dxa"/>
        <w:tblCellMar>
          <w:top w:w="0" w:type="dxa"/>
          <w:left w:w="0" w:type="dxa"/>
          <w:bottom w:w="0" w:type="dxa"/>
          <w:right w:w="0" w:type="dxa"/>
        </w:tblCellMar>
      </w:tblPr>
      <w:tblGrid>
        <w:gridCol w:w="125"/>
        <w:gridCol w:w="60"/>
        <w:gridCol w:w="96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9620" w:type="dxa"/>
            <w:tcBorders/>
            <w:shd w:fill="auto" w:val="clear"/>
            <w:vAlign w:val="center"/>
          </w:tcPr>
          <w:p>
            <w:pPr>
              <w:pStyle w:val="TableContents"/>
              <w:spacing w:before="0" w:after="0"/>
              <w:jc w:val="left"/>
              <w:rPr>
                <w:rFonts w:ascii="ARIAL" w:hAnsi="ARIAL"/>
                <w:sz w:val="20"/>
              </w:rPr>
            </w:pPr>
            <w:r>
              <w:rPr>
                <w:rFonts w:ascii="ARIAL" w:hAnsi="ARIAL"/>
                <w:sz w:val="20"/>
              </w:rPr>
              <w:t xml:space="preserve">Companies in similar industries based on Global Industry Classification Standard (GICS) code classifications; </w:t>
            </w:r>
          </w:p>
        </w:tc>
      </w:tr>
    </w:tbl>
    <w:p>
      <w:pPr>
        <w:pStyle w:val="TextBody"/>
        <w:spacing w:before="0" w:after="0"/>
        <w:jc w:val="left"/>
        <w:rPr/>
      </w:pPr>
      <w:r>
        <w:rPr/>
        <w:t> </w:t>
      </w:r>
    </w:p>
    <w:tbl>
      <w:tblPr>
        <w:tblW w:w="8980" w:type="dxa"/>
        <w:jc w:val="left"/>
        <w:tblInd w:w="0" w:type="dxa"/>
        <w:tblCellMar>
          <w:top w:w="0" w:type="dxa"/>
          <w:left w:w="0" w:type="dxa"/>
          <w:bottom w:w="0" w:type="dxa"/>
          <w:right w:w="0" w:type="dxa"/>
        </w:tblCellMar>
      </w:tblPr>
      <w:tblGrid>
        <w:gridCol w:w="125"/>
        <w:gridCol w:w="60"/>
        <w:gridCol w:w="879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795" w:type="dxa"/>
            <w:tcBorders/>
            <w:shd w:fill="auto" w:val="clear"/>
            <w:vAlign w:val="center"/>
          </w:tcPr>
          <w:p>
            <w:pPr>
              <w:pStyle w:val="TableContents"/>
              <w:spacing w:before="0" w:after="0"/>
              <w:jc w:val="left"/>
              <w:rPr>
                <w:rFonts w:ascii="ARIAL" w:hAnsi="ARIAL"/>
                <w:sz w:val="20"/>
              </w:rPr>
            </w:pPr>
            <w:r>
              <w:rPr>
                <w:rFonts w:ascii="ARIAL" w:hAnsi="ARIAL"/>
                <w:sz w:val="20"/>
              </w:rPr>
              <w:t xml:space="preserve">Direct competitors for business and management talent that are publicly-traded in the United States; </w:t>
            </w:r>
          </w:p>
        </w:tc>
      </w:tr>
    </w:tbl>
    <w:p>
      <w:pPr>
        <w:pStyle w:val="TextBody"/>
        <w:spacing w:before="0" w:after="0"/>
        <w:jc w:val="left"/>
        <w:rPr/>
      </w:pPr>
      <w:r>
        <w:rPr/>
        <w:t> </w:t>
      </w:r>
    </w:p>
    <w:tbl>
      <w:tblPr>
        <w:tblW w:w="7105" w:type="dxa"/>
        <w:jc w:val="left"/>
        <w:tblInd w:w="0" w:type="dxa"/>
        <w:tblCellMar>
          <w:top w:w="0" w:type="dxa"/>
          <w:left w:w="0" w:type="dxa"/>
          <w:bottom w:w="0" w:type="dxa"/>
          <w:right w:w="0" w:type="dxa"/>
        </w:tblCellMar>
      </w:tblPr>
      <w:tblGrid>
        <w:gridCol w:w="125"/>
        <w:gridCol w:w="60"/>
        <w:gridCol w:w="69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920" w:type="dxa"/>
            <w:tcBorders/>
            <w:shd w:fill="auto" w:val="clear"/>
            <w:vAlign w:val="center"/>
          </w:tcPr>
          <w:p>
            <w:pPr>
              <w:pStyle w:val="TableContents"/>
              <w:spacing w:before="0" w:after="0"/>
              <w:jc w:val="left"/>
              <w:rPr>
                <w:rFonts w:ascii="ARIAL" w:hAnsi="ARIAL"/>
                <w:sz w:val="20"/>
              </w:rPr>
            </w:pPr>
            <w:r>
              <w:rPr>
                <w:rFonts w:ascii="ARIAL" w:hAnsi="ARIAL"/>
                <w:sz w:val="20"/>
              </w:rPr>
              <w:t xml:space="preserve">Companies covered by the investment analysts that track Martin Marietta; and </w:t>
            </w:r>
          </w:p>
        </w:tc>
      </w:tr>
    </w:tbl>
    <w:p>
      <w:pPr>
        <w:pStyle w:val="TextBody"/>
        <w:spacing w:before="0" w:after="0"/>
        <w:jc w:val="left"/>
        <w:rPr/>
      </w:pPr>
      <w:r>
        <w:rPr/>
        <w:t> </w:t>
      </w:r>
    </w:p>
    <w:tbl>
      <w:tblPr>
        <w:tblW w:w="6640" w:type="dxa"/>
        <w:jc w:val="left"/>
        <w:tblInd w:w="0" w:type="dxa"/>
        <w:tblCellMar>
          <w:top w:w="0" w:type="dxa"/>
          <w:left w:w="0" w:type="dxa"/>
          <w:bottom w:w="0" w:type="dxa"/>
          <w:right w:w="0" w:type="dxa"/>
        </w:tblCellMar>
      </w:tblPr>
      <w:tblGrid>
        <w:gridCol w:w="125"/>
        <w:gridCol w:w="60"/>
        <w:gridCol w:w="645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455" w:type="dxa"/>
            <w:tcBorders/>
            <w:shd w:fill="auto" w:val="clear"/>
            <w:vAlign w:val="center"/>
          </w:tcPr>
          <w:p>
            <w:pPr>
              <w:pStyle w:val="TableContents"/>
              <w:spacing w:before="0" w:after="0"/>
              <w:jc w:val="left"/>
              <w:rPr>
                <w:rFonts w:ascii="ARIAL" w:hAnsi="ARIAL"/>
                <w:sz w:val="20"/>
              </w:rPr>
            </w:pPr>
            <w:r>
              <w:rPr>
                <w:rFonts w:ascii="ARIAL" w:hAnsi="ARIAL"/>
                <w:sz w:val="20"/>
              </w:rPr>
              <w:t xml:space="preserve">Companies that include Martin Marietta in their compensation peer group. </w:t>
            </w:r>
          </w:p>
        </w:tc>
      </w:tr>
    </w:tbl>
    <w:p>
      <w:pPr>
        <w:pStyle w:val="TextBody"/>
        <w:spacing w:before="240" w:after="0"/>
        <w:jc w:val="left"/>
        <w:rPr>
          <w:rFonts w:ascii="ARIAL" w:hAnsi="ARIAL"/>
          <w:sz w:val="20"/>
        </w:rPr>
      </w:pPr>
      <w:r>
        <w:rPr>
          <w:rFonts w:ascii="ARIAL" w:hAnsi="ARIAL"/>
          <w:sz w:val="20"/>
        </w:rPr>
        <w:t xml:space="preserve">The following companies comprised our Compensation Peer Group for 2022 base salary and long-term incentive pay decisions: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64"/>
        <w:gridCol w:w="60"/>
        <w:gridCol w:w="1665"/>
        <w:gridCol w:w="60"/>
        <w:gridCol w:w="3110"/>
        <w:gridCol w:w="60"/>
        <w:gridCol w:w="3186"/>
      </w:tblGrid>
      <w:tr>
        <w:trPr/>
        <w:tc>
          <w:tcPr>
            <w:tcW w:w="20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86" w:type="dxa"/>
            <w:tcBorders/>
            <w:shd w:fill="auto" w:val="clear"/>
            <w:vAlign w:val="center"/>
          </w:tcPr>
          <w:p>
            <w:pPr>
              <w:pStyle w:val="TableContents"/>
              <w:spacing w:before="0" w:after="283"/>
              <w:rPr>
                <w:sz w:val="4"/>
                <w:szCs w:val="4"/>
              </w:rPr>
            </w:pPr>
            <w:r>
              <w:rPr>
                <w:sz w:val="4"/>
                <w:szCs w:val="4"/>
              </w:rPr>
            </w:r>
          </w:p>
        </w:tc>
      </w:tr>
      <w:tr>
        <w:trPr/>
        <w:tc>
          <w:tcPr>
            <w:tcW w:w="2064" w:type="dxa"/>
            <w:tcBorders/>
            <w:shd w:fill="auto" w:val="clear"/>
            <w:vAlign w:val="center"/>
          </w:tcPr>
          <w:p>
            <w:pPr>
              <w:pStyle w:val="TableContents"/>
              <w:spacing w:before="0" w:after="283"/>
              <w:rPr>
                <w:sz w:val="4"/>
                <w:szCs w:val="4"/>
              </w:rPr>
            </w:pPr>
            <w:r>
              <w:rPr>
                <w:sz w:val="4"/>
                <w:szCs w:val="4"/>
              </w:rPr>
            </w:r>
          </w:p>
        </w:tc>
        <w:tc>
          <w:tcPr>
            <w:tcW w:w="1725" w:type="dxa"/>
            <w:gridSpan w:val="2"/>
            <w:tcBorders/>
            <w:shd w:fill="auto" w:val="clear"/>
            <w:vAlign w:val="center"/>
          </w:tcPr>
          <w:p>
            <w:pPr>
              <w:pStyle w:val="TableContents"/>
              <w:spacing w:before="0" w:after="283"/>
              <w:rPr>
                <w:sz w:val="4"/>
                <w:szCs w:val="4"/>
              </w:rPr>
            </w:pPr>
            <w:r>
              <w:rPr>
                <w:sz w:val="4"/>
                <w:szCs w:val="4"/>
              </w:rPr>
            </w:r>
          </w:p>
        </w:tc>
        <w:tc>
          <w:tcPr>
            <w:tcW w:w="3170" w:type="dxa"/>
            <w:gridSpan w:val="2"/>
            <w:tcBorders/>
            <w:shd w:fill="auto" w:val="clear"/>
            <w:vAlign w:val="center"/>
          </w:tcPr>
          <w:p>
            <w:pPr>
              <w:pStyle w:val="TableContents"/>
              <w:spacing w:before="0" w:after="283"/>
              <w:rPr>
                <w:sz w:val="4"/>
                <w:szCs w:val="4"/>
              </w:rPr>
            </w:pPr>
            <w:r>
              <w:rPr>
                <w:sz w:val="4"/>
                <w:szCs w:val="4"/>
              </w:rPr>
            </w:r>
          </w:p>
        </w:tc>
        <w:tc>
          <w:tcPr>
            <w:tcW w:w="3246" w:type="dxa"/>
            <w:gridSpan w:val="2"/>
            <w:tcBorders/>
            <w:shd w:fill="auto" w:val="clear"/>
            <w:vAlign w:val="center"/>
          </w:tcPr>
          <w:p>
            <w:pPr>
              <w:pStyle w:val="TableContents"/>
              <w:spacing w:before="0" w:after="283"/>
              <w:rPr>
                <w:sz w:val="4"/>
                <w:szCs w:val="4"/>
              </w:rPr>
            </w:pPr>
            <w:r>
              <w:rPr>
                <w:sz w:val="4"/>
                <w:szCs w:val="4"/>
              </w:rPr>
            </w:r>
          </w:p>
        </w:tc>
      </w:tr>
      <w:tr>
        <w:trPr/>
        <w:tc>
          <w:tcPr>
            <w:tcW w:w="2064" w:type="dxa"/>
            <w:tcBorders/>
            <w:shd w:fill="auto" w:val="clear"/>
            <w:vAlign w:val="center"/>
          </w:tcPr>
          <w:p>
            <w:pPr>
              <w:pStyle w:val="TableContents"/>
              <w:spacing w:before="0" w:after="0"/>
              <w:rPr>
                <w:rFonts w:ascii="ARIAL" w:hAnsi="ARIAL"/>
                <w:sz w:val="18"/>
              </w:rPr>
            </w:pPr>
            <w:r>
              <w:rPr>
                <w:rFonts w:ascii="ARIAL" w:hAnsi="ARIAL"/>
                <w:sz w:val="18"/>
              </w:rPr>
              <w:t>Albemarle Corporation</w:t>
            </w:r>
          </w:p>
        </w:tc>
        <w:tc>
          <w:tcPr>
            <w:tcW w:w="60" w:type="dxa"/>
            <w:tcBorders/>
            <w:shd w:fill="auto" w:val="clear"/>
            <w:vAlign w:val="center"/>
          </w:tcPr>
          <w:p>
            <w:pPr>
              <w:pStyle w:val="TableContents"/>
              <w:spacing w:before="0" w:after="283"/>
              <w:rPr/>
            </w:pPr>
            <w:r>
              <w:rPr/>
              <w:t> </w:t>
            </w:r>
          </w:p>
        </w:tc>
        <w:tc>
          <w:tcPr>
            <w:tcW w:w="1665" w:type="dxa"/>
            <w:tcBorders/>
            <w:shd w:fill="auto" w:val="clear"/>
            <w:vAlign w:val="center"/>
          </w:tcPr>
          <w:p>
            <w:pPr>
              <w:pStyle w:val="TableContents"/>
              <w:spacing w:before="0" w:after="283"/>
              <w:rPr/>
            </w:pPr>
            <w:r>
              <w:rPr/>
              <w:t>Lennox International Inc.</w:t>
            </w:r>
          </w:p>
        </w:tc>
        <w:tc>
          <w:tcPr>
            <w:tcW w:w="60" w:type="dxa"/>
            <w:tcBorders/>
            <w:shd w:fill="auto" w:val="clear"/>
            <w:vAlign w:val="center"/>
          </w:tcPr>
          <w:p>
            <w:pPr>
              <w:pStyle w:val="TableContents"/>
              <w:spacing w:before="0" w:after="283"/>
              <w:rPr/>
            </w:pPr>
            <w:r>
              <w:rPr/>
              <w:t> </w:t>
            </w:r>
          </w:p>
        </w:tc>
        <w:tc>
          <w:tcPr>
            <w:tcW w:w="3110" w:type="dxa"/>
            <w:tcBorders/>
            <w:shd w:fill="auto" w:val="clear"/>
            <w:vAlign w:val="center"/>
          </w:tcPr>
          <w:p>
            <w:pPr>
              <w:pStyle w:val="TableContents"/>
              <w:spacing w:before="0" w:after="283"/>
              <w:rPr/>
            </w:pPr>
            <w:r>
              <w:rPr/>
              <w:t>Old Dominion Freight Line, Inc.</w:t>
            </w:r>
          </w:p>
        </w:tc>
        <w:tc>
          <w:tcPr>
            <w:tcW w:w="60" w:type="dxa"/>
            <w:tcBorders/>
            <w:shd w:fill="auto" w:val="clear"/>
            <w:vAlign w:val="center"/>
          </w:tcPr>
          <w:p>
            <w:pPr>
              <w:pStyle w:val="TableContents"/>
              <w:spacing w:before="0" w:after="283"/>
              <w:rPr/>
            </w:pPr>
            <w:r>
              <w:rPr/>
              <w:t> </w:t>
            </w:r>
          </w:p>
        </w:tc>
        <w:tc>
          <w:tcPr>
            <w:tcW w:w="3186" w:type="dxa"/>
            <w:tcBorders/>
            <w:shd w:fill="auto" w:val="clear"/>
            <w:vAlign w:val="center"/>
          </w:tcPr>
          <w:p>
            <w:pPr>
              <w:pStyle w:val="TableContents"/>
              <w:spacing w:before="0" w:after="283"/>
              <w:rPr/>
            </w:pPr>
            <w:r>
              <w:rPr/>
              <w:t>Vulcan Materials Company  </w:t>
            </w:r>
          </w:p>
        </w:tc>
      </w:tr>
      <w:tr>
        <w:trPr/>
        <w:tc>
          <w:tcPr>
            <w:tcW w:w="2064" w:type="dxa"/>
            <w:tcBorders/>
            <w:shd w:fill="auto" w:val="clear"/>
            <w:vAlign w:val="center"/>
          </w:tcPr>
          <w:p>
            <w:pPr>
              <w:pStyle w:val="TableContents"/>
              <w:spacing w:before="0" w:after="283"/>
              <w:rPr>
                <w:sz w:val="4"/>
                <w:szCs w:val="4"/>
              </w:rPr>
            </w:pPr>
            <w:r>
              <w:rPr>
                <w:sz w:val="4"/>
                <w:szCs w:val="4"/>
              </w:rPr>
            </w:r>
          </w:p>
        </w:tc>
        <w:tc>
          <w:tcPr>
            <w:tcW w:w="1725" w:type="dxa"/>
            <w:gridSpan w:val="2"/>
            <w:tcBorders/>
            <w:shd w:fill="auto" w:val="clear"/>
            <w:vAlign w:val="center"/>
          </w:tcPr>
          <w:p>
            <w:pPr>
              <w:pStyle w:val="TableContents"/>
              <w:spacing w:before="0" w:after="283"/>
              <w:rPr>
                <w:sz w:val="4"/>
                <w:szCs w:val="4"/>
              </w:rPr>
            </w:pPr>
            <w:r>
              <w:rPr>
                <w:sz w:val="4"/>
                <w:szCs w:val="4"/>
              </w:rPr>
            </w:r>
          </w:p>
        </w:tc>
        <w:tc>
          <w:tcPr>
            <w:tcW w:w="3170" w:type="dxa"/>
            <w:gridSpan w:val="2"/>
            <w:tcBorders/>
            <w:shd w:fill="auto" w:val="clear"/>
            <w:vAlign w:val="center"/>
          </w:tcPr>
          <w:p>
            <w:pPr>
              <w:pStyle w:val="TableContents"/>
              <w:spacing w:before="0" w:after="283"/>
              <w:rPr>
                <w:sz w:val="4"/>
                <w:szCs w:val="4"/>
              </w:rPr>
            </w:pPr>
            <w:r>
              <w:rPr>
                <w:sz w:val="4"/>
                <w:szCs w:val="4"/>
              </w:rPr>
            </w:r>
          </w:p>
        </w:tc>
        <w:tc>
          <w:tcPr>
            <w:tcW w:w="3246" w:type="dxa"/>
            <w:gridSpan w:val="2"/>
            <w:tcBorders/>
            <w:shd w:fill="auto" w:val="clear"/>
            <w:vAlign w:val="center"/>
          </w:tcPr>
          <w:p>
            <w:pPr>
              <w:pStyle w:val="TableContents"/>
              <w:spacing w:before="0" w:after="283"/>
              <w:rPr>
                <w:sz w:val="4"/>
                <w:szCs w:val="4"/>
              </w:rPr>
            </w:pPr>
            <w:r>
              <w:rPr>
                <w:sz w:val="4"/>
                <w:szCs w:val="4"/>
              </w:rPr>
            </w:r>
          </w:p>
        </w:tc>
      </w:tr>
      <w:tr>
        <w:trPr/>
        <w:tc>
          <w:tcPr>
            <w:tcW w:w="2064" w:type="dxa"/>
            <w:tcBorders/>
            <w:shd w:fill="auto" w:val="clear"/>
            <w:vAlign w:val="center"/>
          </w:tcPr>
          <w:p>
            <w:pPr>
              <w:pStyle w:val="TableContents"/>
              <w:spacing w:before="0" w:after="0"/>
              <w:rPr>
                <w:rFonts w:ascii="ARIAL" w:hAnsi="ARIAL"/>
                <w:sz w:val="18"/>
              </w:rPr>
            </w:pPr>
            <w:r>
              <w:rPr>
                <w:rFonts w:ascii="ARIAL" w:hAnsi="ARIAL"/>
                <w:sz w:val="18"/>
              </w:rPr>
              <w:t>CF Industries Holdings, Inc.</w:t>
            </w:r>
          </w:p>
        </w:tc>
        <w:tc>
          <w:tcPr>
            <w:tcW w:w="60" w:type="dxa"/>
            <w:tcBorders/>
            <w:shd w:fill="auto" w:val="clear"/>
            <w:vAlign w:val="center"/>
          </w:tcPr>
          <w:p>
            <w:pPr>
              <w:pStyle w:val="TableContents"/>
              <w:spacing w:before="0" w:after="283"/>
              <w:rPr/>
            </w:pPr>
            <w:r>
              <w:rPr/>
              <w:t> </w:t>
            </w:r>
          </w:p>
        </w:tc>
        <w:tc>
          <w:tcPr>
            <w:tcW w:w="1665" w:type="dxa"/>
            <w:tcBorders/>
            <w:shd w:fill="auto" w:val="clear"/>
            <w:vAlign w:val="center"/>
          </w:tcPr>
          <w:p>
            <w:pPr>
              <w:pStyle w:val="TableContents"/>
              <w:spacing w:before="0" w:after="283"/>
              <w:rPr/>
            </w:pPr>
            <w:r>
              <w:rPr/>
              <w:t>Masco Corporation</w:t>
            </w:r>
          </w:p>
        </w:tc>
        <w:tc>
          <w:tcPr>
            <w:tcW w:w="60" w:type="dxa"/>
            <w:tcBorders/>
            <w:shd w:fill="auto" w:val="clear"/>
            <w:vAlign w:val="center"/>
          </w:tcPr>
          <w:p>
            <w:pPr>
              <w:pStyle w:val="TableContents"/>
              <w:spacing w:before="0" w:after="283"/>
              <w:rPr/>
            </w:pPr>
            <w:r>
              <w:rPr/>
              <w:t> </w:t>
            </w:r>
          </w:p>
        </w:tc>
        <w:tc>
          <w:tcPr>
            <w:tcW w:w="3110" w:type="dxa"/>
            <w:tcBorders/>
            <w:shd w:fill="auto" w:val="clear"/>
            <w:vAlign w:val="center"/>
          </w:tcPr>
          <w:p>
            <w:pPr>
              <w:pStyle w:val="TableContents"/>
              <w:spacing w:before="0" w:after="283"/>
              <w:rPr/>
            </w:pPr>
            <w:r>
              <w:rPr/>
              <w:t>Owens Corning</w:t>
            </w:r>
          </w:p>
        </w:tc>
        <w:tc>
          <w:tcPr>
            <w:tcW w:w="60" w:type="dxa"/>
            <w:tcBorders/>
            <w:shd w:fill="auto" w:val="clear"/>
            <w:vAlign w:val="center"/>
          </w:tcPr>
          <w:p>
            <w:pPr>
              <w:pStyle w:val="TableContents"/>
              <w:spacing w:before="0" w:after="283"/>
              <w:rPr/>
            </w:pPr>
            <w:r>
              <w:rPr/>
              <w:t> </w:t>
            </w:r>
          </w:p>
        </w:tc>
        <w:tc>
          <w:tcPr>
            <w:tcW w:w="3186" w:type="dxa"/>
            <w:tcBorders/>
            <w:shd w:fill="auto" w:val="clear"/>
            <w:vAlign w:val="center"/>
          </w:tcPr>
          <w:p>
            <w:pPr>
              <w:pStyle w:val="TableContents"/>
              <w:spacing w:before="0" w:after="283"/>
              <w:rPr/>
            </w:pPr>
            <w:r>
              <w:rPr/>
              <w:t>Westlake Chemical Corporation  </w:t>
            </w:r>
          </w:p>
        </w:tc>
      </w:tr>
      <w:tr>
        <w:trPr/>
        <w:tc>
          <w:tcPr>
            <w:tcW w:w="2064" w:type="dxa"/>
            <w:tcBorders/>
            <w:shd w:fill="auto" w:val="clear"/>
            <w:vAlign w:val="center"/>
          </w:tcPr>
          <w:p>
            <w:pPr>
              <w:pStyle w:val="TableContents"/>
              <w:spacing w:before="0" w:after="283"/>
              <w:rPr>
                <w:sz w:val="4"/>
                <w:szCs w:val="4"/>
              </w:rPr>
            </w:pPr>
            <w:r>
              <w:rPr>
                <w:sz w:val="4"/>
                <w:szCs w:val="4"/>
              </w:rPr>
            </w:r>
          </w:p>
        </w:tc>
        <w:tc>
          <w:tcPr>
            <w:tcW w:w="1725" w:type="dxa"/>
            <w:gridSpan w:val="2"/>
            <w:tcBorders/>
            <w:shd w:fill="auto" w:val="clear"/>
            <w:vAlign w:val="center"/>
          </w:tcPr>
          <w:p>
            <w:pPr>
              <w:pStyle w:val="TableContents"/>
              <w:spacing w:before="0" w:after="283"/>
              <w:rPr>
                <w:sz w:val="4"/>
                <w:szCs w:val="4"/>
              </w:rPr>
            </w:pPr>
            <w:r>
              <w:rPr>
                <w:sz w:val="4"/>
                <w:szCs w:val="4"/>
              </w:rPr>
            </w:r>
          </w:p>
        </w:tc>
        <w:tc>
          <w:tcPr>
            <w:tcW w:w="3170" w:type="dxa"/>
            <w:gridSpan w:val="2"/>
            <w:tcBorders/>
            <w:shd w:fill="auto" w:val="clear"/>
            <w:vAlign w:val="center"/>
          </w:tcPr>
          <w:p>
            <w:pPr>
              <w:pStyle w:val="TableContents"/>
              <w:spacing w:before="0" w:after="283"/>
              <w:rPr>
                <w:sz w:val="4"/>
                <w:szCs w:val="4"/>
              </w:rPr>
            </w:pPr>
            <w:r>
              <w:rPr>
                <w:sz w:val="4"/>
                <w:szCs w:val="4"/>
              </w:rPr>
            </w:r>
          </w:p>
        </w:tc>
        <w:tc>
          <w:tcPr>
            <w:tcW w:w="3246" w:type="dxa"/>
            <w:gridSpan w:val="2"/>
            <w:tcBorders/>
            <w:shd w:fill="auto" w:val="clear"/>
            <w:vAlign w:val="center"/>
          </w:tcPr>
          <w:p>
            <w:pPr>
              <w:pStyle w:val="TableContents"/>
              <w:spacing w:before="0" w:after="283"/>
              <w:rPr>
                <w:sz w:val="4"/>
                <w:szCs w:val="4"/>
              </w:rPr>
            </w:pPr>
            <w:r>
              <w:rPr>
                <w:sz w:val="4"/>
                <w:szCs w:val="4"/>
              </w:rPr>
            </w:r>
          </w:p>
        </w:tc>
      </w:tr>
      <w:tr>
        <w:trPr/>
        <w:tc>
          <w:tcPr>
            <w:tcW w:w="2064" w:type="dxa"/>
            <w:tcBorders/>
            <w:shd w:fill="auto" w:val="clear"/>
            <w:vAlign w:val="center"/>
          </w:tcPr>
          <w:p>
            <w:pPr>
              <w:pStyle w:val="TableContents"/>
              <w:spacing w:before="0" w:after="0"/>
              <w:rPr>
                <w:rFonts w:ascii="ARIAL" w:hAnsi="ARIAL"/>
                <w:sz w:val="18"/>
              </w:rPr>
            </w:pPr>
            <w:r>
              <w:rPr>
                <w:rFonts w:ascii="ARIAL" w:hAnsi="ARIAL"/>
                <w:sz w:val="18"/>
              </w:rPr>
              <w:t>FMC Corporation</w:t>
            </w:r>
          </w:p>
        </w:tc>
        <w:tc>
          <w:tcPr>
            <w:tcW w:w="60" w:type="dxa"/>
            <w:tcBorders/>
            <w:shd w:fill="auto" w:val="clear"/>
            <w:vAlign w:val="center"/>
          </w:tcPr>
          <w:p>
            <w:pPr>
              <w:pStyle w:val="TableContents"/>
              <w:spacing w:before="0" w:after="283"/>
              <w:rPr/>
            </w:pPr>
            <w:r>
              <w:rPr/>
              <w:t> </w:t>
            </w:r>
          </w:p>
        </w:tc>
        <w:tc>
          <w:tcPr>
            <w:tcW w:w="1665" w:type="dxa"/>
            <w:tcBorders/>
            <w:shd w:fill="auto" w:val="clear"/>
            <w:vAlign w:val="center"/>
          </w:tcPr>
          <w:p>
            <w:pPr>
              <w:pStyle w:val="TableContents"/>
              <w:spacing w:before="0" w:after="283"/>
              <w:rPr/>
            </w:pPr>
            <w:r>
              <w:rPr/>
              <w:t>Newmont Corporation</w:t>
            </w:r>
          </w:p>
        </w:tc>
        <w:tc>
          <w:tcPr>
            <w:tcW w:w="60" w:type="dxa"/>
            <w:tcBorders/>
            <w:shd w:fill="auto" w:val="clear"/>
            <w:vAlign w:val="center"/>
          </w:tcPr>
          <w:p>
            <w:pPr>
              <w:pStyle w:val="TableContents"/>
              <w:spacing w:before="0" w:after="283"/>
              <w:rPr/>
            </w:pPr>
            <w:r>
              <w:rPr/>
              <w:t> </w:t>
            </w:r>
          </w:p>
        </w:tc>
        <w:tc>
          <w:tcPr>
            <w:tcW w:w="3110" w:type="dxa"/>
            <w:tcBorders/>
            <w:shd w:fill="auto" w:val="clear"/>
            <w:vAlign w:val="center"/>
          </w:tcPr>
          <w:p>
            <w:pPr>
              <w:pStyle w:val="TableContents"/>
              <w:spacing w:before="0" w:after="283"/>
              <w:rPr/>
            </w:pPr>
            <w:r>
              <w:rPr/>
              <w:t>Stanley Black &amp; Decker, Inc.</w:t>
            </w:r>
          </w:p>
        </w:tc>
        <w:tc>
          <w:tcPr>
            <w:tcW w:w="60" w:type="dxa"/>
            <w:tcBorders/>
            <w:shd w:fill="auto" w:val="clear"/>
            <w:vAlign w:val="center"/>
          </w:tcPr>
          <w:p>
            <w:pPr>
              <w:pStyle w:val="TableContents"/>
              <w:spacing w:before="0" w:after="283"/>
              <w:rPr/>
            </w:pPr>
            <w:r>
              <w:rPr/>
              <w:t> </w:t>
            </w:r>
          </w:p>
        </w:tc>
        <w:tc>
          <w:tcPr>
            <w:tcW w:w="3186" w:type="dxa"/>
            <w:tcBorders/>
            <w:shd w:fill="auto" w:val="clear"/>
            <w:vAlign w:val="center"/>
          </w:tcPr>
          <w:p>
            <w:pPr>
              <w:pStyle w:val="TableContents"/>
              <w:spacing w:before="0" w:after="283"/>
              <w:rPr>
                <w:sz w:val="4"/>
                <w:szCs w:val="4"/>
              </w:rPr>
            </w:pPr>
            <w:r>
              <w:rPr>
                <w:sz w:val="4"/>
                <w:szCs w:val="4"/>
              </w:rPr>
            </w:r>
          </w:p>
        </w:tc>
      </w:tr>
      <w:tr>
        <w:trPr/>
        <w:tc>
          <w:tcPr>
            <w:tcW w:w="2064" w:type="dxa"/>
            <w:tcBorders/>
            <w:shd w:fill="auto" w:val="clear"/>
            <w:vAlign w:val="center"/>
          </w:tcPr>
          <w:p>
            <w:pPr>
              <w:pStyle w:val="TableContents"/>
              <w:spacing w:before="0" w:after="283"/>
              <w:rPr>
                <w:sz w:val="4"/>
                <w:szCs w:val="4"/>
              </w:rPr>
            </w:pPr>
            <w:r>
              <w:rPr>
                <w:sz w:val="4"/>
                <w:szCs w:val="4"/>
              </w:rPr>
            </w:r>
          </w:p>
        </w:tc>
        <w:tc>
          <w:tcPr>
            <w:tcW w:w="1725" w:type="dxa"/>
            <w:gridSpan w:val="2"/>
            <w:tcBorders/>
            <w:shd w:fill="auto" w:val="clear"/>
            <w:vAlign w:val="center"/>
          </w:tcPr>
          <w:p>
            <w:pPr>
              <w:pStyle w:val="TableContents"/>
              <w:spacing w:before="0" w:after="283"/>
              <w:rPr>
                <w:sz w:val="4"/>
                <w:szCs w:val="4"/>
              </w:rPr>
            </w:pPr>
            <w:r>
              <w:rPr>
                <w:sz w:val="4"/>
                <w:szCs w:val="4"/>
              </w:rPr>
            </w:r>
          </w:p>
        </w:tc>
        <w:tc>
          <w:tcPr>
            <w:tcW w:w="3170" w:type="dxa"/>
            <w:gridSpan w:val="2"/>
            <w:tcBorders/>
            <w:shd w:fill="auto" w:val="clear"/>
            <w:vAlign w:val="center"/>
          </w:tcPr>
          <w:p>
            <w:pPr>
              <w:pStyle w:val="TableContents"/>
              <w:spacing w:before="0" w:after="283"/>
              <w:rPr>
                <w:sz w:val="4"/>
                <w:szCs w:val="4"/>
              </w:rPr>
            </w:pPr>
            <w:r>
              <w:rPr>
                <w:sz w:val="4"/>
                <w:szCs w:val="4"/>
              </w:rPr>
            </w:r>
          </w:p>
        </w:tc>
        <w:tc>
          <w:tcPr>
            <w:tcW w:w="3246" w:type="dxa"/>
            <w:gridSpan w:val="2"/>
            <w:tcBorders/>
            <w:shd w:fill="auto" w:val="clear"/>
            <w:vAlign w:val="center"/>
          </w:tcPr>
          <w:p>
            <w:pPr>
              <w:pStyle w:val="TableContents"/>
              <w:spacing w:before="0" w:after="283"/>
              <w:rPr>
                <w:sz w:val="4"/>
                <w:szCs w:val="4"/>
              </w:rPr>
            </w:pPr>
            <w:r>
              <w:rPr>
                <w:sz w:val="4"/>
                <w:szCs w:val="4"/>
              </w:rPr>
            </w:r>
          </w:p>
        </w:tc>
      </w:tr>
      <w:tr>
        <w:trPr/>
        <w:tc>
          <w:tcPr>
            <w:tcW w:w="2064" w:type="dxa"/>
            <w:tcBorders/>
            <w:shd w:fill="auto" w:val="clear"/>
            <w:vAlign w:val="center"/>
          </w:tcPr>
          <w:p>
            <w:pPr>
              <w:pStyle w:val="TableContents"/>
              <w:spacing w:before="0" w:after="0"/>
              <w:rPr>
                <w:rFonts w:ascii="ARIAL" w:hAnsi="ARIAL"/>
                <w:sz w:val="18"/>
              </w:rPr>
            </w:pPr>
            <w:r>
              <w:rPr>
                <w:rFonts w:ascii="ARIAL" w:hAnsi="ARIAL"/>
                <w:sz w:val="18"/>
              </w:rPr>
              <w:t>Fortune Brands Home &amp; Security, Inc.</w:t>
            </w:r>
          </w:p>
        </w:tc>
        <w:tc>
          <w:tcPr>
            <w:tcW w:w="60" w:type="dxa"/>
            <w:tcBorders/>
            <w:shd w:fill="auto" w:val="clear"/>
            <w:vAlign w:val="center"/>
          </w:tcPr>
          <w:p>
            <w:pPr>
              <w:pStyle w:val="TableContents"/>
              <w:spacing w:before="0" w:after="283"/>
              <w:rPr/>
            </w:pPr>
            <w:r>
              <w:rPr/>
              <w:t> </w:t>
            </w:r>
          </w:p>
        </w:tc>
        <w:tc>
          <w:tcPr>
            <w:tcW w:w="1665" w:type="dxa"/>
            <w:tcBorders/>
            <w:shd w:fill="auto" w:val="clear"/>
            <w:vAlign w:val="center"/>
          </w:tcPr>
          <w:p>
            <w:pPr>
              <w:pStyle w:val="TableContents"/>
              <w:spacing w:before="0" w:after="283"/>
              <w:rPr/>
            </w:pPr>
            <w:r>
              <w:rPr/>
              <w:t>Nucor Corporation</w:t>
            </w:r>
          </w:p>
        </w:tc>
        <w:tc>
          <w:tcPr>
            <w:tcW w:w="60" w:type="dxa"/>
            <w:tcBorders/>
            <w:shd w:fill="auto" w:val="clear"/>
            <w:vAlign w:val="center"/>
          </w:tcPr>
          <w:p>
            <w:pPr>
              <w:pStyle w:val="TableContents"/>
              <w:spacing w:before="0" w:after="283"/>
              <w:rPr/>
            </w:pPr>
            <w:r>
              <w:rPr/>
              <w:t> </w:t>
            </w:r>
          </w:p>
        </w:tc>
        <w:tc>
          <w:tcPr>
            <w:tcW w:w="31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18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66</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19"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03" descr=""/>
                          <pic:cNvPicPr>
                            <a:picLocks noChangeAspect="1" noChangeArrowheads="1"/>
                          </pic:cNvPicPr>
                        </pic:nvPicPr>
                        <pic:blipFill>
                          <a:blip r:embed="rId20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COMPENSATION DECISION PROCESS  ◆  </w:t>
      </w:r>
      <w:r>
        <w:rPr>
          <w:rFonts w:ascii="ARIAL" w:hAnsi="ARIAL"/>
          <w:color w:val="007CBA"/>
          <w:sz w:val="16"/>
        </w:rPr>
        <w:t>COMPENSATION DISCUSSION AND ANALYSIS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Committee studies competitive total compensation data from various sources, including proxy statements of the peer group. Since proxy statements do not provide precise comparisons by position to our executive officers, in 2022 the Committee also took into consideration published independent compensation surveys of companies with revenue in the range of $2.5 billion to $8.0 billion as to median levels for each executive officer as well as private compensation survey data. Where available, size-adjusted market values were developed using regression analysis. This statistical technique accounts for revenue size differences within the peer group and develops an estimated market value for a similar-size company as Martin Marietta. The size-adjusted 50th percentile for total compensation is a key reference point for the Committee. On average, the target for our NEO total compensation opportunities is competitively positioned within a reasonable range of the size-adjusted 50th percentile. </w:t>
      </w:r>
    </w:p>
    <w:p>
      <w:pPr>
        <w:pStyle w:val="TextBody"/>
        <w:spacing w:before="240" w:after="0"/>
        <w:jc w:val="left"/>
        <w:rPr>
          <w:rFonts w:ascii="ARIAL" w:hAnsi="ARIAL"/>
          <w:sz w:val="20"/>
        </w:rPr>
      </w:pPr>
      <w:r>
        <w:rPr>
          <w:rFonts w:ascii="ARIAL" w:hAnsi="ARIAL"/>
          <w:sz w:val="20"/>
        </w:rPr>
        <w:t xml:space="preserve">Although the Committee uses the size-adjusted 50th percentile as its starting point in setting compensation levels, the compensation packages for executive officers may vary materially from it based on several factors. Market data, position, tenure, individual and organization performance, retention needs and internal pay equity have been the primary factors considered in decisions to increase or decrease compensation opportunities. Specifically, the Committee typically sets compensation levels below the size-adjusted 50th percentile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size-adjusted 50th percentile. </w:t>
      </w:r>
    </w:p>
    <w:p>
      <w:pPr>
        <w:pStyle w:val="TextBody"/>
        <w:spacing w:before="240" w:after="0"/>
        <w:jc w:val="left"/>
        <w:rPr>
          <w:rFonts w:ascii="ARIAL" w:hAnsi="ARIAL"/>
          <w:b/>
          <w:color w:val="71BE9A"/>
          <w:sz w:val="26"/>
        </w:rPr>
      </w:pPr>
      <w:bookmarkStart w:id="53" w:name="toc390557_46"/>
      <w:bookmarkEnd w:id="53"/>
      <w:r>
        <w:rPr>
          <w:rFonts w:ascii="ARIAL" w:hAnsi="ARIAL"/>
          <w:b/>
          <w:color w:val="71BE9A"/>
          <w:sz w:val="26"/>
        </w:rPr>
        <w:t xml:space="preserve">Other Compensation Program Features </w:t>
      </w:r>
    </w:p>
    <w:p>
      <w:pPr>
        <w:pStyle w:val="TextBody"/>
        <w:spacing w:before="240" w:after="0"/>
        <w:jc w:val="left"/>
        <w:rPr>
          <w:rFonts w:ascii="ARIAL" w:hAnsi="ARIAL"/>
          <w:b/>
          <w:color w:val="007CBA"/>
          <w:sz w:val="26"/>
        </w:rPr>
      </w:pPr>
      <w:bookmarkStart w:id="54" w:name="toc390557_47"/>
      <w:bookmarkEnd w:id="54"/>
      <w:r>
        <w:rPr>
          <w:rFonts w:ascii="ARIAL" w:hAnsi="ARIAL"/>
          <w:b/>
          <w:color w:val="007CBA"/>
          <w:sz w:val="26"/>
        </w:rPr>
        <w:t xml:space="preserve">Compensation Program Risk Assessment </w:t>
      </w:r>
    </w:p>
    <w:p>
      <w:pPr>
        <w:pStyle w:val="TextBody"/>
        <w:spacing w:before="120" w:after="0"/>
        <w:jc w:val="left"/>
        <w:rPr>
          <w:rFonts w:ascii="ARIAL" w:hAnsi="ARIAL"/>
          <w:sz w:val="20"/>
        </w:rPr>
      </w:pPr>
      <w:r>
        <w:rPr>
          <w:rFonts w:ascii="ARIAL" w:hAnsi="ARIAL"/>
          <w:sz w:val="20"/>
        </w:rPr>
        <w:t xml:space="preserve">We perform a thorough annual review of our compensation program structure and all compensation programs, which are also reviewed in detail with the Committee. We believe our executive pay is appropriate and provides necessary incentives to our executives to achieve our financial and strategic goals without encouraging them to take excessive risks in their business decisions. Our compensation structure does not include features that are reasonably likely to have a material adverse effect on the Company. Compensation program features that mitigate against risks include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Our annual incentive compensation plan does not provide payment for poor individual or corporate performance, regardless of whether the failure to achieve target was outside management’s control. </w:t>
            </w:r>
          </w:p>
        </w:tc>
      </w:tr>
    </w:tbl>
    <w:p>
      <w:pPr>
        <w:pStyle w:val="TextBody"/>
        <w:spacing w:before="0" w:after="0"/>
        <w:jc w:val="left"/>
        <w:rPr/>
      </w:pPr>
      <w:r>
        <w:rPr/>
        <w:t> </w:t>
      </w:r>
    </w:p>
    <w:tbl>
      <w:tblPr>
        <w:tblW w:w="9820" w:type="dxa"/>
        <w:jc w:val="left"/>
        <w:tblInd w:w="0" w:type="dxa"/>
        <w:tblCellMar>
          <w:top w:w="0" w:type="dxa"/>
          <w:left w:w="0" w:type="dxa"/>
          <w:bottom w:w="0" w:type="dxa"/>
          <w:right w:w="0" w:type="dxa"/>
        </w:tblCellMar>
      </w:tblPr>
      <w:tblGrid>
        <w:gridCol w:w="125"/>
        <w:gridCol w:w="60"/>
        <w:gridCol w:w="963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There are caps on the long-term equity awards, even if the required performance-related criteria are exceeded.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A majority of the NEOs’ compensation is long-term, with equity grants vesting over three to five years, depending on the award.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Our compensation is not based on highly leveraged short-term incentives that encourage high risk investments at the expense of long-term value.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Long-term compensation to executive officers is based on specific performance measures that balance long-term growth and returns.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Committee uses benchmarking data and the advice of its independent compensation consultant to keep compensation in line with typical market practices and appropriate to Martin Marietta’s needs. </w:t>
            </w:r>
          </w:p>
        </w:tc>
      </w:tr>
    </w:tbl>
    <w:p>
      <w:pPr>
        <w:pStyle w:val="TextBody"/>
        <w:spacing w:before="0" w:after="0"/>
        <w:jc w:val="left"/>
        <w:rPr/>
      </w:pPr>
      <w:r>
        <w:rPr/>
        <w:t> </w:t>
      </w:r>
    </w:p>
    <w:tbl>
      <w:tblPr>
        <w:tblW w:w="5560" w:type="dxa"/>
        <w:jc w:val="left"/>
        <w:tblInd w:w="0" w:type="dxa"/>
        <w:tblCellMar>
          <w:top w:w="0" w:type="dxa"/>
          <w:left w:w="0" w:type="dxa"/>
          <w:bottom w:w="0" w:type="dxa"/>
          <w:right w:w="0" w:type="dxa"/>
        </w:tblCellMar>
      </w:tblPr>
      <w:tblGrid>
        <w:gridCol w:w="125"/>
        <w:gridCol w:w="60"/>
        <w:gridCol w:w="537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5375"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use a balanced portfolio of long-term incentive programs. </w:t>
            </w:r>
          </w:p>
        </w:tc>
      </w:tr>
    </w:tbl>
    <w:p>
      <w:pPr>
        <w:pStyle w:val="TextBody"/>
        <w:spacing w:before="0" w:after="0"/>
        <w:jc w:val="left"/>
        <w:rPr/>
      </w:pPr>
      <w:r>
        <w:rPr/>
        <w:t> </w:t>
      </w:r>
    </w:p>
    <w:tbl>
      <w:tblPr>
        <w:tblW w:w="9880" w:type="dxa"/>
        <w:jc w:val="left"/>
        <w:tblInd w:w="0" w:type="dxa"/>
        <w:tblCellMar>
          <w:top w:w="0" w:type="dxa"/>
          <w:left w:w="0" w:type="dxa"/>
          <w:bottom w:w="0" w:type="dxa"/>
          <w:right w:w="0" w:type="dxa"/>
        </w:tblCellMar>
      </w:tblPr>
      <w:tblGrid>
        <w:gridCol w:w="125"/>
        <w:gridCol w:w="60"/>
        <w:gridCol w:w="969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9695"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Committee’s governance process requires review and approval of all compensation over a certain amount. </w:t>
            </w:r>
          </w:p>
        </w:tc>
      </w:tr>
    </w:tbl>
    <w:p>
      <w:pPr>
        <w:pStyle w:val="TextBody"/>
        <w:spacing w:before="240" w:after="0"/>
        <w:jc w:val="left"/>
        <w:rPr>
          <w:rFonts w:ascii="ARIAL" w:hAnsi="ARIAL"/>
          <w:b/>
          <w:color w:val="007CBA"/>
          <w:sz w:val="26"/>
        </w:rPr>
      </w:pPr>
      <w:bookmarkStart w:id="55" w:name="toc390557_48"/>
      <w:bookmarkEnd w:id="55"/>
      <w:r>
        <w:rPr>
          <w:rFonts w:ascii="ARIAL" w:hAnsi="ARIAL"/>
          <w:b/>
          <w:color w:val="007CBA"/>
          <w:sz w:val="26"/>
        </w:rPr>
        <w:t xml:space="preserve">Stock-Based Awards Generally </w:t>
      </w:r>
    </w:p>
    <w:p>
      <w:pPr>
        <w:pStyle w:val="TextBody"/>
        <w:spacing w:before="120" w:after="0"/>
        <w:jc w:val="left"/>
        <w:rPr>
          <w:rFonts w:ascii="ARIAL" w:hAnsi="ARIAL"/>
          <w:sz w:val="20"/>
        </w:rPr>
      </w:pPr>
      <w:r>
        <w:rPr>
          <w:rFonts w:ascii="ARIAL" w:hAnsi="ARIAL"/>
          <w:sz w:val="20"/>
        </w:rPr>
        <w:t xml:space="preserve">All of Martin Marietta’s active equity-based award plans have been approved by shareholders. Our Stock Plan requires a minimum vesting period of 12 months for restricted stock or RSUs and a minimum vesting period of 36 months for stock options or stock appreciation rights (SARs). The Company has not issued SARs and has not issued stock options since 2015.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20"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04" descr=""/>
                          <pic:cNvPicPr>
                            <a:picLocks noChangeAspect="1" noChangeArrowheads="1"/>
                          </pic:cNvPicPr>
                        </pic:nvPicPr>
                        <pic:blipFill>
                          <a:blip r:embed="rId20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67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STOCK OWNERSHIP REQUIREMENTS </w:t>
      </w:r>
    </w:p>
    <w:p>
      <w:pPr>
        <w:pStyle w:val="TextBody"/>
        <w:spacing w:before="0" w:after="0"/>
        <w:jc w:val="left"/>
        <w:rPr/>
      </w:pPr>
      <w:r>
        <w:rPr/>
        <w:t> </w:t>
      </w:r>
    </w:p>
    <w:p>
      <w:pPr>
        <w:pStyle w:val="TextBody"/>
        <w:spacing w:before="0" w:after="0"/>
        <w:jc w:val="left"/>
        <w:rPr>
          <w:rFonts w:ascii="ARIAL" w:hAnsi="ARIAL"/>
          <w:b/>
          <w:color w:val="007CBA"/>
          <w:sz w:val="26"/>
        </w:rPr>
      </w:pPr>
      <w:bookmarkStart w:id="56" w:name="toc390557_49"/>
      <w:bookmarkEnd w:id="56"/>
      <w:r>
        <w:rPr>
          <w:rFonts w:ascii="ARIAL" w:hAnsi="ARIAL"/>
          <w:b/>
          <w:color w:val="007CBA"/>
          <w:sz w:val="26"/>
        </w:rPr>
        <w:t xml:space="preserve">Stock Ownership Requirements </w:t>
      </w:r>
    </w:p>
    <w:p>
      <w:pPr>
        <w:pStyle w:val="TextBody"/>
        <w:spacing w:before="120" w:after="0"/>
        <w:jc w:val="left"/>
        <w:rPr>
          <w:rFonts w:ascii="ARIAL" w:hAnsi="ARIAL"/>
          <w:sz w:val="20"/>
        </w:rPr>
      </w:pPr>
      <w:r>
        <w:rPr>
          <w:rFonts w:ascii="ARIAL" w:hAnsi="ARIAL"/>
          <w:sz w:val="20"/>
        </w:rPr>
        <w:t xml:space="preserve">In 2018, the Board adopted robust formal Stock Ownership Guidelines for executive officers and members of the Board of Directors. These require the following ownership levels as a multiple of base salary or annual cash retainer, as applicable: </w:t>
      </w:r>
    </w:p>
    <w:p>
      <w:pPr>
        <w:pStyle w:val="TextBody"/>
        <w:spacing w:before="0" w:after="0"/>
        <w:jc w:val="left"/>
        <w:rPr/>
      </w:pPr>
      <w:r>
        <w:rPr/>
        <w:t> </w:t>
      </w:r>
    </w:p>
    <w:tbl>
      <w:tblPr>
        <w:tblW w:w="5035" w:type="dxa"/>
        <w:jc w:val="left"/>
        <w:tblInd w:w="0" w:type="dxa"/>
        <w:tblCellMar>
          <w:top w:w="0" w:type="dxa"/>
          <w:left w:w="0" w:type="dxa"/>
          <w:bottom w:w="0" w:type="dxa"/>
          <w:right w:w="0" w:type="dxa"/>
        </w:tblCellMar>
      </w:tblPr>
      <w:tblGrid>
        <w:gridCol w:w="3305"/>
        <w:gridCol w:w="120"/>
        <w:gridCol w:w="1610"/>
      </w:tblGrid>
      <w:tr>
        <w:trPr/>
        <w:tc>
          <w:tcPr>
            <w:tcW w:w="33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r>
      <w:tr>
        <w:trPr/>
        <w:tc>
          <w:tcPr>
            <w:tcW w:w="3305" w:type="dxa"/>
            <w:tcBorders/>
            <w:shd w:fill="DBDBDB" w:val="clear"/>
            <w:vAlign w:val="center"/>
          </w:tcPr>
          <w:p>
            <w:pPr>
              <w:pStyle w:val="TableContents"/>
              <w:spacing w:before="0" w:after="283"/>
              <w:rPr>
                <w:sz w:val="4"/>
                <w:szCs w:val="4"/>
              </w:rPr>
            </w:pPr>
            <w:r>
              <w:rPr>
                <w:sz w:val="4"/>
                <w:szCs w:val="4"/>
              </w:rPr>
            </w:r>
          </w:p>
        </w:tc>
        <w:tc>
          <w:tcPr>
            <w:tcW w:w="1730" w:type="dxa"/>
            <w:gridSpan w:val="2"/>
            <w:tcBorders/>
            <w:shd w:fill="DBDBDB" w:val="clear"/>
            <w:vAlign w:val="center"/>
          </w:tcPr>
          <w:p>
            <w:pPr>
              <w:pStyle w:val="TableContents"/>
              <w:spacing w:before="0" w:after="283"/>
              <w:rPr>
                <w:sz w:val="4"/>
                <w:szCs w:val="4"/>
              </w:rPr>
            </w:pPr>
            <w:r>
              <w:rPr>
                <w:sz w:val="4"/>
                <w:szCs w:val="4"/>
              </w:rPr>
            </w:r>
          </w:p>
        </w:tc>
      </w:tr>
      <w:tr>
        <w:trPr/>
        <w:tc>
          <w:tcPr>
            <w:tcW w:w="3305" w:type="dxa"/>
            <w:tcBorders/>
            <w:shd w:fill="DBDBDB" w:val="clear"/>
            <w:vAlign w:val="center"/>
          </w:tcPr>
          <w:p>
            <w:pPr>
              <w:pStyle w:val="TableContents"/>
              <w:spacing w:before="0" w:after="0"/>
              <w:rPr>
                <w:rFonts w:ascii="ARIAL" w:hAnsi="ARIAL"/>
                <w:b/>
                <w:sz w:val="18"/>
              </w:rPr>
            </w:pPr>
            <w:r>
              <w:rPr>
                <w:rFonts w:ascii="ARIAL" w:hAnsi="ARIAL"/>
                <w:b/>
                <w:sz w:val="18"/>
              </w:rPr>
              <w:t>Title</w:t>
            </w:r>
          </w:p>
        </w:tc>
        <w:tc>
          <w:tcPr>
            <w:tcW w:w="120" w:type="dxa"/>
            <w:tcBorders/>
            <w:shd w:fill="DBDBDB" w:val="clear"/>
            <w:vAlign w:val="center"/>
          </w:tcPr>
          <w:p>
            <w:pPr>
              <w:pStyle w:val="TableContents"/>
              <w:spacing w:before="0" w:after="283"/>
              <w:rPr/>
            </w:pPr>
            <w:r>
              <w:rPr/>
              <w:t>  </w:t>
            </w:r>
          </w:p>
        </w:tc>
        <w:tc>
          <w:tcPr>
            <w:tcW w:w="1610" w:type="dxa"/>
            <w:tcBorders/>
            <w:shd w:fill="DBDBDB" w:val="clear"/>
            <w:vAlign w:val="center"/>
          </w:tcPr>
          <w:p>
            <w:pPr>
              <w:pStyle w:val="TableContents"/>
              <w:spacing w:before="0" w:after="283"/>
              <w:rPr>
                <w:b/>
              </w:rPr>
            </w:pPr>
            <w:r>
              <w:rPr>
                <w:b/>
              </w:rPr>
              <w:t>Annual Base</w:t>
              <w:br/>
              <w:t>Salary Multiple</w:t>
            </w:r>
          </w:p>
        </w:tc>
      </w:tr>
      <w:tr>
        <w:trPr/>
        <w:tc>
          <w:tcPr>
            <w:tcW w:w="3305" w:type="dxa"/>
            <w:tcBorders/>
            <w:shd w:fill="auto" w:val="clear"/>
            <w:vAlign w:val="center"/>
          </w:tcPr>
          <w:p>
            <w:pPr>
              <w:pStyle w:val="TableContents"/>
              <w:spacing w:before="0" w:after="283"/>
              <w:rPr>
                <w:sz w:val="4"/>
                <w:szCs w:val="4"/>
              </w:rPr>
            </w:pPr>
            <w:r>
              <w:rPr>
                <w:sz w:val="4"/>
                <w:szCs w:val="4"/>
              </w:rPr>
            </w:r>
          </w:p>
        </w:tc>
        <w:tc>
          <w:tcPr>
            <w:tcW w:w="1730" w:type="dxa"/>
            <w:gridSpan w:val="2"/>
            <w:tcBorders/>
            <w:shd w:fill="auto" w:val="clear"/>
            <w:vAlign w:val="center"/>
          </w:tcPr>
          <w:p>
            <w:pPr>
              <w:pStyle w:val="TableContents"/>
              <w:spacing w:before="0" w:after="283"/>
              <w:rPr>
                <w:sz w:val="4"/>
                <w:szCs w:val="4"/>
              </w:rPr>
            </w:pPr>
            <w:r>
              <w:rPr>
                <w:sz w:val="4"/>
                <w:szCs w:val="4"/>
              </w:rPr>
            </w:r>
          </w:p>
        </w:tc>
      </w:tr>
      <w:tr>
        <w:trPr/>
        <w:tc>
          <w:tcPr>
            <w:tcW w:w="330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Chairman, President and CEO</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610" w:type="dxa"/>
            <w:tcBorders>
              <w:bottom w:val="dotted" w:sz="8" w:space="0" w:color="000000"/>
            </w:tcBorders>
            <w:shd w:fill="auto" w:val="clear"/>
            <w:tcMar>
              <w:bottom w:w="100" w:type="dxa"/>
            </w:tcMar>
            <w:vAlign w:val="center"/>
          </w:tcPr>
          <w:p>
            <w:pPr>
              <w:pStyle w:val="TableContents"/>
              <w:spacing w:before="0" w:after="283"/>
              <w:rPr/>
            </w:pPr>
            <w:r>
              <w:rPr/>
              <w:t>7 times</w:t>
            </w:r>
          </w:p>
        </w:tc>
      </w:tr>
      <w:tr>
        <w:trPr/>
        <w:tc>
          <w:tcPr>
            <w:tcW w:w="3305" w:type="dxa"/>
            <w:tcBorders/>
            <w:shd w:fill="auto" w:val="clear"/>
            <w:vAlign w:val="center"/>
          </w:tcPr>
          <w:p>
            <w:pPr>
              <w:pStyle w:val="TableContents"/>
              <w:spacing w:before="0" w:after="283"/>
              <w:rPr>
                <w:sz w:val="4"/>
                <w:szCs w:val="4"/>
              </w:rPr>
            </w:pPr>
            <w:r>
              <w:rPr>
                <w:sz w:val="4"/>
                <w:szCs w:val="4"/>
              </w:rPr>
            </w:r>
          </w:p>
        </w:tc>
        <w:tc>
          <w:tcPr>
            <w:tcW w:w="1730" w:type="dxa"/>
            <w:gridSpan w:val="2"/>
            <w:tcBorders/>
            <w:shd w:fill="auto" w:val="clear"/>
            <w:vAlign w:val="center"/>
          </w:tcPr>
          <w:p>
            <w:pPr>
              <w:pStyle w:val="TableContents"/>
              <w:spacing w:before="0" w:after="283"/>
              <w:rPr>
                <w:sz w:val="4"/>
                <w:szCs w:val="4"/>
              </w:rPr>
            </w:pPr>
            <w:r>
              <w:rPr>
                <w:sz w:val="4"/>
                <w:szCs w:val="4"/>
              </w:rPr>
            </w:r>
          </w:p>
        </w:tc>
      </w:tr>
      <w:tr>
        <w:trPr/>
        <w:tc>
          <w:tcPr>
            <w:tcW w:w="330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Other Executive Officers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610" w:type="dxa"/>
            <w:tcBorders>
              <w:bottom w:val="dotted" w:sz="8" w:space="0" w:color="000000"/>
            </w:tcBorders>
            <w:shd w:fill="auto" w:val="clear"/>
            <w:tcMar>
              <w:bottom w:w="100" w:type="dxa"/>
            </w:tcMar>
            <w:vAlign w:val="center"/>
          </w:tcPr>
          <w:p>
            <w:pPr>
              <w:pStyle w:val="TableContents"/>
              <w:spacing w:before="0" w:after="283"/>
              <w:rPr/>
            </w:pPr>
            <w:r>
              <w:rPr/>
              <w:t>5 times</w:t>
            </w:r>
          </w:p>
        </w:tc>
      </w:tr>
      <w:tr>
        <w:trPr/>
        <w:tc>
          <w:tcPr>
            <w:tcW w:w="3305" w:type="dxa"/>
            <w:tcBorders/>
            <w:shd w:fill="auto" w:val="clear"/>
            <w:vAlign w:val="center"/>
          </w:tcPr>
          <w:p>
            <w:pPr>
              <w:pStyle w:val="TableContents"/>
              <w:spacing w:before="0" w:after="283"/>
              <w:rPr>
                <w:sz w:val="4"/>
                <w:szCs w:val="4"/>
              </w:rPr>
            </w:pPr>
            <w:r>
              <w:rPr>
                <w:sz w:val="4"/>
                <w:szCs w:val="4"/>
              </w:rPr>
            </w:r>
          </w:p>
        </w:tc>
        <w:tc>
          <w:tcPr>
            <w:tcW w:w="1730" w:type="dxa"/>
            <w:gridSpan w:val="2"/>
            <w:tcBorders/>
            <w:shd w:fill="auto" w:val="clear"/>
            <w:vAlign w:val="center"/>
          </w:tcPr>
          <w:p>
            <w:pPr>
              <w:pStyle w:val="TableContents"/>
              <w:spacing w:before="0" w:after="283"/>
              <w:rPr>
                <w:sz w:val="4"/>
                <w:szCs w:val="4"/>
              </w:rPr>
            </w:pPr>
            <w:r>
              <w:rPr>
                <w:sz w:val="4"/>
                <w:szCs w:val="4"/>
              </w:rPr>
            </w:r>
          </w:p>
        </w:tc>
      </w:tr>
      <w:tr>
        <w:trPr/>
        <w:tc>
          <w:tcPr>
            <w:tcW w:w="3305" w:type="dxa"/>
            <w:tcBorders>
              <w:bottom w:val="single" w:sz="6"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Other Members of the Board of Directors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610" w:type="dxa"/>
            <w:tcBorders>
              <w:bottom w:val="single" w:sz="6" w:space="0" w:color="000000"/>
            </w:tcBorders>
            <w:shd w:fill="auto" w:val="clear"/>
            <w:tcMar>
              <w:bottom w:w="100" w:type="dxa"/>
            </w:tcMar>
            <w:vAlign w:val="center"/>
          </w:tcPr>
          <w:p>
            <w:pPr>
              <w:pStyle w:val="TableContents"/>
              <w:spacing w:before="0" w:after="283"/>
              <w:rPr/>
            </w:pPr>
            <w:r>
              <w:rPr/>
              <w:t>5 times</w:t>
            </w:r>
          </w:p>
        </w:tc>
      </w:tr>
    </w:tbl>
    <w:p>
      <w:pPr>
        <w:pStyle w:val="TextBody"/>
        <w:spacing w:before="240" w:after="0"/>
        <w:jc w:val="left"/>
        <w:rPr>
          <w:rFonts w:ascii="ARIAL" w:hAnsi="ARIAL"/>
          <w:sz w:val="20"/>
        </w:rPr>
      </w:pPr>
      <w:r>
        <w:rPr>
          <w:rFonts w:ascii="ARIAL" w:hAnsi="ARIAL"/>
          <w:sz w:val="20"/>
        </w:rPr>
        <w:t xml:space="preserve">The following types of equity instruments count in determining stock ownership for purposes of these guidelines: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Shares owned separately by the covered person or owned either jointly with, or separately by, his or her immediate family members residing in the same household; </w:t>
            </w:r>
          </w:p>
        </w:tc>
      </w:tr>
    </w:tbl>
    <w:p>
      <w:pPr>
        <w:pStyle w:val="TextBody"/>
        <w:spacing w:before="0" w:after="0"/>
        <w:jc w:val="left"/>
        <w:rPr/>
      </w:pPr>
      <w:r>
        <w:rPr/>
        <w:t> </w:t>
      </w:r>
    </w:p>
    <w:tbl>
      <w:tblPr>
        <w:tblW w:w="8755" w:type="dxa"/>
        <w:jc w:val="left"/>
        <w:tblInd w:w="0" w:type="dxa"/>
        <w:tblCellMar>
          <w:top w:w="0" w:type="dxa"/>
          <w:left w:w="0" w:type="dxa"/>
          <w:bottom w:w="0" w:type="dxa"/>
          <w:right w:w="0" w:type="dxa"/>
        </w:tblCellMar>
      </w:tblPr>
      <w:tblGrid>
        <w:gridCol w:w="125"/>
        <w:gridCol w:w="60"/>
        <w:gridCol w:w="857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0"/>
              <w:jc w:val="left"/>
              <w:rPr>
                <w:rFonts w:ascii="ARIAL" w:hAnsi="ARIAL"/>
                <w:sz w:val="20"/>
              </w:rPr>
            </w:pPr>
            <w:r>
              <w:rPr>
                <w:rFonts w:ascii="ARIAL" w:hAnsi="ARIAL"/>
                <w:sz w:val="20"/>
              </w:rPr>
              <w:t xml:space="preserve">Shares held in trust for the benefit of the covered person or his or her immediate family members; </w:t>
            </w:r>
          </w:p>
        </w:tc>
      </w:tr>
    </w:tbl>
    <w:p>
      <w:pPr>
        <w:pStyle w:val="TextBody"/>
        <w:spacing w:before="0" w:after="0"/>
        <w:jc w:val="left"/>
        <w:rPr/>
      </w:pPr>
      <w:r>
        <w:rPr/>
        <w:t> </w:t>
      </w:r>
    </w:p>
    <w:tbl>
      <w:tblPr>
        <w:tblW w:w="3655" w:type="dxa"/>
        <w:jc w:val="left"/>
        <w:tblInd w:w="0" w:type="dxa"/>
        <w:tblCellMar>
          <w:top w:w="0" w:type="dxa"/>
          <w:left w:w="0" w:type="dxa"/>
          <w:bottom w:w="0" w:type="dxa"/>
          <w:right w:w="0" w:type="dxa"/>
        </w:tblCellMar>
      </w:tblPr>
      <w:tblGrid>
        <w:gridCol w:w="125"/>
        <w:gridCol w:w="60"/>
        <w:gridCol w:w="347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0"/>
              <w:jc w:val="left"/>
              <w:rPr>
                <w:rFonts w:ascii="ARIAL" w:hAnsi="ARIAL"/>
                <w:sz w:val="20"/>
              </w:rPr>
            </w:pPr>
            <w:r>
              <w:rPr>
                <w:rFonts w:ascii="ARIAL" w:hAnsi="ARIAL"/>
                <w:sz w:val="20"/>
              </w:rPr>
              <w:t xml:space="preserve">Shares purchased on the open market; </w:t>
            </w:r>
          </w:p>
        </w:tc>
      </w:tr>
    </w:tbl>
    <w:p>
      <w:pPr>
        <w:pStyle w:val="TextBody"/>
        <w:spacing w:before="0" w:after="0"/>
        <w:jc w:val="left"/>
        <w:rPr/>
      </w:pPr>
      <w:r>
        <w:rPr/>
        <w:t> </w:t>
      </w:r>
    </w:p>
    <w:tbl>
      <w:tblPr>
        <w:tblW w:w="6505" w:type="dxa"/>
        <w:jc w:val="left"/>
        <w:tblInd w:w="0" w:type="dxa"/>
        <w:tblCellMar>
          <w:top w:w="0" w:type="dxa"/>
          <w:left w:w="0" w:type="dxa"/>
          <w:bottom w:w="0" w:type="dxa"/>
          <w:right w:w="0" w:type="dxa"/>
        </w:tblCellMar>
      </w:tblPr>
      <w:tblGrid>
        <w:gridCol w:w="125"/>
        <w:gridCol w:w="60"/>
        <w:gridCol w:w="63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320" w:type="dxa"/>
            <w:tcBorders/>
            <w:shd w:fill="auto" w:val="clear"/>
            <w:vAlign w:val="center"/>
          </w:tcPr>
          <w:p>
            <w:pPr>
              <w:pStyle w:val="TableContents"/>
              <w:spacing w:before="0" w:after="0"/>
              <w:jc w:val="left"/>
              <w:rPr>
                <w:rFonts w:ascii="ARIAL" w:hAnsi="ARIAL"/>
                <w:sz w:val="20"/>
              </w:rPr>
            </w:pPr>
            <w:r>
              <w:rPr>
                <w:rFonts w:ascii="ARIAL" w:hAnsi="ARIAL"/>
                <w:sz w:val="20"/>
              </w:rPr>
              <w:t xml:space="preserve">Shares obtained through stock option exercise (and not thereafter sold); </w:t>
            </w:r>
          </w:p>
        </w:tc>
      </w:tr>
    </w:tbl>
    <w:p>
      <w:pPr>
        <w:pStyle w:val="TextBody"/>
        <w:spacing w:before="0" w:after="0"/>
        <w:jc w:val="left"/>
        <w:rPr/>
      </w:pPr>
      <w:r>
        <w:rPr/>
        <w:t> </w:t>
      </w:r>
    </w:p>
    <w:tbl>
      <w:tblPr>
        <w:tblW w:w="3205" w:type="dxa"/>
        <w:jc w:val="left"/>
        <w:tblInd w:w="0" w:type="dxa"/>
        <w:tblCellMar>
          <w:top w:w="0" w:type="dxa"/>
          <w:left w:w="0" w:type="dxa"/>
          <w:bottom w:w="0" w:type="dxa"/>
          <w:right w:w="0" w:type="dxa"/>
        </w:tblCellMar>
      </w:tblPr>
      <w:tblGrid>
        <w:gridCol w:w="125"/>
        <w:gridCol w:w="60"/>
        <w:gridCol w:w="3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Vested shares pursuant to RSUs; </w:t>
            </w:r>
          </w:p>
        </w:tc>
      </w:tr>
    </w:tbl>
    <w:p>
      <w:pPr>
        <w:pStyle w:val="TextBody"/>
        <w:spacing w:before="0" w:after="0"/>
        <w:jc w:val="left"/>
        <w:rPr/>
      </w:pPr>
      <w:r>
        <w:rPr/>
        <w:t> </w:t>
      </w:r>
    </w:p>
    <w:tbl>
      <w:tblPr>
        <w:tblW w:w="1735" w:type="dxa"/>
        <w:jc w:val="left"/>
        <w:tblInd w:w="0" w:type="dxa"/>
        <w:tblCellMar>
          <w:top w:w="0" w:type="dxa"/>
          <w:left w:w="0" w:type="dxa"/>
          <w:bottom w:w="0" w:type="dxa"/>
          <w:right w:w="0" w:type="dxa"/>
        </w:tblCellMar>
      </w:tblPr>
      <w:tblGrid>
        <w:gridCol w:w="125"/>
        <w:gridCol w:w="60"/>
        <w:gridCol w:w="155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550" w:type="dxa"/>
            <w:tcBorders/>
            <w:shd w:fill="auto" w:val="clear"/>
            <w:vAlign w:val="center"/>
          </w:tcPr>
          <w:p>
            <w:pPr>
              <w:pStyle w:val="TableContents"/>
              <w:spacing w:before="0" w:after="0"/>
              <w:jc w:val="left"/>
              <w:rPr>
                <w:rFonts w:ascii="ARIAL" w:hAnsi="ARIAL"/>
                <w:sz w:val="20"/>
              </w:rPr>
            </w:pPr>
            <w:r>
              <w:rPr>
                <w:rFonts w:ascii="ARIAL" w:hAnsi="ARIAL"/>
                <w:sz w:val="20"/>
              </w:rPr>
              <w:t xml:space="preserve">Unvested RSUs; </w:t>
            </w:r>
          </w:p>
        </w:tc>
      </w:tr>
    </w:tbl>
    <w:p>
      <w:pPr>
        <w:pStyle w:val="TextBody"/>
        <w:spacing w:before="0" w:after="0"/>
        <w:jc w:val="left"/>
        <w:rPr/>
      </w:pPr>
      <w:r>
        <w:rPr/>
        <w:t> </w:t>
      </w:r>
    </w:p>
    <w:tbl>
      <w:tblPr>
        <w:tblW w:w="7945" w:type="dxa"/>
        <w:jc w:val="left"/>
        <w:tblInd w:w="0" w:type="dxa"/>
        <w:tblCellMar>
          <w:top w:w="0" w:type="dxa"/>
          <w:left w:w="0" w:type="dxa"/>
          <w:bottom w:w="0" w:type="dxa"/>
          <w:right w:w="0" w:type="dxa"/>
        </w:tblCellMar>
      </w:tblPr>
      <w:tblGrid>
        <w:gridCol w:w="125"/>
        <w:gridCol w:w="60"/>
        <w:gridCol w:w="776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760" w:type="dxa"/>
            <w:tcBorders/>
            <w:shd w:fill="auto" w:val="clear"/>
            <w:vAlign w:val="center"/>
          </w:tcPr>
          <w:p>
            <w:pPr>
              <w:pStyle w:val="TableContents"/>
              <w:spacing w:before="0" w:after="0"/>
              <w:jc w:val="left"/>
              <w:rPr>
                <w:rFonts w:ascii="ARIAL" w:hAnsi="ARIAL"/>
                <w:sz w:val="20"/>
              </w:rPr>
            </w:pPr>
            <w:r>
              <w:rPr>
                <w:rFonts w:ascii="ARIAL" w:hAnsi="ARIAL"/>
                <w:sz w:val="20"/>
              </w:rPr>
              <w:t xml:space="preserve">Shares held pursuant to deferred stock unit plans for Directors or executive officers; and </w:t>
            </w:r>
          </w:p>
        </w:tc>
      </w:tr>
    </w:tbl>
    <w:p>
      <w:pPr>
        <w:pStyle w:val="TextBody"/>
        <w:spacing w:before="0" w:after="0"/>
        <w:jc w:val="left"/>
        <w:rPr/>
      </w:pPr>
      <w:r>
        <w:rPr/>
        <w:t> </w:t>
      </w:r>
    </w:p>
    <w:tbl>
      <w:tblPr>
        <w:tblW w:w="9220" w:type="dxa"/>
        <w:jc w:val="left"/>
        <w:tblInd w:w="0" w:type="dxa"/>
        <w:tblCellMar>
          <w:top w:w="0" w:type="dxa"/>
          <w:left w:w="0" w:type="dxa"/>
          <w:bottom w:w="0" w:type="dxa"/>
          <w:right w:w="0" w:type="dxa"/>
        </w:tblCellMar>
      </w:tblPr>
      <w:tblGrid>
        <w:gridCol w:w="125"/>
        <w:gridCol w:w="60"/>
        <w:gridCol w:w="903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9035" w:type="dxa"/>
            <w:tcBorders/>
            <w:shd w:fill="auto" w:val="clear"/>
            <w:vAlign w:val="center"/>
          </w:tcPr>
          <w:p>
            <w:pPr>
              <w:pStyle w:val="TableContents"/>
              <w:spacing w:before="0" w:after="0"/>
              <w:jc w:val="left"/>
              <w:rPr>
                <w:rFonts w:ascii="ARIAL" w:hAnsi="ARIAL"/>
                <w:sz w:val="20"/>
              </w:rPr>
            </w:pPr>
            <w:r>
              <w:rPr>
                <w:rFonts w:ascii="ARIAL" w:hAnsi="ARIAL"/>
                <w:sz w:val="20"/>
              </w:rPr>
              <w:t xml:space="preserve">Shares acquired under the Company’s Savings and Investment Plan and similar plans or arrangements </w:t>
            </w:r>
          </w:p>
        </w:tc>
      </w:tr>
    </w:tbl>
    <w:p>
      <w:pPr>
        <w:pStyle w:val="TextBody"/>
        <w:spacing w:before="240" w:after="0"/>
        <w:jc w:val="left"/>
        <w:rPr>
          <w:rFonts w:ascii="ARIAL" w:hAnsi="ARIAL"/>
          <w:sz w:val="20"/>
        </w:rPr>
      </w:pPr>
      <w:r>
        <w:rPr>
          <w:rFonts w:ascii="ARIAL" w:hAnsi="ARIAL"/>
          <w:sz w:val="20"/>
        </w:rPr>
        <w:t xml:space="preserve">Covered persons who are employees are expected to meet these requirements within five years of the later of becoming a covered person or the date of adoption of the policy, whichever is later. Until such time as such covered person has met these requirements, he or she is expected to retain 50% of any shares of common stock received upon vesting of RSUs, deferred stock unit awards, PSUs, the exercise of stock options, and other similar equity awards, net of amounts withheld to pay taxes and the exercise price of stock options until the applicable Guideline level is met. </w:t>
      </w:r>
    </w:p>
    <w:p>
      <w:pPr>
        <w:pStyle w:val="TextBody"/>
        <w:spacing w:before="240" w:after="0"/>
        <w:jc w:val="left"/>
        <w:rPr>
          <w:rFonts w:ascii="ARIAL" w:hAnsi="ARIAL"/>
          <w:sz w:val="20"/>
        </w:rPr>
      </w:pPr>
      <w:r>
        <w:rPr>
          <w:rFonts w:ascii="ARIAL" w:hAnsi="ARIAL"/>
          <w:sz w:val="20"/>
        </w:rPr>
        <w:t xml:space="preserve">Stock ownership does not include vested or unvested stock options, unvested PSUs and vested or unvested stock appreciation rights. </w:t>
      </w:r>
    </w:p>
    <w:p>
      <w:pPr>
        <w:pStyle w:val="TextBody"/>
        <w:spacing w:before="240" w:after="0"/>
        <w:jc w:val="left"/>
        <w:rPr>
          <w:rFonts w:ascii="ARIAL" w:hAnsi="ARIAL"/>
          <w:sz w:val="20"/>
        </w:rPr>
      </w:pPr>
      <w:r>
        <w:rPr>
          <w:rFonts w:ascii="ARIAL" w:hAnsi="ARIAL"/>
          <w:sz w:val="20"/>
        </w:rPr>
        <w:t xml:space="preserve">All of the Company’s executive officers and members of the Board of Directors are in compliance with the Stock Ownership Guidelines. </w:t>
      </w:r>
    </w:p>
    <w:p>
      <w:pPr>
        <w:pStyle w:val="TextBody"/>
        <w:spacing w:before="240" w:after="0"/>
        <w:jc w:val="left"/>
        <w:rPr>
          <w:rFonts w:ascii="ARIAL" w:hAnsi="ARIAL"/>
          <w:sz w:val="20"/>
        </w:rPr>
      </w:pPr>
      <w:r>
        <w:rPr>
          <w:rFonts w:ascii="ARIAL" w:hAnsi="ARIAL"/>
          <w:sz w:val="20"/>
        </w:rPr>
        <w:t xml:space="preserve">We also require a holding period of annual cash incentive compensation converted to Martin Marietta share equivalents as described below, with vesting generally in three years. There is no additional holding period beyond the vesting date, however a significant portion of the executive compensation program is in the form of equity awards that vest over three years generally. </w:t>
      </w:r>
    </w:p>
    <w:p>
      <w:pPr>
        <w:pStyle w:val="TextBody"/>
        <w:spacing w:before="240" w:after="0"/>
        <w:jc w:val="left"/>
        <w:rPr>
          <w:rFonts w:ascii="ARIAL" w:hAnsi="ARIAL"/>
          <w:sz w:val="20"/>
        </w:rPr>
      </w:pPr>
      <w:r>
        <w:rPr>
          <w:rFonts w:ascii="ARIAL" w:hAnsi="ARIAL"/>
          <w:sz w:val="20"/>
        </w:rPr>
        <w:t xml:space="preserve">Our CEO and executive officers can invest a portion of each year’s cash bonus award, up to 50%, in common stock units of Martin Marietta. Stock is purchased at a 20% discount to the price on the grant date to account for the additional risk of taking a common stock unit payment in lieu of a risk-free cash payment. </w:t>
      </w:r>
    </w:p>
    <w:p>
      <w:pPr>
        <w:pStyle w:val="TextBody"/>
        <w:spacing w:before="240" w:after="0"/>
        <w:jc w:val="left"/>
        <w:rPr>
          <w:rFonts w:ascii="ARIAL" w:hAnsi="ARIAL"/>
          <w:b/>
          <w:color w:val="007CBA"/>
          <w:sz w:val="26"/>
        </w:rPr>
      </w:pPr>
      <w:bookmarkStart w:id="57" w:name="toc390557_50"/>
      <w:bookmarkEnd w:id="57"/>
      <w:r>
        <w:rPr>
          <w:rFonts w:ascii="ARIAL" w:hAnsi="ARIAL"/>
          <w:b/>
          <w:color w:val="007CBA"/>
          <w:sz w:val="26"/>
        </w:rPr>
        <w:t xml:space="preserve">Anti-Hedging and Pledging Policy </w:t>
      </w:r>
    </w:p>
    <w:p>
      <w:pPr>
        <w:pStyle w:val="TextBody"/>
        <w:spacing w:before="240" w:after="0"/>
        <w:jc w:val="left"/>
        <w:rPr>
          <w:rFonts w:ascii="ARIAL" w:hAnsi="ARIAL"/>
          <w:sz w:val="20"/>
        </w:rPr>
      </w:pPr>
      <w:r>
        <w:rPr>
          <w:rFonts w:ascii="ARIAL" w:hAnsi="ARIAL"/>
          <w:sz w:val="20"/>
        </w:rPr>
        <w:t xml:space="preserve">Our policies prohibit hedging and pledging of Martin Marietta stock by all directors and executive officers. Under our policies, directors and executive officers may not engage in any hedging or monetization transactions, such as puts, calls, options, other derivative securities, prepaid variable forward contracts, equity swaps, collars, exchange funds and short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68</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21"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05" descr=""/>
                          <pic:cNvPicPr>
                            <a:picLocks noChangeAspect="1" noChangeArrowheads="1"/>
                          </pic:cNvPicPr>
                        </pic:nvPicPr>
                        <pic:blipFill>
                          <a:blip r:embed="rId20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CLAWBACK POLICY  ◆  </w:t>
      </w:r>
      <w:r>
        <w:rPr>
          <w:rFonts w:ascii="ARIAL" w:hAnsi="ARIAL"/>
          <w:color w:val="007CBA"/>
          <w:sz w:val="16"/>
        </w:rPr>
        <w:t>COMPENSATION DISCUSSION AND ANALYSIS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sales with respect to Company stock, the purpose of which is to hedge or offset any decrease in the market value of such stock. This policy also prohibits Directors and executive officers from purchasing Company stock on margin, borrowing against Company stock on margin, or pledging Company stock as collateral for any loan. </w:t>
      </w:r>
    </w:p>
    <w:p>
      <w:pPr>
        <w:pStyle w:val="TextBody"/>
        <w:spacing w:before="240" w:after="0"/>
        <w:jc w:val="left"/>
        <w:rPr>
          <w:rFonts w:ascii="ARIAL" w:hAnsi="ARIAL"/>
          <w:b/>
          <w:color w:val="007CBA"/>
          <w:sz w:val="26"/>
        </w:rPr>
      </w:pPr>
      <w:bookmarkStart w:id="58" w:name="toc390557_51"/>
      <w:bookmarkEnd w:id="58"/>
      <w:r>
        <w:rPr>
          <w:rFonts w:ascii="ARIAL" w:hAnsi="ARIAL"/>
          <w:b/>
          <w:color w:val="007CBA"/>
          <w:sz w:val="26"/>
        </w:rPr>
        <w:t xml:space="preserve">Clawback Policy </w:t>
      </w:r>
    </w:p>
    <w:p>
      <w:pPr>
        <w:pStyle w:val="TextBody"/>
        <w:spacing w:before="120" w:after="0"/>
        <w:jc w:val="left"/>
        <w:rPr>
          <w:rFonts w:ascii="ARIAL" w:hAnsi="ARIAL"/>
          <w:sz w:val="20"/>
        </w:rPr>
      </w:pPr>
      <w:r>
        <w:rPr>
          <w:rFonts w:ascii="ARIAL" w:hAnsi="ARIAL"/>
          <w:sz w:val="20"/>
        </w:rPr>
        <w:t xml:space="preserve">We also have a clawback policy. If the Board determines that an officer’s intentional misconduct, gross negligence or failure to report such acts by another person was a contributing factor in requiring us to restate any of our financial statements or constituted fraud, bribery or another illegal act (or contributed to another person’s fraud, bribery or other illegal act) which adversely impacted our financial position or reputation, then the Board shall take such action as it deems in the best interest of the Company and necessary to remedy the misconduct and prevent its recurrence. Among other actions, the Board may seek to recover or require reimbursement of any amount awarded to the officer in the form of an annual incentive bonus or LTI award. There were no events requiring Board consideration of a clawback action during 2022. </w:t>
      </w:r>
    </w:p>
    <w:p>
      <w:pPr>
        <w:pStyle w:val="TextBody"/>
        <w:spacing w:before="240" w:after="0"/>
        <w:jc w:val="left"/>
        <w:rPr>
          <w:rFonts w:ascii="ARIAL" w:hAnsi="ARIAL"/>
          <w:b/>
          <w:color w:val="007CBA"/>
          <w:sz w:val="26"/>
        </w:rPr>
      </w:pPr>
      <w:bookmarkStart w:id="59" w:name="toc390557_52"/>
      <w:bookmarkEnd w:id="59"/>
      <w:r>
        <w:rPr>
          <w:rFonts w:ascii="ARIAL" w:hAnsi="ARIAL"/>
          <w:b/>
          <w:color w:val="007CBA"/>
          <w:sz w:val="26"/>
        </w:rPr>
        <w:t xml:space="preserve">Our Use of Independent Compensation Consultants </w:t>
      </w:r>
    </w:p>
    <w:p>
      <w:pPr>
        <w:pStyle w:val="TextBody"/>
        <w:spacing w:before="120" w:after="0"/>
        <w:jc w:val="left"/>
        <w:rPr>
          <w:rFonts w:ascii="ARIAL" w:hAnsi="ARIAL"/>
          <w:sz w:val="20"/>
        </w:rPr>
      </w:pPr>
      <w:r>
        <w:rPr>
          <w:rFonts w:ascii="ARIAL" w:hAnsi="ARIAL"/>
          <w:sz w:val="20"/>
        </w:rPr>
        <w:t xml:space="preserve">The independent compensation consultant provides important information about market practices, the types and amounts of compensation offered to executives generally and the role of corporate governance considerations in making compensation decisions. The Committee’s charter authorizes it to retain outside advisors that it believes are appropriate to assist in evaluating executive compensation. </w:t>
      </w:r>
    </w:p>
    <w:p>
      <w:pPr>
        <w:pStyle w:val="TextBody"/>
        <w:spacing w:before="240" w:after="0"/>
        <w:jc w:val="left"/>
        <w:rPr>
          <w:rFonts w:ascii="ARIAL" w:hAnsi="ARIAL"/>
          <w:sz w:val="20"/>
        </w:rPr>
      </w:pPr>
      <w:r>
        <w:rPr>
          <w:rFonts w:ascii="ARIAL" w:hAnsi="ARIAL"/>
          <w:sz w:val="20"/>
        </w:rPr>
        <w:t xml:space="preserve">For 2022, the Committee continued to retain Pay Governance as an independent compensation consultant. </w:t>
      </w:r>
    </w:p>
    <w:p>
      <w:pPr>
        <w:pStyle w:val="TextBody"/>
        <w:spacing w:before="240" w:after="0"/>
        <w:jc w:val="left"/>
        <w:rPr>
          <w:rFonts w:ascii="ARIAL" w:hAnsi="ARIAL"/>
          <w:sz w:val="20"/>
        </w:rPr>
      </w:pPr>
      <w:r>
        <w:rPr>
          <w:rFonts w:ascii="ARIAL" w:hAnsi="ARIAL"/>
          <w:sz w:val="20"/>
        </w:rPr>
        <w:t xml:space="preserve">In connection with its retention of Pay Governance, the Committee considered the following factors in assessing Pay Governance’s independence: </w:t>
      </w:r>
    </w:p>
    <w:p>
      <w:pPr>
        <w:pStyle w:val="TextBody"/>
        <w:spacing w:before="0" w:after="0"/>
        <w:jc w:val="left"/>
        <w:rPr/>
      </w:pPr>
      <w:r>
        <w:rPr/>
        <w:t> </w:t>
      </w:r>
    </w:p>
    <w:tbl>
      <w:tblPr>
        <w:tblW w:w="9850" w:type="dxa"/>
        <w:jc w:val="left"/>
        <w:tblInd w:w="0" w:type="dxa"/>
        <w:tblCellMar>
          <w:top w:w="0" w:type="dxa"/>
          <w:left w:w="0" w:type="dxa"/>
          <w:bottom w:w="0" w:type="dxa"/>
          <w:right w:w="0" w:type="dxa"/>
        </w:tblCellMar>
      </w:tblPr>
      <w:tblGrid>
        <w:gridCol w:w="125"/>
        <w:gridCol w:w="60"/>
        <w:gridCol w:w="966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9665" w:type="dxa"/>
            <w:tcBorders/>
            <w:shd w:fill="auto" w:val="clear"/>
            <w:vAlign w:val="center"/>
          </w:tcPr>
          <w:p>
            <w:pPr>
              <w:pStyle w:val="TableContents"/>
              <w:spacing w:before="0" w:after="0"/>
              <w:jc w:val="left"/>
              <w:rPr>
                <w:rFonts w:ascii="ARIAL" w:hAnsi="ARIAL"/>
                <w:sz w:val="20"/>
              </w:rPr>
            </w:pPr>
            <w:r>
              <w:rPr>
                <w:rFonts w:ascii="ARIAL" w:hAnsi="ARIAL"/>
                <w:sz w:val="20"/>
              </w:rPr>
              <w:t xml:space="preserve">Pay Governance does not provide any services to Martin Marietta other than compensation advisory services. </w:t>
            </w:r>
          </w:p>
        </w:tc>
      </w:tr>
    </w:tbl>
    <w:p>
      <w:pPr>
        <w:pStyle w:val="TextBody"/>
        <w:spacing w:before="0" w:after="0"/>
        <w:jc w:val="left"/>
        <w:rPr/>
      </w:pPr>
      <w:r>
        <w:rPr/>
        <w:t> </w:t>
      </w:r>
    </w:p>
    <w:tbl>
      <w:tblPr>
        <w:tblW w:w="8260" w:type="dxa"/>
        <w:jc w:val="left"/>
        <w:tblInd w:w="0" w:type="dxa"/>
        <w:tblCellMar>
          <w:top w:w="0" w:type="dxa"/>
          <w:left w:w="0" w:type="dxa"/>
          <w:bottom w:w="0" w:type="dxa"/>
          <w:right w:w="0" w:type="dxa"/>
        </w:tblCellMar>
      </w:tblPr>
      <w:tblGrid>
        <w:gridCol w:w="125"/>
        <w:gridCol w:w="60"/>
        <w:gridCol w:w="807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075"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compensation paid to Pay Governance is less than 1% of Pay Governance’s revenues.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Pay Governance has business ethics and insider trading and stock ownership policies, which are designed to avoid conflicts of interest. </w:t>
            </w:r>
          </w:p>
        </w:tc>
      </w:tr>
    </w:tbl>
    <w:p>
      <w:pPr>
        <w:pStyle w:val="TextBody"/>
        <w:spacing w:before="0" w:after="0"/>
        <w:jc w:val="left"/>
        <w:rPr/>
      </w:pPr>
      <w:r>
        <w:rPr/>
        <w:t> </w:t>
      </w:r>
    </w:p>
    <w:tbl>
      <w:tblPr>
        <w:tblW w:w="8485" w:type="dxa"/>
        <w:jc w:val="left"/>
        <w:tblInd w:w="0" w:type="dxa"/>
        <w:tblCellMar>
          <w:top w:w="0" w:type="dxa"/>
          <w:left w:w="0" w:type="dxa"/>
          <w:bottom w:w="0" w:type="dxa"/>
          <w:right w:w="0" w:type="dxa"/>
        </w:tblCellMar>
      </w:tblPr>
      <w:tblGrid>
        <w:gridCol w:w="125"/>
        <w:gridCol w:w="60"/>
        <w:gridCol w:w="830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8300" w:type="dxa"/>
            <w:tcBorders/>
            <w:shd w:fill="auto" w:val="clear"/>
            <w:vAlign w:val="center"/>
          </w:tcPr>
          <w:p>
            <w:pPr>
              <w:pStyle w:val="TableContents"/>
              <w:spacing w:before="0" w:after="0"/>
              <w:jc w:val="left"/>
              <w:rPr>
                <w:rFonts w:ascii="ARIAL" w:hAnsi="ARIAL"/>
                <w:sz w:val="20"/>
              </w:rPr>
            </w:pPr>
            <w:r>
              <w:rPr>
                <w:rFonts w:ascii="ARIAL" w:hAnsi="ARIAL"/>
                <w:sz w:val="20"/>
              </w:rPr>
              <w:t xml:space="preserve">Pay Governance employees supporting the engagement do not own Martin Marietta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Pay Governance employees supporting the engagement have no business or personal relationships with members of the Compensation Committee or with any Martin Marietta executive officer. </w:t>
            </w:r>
          </w:p>
        </w:tc>
      </w:tr>
    </w:tbl>
    <w:p>
      <w:pPr>
        <w:pStyle w:val="TextBody"/>
        <w:spacing w:before="240" w:after="0"/>
        <w:jc w:val="left"/>
        <w:rPr>
          <w:rFonts w:ascii="ARIAL" w:hAnsi="ARIAL"/>
          <w:sz w:val="20"/>
        </w:rPr>
      </w:pPr>
      <w:r>
        <w:rPr>
          <w:rFonts w:ascii="ARIAL" w:hAnsi="ARIAL"/>
          <w:sz w:val="20"/>
        </w:rPr>
        <w:t xml:space="preserve">The nature and scope of Pay Governance’s engagement was determined by the Committee and not limited in any way by management. The Committee also considered Pay Governance Global Business Standards intended to address potential conflicts of interests with respect to their executive compensation consulting services and the other factors required to be considered by applicable SEC and NYSE rules in approving the Committee’s engagement of Pay Governance for 2022. Based on this review, the Committee did not identify that Pay Governance had any conflicts of interest that would prevent Pay Governance from independently advising the Committee. Pay Governance did not provide any additional services beyond those relating to director and executive officer compensation in an amount in excess of $120,000 in 2022. </w:t>
      </w:r>
    </w:p>
    <w:p>
      <w:pPr>
        <w:pStyle w:val="TextBody"/>
        <w:spacing w:before="240" w:after="0"/>
        <w:jc w:val="left"/>
        <w:rPr>
          <w:rFonts w:ascii="ARIAL" w:hAnsi="ARIAL"/>
          <w:b/>
          <w:color w:val="007CBA"/>
          <w:sz w:val="26"/>
        </w:rPr>
      </w:pPr>
      <w:bookmarkStart w:id="60" w:name="toc390557_53"/>
      <w:bookmarkEnd w:id="60"/>
      <w:r>
        <w:rPr>
          <w:rFonts w:ascii="ARIAL" w:hAnsi="ARIAL"/>
          <w:b/>
          <w:color w:val="007CBA"/>
          <w:sz w:val="26"/>
        </w:rPr>
        <w:t xml:space="preserve">Practice Regarding Timing of Equity Grants </w:t>
      </w:r>
    </w:p>
    <w:p>
      <w:pPr>
        <w:pStyle w:val="TextBody"/>
        <w:spacing w:before="120" w:after="0"/>
        <w:jc w:val="left"/>
        <w:rPr>
          <w:rFonts w:ascii="ARIAL" w:hAnsi="ARIAL"/>
          <w:sz w:val="20"/>
        </w:rPr>
      </w:pPr>
      <w:r>
        <w:rPr>
          <w:rFonts w:ascii="ARIAL" w:hAnsi="ARIAL"/>
          <w:sz w:val="20"/>
        </w:rPr>
        <w:t xml:space="preserve">The stock purchase awards under our Incentive Stock Plan and the PSUs and RSUs awarded under our LTI program, each as described above, were granted in 2022 at the Committee’s regularly scheduled meetings in February following the availability of financial results for the prior year. Newly hired executive officers may, subject to the discretion of the Committee, receive an award of RSUs as of the date of their hire. The number of such RSUs is based on the average Martin Marietta stock price for the 20-day period ending on the date of the grant or the first date of employment, whichever is later. The Committee’s schedule is determined several months in advance and the proximity of any awards to earnings announcements or other market events is coincidental.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22"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06" descr=""/>
                          <pic:cNvPicPr>
                            <a:picLocks noChangeAspect="1" noChangeArrowheads="1"/>
                          </pic:cNvPicPr>
                        </pic:nvPicPr>
                        <pic:blipFill>
                          <a:blip r:embed="rId20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69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PRACTICE REGARDING TIMING OF EQUITY GRANTS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Our practice with regard to the timing of equity grants is: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No equity award may be backdated. A future date may be used if, among other reasons, the Committee’s action occurs in connection with a new employee who has not yet commenced employment.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Proposed equity awards are presented to the Committee in February of each year. Off-cycle awards may be considered in the Committee’s discretion in special circumstances, which may include hiring, retention or acquisition transactions. </w:t>
            </w:r>
          </w:p>
        </w:tc>
      </w:tr>
    </w:tbl>
    <w:p>
      <w:pPr>
        <w:pStyle w:val="TextBody"/>
        <w:spacing w:before="240" w:after="0"/>
        <w:jc w:val="left"/>
        <w:rPr>
          <w:rFonts w:ascii="ARIAL" w:hAnsi="ARIAL"/>
          <w:sz w:val="20"/>
        </w:rPr>
      </w:pPr>
      <w:r>
        <w:rPr>
          <w:rFonts w:ascii="ARIAL" w:hAnsi="ARIAL"/>
          <w:sz w:val="20"/>
        </w:rPr>
        <w:t xml:space="preserve">In addition, our existing stock award plan prohibits repricing of stock options or paying cash for underwater stock options. </w:t>
      </w:r>
    </w:p>
    <w:p>
      <w:pPr>
        <w:pStyle w:val="TextBody"/>
        <w:spacing w:before="240" w:after="0"/>
        <w:jc w:val="left"/>
        <w:rPr>
          <w:rFonts w:ascii="ARIAL" w:hAnsi="ARIAL"/>
          <w:b/>
          <w:color w:val="007CBA"/>
          <w:sz w:val="26"/>
        </w:rPr>
      </w:pPr>
      <w:bookmarkStart w:id="61" w:name="toc390557_54"/>
      <w:bookmarkEnd w:id="61"/>
      <w:r>
        <w:rPr>
          <w:rFonts w:ascii="ARIAL" w:hAnsi="ARIAL"/>
          <w:b/>
          <w:color w:val="007CBA"/>
          <w:sz w:val="26"/>
        </w:rPr>
        <w:t xml:space="preserve">Perquisites </w:t>
      </w:r>
    </w:p>
    <w:p>
      <w:pPr>
        <w:pStyle w:val="TextBody"/>
        <w:spacing w:before="120" w:after="0"/>
        <w:jc w:val="left"/>
        <w:rPr>
          <w:rFonts w:ascii="ARIAL" w:hAnsi="ARIAL"/>
          <w:sz w:val="20"/>
        </w:rPr>
      </w:pPr>
      <w:r>
        <w:rPr>
          <w:rFonts w:ascii="ARIAL" w:hAnsi="ARIAL"/>
          <w:sz w:val="20"/>
        </w:rPr>
        <w:t xml:space="preserve">Martin Marietta provides executives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NEOs. The value of each of the NEO’s perquisites, determined in accordance with SEC rules, is included in the annual compensation set forth in the Summary Compensation Table. </w:t>
      </w:r>
    </w:p>
    <w:p>
      <w:pPr>
        <w:pStyle w:val="TextBody"/>
        <w:spacing w:before="240" w:after="0"/>
        <w:jc w:val="left"/>
        <w:rPr>
          <w:rFonts w:ascii="ARIAL" w:hAnsi="ARIAL"/>
          <w:sz w:val="20"/>
        </w:rPr>
      </w:pPr>
      <w:r>
        <w:rPr>
          <w:rFonts w:ascii="ARIAL" w:hAnsi="ARIAL"/>
          <w:sz w:val="20"/>
        </w:rPr>
        <w:t xml:space="preserve">In 2022, we provided personal use of leased automobiles to NEOs. We pay for the insurance, maintenance and fuel for such vehicles, and the value of personal mileage and use is charged to the NEO as imputed income. We make the company-owned aircraft available to the CEO and other senior executives for business travel. If the NEO is accompanied by his or her spouse on such trips, that use is included in the NEO’s taxable income for the year and the incremental cost, if any, is included as “All Other Compensation” in the Summary Compensation Table required to be included in our Proxy Statement for that year. </w:t>
      </w:r>
    </w:p>
    <w:p>
      <w:pPr>
        <w:pStyle w:val="TextBody"/>
        <w:spacing w:before="240" w:after="0"/>
        <w:jc w:val="left"/>
        <w:rPr>
          <w:rFonts w:ascii="ARIAL" w:hAnsi="ARIAL"/>
          <w:sz w:val="20"/>
        </w:rPr>
      </w:pPr>
      <w:r>
        <w:rPr>
          <w:rFonts w:ascii="ARIAL" w:hAnsi="ARIAL"/>
          <w:sz w:val="20"/>
        </w:rPr>
        <w:t xml:space="preserve">Martin Marietta also provides to executive officers, as well as most other salaried employees, certain other fringe benefits such as tuition reimbursement, airline club dues, professional society dues, and food and recreational fees incidental to official company functions. We do not provide other perquisites, such as country club memberships or financial planning services, to the NEOs or other employees. </w:t>
      </w:r>
    </w:p>
    <w:p>
      <w:pPr>
        <w:pStyle w:val="TextBody"/>
        <w:spacing w:before="240" w:after="0"/>
        <w:jc w:val="left"/>
        <w:rPr>
          <w:rFonts w:ascii="ARIAL" w:hAnsi="ARIAL"/>
          <w:b/>
          <w:color w:val="71BE9A"/>
          <w:sz w:val="26"/>
        </w:rPr>
      </w:pPr>
      <w:bookmarkStart w:id="62" w:name="toc390557_55"/>
      <w:bookmarkEnd w:id="62"/>
      <w:r>
        <w:rPr>
          <w:rFonts w:ascii="ARIAL" w:hAnsi="ARIAL"/>
          <w:b/>
          <w:color w:val="71BE9A"/>
          <w:sz w:val="26"/>
        </w:rPr>
        <w:t xml:space="preserve">Retirement and Other Benefits </w:t>
      </w:r>
    </w:p>
    <w:p>
      <w:pPr>
        <w:pStyle w:val="TextBody"/>
        <w:spacing w:before="120" w:after="0"/>
        <w:jc w:val="left"/>
        <w:rPr>
          <w:rFonts w:ascii="ARIAL" w:hAnsi="ARIAL"/>
          <w:sz w:val="20"/>
        </w:rPr>
      </w:pPr>
      <w:r>
        <w:rPr>
          <w:rFonts w:ascii="ARIAL" w:hAnsi="ARIAL"/>
          <w:sz w:val="20"/>
        </w:rPr>
        <w:t xml:space="preserve">In order to maintain market competitive levels of compensation, we provide retirement and other benefits to the NEOs and other employees, including: </w:t>
      </w:r>
    </w:p>
    <w:p>
      <w:pPr>
        <w:pStyle w:val="TextBody"/>
        <w:spacing w:before="0" w:after="0"/>
        <w:jc w:val="left"/>
        <w:rPr/>
      </w:pPr>
      <w:r>
        <w:rPr/>
        <w:t> </w:t>
      </w:r>
    </w:p>
    <w:tbl>
      <w:tblPr>
        <w:tblW w:w="2665" w:type="dxa"/>
        <w:jc w:val="left"/>
        <w:tblInd w:w="0" w:type="dxa"/>
        <w:tblCellMar>
          <w:top w:w="0" w:type="dxa"/>
          <w:left w:w="0" w:type="dxa"/>
          <w:bottom w:w="0" w:type="dxa"/>
          <w:right w:w="0" w:type="dxa"/>
        </w:tblCellMar>
      </w:tblPr>
      <w:tblGrid>
        <w:gridCol w:w="125"/>
        <w:gridCol w:w="60"/>
        <w:gridCol w:w="248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0"/>
              <w:jc w:val="left"/>
              <w:rPr>
                <w:rFonts w:ascii="ARIAL" w:hAnsi="ARIAL"/>
                <w:sz w:val="20"/>
              </w:rPr>
            </w:pPr>
            <w:r>
              <w:rPr>
                <w:rFonts w:ascii="ARIAL" w:hAnsi="ARIAL"/>
                <w:sz w:val="20"/>
              </w:rPr>
              <w:t xml:space="preserve">Medical and dental benefits </w:t>
            </w:r>
          </w:p>
        </w:tc>
      </w:tr>
    </w:tbl>
    <w:p>
      <w:pPr>
        <w:pStyle w:val="TextBody"/>
        <w:spacing w:before="0" w:after="0"/>
        <w:jc w:val="left"/>
        <w:rPr/>
      </w:pPr>
      <w:r>
        <w:rPr/>
        <w:t> </w:t>
      </w:r>
    </w:p>
    <w:tbl>
      <w:tblPr>
        <w:tblW w:w="4240" w:type="dxa"/>
        <w:jc w:val="left"/>
        <w:tblInd w:w="0" w:type="dxa"/>
        <w:tblCellMar>
          <w:top w:w="0" w:type="dxa"/>
          <w:left w:w="0" w:type="dxa"/>
          <w:bottom w:w="0" w:type="dxa"/>
          <w:right w:w="0" w:type="dxa"/>
        </w:tblCellMar>
      </w:tblPr>
      <w:tblGrid>
        <w:gridCol w:w="125"/>
        <w:gridCol w:w="60"/>
        <w:gridCol w:w="405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4055" w:type="dxa"/>
            <w:tcBorders/>
            <w:shd w:fill="auto" w:val="clear"/>
            <w:vAlign w:val="center"/>
          </w:tcPr>
          <w:p>
            <w:pPr>
              <w:pStyle w:val="TableContents"/>
              <w:spacing w:before="0" w:after="0"/>
              <w:jc w:val="left"/>
              <w:rPr>
                <w:rFonts w:ascii="ARIAL" w:hAnsi="ARIAL"/>
                <w:sz w:val="20"/>
              </w:rPr>
            </w:pPr>
            <w:r>
              <w:rPr>
                <w:rFonts w:ascii="ARIAL" w:hAnsi="ARIAL"/>
                <w:sz w:val="20"/>
              </w:rPr>
              <w:t xml:space="preserve">Life, accidental death and disability insurance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125"/>
        <w:gridCol w:w="60"/>
        <w:gridCol w:w="243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2435" w:type="dxa"/>
            <w:tcBorders/>
            <w:shd w:fill="auto" w:val="clear"/>
            <w:vAlign w:val="center"/>
          </w:tcPr>
          <w:p>
            <w:pPr>
              <w:pStyle w:val="TableContents"/>
              <w:spacing w:before="0" w:after="0"/>
              <w:jc w:val="left"/>
              <w:rPr>
                <w:rFonts w:ascii="ARIAL" w:hAnsi="ARIAL"/>
                <w:sz w:val="20"/>
              </w:rPr>
            </w:pPr>
            <w:r>
              <w:rPr>
                <w:rFonts w:ascii="ARIAL" w:hAnsi="ARIAL"/>
                <w:sz w:val="20"/>
              </w:rPr>
              <w:t xml:space="preserve">Pension and savings plans </w:t>
            </w:r>
          </w:p>
        </w:tc>
      </w:tr>
    </w:tbl>
    <w:p>
      <w:pPr>
        <w:pStyle w:val="TextBody"/>
        <w:spacing w:before="240" w:after="0"/>
        <w:jc w:val="left"/>
        <w:rPr>
          <w:rFonts w:ascii="ARIAL" w:hAnsi="ARIAL"/>
          <w:sz w:val="20"/>
        </w:rPr>
      </w:pPr>
      <w:r>
        <w:rPr>
          <w:rFonts w:ascii="ARIAL" w:hAnsi="ARIAL"/>
          <w:sz w:val="20"/>
        </w:rPr>
        <w:t xml:space="preserve">The benefits under the defined benefit pension plan are more valuable for employees who remain with Martin Marietta for longer periods, thereby furthering our objectives of retaining individuals with more expertise in relevant areas and who can also participate in management development for purposes of executive succession planning. All of Martin Marietta’s salaried employees in the United States are eligible to participate in our retirement and other plans, and the NEOs participate in the plans on the same terms as Martin Marietta’s other salaried employees. </w:t>
      </w:r>
    </w:p>
    <w:p>
      <w:pPr>
        <w:pStyle w:val="TextBody"/>
        <w:spacing w:before="240" w:after="0"/>
        <w:jc w:val="left"/>
        <w:rPr>
          <w:rFonts w:ascii="ARIAL" w:hAnsi="ARIAL"/>
          <w:sz w:val="20"/>
        </w:rPr>
      </w:pPr>
      <w:r>
        <w:rPr>
          <w:rFonts w:ascii="ARIAL" w:hAnsi="ARIAL"/>
          <w:sz w:val="20"/>
        </w:rPr>
        <w:t xml:space="preserve">Additional information regarding these benefits is under the heading Pension Benefits Table on page 78 and the accompanying narrative. </w:t>
      </w:r>
    </w:p>
    <w:p>
      <w:pPr>
        <w:pStyle w:val="TextBody"/>
        <w:spacing w:before="240" w:after="0"/>
        <w:jc w:val="left"/>
        <w:rPr>
          <w:rFonts w:ascii="ARIAL" w:hAnsi="ARIAL"/>
          <w:color w:val="71BE9A"/>
          <w:sz w:val="26"/>
        </w:rPr>
      </w:pPr>
      <w:bookmarkStart w:id="63" w:name="toc390557_56"/>
      <w:bookmarkEnd w:id="63"/>
      <w:r>
        <w:rPr>
          <w:rFonts w:ascii="ARIAL" w:hAnsi="ARIAL"/>
          <w:b/>
          <w:color w:val="71BE9A"/>
          <w:sz w:val="26"/>
        </w:rPr>
        <w:t>Potential Payments upon Termination or</w:t>
      </w:r>
      <w:r>
        <w:rPr>
          <w:rFonts w:ascii="ARIAL" w:hAnsi="ARIAL"/>
          <w:color w:val="71BE9A"/>
          <w:sz w:val="26"/>
        </w:rPr>
        <w:t xml:space="preserve"> </w:t>
      </w:r>
      <w:r>
        <w:rPr>
          <w:rFonts w:ascii="ARIAL" w:hAnsi="ARIAL"/>
          <w:b/>
          <w:color w:val="71BE9A"/>
          <w:sz w:val="26"/>
        </w:rPr>
        <w:t xml:space="preserve">Change of Control </w:t>
      </w:r>
    </w:p>
    <w:p>
      <w:pPr>
        <w:pStyle w:val="TextBody"/>
        <w:spacing w:before="120" w:after="0"/>
        <w:jc w:val="left"/>
        <w:rPr>
          <w:rFonts w:ascii="ARIAL" w:hAnsi="ARIAL"/>
          <w:sz w:val="20"/>
        </w:rPr>
      </w:pPr>
      <w:r>
        <w:rPr>
          <w:rFonts w:ascii="ARIAL" w:hAnsi="ARIAL"/>
          <w:sz w:val="20"/>
        </w:rPr>
        <w:t xml:space="preserve">We do not have written employment agreements with executives. Instead, each of our NEOs has a change of control severance agreement (an Employment Protection Agreement) that provides for retention and continuity in order to minimize disruptions during a pending or anticipated change of control. The agreements are triggered only by a qualifying termination of employment in connection with a change of control. Martin Marietta’s equity-based award plans and retirement plans also provide for certain post-termination payments and benefits. The Committee believes these payments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70</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23"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7" descr=""/>
                          <pic:cNvPicPr>
                            <a:picLocks noChangeAspect="1" noChangeArrowheads="1"/>
                          </pic:cNvPicPr>
                        </pic:nvPicPr>
                        <pic:blipFill>
                          <a:blip r:embed="rId20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POTENTIAL PAYMENTS UPON TERMINATION OR CHANGE OF CONTROL  ◆  </w:t>
      </w:r>
      <w:r>
        <w:rPr>
          <w:rFonts w:ascii="ARIAL" w:hAnsi="ARIAL"/>
          <w:color w:val="007CBA"/>
          <w:sz w:val="16"/>
        </w:rPr>
        <w:t>COMPENSATION DISCUSSION AND ANALYSIS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and benefits are also important to align the interests of the executive officers with the interests of the shareholders because the agreements will reduce or eliminate the reluctance to pursue potential change of control transactions that may ultimately lead to termination of their employment but would otherwise be in the best interests of our shareholders. The Employment Protection Agreements are described on page 80 of this Proxy Statement. </w:t>
      </w:r>
    </w:p>
    <w:p>
      <w:pPr>
        <w:pStyle w:val="TextBody"/>
        <w:spacing w:before="240" w:after="0"/>
        <w:jc w:val="left"/>
        <w:rPr>
          <w:rFonts w:ascii="ARIAL" w:hAnsi="ARIAL"/>
          <w:b/>
          <w:color w:val="71BE9A"/>
          <w:sz w:val="26"/>
        </w:rPr>
      </w:pPr>
      <w:bookmarkStart w:id="64" w:name="toc390557_57"/>
      <w:bookmarkEnd w:id="64"/>
      <w:r>
        <w:rPr>
          <w:rFonts w:ascii="ARIAL" w:hAnsi="ARIAL"/>
          <w:b/>
          <w:color w:val="71BE9A"/>
          <w:sz w:val="26"/>
        </w:rPr>
        <w:t xml:space="preserve">Tax and Accounting Implications </w:t>
      </w:r>
    </w:p>
    <w:p>
      <w:pPr>
        <w:pStyle w:val="TextBody"/>
        <w:spacing w:before="120" w:after="0"/>
        <w:jc w:val="left"/>
        <w:rPr>
          <w:rFonts w:ascii="ARIAL" w:hAnsi="ARIAL"/>
          <w:sz w:val="20"/>
        </w:rPr>
      </w:pPr>
      <w:r>
        <w:rPr>
          <w:rFonts w:ascii="ARIAL" w:hAnsi="ARIAL"/>
          <w:sz w:val="20"/>
        </w:rPr>
        <w:t xml:space="preserve">In administering the compensation program for NEOs, for awards made in 2022 the Committee considered tax consequences, including the limit on deductibility on compensation in excess of $1 million to certain executive officers under Section 162(m) of the Internal Revenue Code and the consequences under financial accounting standards. </w:t>
      </w:r>
    </w:p>
    <w:p>
      <w:pPr>
        <w:pStyle w:val="TextBody"/>
        <w:spacing w:before="240" w:after="0"/>
        <w:jc w:val="left"/>
        <w:rPr>
          <w:rFonts w:ascii="ARIAL" w:hAnsi="ARIAL"/>
          <w:sz w:val="20"/>
        </w:rPr>
      </w:pPr>
      <w:r>
        <w:rPr>
          <w:rFonts w:ascii="ARIAL" w:hAnsi="ARIAL"/>
          <w:sz w:val="20"/>
        </w:rPr>
        <w:t xml:space="preserve">While the Committee considers the tax deductibility as one factor in determining executive compensation, the Committee also looks at other factors in making its decisions, as noted above, and retains the flexibility to award compensation that it determines to be consistent with the goals of our executive compensation program to attract talent, promote retention, or recognize and reward desired performance even if the awards are not deductible for income tax purposes.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24"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8" descr=""/>
                          <pic:cNvPicPr>
                            <a:picLocks noChangeAspect="1" noChangeArrowheads="1"/>
                          </pic:cNvPicPr>
                        </pic:nvPicPr>
                        <pic:blipFill>
                          <a:blip r:embed="rId20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71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7CBA"/>
          <w:sz w:val="42"/>
        </w:rPr>
      </w:pPr>
      <w:bookmarkStart w:id="65" w:name="toc390557_58"/>
      <w:bookmarkEnd w:id="65"/>
      <w:r>
        <w:rPr>
          <w:rFonts w:ascii="ARIAL" w:hAnsi="ARIAL"/>
          <w:b/>
          <w:color w:val="007CBA"/>
          <w:sz w:val="42"/>
        </w:rPr>
        <w:t xml:space="preserve">Executive Compensation </w:t>
      </w:r>
    </w:p>
    <w:p>
      <w:pPr>
        <w:pStyle w:val="TextBody"/>
        <w:spacing w:before="240" w:after="0"/>
        <w:jc w:val="left"/>
        <w:rPr>
          <w:rFonts w:ascii="ARIAL" w:hAnsi="ARIAL"/>
          <w:b/>
          <w:color w:val="71BE9A"/>
          <w:sz w:val="26"/>
        </w:rPr>
      </w:pPr>
      <w:bookmarkStart w:id="66" w:name="toc390557_59"/>
      <w:bookmarkEnd w:id="66"/>
      <w:r>
        <w:rPr>
          <w:rFonts w:ascii="ARIAL" w:hAnsi="ARIAL"/>
          <w:b/>
          <w:color w:val="71BE9A"/>
          <w:sz w:val="26"/>
        </w:rPr>
        <w:t xml:space="preserve">Executive Officer Compensation </w:t>
      </w:r>
    </w:p>
    <w:p>
      <w:pPr>
        <w:pStyle w:val="TextBody"/>
        <w:spacing w:before="120" w:after="0"/>
        <w:jc w:val="left"/>
        <w:rPr>
          <w:rFonts w:ascii="ARIAL" w:hAnsi="ARIAL"/>
          <w:sz w:val="20"/>
        </w:rPr>
      </w:pPr>
      <w:r>
        <w:rPr>
          <w:rFonts w:ascii="ARIAL" w:hAnsi="ARIAL"/>
          <w:sz w:val="20"/>
        </w:rPr>
        <w:t xml:space="preserve">The following tables show annual and long-term compensation, for services in all capacities to Martin Marietta, earned by the Chief Executive Officer, the Chief Financial Officer, and the three other most highly compensated executive officers in 2022, which we refer to collectively in this Proxy Statement as the “named executive officers” or “NEOs.” These tables and the accompanying narratives should be read in conjunction with the Compensation Discussion and Analysis section of this Proxy Statement, which provides a detailed overview of the methods used by Martin Marietta to compensate its officers, including the named executive officers. </w:t>
      </w:r>
    </w:p>
    <w:p>
      <w:pPr>
        <w:pStyle w:val="TextBody"/>
        <w:spacing w:before="240" w:after="0"/>
        <w:jc w:val="left"/>
        <w:rPr>
          <w:rFonts w:ascii="ARIAL" w:hAnsi="ARIAL"/>
          <w:b/>
          <w:color w:val="71BE9A"/>
          <w:sz w:val="26"/>
        </w:rPr>
      </w:pPr>
      <w:bookmarkStart w:id="67" w:name="toc390557_60"/>
      <w:bookmarkEnd w:id="67"/>
      <w:r>
        <w:rPr>
          <w:rFonts w:ascii="ARIAL" w:hAnsi="ARIAL"/>
          <w:b/>
          <w:color w:val="71BE9A"/>
          <w:sz w:val="26"/>
        </w:rPr>
        <w:t xml:space="preserve">Summary Compensation Table </w:t>
      </w:r>
    </w:p>
    <w:p>
      <w:pPr>
        <w:pStyle w:val="TextBody"/>
        <w:spacing w:before="120" w:after="0"/>
        <w:jc w:val="left"/>
        <w:rPr>
          <w:rFonts w:ascii="ARIAL" w:hAnsi="ARIAL"/>
          <w:sz w:val="20"/>
        </w:rPr>
      </w:pPr>
      <w:r>
        <w:rPr>
          <w:rFonts w:ascii="ARIAL" w:hAnsi="ARIAL"/>
          <w:sz w:val="20"/>
        </w:rPr>
        <w:t xml:space="preserve">The table below summarizes the total compensation paid to or earned by each of the named executive officers for the fiscal years set forth below. Martin Marietta has not entered into any employment agreements with any of the named executive officers. </w:t>
      </w:r>
    </w:p>
    <w:p>
      <w:pPr>
        <w:pStyle w:val="TextBody"/>
        <w:spacing w:before="240" w:after="0"/>
        <w:jc w:val="center"/>
        <w:rPr>
          <w:rFonts w:ascii="ARIAL" w:hAnsi="ARIAL"/>
          <w:b/>
          <w:sz w:val="20"/>
        </w:rPr>
      </w:pPr>
      <w:r>
        <w:rPr>
          <w:rFonts w:ascii="ARIAL" w:hAnsi="ARIAL"/>
          <w:b/>
          <w:sz w:val="20"/>
        </w:rPr>
        <w:t xml:space="preserve">Summary Compensation Table </w:t>
      </w:r>
    </w:p>
    <w:p>
      <w:pPr>
        <w:pStyle w:val="TextBody"/>
        <w:spacing w:before="0" w:after="0"/>
        <w:jc w:val="left"/>
        <w:rPr/>
      </w:pPr>
      <w:r>
        <w:rPr/>
        <w:t> </w:t>
      </w:r>
    </w:p>
    <w:tbl>
      <w:tblPr>
        <w:tblW w:w="13160" w:type="dxa"/>
        <w:jc w:val="left"/>
        <w:tblInd w:w="0" w:type="dxa"/>
        <w:tblCellMar>
          <w:top w:w="0" w:type="dxa"/>
          <w:left w:w="0" w:type="dxa"/>
          <w:bottom w:w="0" w:type="dxa"/>
          <w:right w:w="0" w:type="dxa"/>
        </w:tblCellMar>
      </w:tblPr>
      <w:tblGrid>
        <w:gridCol w:w="725"/>
        <w:gridCol w:w="60"/>
        <w:gridCol w:w="530"/>
        <w:gridCol w:w="60"/>
        <w:gridCol w:w="65"/>
        <w:gridCol w:w="1065"/>
        <w:gridCol w:w="60"/>
        <w:gridCol w:w="60"/>
        <w:gridCol w:w="199"/>
        <w:gridCol w:w="466"/>
        <w:gridCol w:w="60"/>
        <w:gridCol w:w="60"/>
        <w:gridCol w:w="73"/>
        <w:gridCol w:w="1207"/>
        <w:gridCol w:w="60"/>
        <w:gridCol w:w="60"/>
        <w:gridCol w:w="384"/>
        <w:gridCol w:w="896"/>
        <w:gridCol w:w="60"/>
        <w:gridCol w:w="60"/>
        <w:gridCol w:w="111"/>
        <w:gridCol w:w="1829"/>
        <w:gridCol w:w="60"/>
        <w:gridCol w:w="60"/>
        <w:gridCol w:w="111"/>
        <w:gridCol w:w="1814"/>
        <w:gridCol w:w="60"/>
        <w:gridCol w:w="60"/>
        <w:gridCol w:w="120"/>
        <w:gridCol w:w="1370"/>
        <w:gridCol w:w="60"/>
        <w:gridCol w:w="60"/>
        <w:gridCol w:w="60"/>
        <w:gridCol w:w="1100"/>
        <w:gridCol w:w="75"/>
      </w:tblGrid>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25" w:type="dxa"/>
            <w:tcBorders/>
            <w:shd w:fill="DBDBDB" w:val="clear"/>
            <w:vAlign w:val="center"/>
          </w:tcPr>
          <w:p>
            <w:pPr>
              <w:pStyle w:val="TableContents"/>
              <w:spacing w:before="0" w:after="283"/>
              <w:rPr>
                <w:sz w:val="4"/>
                <w:szCs w:val="4"/>
              </w:rPr>
            </w:pPr>
            <w:r>
              <w:rPr>
                <w:sz w:val="4"/>
                <w:szCs w:val="4"/>
              </w:rPr>
            </w:r>
          </w:p>
        </w:tc>
        <w:tc>
          <w:tcPr>
            <w:tcW w:w="590" w:type="dxa"/>
            <w:gridSpan w:val="2"/>
            <w:tcBorders/>
            <w:shd w:fill="DBDBDB" w:val="clear"/>
            <w:vAlign w:val="center"/>
          </w:tcPr>
          <w:p>
            <w:pPr>
              <w:pStyle w:val="TableContents"/>
              <w:spacing w:before="0" w:after="283"/>
              <w:rPr>
                <w:sz w:val="4"/>
                <w:szCs w:val="4"/>
              </w:rPr>
            </w:pPr>
            <w:r>
              <w:rPr>
                <w:sz w:val="4"/>
                <w:szCs w:val="4"/>
              </w:rPr>
            </w:r>
          </w:p>
        </w:tc>
        <w:tc>
          <w:tcPr>
            <w:tcW w:w="1250" w:type="dxa"/>
            <w:gridSpan w:val="4"/>
            <w:tcBorders/>
            <w:shd w:fill="DBDBDB" w:val="clear"/>
            <w:vAlign w:val="center"/>
          </w:tcPr>
          <w:p>
            <w:pPr>
              <w:pStyle w:val="TableContents"/>
              <w:spacing w:before="0" w:after="283"/>
              <w:rPr>
                <w:sz w:val="4"/>
                <w:szCs w:val="4"/>
              </w:rPr>
            </w:pPr>
            <w:r>
              <w:rPr>
                <w:sz w:val="4"/>
                <w:szCs w:val="4"/>
              </w:rPr>
            </w:r>
          </w:p>
        </w:tc>
        <w:tc>
          <w:tcPr>
            <w:tcW w:w="785" w:type="dxa"/>
            <w:gridSpan w:val="4"/>
            <w:tcBorders/>
            <w:shd w:fill="DBDBDB" w:val="clear"/>
            <w:vAlign w:val="center"/>
          </w:tcPr>
          <w:p>
            <w:pPr>
              <w:pStyle w:val="TableContents"/>
              <w:spacing w:before="0" w:after="283"/>
              <w:rPr>
                <w:sz w:val="4"/>
                <w:szCs w:val="4"/>
              </w:rPr>
            </w:pPr>
            <w:r>
              <w:rPr>
                <w:sz w:val="4"/>
                <w:szCs w:val="4"/>
              </w:rPr>
            </w:r>
          </w:p>
        </w:tc>
        <w:tc>
          <w:tcPr>
            <w:tcW w:w="1400" w:type="dxa"/>
            <w:gridSpan w:val="4"/>
            <w:tcBorders/>
            <w:shd w:fill="DBDBDB" w:val="clear"/>
            <w:vAlign w:val="center"/>
          </w:tcPr>
          <w:p>
            <w:pPr>
              <w:pStyle w:val="TableContents"/>
              <w:spacing w:before="0" w:after="283"/>
              <w:rPr>
                <w:sz w:val="4"/>
                <w:szCs w:val="4"/>
              </w:rPr>
            </w:pPr>
            <w:r>
              <w:rPr>
                <w:sz w:val="4"/>
                <w:szCs w:val="4"/>
              </w:rPr>
            </w:r>
          </w:p>
        </w:tc>
        <w:tc>
          <w:tcPr>
            <w:tcW w:w="1400" w:type="dxa"/>
            <w:gridSpan w:val="4"/>
            <w:tcBorders/>
            <w:shd w:fill="DBDBDB" w:val="clear"/>
            <w:vAlign w:val="center"/>
          </w:tcPr>
          <w:p>
            <w:pPr>
              <w:pStyle w:val="TableContents"/>
              <w:spacing w:before="0" w:after="283"/>
              <w:rPr>
                <w:sz w:val="4"/>
                <w:szCs w:val="4"/>
              </w:rPr>
            </w:pPr>
            <w:r>
              <w:rPr>
                <w:sz w:val="4"/>
                <w:szCs w:val="4"/>
              </w:rPr>
            </w:r>
          </w:p>
        </w:tc>
        <w:tc>
          <w:tcPr>
            <w:tcW w:w="2060" w:type="dxa"/>
            <w:gridSpan w:val="4"/>
            <w:tcBorders/>
            <w:shd w:fill="DBDBDB" w:val="clear"/>
            <w:vAlign w:val="center"/>
          </w:tcPr>
          <w:p>
            <w:pPr>
              <w:pStyle w:val="TableContents"/>
              <w:spacing w:before="0" w:after="283"/>
              <w:rPr>
                <w:sz w:val="4"/>
                <w:szCs w:val="4"/>
              </w:rPr>
            </w:pPr>
            <w:r>
              <w:rPr>
                <w:sz w:val="4"/>
                <w:szCs w:val="4"/>
              </w:rPr>
            </w:r>
          </w:p>
        </w:tc>
        <w:tc>
          <w:tcPr>
            <w:tcW w:w="2045" w:type="dxa"/>
            <w:gridSpan w:val="4"/>
            <w:tcBorders/>
            <w:shd w:fill="DBDBDB" w:val="clear"/>
            <w:vAlign w:val="center"/>
          </w:tcPr>
          <w:p>
            <w:pPr>
              <w:pStyle w:val="TableContents"/>
              <w:spacing w:before="0" w:after="283"/>
              <w:rPr>
                <w:sz w:val="4"/>
                <w:szCs w:val="4"/>
              </w:rPr>
            </w:pPr>
            <w:r>
              <w:rPr>
                <w:sz w:val="4"/>
                <w:szCs w:val="4"/>
              </w:rPr>
            </w:r>
          </w:p>
        </w:tc>
        <w:tc>
          <w:tcPr>
            <w:tcW w:w="1610" w:type="dxa"/>
            <w:gridSpan w:val="4"/>
            <w:tcBorders/>
            <w:shd w:fill="DBDBDB" w:val="clear"/>
            <w:vAlign w:val="center"/>
          </w:tcPr>
          <w:p>
            <w:pPr>
              <w:pStyle w:val="TableContents"/>
              <w:spacing w:before="0" w:after="283"/>
              <w:rPr>
                <w:sz w:val="4"/>
                <w:szCs w:val="4"/>
              </w:rPr>
            </w:pPr>
            <w:r>
              <w:rPr>
                <w:sz w:val="4"/>
                <w:szCs w:val="4"/>
              </w:rPr>
            </w:r>
          </w:p>
        </w:tc>
        <w:tc>
          <w:tcPr>
            <w:tcW w:w="1295" w:type="dxa"/>
            <w:gridSpan w:val="4"/>
            <w:tcBorders/>
            <w:shd w:fill="DBDBDB" w:val="clear"/>
            <w:vAlign w:val="center"/>
          </w:tcPr>
          <w:p>
            <w:pPr>
              <w:pStyle w:val="TableContents"/>
              <w:spacing w:before="0" w:after="283"/>
              <w:rPr>
                <w:sz w:val="4"/>
                <w:szCs w:val="4"/>
              </w:rPr>
            </w:pPr>
            <w:r>
              <w:rPr>
                <w:sz w:val="4"/>
                <w:szCs w:val="4"/>
              </w:rPr>
            </w:r>
          </w:p>
        </w:tc>
      </w:tr>
      <w:tr>
        <w:trPr/>
        <w:tc>
          <w:tcPr>
            <w:tcW w:w="725" w:type="dxa"/>
            <w:tcBorders/>
            <w:shd w:fill="DBDBDB" w:val="clear"/>
            <w:vAlign w:val="center"/>
          </w:tcPr>
          <w:p>
            <w:pPr>
              <w:pStyle w:val="TableContents"/>
              <w:spacing w:before="0" w:after="0"/>
              <w:rPr>
                <w:rFonts w:ascii="ARIAL" w:hAnsi="ARIAL"/>
                <w:b/>
                <w:sz w:val="14"/>
              </w:rPr>
            </w:pPr>
            <w:r>
              <w:rPr>
                <w:rFonts w:ascii="ARIAL" w:hAnsi="ARIAL"/>
                <w:b/>
                <w:sz w:val="14"/>
              </w:rPr>
              <w:t>Name and</w:t>
            </w:r>
          </w:p>
          <w:p>
            <w:pPr>
              <w:pStyle w:val="TableContents"/>
              <w:spacing w:before="0" w:after="20"/>
              <w:rPr>
                <w:rFonts w:ascii="ARIAL" w:hAnsi="ARIAL"/>
                <w:b/>
                <w:sz w:val="14"/>
              </w:rPr>
            </w:pPr>
            <w:r>
              <w:rPr>
                <w:rFonts w:ascii="ARIAL" w:hAnsi="ARIAL"/>
                <w:b/>
                <w:sz w:val="14"/>
              </w:rPr>
              <w:t>Principal Position</w:t>
            </w:r>
          </w:p>
        </w:tc>
        <w:tc>
          <w:tcPr>
            <w:tcW w:w="60" w:type="dxa"/>
            <w:tcBorders/>
            <w:shd w:fill="DBDBDB" w:val="clear"/>
            <w:vAlign w:val="center"/>
          </w:tcPr>
          <w:p>
            <w:pPr>
              <w:pStyle w:val="TableContents"/>
              <w:spacing w:before="0" w:after="283"/>
              <w:rPr/>
            </w:pPr>
            <w:r>
              <w:rPr/>
              <w:t> </w:t>
            </w:r>
          </w:p>
        </w:tc>
        <w:tc>
          <w:tcPr>
            <w:tcW w:w="530" w:type="dxa"/>
            <w:tcBorders/>
            <w:shd w:fill="DBDBDB" w:val="clear"/>
            <w:vAlign w:val="center"/>
          </w:tcPr>
          <w:p>
            <w:pPr>
              <w:pStyle w:val="TableContents"/>
              <w:spacing w:before="0" w:after="283"/>
              <w:jc w:val="center"/>
              <w:rPr>
                <w:b/>
              </w:rPr>
            </w:pPr>
            <w:r>
              <w:rPr>
                <w:b/>
              </w:rPr>
              <w:t>Year</w:t>
            </w:r>
          </w:p>
        </w:tc>
        <w:tc>
          <w:tcPr>
            <w:tcW w:w="60" w:type="dxa"/>
            <w:tcBorders/>
            <w:shd w:fill="DBDBDB" w:val="clear"/>
            <w:vAlign w:val="center"/>
          </w:tcPr>
          <w:p>
            <w:pPr>
              <w:pStyle w:val="TableContents"/>
              <w:spacing w:before="0" w:after="283"/>
              <w:rPr/>
            </w:pPr>
            <w:r>
              <w:rPr/>
              <w:t> </w:t>
            </w:r>
          </w:p>
        </w:tc>
        <w:tc>
          <w:tcPr>
            <w:tcW w:w="1130" w:type="dxa"/>
            <w:gridSpan w:val="2"/>
            <w:tcBorders/>
            <w:shd w:fill="DBDBDB" w:val="clear"/>
            <w:vAlign w:val="center"/>
          </w:tcPr>
          <w:p>
            <w:pPr>
              <w:pStyle w:val="TableContents"/>
              <w:spacing w:before="0" w:after="283"/>
              <w:jc w:val="center"/>
              <w:rPr>
                <w:b/>
              </w:rPr>
            </w:pPr>
            <w:r>
              <w:rPr>
                <w:b/>
              </w:rPr>
              <w:t>Salary ($)1</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665" w:type="dxa"/>
            <w:gridSpan w:val="2"/>
            <w:tcBorders/>
            <w:shd w:fill="DBDBDB" w:val="clear"/>
            <w:vAlign w:val="center"/>
          </w:tcPr>
          <w:p>
            <w:pPr>
              <w:pStyle w:val="TableContents"/>
              <w:spacing w:before="0" w:after="283"/>
              <w:jc w:val="center"/>
              <w:rPr>
                <w:b/>
              </w:rPr>
            </w:pPr>
            <w:r>
              <w:rPr>
                <w:b/>
              </w:rPr>
              <w:t>Bonus</w:t>
              <w:br/>
              <w:t>($)</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280" w:type="dxa"/>
            <w:gridSpan w:val="2"/>
            <w:tcBorders/>
            <w:shd w:fill="DBDBDB" w:val="clear"/>
            <w:vAlign w:val="center"/>
          </w:tcPr>
          <w:p>
            <w:pPr>
              <w:pStyle w:val="TableContents"/>
              <w:spacing w:before="0" w:after="283"/>
              <w:jc w:val="center"/>
              <w:rPr>
                <w:b/>
              </w:rPr>
            </w:pPr>
            <w:r>
              <w:rPr>
                <w:b/>
              </w:rPr>
              <w:t>Stock</w:t>
              <w:br/>
              <w:t>Awards ($)2</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280" w:type="dxa"/>
            <w:gridSpan w:val="2"/>
            <w:tcBorders/>
            <w:shd w:fill="DBDBDB" w:val="clear"/>
            <w:vAlign w:val="center"/>
          </w:tcPr>
          <w:p>
            <w:pPr>
              <w:pStyle w:val="TableContents"/>
              <w:spacing w:before="0" w:after="283"/>
              <w:jc w:val="center"/>
              <w:rPr>
                <w:b/>
              </w:rPr>
            </w:pPr>
            <w:r>
              <w:rPr>
                <w:b/>
              </w:rPr>
              <w:t>Option</w:t>
              <w:br/>
              <w:t>Awards ($)3</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940" w:type="dxa"/>
            <w:gridSpan w:val="2"/>
            <w:tcBorders/>
            <w:shd w:fill="DBDBDB" w:val="clear"/>
            <w:vAlign w:val="center"/>
          </w:tcPr>
          <w:p>
            <w:pPr>
              <w:pStyle w:val="TableContents"/>
              <w:spacing w:before="0" w:after="283"/>
              <w:jc w:val="center"/>
              <w:rPr>
                <w:b/>
              </w:rPr>
            </w:pPr>
            <w:r>
              <w:rPr>
                <w:b/>
              </w:rPr>
              <w:t>Non-Equity</w:t>
              <w:br/>
              <w:t>Incentive Plan</w:t>
              <w:br/>
              <w:t>Compensation ($)4</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925" w:type="dxa"/>
            <w:gridSpan w:val="2"/>
            <w:tcBorders/>
            <w:shd w:fill="DBDBDB" w:val="clear"/>
            <w:vAlign w:val="center"/>
          </w:tcPr>
          <w:p>
            <w:pPr>
              <w:pStyle w:val="TableContents"/>
              <w:spacing w:before="0" w:after="283"/>
              <w:jc w:val="center"/>
              <w:rPr>
                <w:b/>
              </w:rPr>
            </w:pPr>
            <w:r>
              <w:rPr>
                <w:b/>
              </w:rPr>
              <w:t>Change in</w:t>
              <w:br/>
              <w:t>Pension Value and</w:t>
              <w:br/>
              <w:t>Non-Qualified</w:t>
              <w:br/>
              <w:t>Deferred</w:t>
              <w:br/>
              <w:t>Compensation</w:t>
              <w:br/>
              <w:t>Earnings ($)5</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490" w:type="dxa"/>
            <w:gridSpan w:val="2"/>
            <w:tcBorders/>
            <w:shd w:fill="DBDBDB" w:val="clear"/>
            <w:vAlign w:val="center"/>
          </w:tcPr>
          <w:p>
            <w:pPr>
              <w:pStyle w:val="TableContents"/>
              <w:spacing w:before="0" w:after="283"/>
              <w:jc w:val="center"/>
              <w:rPr>
                <w:b/>
              </w:rPr>
            </w:pPr>
            <w:r>
              <w:rPr>
                <w:b/>
              </w:rPr>
              <w:t>All Other</w:t>
              <w:br/>
              <w:t>Compensation</w:t>
              <w:br/>
              <w:t>($)6</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160" w:type="dxa"/>
            <w:gridSpan w:val="2"/>
            <w:tcBorders/>
            <w:shd w:fill="DBDBDB" w:val="clear"/>
            <w:vAlign w:val="center"/>
          </w:tcPr>
          <w:p>
            <w:pPr>
              <w:pStyle w:val="TableContents"/>
              <w:spacing w:before="0" w:after="283"/>
              <w:jc w:val="center"/>
              <w:rPr>
                <w:b/>
              </w:rPr>
            </w:pPr>
            <w:r>
              <w:rPr>
                <w:b/>
              </w:rPr>
              <w:t>Total ($)</w:t>
            </w:r>
          </w:p>
        </w:tc>
        <w:tc>
          <w:tcPr>
            <w:tcW w:w="75" w:type="dxa"/>
            <w:tcBorders/>
            <w:shd w:fill="DBDBDB" w:val="clear"/>
            <w:vAlign w:val="center"/>
          </w:tcPr>
          <w:p>
            <w:pPr>
              <w:pStyle w:val="TableContents"/>
              <w:spacing w:before="0" w:after="283"/>
              <w:rPr/>
            </w:pPr>
            <w:r>
              <w:rPr/>
              <w:t> </w:t>
            </w:r>
          </w:p>
        </w:tc>
      </w:tr>
      <w:tr>
        <w:trPr/>
        <w:tc>
          <w:tcPr>
            <w:tcW w:w="725" w:type="dxa"/>
            <w:tcBorders/>
            <w:shd w:fill="DBDBDB" w:val="clear"/>
            <w:vAlign w:val="center"/>
          </w:tcPr>
          <w:p>
            <w:pPr>
              <w:pStyle w:val="TableContents"/>
              <w:spacing w:before="0" w:after="0"/>
              <w:rPr>
                <w:rFonts w:ascii="ARIAL" w:hAnsi="ARIAL"/>
                <w:sz w:val="14"/>
              </w:rPr>
            </w:pPr>
            <w:r>
              <w:rPr>
                <w:rFonts w:ascii="ARIAL" w:hAnsi="ARIAL"/>
                <w:sz w:val="14"/>
              </w:rPr>
              <w:t>(a)</w:t>
            </w:r>
          </w:p>
        </w:tc>
        <w:tc>
          <w:tcPr>
            <w:tcW w:w="60" w:type="dxa"/>
            <w:tcBorders/>
            <w:shd w:fill="DBDBDB" w:val="clear"/>
            <w:vAlign w:val="center"/>
          </w:tcPr>
          <w:p>
            <w:pPr>
              <w:pStyle w:val="TableContents"/>
              <w:spacing w:before="0" w:after="283"/>
              <w:rPr/>
            </w:pPr>
            <w:r>
              <w:rPr/>
              <w:t> </w:t>
            </w:r>
          </w:p>
        </w:tc>
        <w:tc>
          <w:tcPr>
            <w:tcW w:w="530" w:type="dxa"/>
            <w:tcBorders/>
            <w:shd w:fill="DBDBDB" w:val="clear"/>
            <w:vAlign w:val="center"/>
          </w:tcPr>
          <w:p>
            <w:pPr>
              <w:pStyle w:val="TableContents"/>
              <w:spacing w:before="0" w:after="283"/>
              <w:jc w:val="center"/>
              <w:rPr/>
            </w:pPr>
            <w:r>
              <w:rPr/>
              <w:t>(b)</w:t>
            </w:r>
          </w:p>
        </w:tc>
        <w:tc>
          <w:tcPr>
            <w:tcW w:w="60" w:type="dxa"/>
            <w:tcBorders/>
            <w:shd w:fill="DBDBDB" w:val="clear"/>
            <w:vAlign w:val="center"/>
          </w:tcPr>
          <w:p>
            <w:pPr>
              <w:pStyle w:val="TableContents"/>
              <w:spacing w:before="0" w:after="283"/>
              <w:rPr/>
            </w:pPr>
            <w:r>
              <w:rPr/>
              <w:t> </w:t>
            </w:r>
          </w:p>
        </w:tc>
        <w:tc>
          <w:tcPr>
            <w:tcW w:w="1130" w:type="dxa"/>
            <w:gridSpan w:val="2"/>
            <w:tcBorders/>
            <w:shd w:fill="DBDBDB" w:val="clear"/>
            <w:vAlign w:val="center"/>
          </w:tcPr>
          <w:p>
            <w:pPr>
              <w:pStyle w:val="TableContents"/>
              <w:spacing w:before="0" w:after="283"/>
              <w:jc w:val="center"/>
              <w:rPr/>
            </w:pPr>
            <w:r>
              <w:rPr/>
              <w:t>(c)</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665" w:type="dxa"/>
            <w:gridSpan w:val="2"/>
            <w:tcBorders/>
            <w:shd w:fill="DBDBDB" w:val="clear"/>
            <w:vAlign w:val="center"/>
          </w:tcPr>
          <w:p>
            <w:pPr>
              <w:pStyle w:val="TableContents"/>
              <w:spacing w:before="0" w:after="283"/>
              <w:jc w:val="center"/>
              <w:rPr/>
            </w:pPr>
            <w:r>
              <w:rPr/>
              <w:t>(d)</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280" w:type="dxa"/>
            <w:gridSpan w:val="2"/>
            <w:tcBorders/>
            <w:shd w:fill="DBDBDB" w:val="clear"/>
            <w:vAlign w:val="center"/>
          </w:tcPr>
          <w:p>
            <w:pPr>
              <w:pStyle w:val="TableContents"/>
              <w:spacing w:before="0" w:after="283"/>
              <w:jc w:val="center"/>
              <w:rPr/>
            </w:pPr>
            <w:r>
              <w:rPr/>
              <w:t>(e)</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280" w:type="dxa"/>
            <w:gridSpan w:val="2"/>
            <w:tcBorders/>
            <w:shd w:fill="DBDBDB" w:val="clear"/>
            <w:vAlign w:val="center"/>
          </w:tcPr>
          <w:p>
            <w:pPr>
              <w:pStyle w:val="TableContents"/>
              <w:spacing w:before="0" w:after="283"/>
              <w:jc w:val="center"/>
              <w:rPr/>
            </w:pPr>
            <w:r>
              <w:rPr/>
              <w:t>(f)</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940" w:type="dxa"/>
            <w:gridSpan w:val="2"/>
            <w:tcBorders/>
            <w:shd w:fill="DBDBDB" w:val="clear"/>
            <w:vAlign w:val="center"/>
          </w:tcPr>
          <w:p>
            <w:pPr>
              <w:pStyle w:val="TableContents"/>
              <w:spacing w:before="0" w:after="283"/>
              <w:jc w:val="center"/>
              <w:rPr/>
            </w:pPr>
            <w:r>
              <w:rPr/>
              <w:t>(g)</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925" w:type="dxa"/>
            <w:gridSpan w:val="2"/>
            <w:tcBorders/>
            <w:shd w:fill="DBDBDB" w:val="clear"/>
            <w:vAlign w:val="center"/>
          </w:tcPr>
          <w:p>
            <w:pPr>
              <w:pStyle w:val="TableContents"/>
              <w:spacing w:before="0" w:after="283"/>
              <w:jc w:val="center"/>
              <w:rPr/>
            </w:pPr>
            <w:r>
              <w:rPr/>
              <w:t>(h)</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490" w:type="dxa"/>
            <w:gridSpan w:val="2"/>
            <w:tcBorders/>
            <w:shd w:fill="DBDBDB" w:val="clear"/>
            <w:vAlign w:val="center"/>
          </w:tcPr>
          <w:p>
            <w:pPr>
              <w:pStyle w:val="TableContents"/>
              <w:spacing w:before="0" w:after="283"/>
              <w:jc w:val="center"/>
              <w:rPr/>
            </w:pPr>
            <w:r>
              <w:rPr/>
              <w:t>(i)</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160" w:type="dxa"/>
            <w:gridSpan w:val="2"/>
            <w:tcBorders/>
            <w:shd w:fill="DBDBDB" w:val="clear"/>
            <w:vAlign w:val="center"/>
          </w:tcPr>
          <w:p>
            <w:pPr>
              <w:pStyle w:val="TableContents"/>
              <w:spacing w:before="0" w:after="283"/>
              <w:jc w:val="center"/>
              <w:rPr/>
            </w:pPr>
            <w:r>
              <w:rPr/>
              <w:t>(j)</w:t>
            </w:r>
          </w:p>
        </w:tc>
        <w:tc>
          <w:tcPr>
            <w:tcW w:w="75" w:type="dxa"/>
            <w:tcBorders/>
            <w:shd w:fill="DBDBDB"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sz w:val="4"/>
                <w:szCs w:val="4"/>
              </w:rPr>
            </w:pPr>
            <w:r>
              <w:rPr>
                <w:sz w:val="4"/>
                <w:szCs w:val="4"/>
              </w:rPr>
            </w:r>
          </w:p>
        </w:tc>
        <w:tc>
          <w:tcPr>
            <w:tcW w:w="590" w:type="dxa"/>
            <w:gridSpan w:val="2"/>
            <w:tcBorders/>
            <w:shd w:fill="F2F8FB" w:val="clear"/>
            <w:vAlign w:val="center"/>
          </w:tcPr>
          <w:p>
            <w:pPr>
              <w:pStyle w:val="TableContents"/>
              <w:spacing w:before="0" w:after="283"/>
              <w:rPr>
                <w:sz w:val="4"/>
                <w:szCs w:val="4"/>
              </w:rPr>
            </w:pPr>
            <w:r>
              <w:rPr>
                <w:sz w:val="4"/>
                <w:szCs w:val="4"/>
              </w:rPr>
            </w:r>
          </w:p>
        </w:tc>
        <w:tc>
          <w:tcPr>
            <w:tcW w:w="1250" w:type="dxa"/>
            <w:gridSpan w:val="4"/>
            <w:tcBorders/>
            <w:shd w:fill="F2F8FB" w:val="clear"/>
            <w:vAlign w:val="center"/>
          </w:tcPr>
          <w:p>
            <w:pPr>
              <w:pStyle w:val="TableContents"/>
              <w:spacing w:before="0" w:after="283"/>
              <w:rPr>
                <w:sz w:val="4"/>
                <w:szCs w:val="4"/>
              </w:rPr>
            </w:pPr>
            <w:r>
              <w:rPr>
                <w:sz w:val="4"/>
                <w:szCs w:val="4"/>
              </w:rPr>
            </w:r>
          </w:p>
        </w:tc>
        <w:tc>
          <w:tcPr>
            <w:tcW w:w="785" w:type="dxa"/>
            <w:gridSpan w:val="4"/>
            <w:tcBorders/>
            <w:shd w:fill="F2F8FB" w:val="clear"/>
            <w:vAlign w:val="center"/>
          </w:tcPr>
          <w:p>
            <w:pPr>
              <w:pStyle w:val="TableContents"/>
              <w:spacing w:before="0" w:after="283"/>
              <w:rPr>
                <w:sz w:val="4"/>
                <w:szCs w:val="4"/>
              </w:rPr>
            </w:pPr>
            <w:r>
              <w:rPr>
                <w:sz w:val="4"/>
                <w:szCs w:val="4"/>
              </w:rPr>
            </w:r>
          </w:p>
        </w:tc>
        <w:tc>
          <w:tcPr>
            <w:tcW w:w="1400" w:type="dxa"/>
            <w:gridSpan w:val="4"/>
            <w:tcBorders/>
            <w:shd w:fill="F2F8FB" w:val="clear"/>
            <w:vAlign w:val="center"/>
          </w:tcPr>
          <w:p>
            <w:pPr>
              <w:pStyle w:val="TableContents"/>
              <w:spacing w:before="0" w:after="283"/>
              <w:rPr>
                <w:sz w:val="4"/>
                <w:szCs w:val="4"/>
              </w:rPr>
            </w:pPr>
            <w:r>
              <w:rPr>
                <w:sz w:val="4"/>
                <w:szCs w:val="4"/>
              </w:rPr>
            </w:r>
          </w:p>
        </w:tc>
        <w:tc>
          <w:tcPr>
            <w:tcW w:w="1400" w:type="dxa"/>
            <w:gridSpan w:val="4"/>
            <w:tcBorders/>
            <w:shd w:fill="F2F8FB" w:val="clear"/>
            <w:vAlign w:val="center"/>
          </w:tcPr>
          <w:p>
            <w:pPr>
              <w:pStyle w:val="TableContents"/>
              <w:spacing w:before="0" w:after="283"/>
              <w:rPr>
                <w:sz w:val="4"/>
                <w:szCs w:val="4"/>
              </w:rPr>
            </w:pPr>
            <w:r>
              <w:rPr>
                <w:sz w:val="4"/>
                <w:szCs w:val="4"/>
              </w:rPr>
            </w:r>
          </w:p>
        </w:tc>
        <w:tc>
          <w:tcPr>
            <w:tcW w:w="2060" w:type="dxa"/>
            <w:gridSpan w:val="4"/>
            <w:tcBorders/>
            <w:shd w:fill="F2F8FB" w:val="clear"/>
            <w:vAlign w:val="center"/>
          </w:tcPr>
          <w:p>
            <w:pPr>
              <w:pStyle w:val="TableContents"/>
              <w:spacing w:before="0" w:after="283"/>
              <w:rPr>
                <w:sz w:val="4"/>
                <w:szCs w:val="4"/>
              </w:rPr>
            </w:pPr>
            <w:r>
              <w:rPr>
                <w:sz w:val="4"/>
                <w:szCs w:val="4"/>
              </w:rPr>
            </w:r>
          </w:p>
        </w:tc>
        <w:tc>
          <w:tcPr>
            <w:tcW w:w="2045" w:type="dxa"/>
            <w:gridSpan w:val="4"/>
            <w:tcBorders/>
            <w:shd w:fill="F2F8FB" w:val="clear"/>
            <w:vAlign w:val="center"/>
          </w:tcPr>
          <w:p>
            <w:pPr>
              <w:pStyle w:val="TableContents"/>
              <w:spacing w:before="0" w:after="283"/>
              <w:rPr>
                <w:sz w:val="4"/>
                <w:szCs w:val="4"/>
              </w:rPr>
            </w:pPr>
            <w:r>
              <w:rPr>
                <w:sz w:val="4"/>
                <w:szCs w:val="4"/>
              </w:rPr>
            </w:r>
          </w:p>
        </w:tc>
        <w:tc>
          <w:tcPr>
            <w:tcW w:w="1610" w:type="dxa"/>
            <w:gridSpan w:val="4"/>
            <w:tcBorders/>
            <w:shd w:fill="F2F8FB" w:val="clear"/>
            <w:vAlign w:val="center"/>
          </w:tcPr>
          <w:p>
            <w:pPr>
              <w:pStyle w:val="TableContents"/>
              <w:spacing w:before="0" w:after="283"/>
              <w:rPr>
                <w:sz w:val="4"/>
                <w:szCs w:val="4"/>
              </w:rPr>
            </w:pPr>
            <w:r>
              <w:rPr>
                <w:sz w:val="4"/>
                <w:szCs w:val="4"/>
              </w:rPr>
            </w:r>
          </w:p>
        </w:tc>
        <w:tc>
          <w:tcPr>
            <w:tcW w:w="1295" w:type="dxa"/>
            <w:gridSpan w:val="4"/>
            <w:tcBorders/>
            <w:shd w:fill="F2F8FB" w:val="clear"/>
            <w:vAlign w:val="center"/>
          </w:tcPr>
          <w:p>
            <w:pPr>
              <w:pStyle w:val="TableContents"/>
              <w:spacing w:before="0" w:after="283"/>
              <w:rPr>
                <w:sz w:val="4"/>
                <w:szCs w:val="4"/>
              </w:rPr>
            </w:pPr>
            <w:r>
              <w:rPr>
                <w:sz w:val="4"/>
                <w:szCs w:val="4"/>
              </w:rPr>
            </w:r>
          </w:p>
        </w:tc>
      </w:tr>
      <w:tr>
        <w:trPr/>
        <w:tc>
          <w:tcPr>
            <w:tcW w:w="725"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C. Howard Nye</w:t>
            </w:r>
          </w:p>
          <w:p>
            <w:pPr>
              <w:pStyle w:val="TableContents"/>
              <w:spacing w:before="0" w:after="0"/>
              <w:rPr>
                <w:rFonts w:ascii="ARIAL" w:hAnsi="ARIAL"/>
                <w:sz w:val="14"/>
              </w:rPr>
            </w:pPr>
            <w:r>
              <w:rPr>
                <w:rFonts w:ascii="ARIAL" w:hAnsi="ARIAL"/>
                <w:sz w:val="14"/>
              </w:rPr>
              <w:t>Chairman, President</w:t>
            </w:r>
          </w:p>
          <w:p>
            <w:pPr>
              <w:pStyle w:val="TableContents"/>
              <w:spacing w:before="0" w:after="20"/>
              <w:rPr>
                <w:rFonts w:ascii="ARIAL" w:hAnsi="ARIAL"/>
                <w:sz w:val="14"/>
              </w:rPr>
            </w:pPr>
            <w:r>
              <w:rPr>
                <w:rFonts w:ascii="ARIAL" w:hAnsi="ARIAL"/>
                <w:sz w:val="14"/>
              </w:rPr>
              <w:t>and CEO</w:t>
            </w:r>
          </w:p>
        </w:tc>
        <w:tc>
          <w:tcPr>
            <w:tcW w:w="60" w:type="dxa"/>
            <w:tcBorders/>
            <w:shd w:fill="F2F8FB" w:val="clear"/>
            <w:vAlign w:val="center"/>
          </w:tcPr>
          <w:p>
            <w:pPr>
              <w:pStyle w:val="TableContents"/>
              <w:spacing w:before="0" w:after="283"/>
              <w:rPr/>
            </w:pPr>
            <w:r>
              <w:rPr/>
              <w:t> </w:t>
            </w:r>
          </w:p>
        </w:tc>
        <w:tc>
          <w:tcPr>
            <w:tcW w:w="530" w:type="dxa"/>
            <w:tcBorders/>
            <w:shd w:fill="F2F8FB" w:val="clear"/>
            <w:vAlign w:val="center"/>
          </w:tcPr>
          <w:p>
            <w:pPr>
              <w:pStyle w:val="TableContents"/>
              <w:spacing w:before="0" w:after="283"/>
              <w:rPr>
                <w:color w:val="007CBA"/>
              </w:rPr>
            </w:pPr>
            <w:r>
              <w:rPr>
                <w:color w:val="007CBA"/>
              </w:rPr>
              <w:t>2022</w:t>
            </w:r>
          </w:p>
        </w:tc>
        <w:tc>
          <w:tcPr>
            <w:tcW w:w="60" w:type="dxa"/>
            <w:tcBorders/>
            <w:shd w:fill="F2F8FB" w:val="clear"/>
            <w:vAlign w:val="center"/>
          </w:tcPr>
          <w:p>
            <w:pPr>
              <w:pStyle w:val="TableContents"/>
              <w:spacing w:before="0" w:after="283"/>
              <w:rPr/>
            </w:pPr>
            <w:r>
              <w:rPr/>
              <w:t> </w:t>
            </w:r>
          </w:p>
        </w:tc>
        <w:tc>
          <w:tcPr>
            <w:tcW w:w="65" w:type="dxa"/>
            <w:tcBorders/>
            <w:shd w:fill="F2F8FB" w:val="clear"/>
            <w:vAlign w:val="center"/>
          </w:tcPr>
          <w:p>
            <w:pPr>
              <w:pStyle w:val="TableContents"/>
              <w:spacing w:before="0" w:after="283"/>
              <w:rPr/>
            </w:pPr>
            <w:r>
              <w:rPr/>
              <w:t> </w:t>
            </w:r>
          </w:p>
        </w:tc>
        <w:tc>
          <w:tcPr>
            <w:tcW w:w="1065" w:type="dxa"/>
            <w:tcBorders/>
            <w:shd w:fill="F2F8FB" w:val="clear"/>
            <w:vAlign w:val="center"/>
          </w:tcPr>
          <w:p>
            <w:pPr>
              <w:pStyle w:val="TableContents"/>
              <w:spacing w:before="0" w:after="283"/>
              <w:jc w:val="right"/>
              <w:rPr/>
            </w:pPr>
            <w:r>
              <w:rPr/>
              <w:t>1,285,000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99" w:type="dxa"/>
            <w:tcBorders/>
            <w:shd w:fill="F2F8FB" w:val="clear"/>
            <w:vAlign w:val="center"/>
          </w:tcPr>
          <w:p>
            <w:pPr>
              <w:pStyle w:val="TableContents"/>
              <w:spacing w:before="0" w:after="283"/>
              <w:rPr>
                <w:color w:val="007CBA"/>
              </w:rPr>
            </w:pPr>
            <w:r>
              <w:rPr>
                <w:color w:val="007CBA"/>
              </w:rPr>
              <w:t> </w:t>
            </w:r>
          </w:p>
        </w:tc>
        <w:tc>
          <w:tcPr>
            <w:tcW w:w="466" w:type="dxa"/>
            <w:tcBorders/>
            <w:shd w:fill="F2F8FB" w:val="clear"/>
            <w:vAlign w:val="center"/>
          </w:tcPr>
          <w:p>
            <w:pPr>
              <w:pStyle w:val="TableContents"/>
              <w:spacing w:before="0" w:after="283"/>
              <w:jc w:val="right"/>
              <w:rPr>
                <w:color w:val="007CBA"/>
              </w:rPr>
            </w:pPr>
            <w:r>
              <w:rPr>
                <w:color w:val="007CBA"/>
              </w:rPr>
              <w:t>–</w:t>
            </w:r>
          </w:p>
        </w:tc>
        <w:tc>
          <w:tcPr>
            <w:tcW w:w="60" w:type="dxa"/>
            <w:tcBorders/>
            <w:shd w:fill="F2F8FB" w:val="clear"/>
            <w:vAlign w:val="center"/>
          </w:tcPr>
          <w:p>
            <w:pPr>
              <w:pStyle w:val="TableContents"/>
              <w:spacing w:before="0" w:after="283"/>
              <w:rPr>
                <w:color w:val="007CBA"/>
              </w:rPr>
            </w:pPr>
            <w:r>
              <w:rPr>
                <w:color w:val="007CBA"/>
              </w:rPr>
              <w:t> </w:t>
            </w:r>
          </w:p>
        </w:tc>
        <w:tc>
          <w:tcPr>
            <w:tcW w:w="60" w:type="dxa"/>
            <w:tcBorders/>
            <w:shd w:fill="F2F8FB" w:val="clear"/>
            <w:vAlign w:val="center"/>
          </w:tcPr>
          <w:p>
            <w:pPr>
              <w:pStyle w:val="TableContents"/>
              <w:spacing w:before="0" w:after="283"/>
              <w:rPr/>
            </w:pPr>
            <w:r>
              <w:rPr/>
              <w:t> </w:t>
            </w:r>
          </w:p>
        </w:tc>
        <w:tc>
          <w:tcPr>
            <w:tcW w:w="73" w:type="dxa"/>
            <w:tcBorders/>
            <w:shd w:fill="F2F8FB" w:val="clear"/>
            <w:vAlign w:val="center"/>
          </w:tcPr>
          <w:p>
            <w:pPr>
              <w:pStyle w:val="TableContents"/>
              <w:spacing w:before="0" w:after="283"/>
              <w:rPr/>
            </w:pPr>
            <w:r>
              <w:rPr/>
              <w:t> </w:t>
            </w:r>
          </w:p>
        </w:tc>
        <w:tc>
          <w:tcPr>
            <w:tcW w:w="1207" w:type="dxa"/>
            <w:tcBorders/>
            <w:shd w:fill="F2F8FB" w:val="clear"/>
            <w:vAlign w:val="center"/>
          </w:tcPr>
          <w:p>
            <w:pPr>
              <w:pStyle w:val="TableContents"/>
              <w:spacing w:before="0" w:after="283"/>
              <w:jc w:val="right"/>
              <w:rPr/>
            </w:pPr>
            <w:r>
              <w:rPr/>
              <w:t>7,316,720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384" w:type="dxa"/>
            <w:tcBorders/>
            <w:shd w:fill="F2F8FB" w:val="clear"/>
            <w:vAlign w:val="center"/>
          </w:tcPr>
          <w:p>
            <w:pPr>
              <w:pStyle w:val="TableContents"/>
              <w:spacing w:before="0" w:after="283"/>
              <w:rPr>
                <w:color w:val="007CBA"/>
              </w:rPr>
            </w:pPr>
            <w:r>
              <w:rPr>
                <w:color w:val="007CBA"/>
              </w:rPr>
              <w:t> </w:t>
            </w:r>
          </w:p>
        </w:tc>
        <w:tc>
          <w:tcPr>
            <w:tcW w:w="896" w:type="dxa"/>
            <w:tcBorders/>
            <w:shd w:fill="F2F8FB" w:val="clear"/>
            <w:vAlign w:val="center"/>
          </w:tcPr>
          <w:p>
            <w:pPr>
              <w:pStyle w:val="TableContents"/>
              <w:spacing w:before="0" w:after="283"/>
              <w:jc w:val="right"/>
              <w:rPr>
                <w:color w:val="007CBA"/>
              </w:rPr>
            </w:pPr>
            <w:r>
              <w:rPr>
                <w:color w:val="007CBA"/>
              </w:rPr>
              <w:t>–</w:t>
            </w:r>
          </w:p>
        </w:tc>
        <w:tc>
          <w:tcPr>
            <w:tcW w:w="60" w:type="dxa"/>
            <w:tcBorders/>
            <w:shd w:fill="F2F8FB" w:val="clear"/>
            <w:vAlign w:val="center"/>
          </w:tcPr>
          <w:p>
            <w:pPr>
              <w:pStyle w:val="TableContents"/>
              <w:spacing w:before="0" w:after="283"/>
              <w:rPr>
                <w:color w:val="007CBA"/>
              </w:rPr>
            </w:pPr>
            <w:r>
              <w:rPr>
                <w:color w:val="007CBA"/>
              </w:rPr>
              <w:t> </w:t>
            </w:r>
          </w:p>
        </w:tc>
        <w:tc>
          <w:tcPr>
            <w:tcW w:w="60" w:type="dxa"/>
            <w:tcBorders/>
            <w:shd w:fill="F2F8FB" w:val="clear"/>
            <w:vAlign w:val="center"/>
          </w:tcPr>
          <w:p>
            <w:pPr>
              <w:pStyle w:val="TableContents"/>
              <w:spacing w:before="0" w:after="283"/>
              <w:rPr/>
            </w:pPr>
            <w:r>
              <w:rPr/>
              <w:t> </w:t>
            </w:r>
          </w:p>
        </w:tc>
        <w:tc>
          <w:tcPr>
            <w:tcW w:w="111" w:type="dxa"/>
            <w:tcBorders/>
            <w:shd w:fill="F2F8FB" w:val="clear"/>
            <w:vAlign w:val="center"/>
          </w:tcPr>
          <w:p>
            <w:pPr>
              <w:pStyle w:val="TableContents"/>
              <w:spacing w:before="0" w:after="283"/>
              <w:rPr/>
            </w:pPr>
            <w:r>
              <w:rPr/>
              <w:t> </w:t>
            </w:r>
          </w:p>
        </w:tc>
        <w:tc>
          <w:tcPr>
            <w:tcW w:w="1829" w:type="dxa"/>
            <w:tcBorders/>
            <w:shd w:fill="F2F8FB" w:val="clear"/>
            <w:vAlign w:val="center"/>
          </w:tcPr>
          <w:p>
            <w:pPr>
              <w:pStyle w:val="TableContents"/>
              <w:spacing w:before="0" w:after="283"/>
              <w:jc w:val="right"/>
              <w:rPr/>
            </w:pPr>
            <w:r>
              <w:rPr/>
              <w:t>2,878,400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11" w:type="dxa"/>
            <w:tcBorders/>
            <w:shd w:fill="F2F8FB" w:val="clear"/>
            <w:vAlign w:val="center"/>
          </w:tcPr>
          <w:p>
            <w:pPr>
              <w:pStyle w:val="TableContents"/>
              <w:spacing w:before="0" w:after="283"/>
              <w:rPr/>
            </w:pPr>
            <w:r>
              <w:rPr/>
              <w:t> </w:t>
            </w:r>
          </w:p>
        </w:tc>
        <w:tc>
          <w:tcPr>
            <w:tcW w:w="1814" w:type="dxa"/>
            <w:tcBorders/>
            <w:shd w:fill="F2F8FB" w:val="clear"/>
            <w:vAlign w:val="center"/>
          </w:tcPr>
          <w:p>
            <w:pPr>
              <w:pStyle w:val="TableContents"/>
              <w:spacing w:before="0" w:after="283"/>
              <w:jc w:val="right"/>
              <w:rPr/>
            </w:pPr>
            <w:r>
              <w:rPr/>
              <w:t>1,266,898</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20" w:type="dxa"/>
            <w:tcBorders/>
            <w:shd w:fill="F2F8FB" w:val="clear"/>
            <w:vAlign w:val="center"/>
          </w:tcPr>
          <w:p>
            <w:pPr>
              <w:pStyle w:val="TableContents"/>
              <w:spacing w:before="0" w:after="283"/>
              <w:rPr/>
            </w:pPr>
            <w:r>
              <w:rPr/>
              <w:t> </w:t>
            </w:r>
          </w:p>
        </w:tc>
        <w:tc>
          <w:tcPr>
            <w:tcW w:w="1370" w:type="dxa"/>
            <w:tcBorders/>
            <w:shd w:fill="F2F8FB" w:val="clear"/>
            <w:vAlign w:val="center"/>
          </w:tcPr>
          <w:p>
            <w:pPr>
              <w:pStyle w:val="TableContents"/>
              <w:spacing w:before="0" w:after="283"/>
              <w:jc w:val="right"/>
              <w:rPr/>
            </w:pPr>
            <w:r>
              <w:rPr/>
              <w:t>37,233</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100" w:type="dxa"/>
            <w:tcBorders/>
            <w:shd w:fill="F2F8FB" w:val="clear"/>
            <w:vAlign w:val="center"/>
          </w:tcPr>
          <w:p>
            <w:pPr>
              <w:pStyle w:val="TableContents"/>
              <w:spacing w:before="0" w:after="283"/>
              <w:jc w:val="right"/>
              <w:rPr/>
            </w:pPr>
            <w:r>
              <w:rPr/>
              <w:t>12,784,251</w:t>
            </w:r>
          </w:p>
        </w:tc>
        <w:tc>
          <w:tcPr>
            <w:tcW w:w="75" w:type="dxa"/>
            <w:tcBorders/>
            <w:shd w:fill="F2F8FB" w:val="clear"/>
            <w:vAlign w:val="center"/>
          </w:tcPr>
          <w:p>
            <w:pPr>
              <w:pStyle w:val="TableContents"/>
              <w:spacing w:before="0" w:after="283"/>
              <w:rPr/>
            </w:pPr>
            <w:r>
              <w:rPr/>
              <w:t> </w:t>
            </w:r>
          </w:p>
        </w:tc>
      </w:tr>
      <w:tr>
        <w:trPr/>
        <w:tc>
          <w:tcPr>
            <w:tcW w:w="725"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lineRule="atLeast" w:line="240" w:before="0" w:after="0"/>
              <w:rPr>
                <w:rFonts w:ascii="ARIAL" w:hAnsi="ARIAL"/>
                <w:sz w:val="14"/>
              </w:rPr>
            </w:pPr>
            <w:r>
              <w:rPr>
                <w:rFonts w:ascii="ARIAL" w:hAnsi="ARIAL"/>
                <w:sz w:val="14"/>
              </w:rPr>
              <w:t>2021</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1,275,000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8,485,027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829" w:type="dxa"/>
            <w:tcBorders/>
            <w:shd w:fill="auto" w:val="clear"/>
            <w:vAlign w:val="center"/>
          </w:tcPr>
          <w:p>
            <w:pPr>
              <w:pStyle w:val="TableContents"/>
              <w:spacing w:before="0" w:after="283"/>
              <w:jc w:val="right"/>
              <w:rPr/>
            </w:pPr>
            <w:r>
              <w:rPr/>
              <w:t>2,275,000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814" w:type="dxa"/>
            <w:tcBorders/>
            <w:shd w:fill="auto" w:val="clear"/>
            <w:vAlign w:val="center"/>
          </w:tcPr>
          <w:p>
            <w:pPr>
              <w:pStyle w:val="TableContents"/>
              <w:spacing w:before="0" w:after="283"/>
              <w:jc w:val="right"/>
              <w:rPr/>
            </w:pPr>
            <w:r>
              <w:rPr/>
              <w:t>2,873,669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right"/>
              <w:rPr/>
            </w:pPr>
            <w:r>
              <w:rPr/>
              <w:t>30,891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14,939,587</w:t>
            </w:r>
          </w:p>
        </w:tc>
        <w:tc>
          <w:tcPr>
            <w:tcW w:w="75" w:type="dxa"/>
            <w:tcBorders/>
            <w:shd w:fill="auto" w:val="clear"/>
            <w:vAlign w:val="center"/>
          </w:tcPr>
          <w:p>
            <w:pPr>
              <w:pStyle w:val="TableContents"/>
              <w:spacing w:before="0" w:after="283"/>
              <w:rPr/>
            </w:pPr>
            <w:r>
              <w:rPr/>
              <w:t> </w:t>
            </w:r>
          </w:p>
        </w:tc>
      </w:tr>
      <w:tr>
        <w:trPr/>
        <w:tc>
          <w:tcPr>
            <w:tcW w:w="725"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530" w:type="dxa"/>
            <w:tcBorders>
              <w:bottom w:val="dotted" w:sz="8" w:space="0" w:color="000000"/>
            </w:tcBorders>
            <w:shd w:fill="auto" w:val="clear"/>
            <w:tcMar>
              <w:bottom w:w="100" w:type="dxa"/>
            </w:tcMar>
            <w:vAlign w:val="center"/>
          </w:tcPr>
          <w:p>
            <w:pPr>
              <w:pStyle w:val="TableContents"/>
              <w:spacing w:before="0" w:after="283"/>
              <w:rPr/>
            </w:pPr>
            <w:r>
              <w:rPr/>
              <w:t>2020</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5" w:type="dxa"/>
            <w:tcBorders>
              <w:bottom w:val="dotted" w:sz="8" w:space="0" w:color="000000"/>
            </w:tcBorders>
            <w:shd w:fill="auto" w:val="clear"/>
            <w:tcMar>
              <w:bottom w:w="100" w:type="dxa"/>
            </w:tcMar>
            <w:vAlign w:val="center"/>
          </w:tcPr>
          <w:p>
            <w:pPr>
              <w:pStyle w:val="TableContents"/>
              <w:spacing w:before="0" w:after="283"/>
              <w:rPr/>
            </w:pPr>
            <w:r>
              <w:rPr/>
              <w:t> </w:t>
            </w:r>
          </w:p>
        </w:tc>
        <w:tc>
          <w:tcPr>
            <w:tcW w:w="1065" w:type="dxa"/>
            <w:tcBorders>
              <w:bottom w:val="dotted" w:sz="8" w:space="0" w:color="000000"/>
            </w:tcBorders>
            <w:shd w:fill="auto" w:val="clear"/>
            <w:tcMar>
              <w:bottom w:w="100" w:type="dxa"/>
            </w:tcMar>
            <w:vAlign w:val="center"/>
          </w:tcPr>
          <w:p>
            <w:pPr>
              <w:pStyle w:val="TableContents"/>
              <w:spacing w:before="0" w:after="283"/>
              <w:jc w:val="right"/>
              <w:rPr/>
            </w:pPr>
            <w:r>
              <w:rPr/>
              <w:t>1,212,500</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99" w:type="dxa"/>
            <w:tcBorders>
              <w:bottom w:val="dotted" w:sz="8" w:space="0" w:color="000000"/>
            </w:tcBorders>
            <w:shd w:fill="auto" w:val="clear"/>
            <w:tcMar>
              <w:bottom w:w="100" w:type="dxa"/>
            </w:tcMar>
            <w:vAlign w:val="center"/>
          </w:tcPr>
          <w:p>
            <w:pPr>
              <w:pStyle w:val="TableContents"/>
              <w:spacing w:before="0" w:after="283"/>
              <w:rPr/>
            </w:pPr>
            <w:r>
              <w:rPr/>
              <w:t> </w:t>
            </w:r>
          </w:p>
        </w:tc>
        <w:tc>
          <w:tcPr>
            <w:tcW w:w="466"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3"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7" w:type="dxa"/>
            <w:tcBorders>
              <w:bottom w:val="dotted" w:sz="8" w:space="0" w:color="000000"/>
            </w:tcBorders>
            <w:shd w:fill="auto" w:val="clear"/>
            <w:tcMar>
              <w:bottom w:w="100" w:type="dxa"/>
            </w:tcMar>
            <w:vAlign w:val="center"/>
          </w:tcPr>
          <w:p>
            <w:pPr>
              <w:pStyle w:val="TableContents"/>
              <w:spacing w:before="0" w:after="283"/>
              <w:jc w:val="right"/>
              <w:rPr/>
            </w:pPr>
            <w:r>
              <w:rPr/>
              <w:t>6,751,124</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384" w:type="dxa"/>
            <w:tcBorders>
              <w:bottom w:val="dotted" w:sz="8" w:space="0" w:color="000000"/>
            </w:tcBorders>
            <w:shd w:fill="auto" w:val="clear"/>
            <w:tcMar>
              <w:bottom w:w="100" w:type="dxa"/>
            </w:tcMar>
            <w:vAlign w:val="center"/>
          </w:tcPr>
          <w:p>
            <w:pPr>
              <w:pStyle w:val="TableContents"/>
              <w:spacing w:before="0" w:after="283"/>
              <w:rPr/>
            </w:pPr>
            <w:r>
              <w:rPr/>
              <w:t> </w:t>
            </w:r>
          </w:p>
        </w:tc>
        <w:tc>
          <w:tcPr>
            <w:tcW w:w="896"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100" w:type="dxa"/>
            </w:tcMar>
            <w:vAlign w:val="center"/>
          </w:tcPr>
          <w:p>
            <w:pPr>
              <w:pStyle w:val="TableContents"/>
              <w:spacing w:before="0" w:after="283"/>
              <w:rPr/>
            </w:pPr>
            <w:r>
              <w:rPr/>
              <w:t> </w:t>
            </w:r>
          </w:p>
        </w:tc>
        <w:tc>
          <w:tcPr>
            <w:tcW w:w="1829" w:type="dxa"/>
            <w:tcBorders>
              <w:bottom w:val="dotted" w:sz="8" w:space="0" w:color="000000"/>
            </w:tcBorders>
            <w:shd w:fill="auto" w:val="clear"/>
            <w:tcMar>
              <w:bottom w:w="100" w:type="dxa"/>
            </w:tcMar>
            <w:vAlign w:val="center"/>
          </w:tcPr>
          <w:p>
            <w:pPr>
              <w:pStyle w:val="TableContents"/>
              <w:spacing w:before="0" w:after="283"/>
              <w:jc w:val="right"/>
              <w:rPr/>
            </w:pPr>
            <w:r>
              <w:rPr/>
              <w:t>1,650,000</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100" w:type="dxa"/>
            </w:tcMar>
            <w:vAlign w:val="center"/>
          </w:tcPr>
          <w:p>
            <w:pPr>
              <w:pStyle w:val="TableContents"/>
              <w:spacing w:before="0" w:after="283"/>
              <w:rPr/>
            </w:pPr>
            <w:r>
              <w:rPr/>
              <w:t> </w:t>
            </w:r>
          </w:p>
        </w:tc>
        <w:tc>
          <w:tcPr>
            <w:tcW w:w="1814" w:type="dxa"/>
            <w:tcBorders>
              <w:bottom w:val="dotted" w:sz="8" w:space="0" w:color="000000"/>
            </w:tcBorders>
            <w:shd w:fill="auto" w:val="clear"/>
            <w:tcMar>
              <w:bottom w:w="100" w:type="dxa"/>
            </w:tcMar>
            <w:vAlign w:val="center"/>
          </w:tcPr>
          <w:p>
            <w:pPr>
              <w:pStyle w:val="TableContents"/>
              <w:spacing w:before="0" w:after="283"/>
              <w:jc w:val="right"/>
              <w:rPr/>
            </w:pPr>
            <w:r>
              <w:rPr/>
              <w:t>3,172,259</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100" w:type="dxa"/>
            </w:tcMar>
            <w:vAlign w:val="center"/>
          </w:tcPr>
          <w:p>
            <w:pPr>
              <w:pStyle w:val="TableContents"/>
              <w:spacing w:before="0" w:after="283"/>
              <w:rPr/>
            </w:pPr>
            <w:r>
              <w:rPr/>
              <w:t> </w:t>
            </w:r>
          </w:p>
        </w:tc>
        <w:tc>
          <w:tcPr>
            <w:tcW w:w="1370" w:type="dxa"/>
            <w:tcBorders>
              <w:bottom w:val="dotted" w:sz="8" w:space="0" w:color="000000"/>
            </w:tcBorders>
            <w:shd w:fill="auto" w:val="clear"/>
            <w:tcMar>
              <w:bottom w:w="100" w:type="dxa"/>
            </w:tcMar>
            <w:vAlign w:val="center"/>
          </w:tcPr>
          <w:p>
            <w:pPr>
              <w:pStyle w:val="TableContents"/>
              <w:spacing w:before="0" w:after="283"/>
              <w:jc w:val="right"/>
              <w:rPr/>
            </w:pPr>
            <w:r>
              <w:rPr/>
              <w:t>32,705</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12,818,588</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590" w:type="dxa"/>
            <w:gridSpan w:val="2"/>
            <w:tcBorders/>
            <w:shd w:fill="F2F8FB" w:val="clear"/>
            <w:vAlign w:val="center"/>
          </w:tcPr>
          <w:p>
            <w:pPr>
              <w:pStyle w:val="TableContents"/>
              <w:spacing w:before="0" w:after="283"/>
              <w:rPr>
                <w:sz w:val="4"/>
                <w:szCs w:val="4"/>
              </w:rPr>
            </w:pPr>
            <w:r>
              <w:rPr>
                <w:sz w:val="4"/>
                <w:szCs w:val="4"/>
              </w:rPr>
            </w:r>
          </w:p>
        </w:tc>
        <w:tc>
          <w:tcPr>
            <w:tcW w:w="1250" w:type="dxa"/>
            <w:gridSpan w:val="4"/>
            <w:tcBorders/>
            <w:shd w:fill="F2F8FB" w:val="clear"/>
            <w:vAlign w:val="center"/>
          </w:tcPr>
          <w:p>
            <w:pPr>
              <w:pStyle w:val="TableContents"/>
              <w:spacing w:before="0" w:after="283"/>
              <w:rPr>
                <w:sz w:val="4"/>
                <w:szCs w:val="4"/>
              </w:rPr>
            </w:pPr>
            <w:r>
              <w:rPr>
                <w:sz w:val="4"/>
                <w:szCs w:val="4"/>
              </w:rPr>
            </w:r>
          </w:p>
        </w:tc>
        <w:tc>
          <w:tcPr>
            <w:tcW w:w="785" w:type="dxa"/>
            <w:gridSpan w:val="4"/>
            <w:tcBorders/>
            <w:shd w:fill="F2F8FB" w:val="clear"/>
            <w:vAlign w:val="center"/>
          </w:tcPr>
          <w:p>
            <w:pPr>
              <w:pStyle w:val="TableContents"/>
              <w:spacing w:before="0" w:after="283"/>
              <w:rPr>
                <w:sz w:val="4"/>
                <w:szCs w:val="4"/>
              </w:rPr>
            </w:pPr>
            <w:r>
              <w:rPr>
                <w:sz w:val="4"/>
                <w:szCs w:val="4"/>
              </w:rPr>
            </w:r>
          </w:p>
        </w:tc>
        <w:tc>
          <w:tcPr>
            <w:tcW w:w="1400" w:type="dxa"/>
            <w:gridSpan w:val="4"/>
            <w:tcBorders/>
            <w:shd w:fill="F2F8FB" w:val="clear"/>
            <w:vAlign w:val="center"/>
          </w:tcPr>
          <w:p>
            <w:pPr>
              <w:pStyle w:val="TableContents"/>
              <w:spacing w:before="0" w:after="283"/>
              <w:rPr>
                <w:sz w:val="4"/>
                <w:szCs w:val="4"/>
              </w:rPr>
            </w:pPr>
            <w:r>
              <w:rPr>
                <w:sz w:val="4"/>
                <w:szCs w:val="4"/>
              </w:rPr>
            </w:r>
          </w:p>
        </w:tc>
        <w:tc>
          <w:tcPr>
            <w:tcW w:w="1400" w:type="dxa"/>
            <w:gridSpan w:val="4"/>
            <w:tcBorders/>
            <w:shd w:fill="F2F8FB" w:val="clear"/>
            <w:vAlign w:val="center"/>
          </w:tcPr>
          <w:p>
            <w:pPr>
              <w:pStyle w:val="TableContents"/>
              <w:spacing w:before="0" w:after="283"/>
              <w:rPr>
                <w:sz w:val="4"/>
                <w:szCs w:val="4"/>
              </w:rPr>
            </w:pPr>
            <w:r>
              <w:rPr>
                <w:sz w:val="4"/>
                <w:szCs w:val="4"/>
              </w:rPr>
            </w:r>
          </w:p>
        </w:tc>
        <w:tc>
          <w:tcPr>
            <w:tcW w:w="2060" w:type="dxa"/>
            <w:gridSpan w:val="4"/>
            <w:tcBorders/>
            <w:shd w:fill="F2F8FB" w:val="clear"/>
            <w:vAlign w:val="center"/>
          </w:tcPr>
          <w:p>
            <w:pPr>
              <w:pStyle w:val="TableContents"/>
              <w:spacing w:before="0" w:after="283"/>
              <w:rPr>
                <w:sz w:val="4"/>
                <w:szCs w:val="4"/>
              </w:rPr>
            </w:pPr>
            <w:r>
              <w:rPr>
                <w:sz w:val="4"/>
                <w:szCs w:val="4"/>
              </w:rPr>
            </w:r>
          </w:p>
        </w:tc>
        <w:tc>
          <w:tcPr>
            <w:tcW w:w="2045" w:type="dxa"/>
            <w:gridSpan w:val="4"/>
            <w:tcBorders/>
            <w:shd w:fill="F2F8FB" w:val="clear"/>
            <w:vAlign w:val="center"/>
          </w:tcPr>
          <w:p>
            <w:pPr>
              <w:pStyle w:val="TableContents"/>
              <w:spacing w:before="0" w:after="283"/>
              <w:rPr>
                <w:sz w:val="4"/>
                <w:szCs w:val="4"/>
              </w:rPr>
            </w:pPr>
            <w:r>
              <w:rPr>
                <w:sz w:val="4"/>
                <w:szCs w:val="4"/>
              </w:rPr>
            </w:r>
          </w:p>
        </w:tc>
        <w:tc>
          <w:tcPr>
            <w:tcW w:w="1610" w:type="dxa"/>
            <w:gridSpan w:val="4"/>
            <w:tcBorders/>
            <w:shd w:fill="F2F8FB" w:val="clear"/>
            <w:vAlign w:val="center"/>
          </w:tcPr>
          <w:p>
            <w:pPr>
              <w:pStyle w:val="TableContents"/>
              <w:spacing w:before="0" w:after="283"/>
              <w:rPr>
                <w:sz w:val="4"/>
                <w:szCs w:val="4"/>
              </w:rPr>
            </w:pPr>
            <w:r>
              <w:rPr>
                <w:sz w:val="4"/>
                <w:szCs w:val="4"/>
              </w:rPr>
            </w:r>
          </w:p>
        </w:tc>
        <w:tc>
          <w:tcPr>
            <w:tcW w:w="1295" w:type="dxa"/>
            <w:gridSpan w:val="4"/>
            <w:tcBorders/>
            <w:shd w:fill="F2F8FB" w:val="clear"/>
            <w:vAlign w:val="center"/>
          </w:tcPr>
          <w:p>
            <w:pPr>
              <w:pStyle w:val="TableContents"/>
              <w:spacing w:before="0" w:after="283"/>
              <w:rPr>
                <w:sz w:val="4"/>
                <w:szCs w:val="4"/>
              </w:rPr>
            </w:pPr>
            <w:r>
              <w:rPr>
                <w:sz w:val="4"/>
                <w:szCs w:val="4"/>
              </w:rPr>
            </w:r>
          </w:p>
        </w:tc>
      </w:tr>
      <w:tr>
        <w:trPr/>
        <w:tc>
          <w:tcPr>
            <w:tcW w:w="725"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James A. J. Nickolas</w:t>
            </w:r>
          </w:p>
          <w:p>
            <w:pPr>
              <w:pStyle w:val="TableContents"/>
              <w:spacing w:before="0" w:after="0"/>
              <w:rPr>
                <w:rFonts w:ascii="ARIAL" w:hAnsi="ARIAL"/>
                <w:sz w:val="14"/>
              </w:rPr>
            </w:pPr>
            <w:r>
              <w:rPr>
                <w:rFonts w:ascii="ARIAL" w:hAnsi="ARIAL"/>
                <w:sz w:val="14"/>
              </w:rPr>
              <w:t>Senior Vice President</w:t>
            </w:r>
          </w:p>
          <w:p>
            <w:pPr>
              <w:pStyle w:val="TableContents"/>
              <w:spacing w:before="0" w:after="20"/>
              <w:rPr>
                <w:rFonts w:ascii="ARIAL" w:hAnsi="ARIAL"/>
                <w:sz w:val="14"/>
              </w:rPr>
            </w:pPr>
            <w:r>
              <w:rPr>
                <w:rFonts w:ascii="ARIAL" w:hAnsi="ARIAL"/>
                <w:sz w:val="14"/>
              </w:rPr>
              <w:t>and CFO</w:t>
            </w:r>
          </w:p>
        </w:tc>
        <w:tc>
          <w:tcPr>
            <w:tcW w:w="60" w:type="dxa"/>
            <w:tcBorders/>
            <w:shd w:fill="F2F8FB" w:val="clear"/>
            <w:vAlign w:val="center"/>
          </w:tcPr>
          <w:p>
            <w:pPr>
              <w:pStyle w:val="TableContents"/>
              <w:spacing w:before="0" w:after="283"/>
              <w:rPr/>
            </w:pPr>
            <w:r>
              <w:rPr/>
              <w:t> </w:t>
            </w:r>
          </w:p>
        </w:tc>
        <w:tc>
          <w:tcPr>
            <w:tcW w:w="530" w:type="dxa"/>
            <w:tcBorders/>
            <w:shd w:fill="F2F8FB" w:val="clear"/>
            <w:vAlign w:val="center"/>
          </w:tcPr>
          <w:p>
            <w:pPr>
              <w:pStyle w:val="TableContents"/>
              <w:spacing w:before="0" w:after="283"/>
              <w:rPr>
                <w:color w:val="007CBA"/>
              </w:rPr>
            </w:pPr>
            <w:r>
              <w:rPr>
                <w:color w:val="007CBA"/>
              </w:rPr>
              <w:t>2022</w:t>
            </w:r>
          </w:p>
        </w:tc>
        <w:tc>
          <w:tcPr>
            <w:tcW w:w="60" w:type="dxa"/>
            <w:tcBorders/>
            <w:shd w:fill="F2F8FB" w:val="clear"/>
            <w:vAlign w:val="center"/>
          </w:tcPr>
          <w:p>
            <w:pPr>
              <w:pStyle w:val="TableContents"/>
              <w:spacing w:before="0" w:after="283"/>
              <w:rPr/>
            </w:pPr>
            <w:r>
              <w:rPr/>
              <w:t> </w:t>
            </w:r>
          </w:p>
        </w:tc>
        <w:tc>
          <w:tcPr>
            <w:tcW w:w="65" w:type="dxa"/>
            <w:tcBorders/>
            <w:shd w:fill="F2F8FB" w:val="clear"/>
            <w:vAlign w:val="center"/>
          </w:tcPr>
          <w:p>
            <w:pPr>
              <w:pStyle w:val="TableContents"/>
              <w:spacing w:before="0" w:after="283"/>
              <w:rPr/>
            </w:pPr>
            <w:r>
              <w:rPr/>
              <w:t> </w:t>
            </w:r>
          </w:p>
        </w:tc>
        <w:tc>
          <w:tcPr>
            <w:tcW w:w="1065" w:type="dxa"/>
            <w:tcBorders/>
            <w:shd w:fill="F2F8FB" w:val="clear"/>
            <w:vAlign w:val="center"/>
          </w:tcPr>
          <w:p>
            <w:pPr>
              <w:pStyle w:val="TableContents"/>
              <w:spacing w:before="0" w:after="283"/>
              <w:jc w:val="right"/>
              <w:rPr/>
            </w:pPr>
            <w:r>
              <w:rPr/>
              <w:t>630,000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99" w:type="dxa"/>
            <w:tcBorders/>
            <w:shd w:fill="F2F8FB" w:val="clear"/>
            <w:vAlign w:val="center"/>
          </w:tcPr>
          <w:p>
            <w:pPr>
              <w:pStyle w:val="TableContents"/>
              <w:spacing w:before="0" w:after="283"/>
              <w:rPr>
                <w:color w:val="007CBA"/>
              </w:rPr>
            </w:pPr>
            <w:r>
              <w:rPr>
                <w:color w:val="007CBA"/>
              </w:rPr>
              <w:t> </w:t>
            </w:r>
          </w:p>
        </w:tc>
        <w:tc>
          <w:tcPr>
            <w:tcW w:w="466" w:type="dxa"/>
            <w:tcBorders/>
            <w:shd w:fill="F2F8FB" w:val="clear"/>
            <w:vAlign w:val="center"/>
          </w:tcPr>
          <w:p>
            <w:pPr>
              <w:pStyle w:val="TableContents"/>
              <w:spacing w:before="0" w:after="283"/>
              <w:jc w:val="right"/>
              <w:rPr>
                <w:color w:val="007CBA"/>
              </w:rPr>
            </w:pPr>
            <w:r>
              <w:rPr>
                <w:color w:val="007CBA"/>
              </w:rPr>
              <w:t>–</w:t>
            </w:r>
          </w:p>
        </w:tc>
        <w:tc>
          <w:tcPr>
            <w:tcW w:w="60" w:type="dxa"/>
            <w:tcBorders/>
            <w:shd w:fill="F2F8FB" w:val="clear"/>
            <w:vAlign w:val="center"/>
          </w:tcPr>
          <w:p>
            <w:pPr>
              <w:pStyle w:val="TableContents"/>
              <w:spacing w:before="0" w:after="283"/>
              <w:rPr>
                <w:color w:val="007CBA"/>
              </w:rPr>
            </w:pPr>
            <w:r>
              <w:rPr>
                <w:color w:val="007CBA"/>
              </w:rPr>
              <w:t> </w:t>
            </w:r>
          </w:p>
        </w:tc>
        <w:tc>
          <w:tcPr>
            <w:tcW w:w="60" w:type="dxa"/>
            <w:tcBorders/>
            <w:shd w:fill="F2F8FB" w:val="clear"/>
            <w:vAlign w:val="center"/>
          </w:tcPr>
          <w:p>
            <w:pPr>
              <w:pStyle w:val="TableContents"/>
              <w:spacing w:before="0" w:after="283"/>
              <w:rPr/>
            </w:pPr>
            <w:r>
              <w:rPr/>
              <w:t> </w:t>
            </w:r>
          </w:p>
        </w:tc>
        <w:tc>
          <w:tcPr>
            <w:tcW w:w="73" w:type="dxa"/>
            <w:tcBorders/>
            <w:shd w:fill="F2F8FB" w:val="clear"/>
            <w:vAlign w:val="center"/>
          </w:tcPr>
          <w:p>
            <w:pPr>
              <w:pStyle w:val="TableContents"/>
              <w:spacing w:before="0" w:after="283"/>
              <w:rPr/>
            </w:pPr>
            <w:r>
              <w:rPr/>
              <w:t> </w:t>
            </w:r>
          </w:p>
        </w:tc>
        <w:tc>
          <w:tcPr>
            <w:tcW w:w="1207" w:type="dxa"/>
            <w:tcBorders/>
            <w:shd w:fill="F2F8FB" w:val="clear"/>
            <w:vAlign w:val="center"/>
          </w:tcPr>
          <w:p>
            <w:pPr>
              <w:pStyle w:val="TableContents"/>
              <w:spacing w:before="0" w:after="283"/>
              <w:jc w:val="right"/>
              <w:rPr/>
            </w:pPr>
            <w:r>
              <w:rPr/>
              <w:t>1,334,186</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384" w:type="dxa"/>
            <w:tcBorders/>
            <w:shd w:fill="F2F8FB" w:val="clear"/>
            <w:vAlign w:val="center"/>
          </w:tcPr>
          <w:p>
            <w:pPr>
              <w:pStyle w:val="TableContents"/>
              <w:spacing w:before="0" w:after="283"/>
              <w:rPr>
                <w:color w:val="007CBA"/>
              </w:rPr>
            </w:pPr>
            <w:r>
              <w:rPr>
                <w:color w:val="007CBA"/>
              </w:rPr>
              <w:t> </w:t>
            </w:r>
          </w:p>
        </w:tc>
        <w:tc>
          <w:tcPr>
            <w:tcW w:w="896" w:type="dxa"/>
            <w:tcBorders/>
            <w:shd w:fill="F2F8FB" w:val="clear"/>
            <w:vAlign w:val="center"/>
          </w:tcPr>
          <w:p>
            <w:pPr>
              <w:pStyle w:val="TableContents"/>
              <w:spacing w:before="0" w:after="283"/>
              <w:jc w:val="right"/>
              <w:rPr>
                <w:color w:val="007CBA"/>
              </w:rPr>
            </w:pPr>
            <w:r>
              <w:rPr>
                <w:color w:val="007CBA"/>
              </w:rPr>
              <w:t>–</w:t>
            </w:r>
          </w:p>
        </w:tc>
        <w:tc>
          <w:tcPr>
            <w:tcW w:w="60" w:type="dxa"/>
            <w:tcBorders/>
            <w:shd w:fill="F2F8FB" w:val="clear"/>
            <w:vAlign w:val="center"/>
          </w:tcPr>
          <w:p>
            <w:pPr>
              <w:pStyle w:val="TableContents"/>
              <w:spacing w:before="0" w:after="283"/>
              <w:rPr>
                <w:color w:val="007CBA"/>
              </w:rPr>
            </w:pPr>
            <w:r>
              <w:rPr>
                <w:color w:val="007CBA"/>
              </w:rPr>
              <w:t> </w:t>
            </w:r>
          </w:p>
        </w:tc>
        <w:tc>
          <w:tcPr>
            <w:tcW w:w="60" w:type="dxa"/>
            <w:tcBorders/>
            <w:shd w:fill="F2F8FB" w:val="clear"/>
            <w:vAlign w:val="center"/>
          </w:tcPr>
          <w:p>
            <w:pPr>
              <w:pStyle w:val="TableContents"/>
              <w:spacing w:before="0" w:after="283"/>
              <w:rPr/>
            </w:pPr>
            <w:r>
              <w:rPr/>
              <w:t> </w:t>
            </w:r>
          </w:p>
        </w:tc>
        <w:tc>
          <w:tcPr>
            <w:tcW w:w="111" w:type="dxa"/>
            <w:tcBorders/>
            <w:shd w:fill="F2F8FB" w:val="clear"/>
            <w:vAlign w:val="center"/>
          </w:tcPr>
          <w:p>
            <w:pPr>
              <w:pStyle w:val="TableContents"/>
              <w:spacing w:before="0" w:after="283"/>
              <w:rPr/>
            </w:pPr>
            <w:r>
              <w:rPr/>
              <w:t> </w:t>
            </w:r>
          </w:p>
        </w:tc>
        <w:tc>
          <w:tcPr>
            <w:tcW w:w="1829" w:type="dxa"/>
            <w:tcBorders/>
            <w:shd w:fill="F2F8FB" w:val="clear"/>
            <w:vAlign w:val="center"/>
          </w:tcPr>
          <w:p>
            <w:pPr>
              <w:pStyle w:val="TableContents"/>
              <w:spacing w:before="0" w:after="283"/>
              <w:jc w:val="right"/>
              <w:rPr/>
            </w:pPr>
            <w:r>
              <w:rPr/>
              <w:t>803,558</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11" w:type="dxa"/>
            <w:tcBorders/>
            <w:shd w:fill="F2F8FB" w:val="clear"/>
            <w:vAlign w:val="center"/>
          </w:tcPr>
          <w:p>
            <w:pPr>
              <w:pStyle w:val="TableContents"/>
              <w:spacing w:before="0" w:after="283"/>
              <w:rPr>
                <w:color w:val="007CBA"/>
              </w:rPr>
            </w:pPr>
            <w:r>
              <w:rPr>
                <w:color w:val="007CBA"/>
              </w:rPr>
              <w:t> </w:t>
            </w:r>
          </w:p>
        </w:tc>
        <w:tc>
          <w:tcPr>
            <w:tcW w:w="1814" w:type="dxa"/>
            <w:tcBorders/>
            <w:shd w:fill="F2F8FB" w:val="clear"/>
            <w:vAlign w:val="center"/>
          </w:tcPr>
          <w:p>
            <w:pPr>
              <w:pStyle w:val="TableContents"/>
              <w:spacing w:before="0" w:after="283"/>
              <w:jc w:val="right"/>
              <w:rPr>
                <w:color w:val="007CBA"/>
              </w:rPr>
            </w:pPr>
            <w:r>
              <w:rPr>
                <w:color w:val="007CBA"/>
              </w:rPr>
              <w:t>–</w:t>
            </w:r>
          </w:p>
        </w:tc>
        <w:tc>
          <w:tcPr>
            <w:tcW w:w="60" w:type="dxa"/>
            <w:tcBorders/>
            <w:shd w:fill="F2F8FB" w:val="clear"/>
            <w:vAlign w:val="center"/>
          </w:tcPr>
          <w:p>
            <w:pPr>
              <w:pStyle w:val="TableContents"/>
              <w:spacing w:before="0" w:after="283"/>
              <w:rPr>
                <w:color w:val="007CBA"/>
              </w:rPr>
            </w:pPr>
            <w:r>
              <w:rPr>
                <w:color w:val="007CBA"/>
              </w:rPr>
              <w:t> </w:t>
            </w:r>
          </w:p>
        </w:tc>
        <w:tc>
          <w:tcPr>
            <w:tcW w:w="60" w:type="dxa"/>
            <w:tcBorders/>
            <w:shd w:fill="F2F8FB" w:val="clear"/>
            <w:vAlign w:val="center"/>
          </w:tcPr>
          <w:p>
            <w:pPr>
              <w:pStyle w:val="TableContents"/>
              <w:spacing w:before="0" w:after="283"/>
              <w:rPr/>
            </w:pPr>
            <w:r>
              <w:rPr/>
              <w:t> </w:t>
            </w:r>
          </w:p>
        </w:tc>
        <w:tc>
          <w:tcPr>
            <w:tcW w:w="120" w:type="dxa"/>
            <w:tcBorders/>
            <w:shd w:fill="F2F8FB" w:val="clear"/>
            <w:vAlign w:val="center"/>
          </w:tcPr>
          <w:p>
            <w:pPr>
              <w:pStyle w:val="TableContents"/>
              <w:spacing w:before="0" w:after="283"/>
              <w:rPr/>
            </w:pPr>
            <w:r>
              <w:rPr/>
              <w:t> </w:t>
            </w:r>
          </w:p>
        </w:tc>
        <w:tc>
          <w:tcPr>
            <w:tcW w:w="1370" w:type="dxa"/>
            <w:tcBorders/>
            <w:shd w:fill="F2F8FB" w:val="clear"/>
            <w:vAlign w:val="center"/>
          </w:tcPr>
          <w:p>
            <w:pPr>
              <w:pStyle w:val="TableContents"/>
              <w:spacing w:before="0" w:after="283"/>
              <w:jc w:val="right"/>
              <w:rPr/>
            </w:pPr>
            <w:r>
              <w:rPr/>
              <w:t>28,594</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100" w:type="dxa"/>
            <w:tcBorders/>
            <w:shd w:fill="F2F8FB" w:val="clear"/>
            <w:vAlign w:val="center"/>
          </w:tcPr>
          <w:p>
            <w:pPr>
              <w:pStyle w:val="TableContents"/>
              <w:spacing w:before="0" w:after="283"/>
              <w:jc w:val="right"/>
              <w:rPr/>
            </w:pPr>
            <w:r>
              <w:rPr/>
              <w:t>2,796,338</w:t>
            </w:r>
          </w:p>
        </w:tc>
        <w:tc>
          <w:tcPr>
            <w:tcW w:w="75" w:type="dxa"/>
            <w:tcBorders/>
            <w:shd w:fill="F2F8FB" w:val="clear"/>
            <w:vAlign w:val="center"/>
          </w:tcPr>
          <w:p>
            <w:pPr>
              <w:pStyle w:val="TableContents"/>
              <w:spacing w:before="0" w:after="283"/>
              <w:rPr/>
            </w:pPr>
            <w:r>
              <w:rPr/>
              <w:t> </w:t>
            </w:r>
          </w:p>
        </w:tc>
      </w:tr>
      <w:tr>
        <w:trPr/>
        <w:tc>
          <w:tcPr>
            <w:tcW w:w="725"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lineRule="atLeast" w:line="240" w:before="0" w:after="0"/>
              <w:rPr>
                <w:rFonts w:ascii="ARIAL" w:hAnsi="ARIAL"/>
                <w:sz w:val="14"/>
              </w:rPr>
            </w:pPr>
            <w:r>
              <w:rPr>
                <w:rFonts w:ascii="ARIAL" w:hAnsi="ARIAL"/>
                <w:sz w:val="14"/>
              </w:rPr>
              <w:t>2021</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585,833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1,153,505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829" w:type="dxa"/>
            <w:tcBorders/>
            <w:shd w:fill="auto" w:val="clear"/>
            <w:vAlign w:val="center"/>
          </w:tcPr>
          <w:p>
            <w:pPr>
              <w:pStyle w:val="TableContents"/>
              <w:spacing w:before="0" w:after="283"/>
              <w:jc w:val="right"/>
              <w:rPr/>
            </w:pPr>
            <w:r>
              <w:rPr/>
              <w:t>856,965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814" w:type="dxa"/>
            <w:tcBorders/>
            <w:shd w:fill="auto" w:val="clear"/>
            <w:vAlign w:val="center"/>
          </w:tcPr>
          <w:p>
            <w:pPr>
              <w:pStyle w:val="TableContents"/>
              <w:spacing w:before="0" w:after="283"/>
              <w:jc w:val="right"/>
              <w:rPr/>
            </w:pPr>
            <w:r>
              <w:rPr/>
              <w:t>258,325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right"/>
              <w:rPr/>
            </w:pPr>
            <w:r>
              <w:rPr/>
              <w:t>30,742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2,885,370</w:t>
            </w:r>
          </w:p>
        </w:tc>
        <w:tc>
          <w:tcPr>
            <w:tcW w:w="75" w:type="dxa"/>
            <w:tcBorders/>
            <w:shd w:fill="auto" w:val="clear"/>
            <w:vAlign w:val="center"/>
          </w:tcPr>
          <w:p>
            <w:pPr>
              <w:pStyle w:val="TableContents"/>
              <w:spacing w:before="0" w:after="283"/>
              <w:rPr/>
            </w:pPr>
            <w:r>
              <w:rPr/>
              <w:t> </w:t>
            </w:r>
          </w:p>
        </w:tc>
      </w:tr>
      <w:tr>
        <w:trPr/>
        <w:tc>
          <w:tcPr>
            <w:tcW w:w="725"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530" w:type="dxa"/>
            <w:tcBorders>
              <w:bottom w:val="dotted" w:sz="8" w:space="0" w:color="000000"/>
            </w:tcBorders>
            <w:shd w:fill="auto" w:val="clear"/>
            <w:tcMar>
              <w:bottom w:w="100" w:type="dxa"/>
            </w:tcMar>
            <w:vAlign w:val="center"/>
          </w:tcPr>
          <w:p>
            <w:pPr>
              <w:pStyle w:val="TableContents"/>
              <w:spacing w:before="0" w:after="283"/>
              <w:rPr/>
            </w:pPr>
            <w:r>
              <w:rPr/>
              <w:t>2020</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5" w:type="dxa"/>
            <w:tcBorders>
              <w:bottom w:val="dotted" w:sz="8" w:space="0" w:color="000000"/>
            </w:tcBorders>
            <w:shd w:fill="auto" w:val="clear"/>
            <w:tcMar>
              <w:bottom w:w="100" w:type="dxa"/>
            </w:tcMar>
            <w:vAlign w:val="center"/>
          </w:tcPr>
          <w:p>
            <w:pPr>
              <w:pStyle w:val="TableContents"/>
              <w:spacing w:before="0" w:after="283"/>
              <w:rPr/>
            </w:pPr>
            <w:r>
              <w:rPr/>
              <w:t> </w:t>
            </w:r>
          </w:p>
        </w:tc>
        <w:tc>
          <w:tcPr>
            <w:tcW w:w="1065" w:type="dxa"/>
            <w:tcBorders>
              <w:bottom w:val="dotted" w:sz="8" w:space="0" w:color="000000"/>
            </w:tcBorders>
            <w:shd w:fill="auto" w:val="clear"/>
            <w:tcMar>
              <w:bottom w:w="100" w:type="dxa"/>
            </w:tcMar>
            <w:vAlign w:val="center"/>
          </w:tcPr>
          <w:p>
            <w:pPr>
              <w:pStyle w:val="TableContents"/>
              <w:spacing w:before="0" w:after="283"/>
              <w:jc w:val="right"/>
              <w:rPr/>
            </w:pPr>
            <w:r>
              <w:rPr/>
              <w:t>558,333</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99" w:type="dxa"/>
            <w:tcBorders>
              <w:bottom w:val="dotted" w:sz="8" w:space="0" w:color="000000"/>
            </w:tcBorders>
            <w:shd w:fill="auto" w:val="clear"/>
            <w:tcMar>
              <w:bottom w:w="100" w:type="dxa"/>
            </w:tcMar>
            <w:vAlign w:val="center"/>
          </w:tcPr>
          <w:p>
            <w:pPr>
              <w:pStyle w:val="TableContents"/>
              <w:spacing w:before="0" w:after="283"/>
              <w:rPr/>
            </w:pPr>
            <w:r>
              <w:rPr/>
              <w:t> </w:t>
            </w:r>
          </w:p>
        </w:tc>
        <w:tc>
          <w:tcPr>
            <w:tcW w:w="466"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3"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7" w:type="dxa"/>
            <w:tcBorders>
              <w:bottom w:val="dotted" w:sz="8" w:space="0" w:color="000000"/>
            </w:tcBorders>
            <w:shd w:fill="auto" w:val="clear"/>
            <w:tcMar>
              <w:bottom w:w="100" w:type="dxa"/>
            </w:tcMar>
            <w:vAlign w:val="center"/>
          </w:tcPr>
          <w:p>
            <w:pPr>
              <w:pStyle w:val="TableContents"/>
              <w:spacing w:before="0" w:after="283"/>
              <w:jc w:val="right"/>
              <w:rPr/>
            </w:pPr>
            <w:r>
              <w:rPr/>
              <w:t>1,000,155</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384" w:type="dxa"/>
            <w:tcBorders>
              <w:bottom w:val="dotted" w:sz="8" w:space="0" w:color="000000"/>
            </w:tcBorders>
            <w:shd w:fill="auto" w:val="clear"/>
            <w:tcMar>
              <w:bottom w:w="100" w:type="dxa"/>
            </w:tcMar>
            <w:vAlign w:val="center"/>
          </w:tcPr>
          <w:p>
            <w:pPr>
              <w:pStyle w:val="TableContents"/>
              <w:spacing w:before="0" w:after="283"/>
              <w:rPr/>
            </w:pPr>
            <w:r>
              <w:rPr/>
              <w:t> </w:t>
            </w:r>
          </w:p>
        </w:tc>
        <w:tc>
          <w:tcPr>
            <w:tcW w:w="896"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100" w:type="dxa"/>
            </w:tcMar>
            <w:vAlign w:val="center"/>
          </w:tcPr>
          <w:p>
            <w:pPr>
              <w:pStyle w:val="TableContents"/>
              <w:spacing w:before="0" w:after="283"/>
              <w:rPr/>
            </w:pPr>
            <w:r>
              <w:rPr/>
              <w:t> </w:t>
            </w:r>
          </w:p>
        </w:tc>
        <w:tc>
          <w:tcPr>
            <w:tcW w:w="1829" w:type="dxa"/>
            <w:tcBorders>
              <w:bottom w:val="dotted" w:sz="8" w:space="0" w:color="000000"/>
            </w:tcBorders>
            <w:shd w:fill="auto" w:val="clear"/>
            <w:tcMar>
              <w:bottom w:w="100" w:type="dxa"/>
            </w:tcMar>
            <w:vAlign w:val="center"/>
          </w:tcPr>
          <w:p>
            <w:pPr>
              <w:pStyle w:val="TableContents"/>
              <w:spacing w:before="0" w:after="283"/>
              <w:jc w:val="right"/>
              <w:rPr/>
            </w:pPr>
            <w:r>
              <w:rPr/>
              <w:t>636,625</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100" w:type="dxa"/>
            </w:tcMar>
            <w:vAlign w:val="center"/>
          </w:tcPr>
          <w:p>
            <w:pPr>
              <w:pStyle w:val="TableContents"/>
              <w:spacing w:before="0" w:after="283"/>
              <w:rPr/>
            </w:pPr>
            <w:r>
              <w:rPr/>
              <w:t> </w:t>
            </w:r>
          </w:p>
        </w:tc>
        <w:tc>
          <w:tcPr>
            <w:tcW w:w="1814" w:type="dxa"/>
            <w:tcBorders>
              <w:bottom w:val="dotted" w:sz="8" w:space="0" w:color="000000"/>
            </w:tcBorders>
            <w:shd w:fill="auto" w:val="clear"/>
            <w:tcMar>
              <w:bottom w:w="100" w:type="dxa"/>
            </w:tcMar>
            <w:vAlign w:val="center"/>
          </w:tcPr>
          <w:p>
            <w:pPr>
              <w:pStyle w:val="TableContents"/>
              <w:spacing w:before="0" w:after="283"/>
              <w:jc w:val="right"/>
              <w:rPr/>
            </w:pPr>
            <w:r>
              <w:rPr/>
              <w:t>306,951</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100" w:type="dxa"/>
            </w:tcMar>
            <w:vAlign w:val="center"/>
          </w:tcPr>
          <w:p>
            <w:pPr>
              <w:pStyle w:val="TableContents"/>
              <w:spacing w:before="0" w:after="283"/>
              <w:rPr/>
            </w:pPr>
            <w:r>
              <w:rPr/>
              <w:t> </w:t>
            </w:r>
          </w:p>
        </w:tc>
        <w:tc>
          <w:tcPr>
            <w:tcW w:w="1370" w:type="dxa"/>
            <w:tcBorders>
              <w:bottom w:val="dotted" w:sz="8" w:space="0" w:color="000000"/>
            </w:tcBorders>
            <w:shd w:fill="auto" w:val="clear"/>
            <w:tcMar>
              <w:bottom w:w="100" w:type="dxa"/>
            </w:tcMar>
            <w:vAlign w:val="center"/>
          </w:tcPr>
          <w:p>
            <w:pPr>
              <w:pStyle w:val="TableContents"/>
              <w:spacing w:before="0" w:after="283"/>
              <w:jc w:val="right"/>
              <w:rPr/>
            </w:pPr>
            <w:r>
              <w:rPr/>
              <w:t>29,682</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2,531,747</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590" w:type="dxa"/>
            <w:gridSpan w:val="2"/>
            <w:tcBorders/>
            <w:shd w:fill="F2F8FB" w:val="clear"/>
            <w:vAlign w:val="center"/>
          </w:tcPr>
          <w:p>
            <w:pPr>
              <w:pStyle w:val="TableContents"/>
              <w:spacing w:before="0" w:after="283"/>
              <w:rPr>
                <w:sz w:val="4"/>
                <w:szCs w:val="4"/>
              </w:rPr>
            </w:pPr>
            <w:r>
              <w:rPr>
                <w:sz w:val="4"/>
                <w:szCs w:val="4"/>
              </w:rPr>
            </w:r>
          </w:p>
        </w:tc>
        <w:tc>
          <w:tcPr>
            <w:tcW w:w="1250" w:type="dxa"/>
            <w:gridSpan w:val="4"/>
            <w:tcBorders/>
            <w:shd w:fill="F2F8FB" w:val="clear"/>
            <w:vAlign w:val="center"/>
          </w:tcPr>
          <w:p>
            <w:pPr>
              <w:pStyle w:val="TableContents"/>
              <w:spacing w:before="0" w:after="283"/>
              <w:rPr>
                <w:sz w:val="4"/>
                <w:szCs w:val="4"/>
              </w:rPr>
            </w:pPr>
            <w:r>
              <w:rPr>
                <w:sz w:val="4"/>
                <w:szCs w:val="4"/>
              </w:rPr>
            </w:r>
          </w:p>
        </w:tc>
        <w:tc>
          <w:tcPr>
            <w:tcW w:w="785" w:type="dxa"/>
            <w:gridSpan w:val="4"/>
            <w:tcBorders/>
            <w:shd w:fill="F2F8FB" w:val="clear"/>
            <w:vAlign w:val="center"/>
          </w:tcPr>
          <w:p>
            <w:pPr>
              <w:pStyle w:val="TableContents"/>
              <w:spacing w:before="0" w:after="283"/>
              <w:rPr>
                <w:sz w:val="4"/>
                <w:szCs w:val="4"/>
              </w:rPr>
            </w:pPr>
            <w:r>
              <w:rPr>
                <w:sz w:val="4"/>
                <w:szCs w:val="4"/>
              </w:rPr>
            </w:r>
          </w:p>
        </w:tc>
        <w:tc>
          <w:tcPr>
            <w:tcW w:w="1400" w:type="dxa"/>
            <w:gridSpan w:val="4"/>
            <w:tcBorders/>
            <w:shd w:fill="F2F8FB" w:val="clear"/>
            <w:vAlign w:val="center"/>
          </w:tcPr>
          <w:p>
            <w:pPr>
              <w:pStyle w:val="TableContents"/>
              <w:spacing w:before="0" w:after="283"/>
              <w:rPr>
                <w:sz w:val="4"/>
                <w:szCs w:val="4"/>
              </w:rPr>
            </w:pPr>
            <w:r>
              <w:rPr>
                <w:sz w:val="4"/>
                <w:szCs w:val="4"/>
              </w:rPr>
            </w:r>
          </w:p>
        </w:tc>
        <w:tc>
          <w:tcPr>
            <w:tcW w:w="1400" w:type="dxa"/>
            <w:gridSpan w:val="4"/>
            <w:tcBorders/>
            <w:shd w:fill="F2F8FB" w:val="clear"/>
            <w:vAlign w:val="center"/>
          </w:tcPr>
          <w:p>
            <w:pPr>
              <w:pStyle w:val="TableContents"/>
              <w:spacing w:before="0" w:after="283"/>
              <w:rPr>
                <w:sz w:val="4"/>
                <w:szCs w:val="4"/>
              </w:rPr>
            </w:pPr>
            <w:r>
              <w:rPr>
                <w:sz w:val="4"/>
                <w:szCs w:val="4"/>
              </w:rPr>
            </w:r>
          </w:p>
        </w:tc>
        <w:tc>
          <w:tcPr>
            <w:tcW w:w="2060" w:type="dxa"/>
            <w:gridSpan w:val="4"/>
            <w:tcBorders/>
            <w:shd w:fill="F2F8FB" w:val="clear"/>
            <w:vAlign w:val="center"/>
          </w:tcPr>
          <w:p>
            <w:pPr>
              <w:pStyle w:val="TableContents"/>
              <w:spacing w:before="0" w:after="283"/>
              <w:rPr>
                <w:sz w:val="4"/>
                <w:szCs w:val="4"/>
              </w:rPr>
            </w:pPr>
            <w:r>
              <w:rPr>
                <w:sz w:val="4"/>
                <w:szCs w:val="4"/>
              </w:rPr>
            </w:r>
          </w:p>
        </w:tc>
        <w:tc>
          <w:tcPr>
            <w:tcW w:w="2045" w:type="dxa"/>
            <w:gridSpan w:val="4"/>
            <w:tcBorders/>
            <w:shd w:fill="F2F8FB" w:val="clear"/>
            <w:vAlign w:val="center"/>
          </w:tcPr>
          <w:p>
            <w:pPr>
              <w:pStyle w:val="TableContents"/>
              <w:spacing w:before="0" w:after="283"/>
              <w:rPr>
                <w:sz w:val="4"/>
                <w:szCs w:val="4"/>
              </w:rPr>
            </w:pPr>
            <w:r>
              <w:rPr>
                <w:sz w:val="4"/>
                <w:szCs w:val="4"/>
              </w:rPr>
            </w:r>
          </w:p>
        </w:tc>
        <w:tc>
          <w:tcPr>
            <w:tcW w:w="1610" w:type="dxa"/>
            <w:gridSpan w:val="4"/>
            <w:tcBorders/>
            <w:shd w:fill="F2F8FB" w:val="clear"/>
            <w:vAlign w:val="center"/>
          </w:tcPr>
          <w:p>
            <w:pPr>
              <w:pStyle w:val="TableContents"/>
              <w:spacing w:before="0" w:after="283"/>
              <w:rPr>
                <w:sz w:val="4"/>
                <w:szCs w:val="4"/>
              </w:rPr>
            </w:pPr>
            <w:r>
              <w:rPr>
                <w:sz w:val="4"/>
                <w:szCs w:val="4"/>
              </w:rPr>
            </w:r>
          </w:p>
        </w:tc>
        <w:tc>
          <w:tcPr>
            <w:tcW w:w="1295" w:type="dxa"/>
            <w:gridSpan w:val="4"/>
            <w:tcBorders/>
            <w:shd w:fill="F2F8FB" w:val="clear"/>
            <w:vAlign w:val="center"/>
          </w:tcPr>
          <w:p>
            <w:pPr>
              <w:pStyle w:val="TableContents"/>
              <w:spacing w:before="0" w:after="283"/>
              <w:rPr>
                <w:sz w:val="4"/>
                <w:szCs w:val="4"/>
              </w:rPr>
            </w:pPr>
            <w:r>
              <w:rPr>
                <w:sz w:val="4"/>
                <w:szCs w:val="4"/>
              </w:rPr>
            </w:r>
          </w:p>
        </w:tc>
      </w:tr>
      <w:tr>
        <w:trPr/>
        <w:tc>
          <w:tcPr>
            <w:tcW w:w="725"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Roselyn R. Bar</w:t>
            </w:r>
          </w:p>
          <w:p>
            <w:pPr>
              <w:pStyle w:val="TableContents"/>
              <w:spacing w:before="0" w:after="0"/>
              <w:rPr>
                <w:rFonts w:ascii="ARIAL" w:hAnsi="ARIAL"/>
                <w:sz w:val="14"/>
              </w:rPr>
            </w:pPr>
            <w:r>
              <w:rPr>
                <w:rFonts w:ascii="ARIAL" w:hAnsi="ARIAL"/>
                <w:sz w:val="14"/>
              </w:rPr>
              <w:t>Executive Vice President,</w:t>
            </w:r>
          </w:p>
          <w:p>
            <w:pPr>
              <w:pStyle w:val="TableContents"/>
              <w:spacing w:before="0" w:after="0"/>
              <w:rPr>
                <w:rFonts w:ascii="ARIAL" w:hAnsi="ARIAL"/>
                <w:sz w:val="14"/>
              </w:rPr>
            </w:pPr>
            <w:r>
              <w:rPr>
                <w:rFonts w:ascii="ARIAL" w:hAnsi="ARIAL"/>
                <w:sz w:val="14"/>
              </w:rPr>
              <w:t>General Counsel and</w:t>
            </w:r>
          </w:p>
          <w:p>
            <w:pPr>
              <w:pStyle w:val="TableContents"/>
              <w:spacing w:before="0" w:after="20"/>
              <w:rPr>
                <w:rFonts w:ascii="ARIAL" w:hAnsi="ARIAL"/>
                <w:sz w:val="14"/>
              </w:rPr>
            </w:pPr>
            <w:r>
              <w:rPr>
                <w:rFonts w:ascii="ARIAL" w:hAnsi="ARIAL"/>
                <w:sz w:val="14"/>
              </w:rPr>
              <w:t>Corporate Secretary</w:t>
            </w:r>
          </w:p>
        </w:tc>
        <w:tc>
          <w:tcPr>
            <w:tcW w:w="60" w:type="dxa"/>
            <w:tcBorders/>
            <w:shd w:fill="F2F8FB" w:val="clear"/>
            <w:vAlign w:val="center"/>
          </w:tcPr>
          <w:p>
            <w:pPr>
              <w:pStyle w:val="TableContents"/>
              <w:spacing w:before="0" w:after="283"/>
              <w:rPr/>
            </w:pPr>
            <w:r>
              <w:rPr/>
              <w:t> </w:t>
            </w:r>
          </w:p>
        </w:tc>
        <w:tc>
          <w:tcPr>
            <w:tcW w:w="530" w:type="dxa"/>
            <w:tcBorders/>
            <w:shd w:fill="F2F8FB" w:val="clear"/>
            <w:vAlign w:val="center"/>
          </w:tcPr>
          <w:p>
            <w:pPr>
              <w:pStyle w:val="TableContents"/>
              <w:spacing w:before="0" w:after="283"/>
              <w:rPr>
                <w:color w:val="007CBA"/>
              </w:rPr>
            </w:pPr>
            <w:r>
              <w:rPr>
                <w:color w:val="007CBA"/>
              </w:rPr>
              <w:t>2022</w:t>
            </w:r>
          </w:p>
        </w:tc>
        <w:tc>
          <w:tcPr>
            <w:tcW w:w="60" w:type="dxa"/>
            <w:tcBorders/>
            <w:shd w:fill="F2F8FB" w:val="clear"/>
            <w:vAlign w:val="center"/>
          </w:tcPr>
          <w:p>
            <w:pPr>
              <w:pStyle w:val="TableContents"/>
              <w:spacing w:before="0" w:after="283"/>
              <w:rPr/>
            </w:pPr>
            <w:r>
              <w:rPr/>
              <w:t> </w:t>
            </w:r>
          </w:p>
        </w:tc>
        <w:tc>
          <w:tcPr>
            <w:tcW w:w="65" w:type="dxa"/>
            <w:tcBorders/>
            <w:shd w:fill="F2F8FB" w:val="clear"/>
            <w:vAlign w:val="center"/>
          </w:tcPr>
          <w:p>
            <w:pPr>
              <w:pStyle w:val="TableContents"/>
              <w:spacing w:before="0" w:after="283"/>
              <w:rPr/>
            </w:pPr>
            <w:r>
              <w:rPr/>
              <w:t> </w:t>
            </w:r>
          </w:p>
        </w:tc>
        <w:tc>
          <w:tcPr>
            <w:tcW w:w="1065" w:type="dxa"/>
            <w:tcBorders/>
            <w:shd w:fill="F2F8FB" w:val="clear"/>
            <w:vAlign w:val="center"/>
          </w:tcPr>
          <w:p>
            <w:pPr>
              <w:pStyle w:val="TableContents"/>
              <w:spacing w:before="0" w:after="283"/>
              <w:jc w:val="right"/>
              <w:rPr/>
            </w:pPr>
            <w:r>
              <w:rPr/>
              <w:t>642,500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99" w:type="dxa"/>
            <w:tcBorders/>
            <w:shd w:fill="F2F8FB" w:val="clear"/>
            <w:vAlign w:val="center"/>
          </w:tcPr>
          <w:p>
            <w:pPr>
              <w:pStyle w:val="TableContents"/>
              <w:spacing w:before="0" w:after="283"/>
              <w:rPr>
                <w:color w:val="007CBA"/>
              </w:rPr>
            </w:pPr>
            <w:r>
              <w:rPr>
                <w:color w:val="007CBA"/>
              </w:rPr>
              <w:t> </w:t>
            </w:r>
          </w:p>
        </w:tc>
        <w:tc>
          <w:tcPr>
            <w:tcW w:w="466" w:type="dxa"/>
            <w:tcBorders/>
            <w:shd w:fill="F2F8FB" w:val="clear"/>
            <w:vAlign w:val="center"/>
          </w:tcPr>
          <w:p>
            <w:pPr>
              <w:pStyle w:val="TableContents"/>
              <w:spacing w:before="0" w:after="283"/>
              <w:jc w:val="right"/>
              <w:rPr>
                <w:color w:val="007CBA"/>
              </w:rPr>
            </w:pPr>
            <w:r>
              <w:rPr>
                <w:color w:val="007CBA"/>
              </w:rPr>
              <w:t>–</w:t>
            </w:r>
          </w:p>
        </w:tc>
        <w:tc>
          <w:tcPr>
            <w:tcW w:w="60" w:type="dxa"/>
            <w:tcBorders/>
            <w:shd w:fill="F2F8FB" w:val="clear"/>
            <w:vAlign w:val="center"/>
          </w:tcPr>
          <w:p>
            <w:pPr>
              <w:pStyle w:val="TableContents"/>
              <w:spacing w:before="0" w:after="283"/>
              <w:rPr>
                <w:color w:val="007CBA"/>
              </w:rPr>
            </w:pPr>
            <w:r>
              <w:rPr>
                <w:color w:val="007CBA"/>
              </w:rPr>
              <w:t> </w:t>
            </w:r>
          </w:p>
        </w:tc>
        <w:tc>
          <w:tcPr>
            <w:tcW w:w="60" w:type="dxa"/>
            <w:tcBorders/>
            <w:shd w:fill="F2F8FB" w:val="clear"/>
            <w:vAlign w:val="center"/>
          </w:tcPr>
          <w:p>
            <w:pPr>
              <w:pStyle w:val="TableContents"/>
              <w:spacing w:before="0" w:after="283"/>
              <w:rPr/>
            </w:pPr>
            <w:r>
              <w:rPr/>
              <w:t> </w:t>
            </w:r>
          </w:p>
        </w:tc>
        <w:tc>
          <w:tcPr>
            <w:tcW w:w="73" w:type="dxa"/>
            <w:tcBorders/>
            <w:shd w:fill="F2F8FB" w:val="clear"/>
            <w:vAlign w:val="center"/>
          </w:tcPr>
          <w:p>
            <w:pPr>
              <w:pStyle w:val="TableContents"/>
              <w:spacing w:before="0" w:after="283"/>
              <w:rPr/>
            </w:pPr>
            <w:r>
              <w:rPr/>
              <w:t> </w:t>
            </w:r>
          </w:p>
        </w:tc>
        <w:tc>
          <w:tcPr>
            <w:tcW w:w="1207" w:type="dxa"/>
            <w:tcBorders/>
            <w:shd w:fill="F2F8FB" w:val="clear"/>
            <w:vAlign w:val="center"/>
          </w:tcPr>
          <w:p>
            <w:pPr>
              <w:pStyle w:val="TableContents"/>
              <w:spacing w:before="0" w:after="283"/>
              <w:jc w:val="right"/>
              <w:rPr/>
            </w:pPr>
            <w:r>
              <w:rPr/>
              <w:t>1,639,900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384" w:type="dxa"/>
            <w:tcBorders/>
            <w:shd w:fill="F2F8FB" w:val="clear"/>
            <w:vAlign w:val="center"/>
          </w:tcPr>
          <w:p>
            <w:pPr>
              <w:pStyle w:val="TableContents"/>
              <w:spacing w:before="0" w:after="283"/>
              <w:rPr>
                <w:color w:val="007CBA"/>
              </w:rPr>
            </w:pPr>
            <w:r>
              <w:rPr>
                <w:color w:val="007CBA"/>
              </w:rPr>
              <w:t> </w:t>
            </w:r>
          </w:p>
        </w:tc>
        <w:tc>
          <w:tcPr>
            <w:tcW w:w="896" w:type="dxa"/>
            <w:tcBorders/>
            <w:shd w:fill="F2F8FB" w:val="clear"/>
            <w:vAlign w:val="center"/>
          </w:tcPr>
          <w:p>
            <w:pPr>
              <w:pStyle w:val="TableContents"/>
              <w:spacing w:before="0" w:after="283"/>
              <w:jc w:val="right"/>
              <w:rPr>
                <w:color w:val="007CBA"/>
              </w:rPr>
            </w:pPr>
            <w:r>
              <w:rPr>
                <w:color w:val="007CBA"/>
              </w:rPr>
              <w:t>–</w:t>
            </w:r>
          </w:p>
        </w:tc>
        <w:tc>
          <w:tcPr>
            <w:tcW w:w="60" w:type="dxa"/>
            <w:tcBorders/>
            <w:shd w:fill="F2F8FB" w:val="clear"/>
            <w:vAlign w:val="center"/>
          </w:tcPr>
          <w:p>
            <w:pPr>
              <w:pStyle w:val="TableContents"/>
              <w:spacing w:before="0" w:after="283"/>
              <w:rPr>
                <w:color w:val="007CBA"/>
              </w:rPr>
            </w:pPr>
            <w:r>
              <w:rPr>
                <w:color w:val="007CBA"/>
              </w:rPr>
              <w:t> </w:t>
            </w:r>
          </w:p>
        </w:tc>
        <w:tc>
          <w:tcPr>
            <w:tcW w:w="60" w:type="dxa"/>
            <w:tcBorders/>
            <w:shd w:fill="F2F8FB" w:val="clear"/>
            <w:vAlign w:val="center"/>
          </w:tcPr>
          <w:p>
            <w:pPr>
              <w:pStyle w:val="TableContents"/>
              <w:spacing w:before="0" w:after="283"/>
              <w:rPr/>
            </w:pPr>
            <w:r>
              <w:rPr/>
              <w:t> </w:t>
            </w:r>
          </w:p>
        </w:tc>
        <w:tc>
          <w:tcPr>
            <w:tcW w:w="111" w:type="dxa"/>
            <w:tcBorders/>
            <w:shd w:fill="F2F8FB" w:val="clear"/>
            <w:vAlign w:val="center"/>
          </w:tcPr>
          <w:p>
            <w:pPr>
              <w:pStyle w:val="TableContents"/>
              <w:spacing w:before="0" w:after="283"/>
              <w:rPr/>
            </w:pPr>
            <w:r>
              <w:rPr/>
              <w:t> </w:t>
            </w:r>
          </w:p>
        </w:tc>
        <w:tc>
          <w:tcPr>
            <w:tcW w:w="1829" w:type="dxa"/>
            <w:tcBorders/>
            <w:shd w:fill="F2F8FB" w:val="clear"/>
            <w:vAlign w:val="center"/>
          </w:tcPr>
          <w:p>
            <w:pPr>
              <w:pStyle w:val="TableContents"/>
              <w:spacing w:before="0" w:after="283"/>
              <w:jc w:val="right"/>
              <w:rPr/>
            </w:pPr>
            <w:r>
              <w:rPr/>
              <w:t>665,000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11" w:type="dxa"/>
            <w:tcBorders/>
            <w:shd w:fill="F2F8FB" w:val="clear"/>
            <w:vAlign w:val="center"/>
          </w:tcPr>
          <w:p>
            <w:pPr>
              <w:pStyle w:val="TableContents"/>
              <w:spacing w:before="0" w:after="283"/>
              <w:rPr/>
            </w:pPr>
            <w:r>
              <w:rPr/>
              <w:t> </w:t>
            </w:r>
          </w:p>
        </w:tc>
        <w:tc>
          <w:tcPr>
            <w:tcW w:w="1814" w:type="dxa"/>
            <w:tcBorders/>
            <w:shd w:fill="F2F8FB" w:val="clear"/>
            <w:vAlign w:val="center"/>
          </w:tcPr>
          <w:p>
            <w:pPr>
              <w:pStyle w:val="TableContents"/>
              <w:spacing w:before="0" w:after="283"/>
              <w:jc w:val="right"/>
              <w:rPr/>
            </w:pPr>
            <w:r>
              <w:rPr/>
              <w:t>94,491</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20" w:type="dxa"/>
            <w:tcBorders/>
            <w:shd w:fill="F2F8FB" w:val="clear"/>
            <w:vAlign w:val="center"/>
          </w:tcPr>
          <w:p>
            <w:pPr>
              <w:pStyle w:val="TableContents"/>
              <w:spacing w:before="0" w:after="283"/>
              <w:rPr/>
            </w:pPr>
            <w:r>
              <w:rPr/>
              <w:t> </w:t>
            </w:r>
          </w:p>
        </w:tc>
        <w:tc>
          <w:tcPr>
            <w:tcW w:w="1370" w:type="dxa"/>
            <w:tcBorders/>
            <w:shd w:fill="F2F8FB" w:val="clear"/>
            <w:vAlign w:val="center"/>
          </w:tcPr>
          <w:p>
            <w:pPr>
              <w:pStyle w:val="TableContents"/>
              <w:spacing w:before="0" w:after="283"/>
              <w:jc w:val="right"/>
              <w:rPr/>
            </w:pPr>
            <w:r>
              <w:rPr/>
              <w:t>38,161</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100" w:type="dxa"/>
            <w:tcBorders/>
            <w:shd w:fill="F2F8FB" w:val="clear"/>
            <w:vAlign w:val="center"/>
          </w:tcPr>
          <w:p>
            <w:pPr>
              <w:pStyle w:val="TableContents"/>
              <w:spacing w:before="0" w:after="283"/>
              <w:jc w:val="right"/>
              <w:rPr/>
            </w:pPr>
            <w:r>
              <w:rPr/>
              <w:t>3,080,052</w:t>
            </w:r>
          </w:p>
        </w:tc>
        <w:tc>
          <w:tcPr>
            <w:tcW w:w="75" w:type="dxa"/>
            <w:tcBorders/>
            <w:shd w:fill="F2F8FB" w:val="clear"/>
            <w:vAlign w:val="center"/>
          </w:tcPr>
          <w:p>
            <w:pPr>
              <w:pStyle w:val="TableContents"/>
              <w:spacing w:before="0" w:after="283"/>
              <w:rPr/>
            </w:pPr>
            <w:r>
              <w:rPr/>
              <w:t> </w:t>
            </w:r>
          </w:p>
        </w:tc>
      </w:tr>
      <w:tr>
        <w:trPr/>
        <w:tc>
          <w:tcPr>
            <w:tcW w:w="725"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lineRule="atLeast" w:line="240" w:before="0" w:after="0"/>
              <w:rPr>
                <w:rFonts w:ascii="ARIAL" w:hAnsi="ARIAL"/>
                <w:sz w:val="14"/>
              </w:rPr>
            </w:pPr>
            <w:r>
              <w:rPr>
                <w:rFonts w:ascii="ARIAL" w:hAnsi="ARIAL"/>
                <w:sz w:val="14"/>
              </w:rPr>
              <w:t>2021</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610,833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1,452,666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829" w:type="dxa"/>
            <w:tcBorders/>
            <w:shd w:fill="auto" w:val="clear"/>
            <w:vAlign w:val="center"/>
          </w:tcPr>
          <w:p>
            <w:pPr>
              <w:pStyle w:val="TableContents"/>
              <w:spacing w:before="0" w:after="283"/>
              <w:jc w:val="right"/>
              <w:rPr/>
            </w:pPr>
            <w:r>
              <w:rPr/>
              <w:t>751,480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814" w:type="dxa"/>
            <w:tcBorders/>
            <w:shd w:fill="auto" w:val="clear"/>
            <w:vAlign w:val="center"/>
          </w:tcPr>
          <w:p>
            <w:pPr>
              <w:pStyle w:val="TableContents"/>
              <w:spacing w:before="0" w:after="283"/>
              <w:jc w:val="right"/>
              <w:rPr/>
            </w:pPr>
            <w:r>
              <w:rPr/>
              <w:t>1,014,135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right"/>
              <w:rPr/>
            </w:pPr>
            <w:r>
              <w:rPr/>
              <w:t>37,398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3,866,512</w:t>
            </w:r>
          </w:p>
        </w:tc>
        <w:tc>
          <w:tcPr>
            <w:tcW w:w="75" w:type="dxa"/>
            <w:tcBorders/>
            <w:shd w:fill="auto" w:val="clear"/>
            <w:vAlign w:val="center"/>
          </w:tcPr>
          <w:p>
            <w:pPr>
              <w:pStyle w:val="TableContents"/>
              <w:spacing w:before="0" w:after="283"/>
              <w:rPr/>
            </w:pPr>
            <w:r>
              <w:rPr/>
              <w:t> </w:t>
            </w:r>
          </w:p>
        </w:tc>
      </w:tr>
      <w:tr>
        <w:trPr/>
        <w:tc>
          <w:tcPr>
            <w:tcW w:w="725"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530" w:type="dxa"/>
            <w:tcBorders>
              <w:bottom w:val="dotted" w:sz="8" w:space="0" w:color="000000"/>
            </w:tcBorders>
            <w:shd w:fill="auto" w:val="clear"/>
            <w:tcMar>
              <w:bottom w:w="100" w:type="dxa"/>
            </w:tcMar>
            <w:vAlign w:val="center"/>
          </w:tcPr>
          <w:p>
            <w:pPr>
              <w:pStyle w:val="TableContents"/>
              <w:spacing w:before="0" w:after="283"/>
              <w:rPr/>
            </w:pPr>
            <w:r>
              <w:rPr/>
              <w:t>2020</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5" w:type="dxa"/>
            <w:tcBorders>
              <w:bottom w:val="dotted" w:sz="8" w:space="0" w:color="000000"/>
            </w:tcBorders>
            <w:shd w:fill="auto" w:val="clear"/>
            <w:tcMar>
              <w:bottom w:w="100" w:type="dxa"/>
            </w:tcMar>
            <w:vAlign w:val="center"/>
          </w:tcPr>
          <w:p>
            <w:pPr>
              <w:pStyle w:val="TableContents"/>
              <w:spacing w:before="0" w:after="283"/>
              <w:rPr/>
            </w:pPr>
            <w:r>
              <w:rPr/>
              <w:t> </w:t>
            </w:r>
          </w:p>
        </w:tc>
        <w:tc>
          <w:tcPr>
            <w:tcW w:w="1065" w:type="dxa"/>
            <w:tcBorders>
              <w:bottom w:val="dotted" w:sz="8" w:space="0" w:color="000000"/>
            </w:tcBorders>
            <w:shd w:fill="auto" w:val="clear"/>
            <w:tcMar>
              <w:bottom w:w="100" w:type="dxa"/>
            </w:tcMar>
            <w:vAlign w:val="center"/>
          </w:tcPr>
          <w:p>
            <w:pPr>
              <w:pStyle w:val="TableContents"/>
              <w:spacing w:before="0" w:after="283"/>
              <w:jc w:val="right"/>
              <w:rPr/>
            </w:pPr>
            <w:r>
              <w:rPr/>
              <w:t>586,667</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99" w:type="dxa"/>
            <w:tcBorders>
              <w:bottom w:val="dotted" w:sz="8" w:space="0" w:color="000000"/>
            </w:tcBorders>
            <w:shd w:fill="auto" w:val="clear"/>
            <w:tcMar>
              <w:bottom w:w="100" w:type="dxa"/>
            </w:tcMar>
            <w:vAlign w:val="center"/>
          </w:tcPr>
          <w:p>
            <w:pPr>
              <w:pStyle w:val="TableContents"/>
              <w:spacing w:before="0" w:after="283"/>
              <w:rPr/>
            </w:pPr>
            <w:r>
              <w:rPr/>
              <w:t> </w:t>
            </w:r>
          </w:p>
        </w:tc>
        <w:tc>
          <w:tcPr>
            <w:tcW w:w="466"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3"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7" w:type="dxa"/>
            <w:tcBorders>
              <w:bottom w:val="dotted" w:sz="8" w:space="0" w:color="000000"/>
            </w:tcBorders>
            <w:shd w:fill="auto" w:val="clear"/>
            <w:tcMar>
              <w:bottom w:w="100" w:type="dxa"/>
            </w:tcMar>
            <w:vAlign w:val="center"/>
          </w:tcPr>
          <w:p>
            <w:pPr>
              <w:pStyle w:val="TableContents"/>
              <w:spacing w:before="0" w:after="283"/>
              <w:jc w:val="right"/>
              <w:rPr/>
            </w:pPr>
            <w:r>
              <w:rPr/>
              <w:t>1,173,894</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384" w:type="dxa"/>
            <w:tcBorders>
              <w:bottom w:val="dotted" w:sz="8" w:space="0" w:color="000000"/>
            </w:tcBorders>
            <w:shd w:fill="auto" w:val="clear"/>
            <w:tcMar>
              <w:bottom w:w="100" w:type="dxa"/>
            </w:tcMar>
            <w:vAlign w:val="center"/>
          </w:tcPr>
          <w:p>
            <w:pPr>
              <w:pStyle w:val="TableContents"/>
              <w:spacing w:before="0" w:after="283"/>
              <w:rPr/>
            </w:pPr>
            <w:r>
              <w:rPr/>
              <w:t> </w:t>
            </w:r>
          </w:p>
        </w:tc>
        <w:tc>
          <w:tcPr>
            <w:tcW w:w="896"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100" w:type="dxa"/>
            </w:tcMar>
            <w:vAlign w:val="center"/>
          </w:tcPr>
          <w:p>
            <w:pPr>
              <w:pStyle w:val="TableContents"/>
              <w:spacing w:before="0" w:after="283"/>
              <w:rPr/>
            </w:pPr>
            <w:r>
              <w:rPr/>
              <w:t> </w:t>
            </w:r>
          </w:p>
        </w:tc>
        <w:tc>
          <w:tcPr>
            <w:tcW w:w="1829" w:type="dxa"/>
            <w:tcBorders>
              <w:bottom w:val="dotted" w:sz="8" w:space="0" w:color="000000"/>
            </w:tcBorders>
            <w:shd w:fill="auto" w:val="clear"/>
            <w:tcMar>
              <w:bottom w:w="100" w:type="dxa"/>
            </w:tcMar>
            <w:vAlign w:val="center"/>
          </w:tcPr>
          <w:p>
            <w:pPr>
              <w:pStyle w:val="TableContents"/>
              <w:spacing w:before="0" w:after="283"/>
              <w:jc w:val="right"/>
              <w:rPr/>
            </w:pPr>
            <w:r>
              <w:rPr/>
              <w:t>689,984</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100" w:type="dxa"/>
            </w:tcMar>
            <w:vAlign w:val="center"/>
          </w:tcPr>
          <w:p>
            <w:pPr>
              <w:pStyle w:val="TableContents"/>
              <w:spacing w:before="0" w:after="283"/>
              <w:rPr/>
            </w:pPr>
            <w:r>
              <w:rPr/>
              <w:t> </w:t>
            </w:r>
          </w:p>
        </w:tc>
        <w:tc>
          <w:tcPr>
            <w:tcW w:w="1814" w:type="dxa"/>
            <w:tcBorders>
              <w:bottom w:val="dotted" w:sz="8" w:space="0" w:color="000000"/>
            </w:tcBorders>
            <w:shd w:fill="auto" w:val="clear"/>
            <w:tcMar>
              <w:bottom w:w="100" w:type="dxa"/>
            </w:tcMar>
            <w:vAlign w:val="center"/>
          </w:tcPr>
          <w:p>
            <w:pPr>
              <w:pStyle w:val="TableContents"/>
              <w:spacing w:before="0" w:after="283"/>
              <w:jc w:val="right"/>
              <w:rPr/>
            </w:pPr>
            <w:r>
              <w:rPr/>
              <w:t>1,618,248</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100" w:type="dxa"/>
            </w:tcMar>
            <w:vAlign w:val="center"/>
          </w:tcPr>
          <w:p>
            <w:pPr>
              <w:pStyle w:val="TableContents"/>
              <w:spacing w:before="0" w:after="283"/>
              <w:rPr/>
            </w:pPr>
            <w:r>
              <w:rPr/>
              <w:t> </w:t>
            </w:r>
          </w:p>
        </w:tc>
        <w:tc>
          <w:tcPr>
            <w:tcW w:w="1370" w:type="dxa"/>
            <w:tcBorders>
              <w:bottom w:val="dotted" w:sz="8" w:space="0" w:color="000000"/>
            </w:tcBorders>
            <w:shd w:fill="auto" w:val="clear"/>
            <w:tcMar>
              <w:bottom w:w="100" w:type="dxa"/>
            </w:tcMar>
            <w:vAlign w:val="center"/>
          </w:tcPr>
          <w:p>
            <w:pPr>
              <w:pStyle w:val="TableContents"/>
              <w:spacing w:before="0" w:after="283"/>
              <w:jc w:val="right"/>
              <w:rPr/>
            </w:pPr>
            <w:r>
              <w:rPr/>
              <w:t>31,368</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4,100,161</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590" w:type="dxa"/>
            <w:gridSpan w:val="2"/>
            <w:tcBorders/>
            <w:shd w:fill="F2F8FB" w:val="clear"/>
            <w:vAlign w:val="center"/>
          </w:tcPr>
          <w:p>
            <w:pPr>
              <w:pStyle w:val="TableContents"/>
              <w:spacing w:before="0" w:after="283"/>
              <w:rPr>
                <w:sz w:val="4"/>
                <w:szCs w:val="4"/>
              </w:rPr>
            </w:pPr>
            <w:r>
              <w:rPr>
                <w:sz w:val="4"/>
                <w:szCs w:val="4"/>
              </w:rPr>
            </w:r>
          </w:p>
        </w:tc>
        <w:tc>
          <w:tcPr>
            <w:tcW w:w="1250" w:type="dxa"/>
            <w:gridSpan w:val="4"/>
            <w:tcBorders/>
            <w:shd w:fill="F2F8FB" w:val="clear"/>
            <w:vAlign w:val="center"/>
          </w:tcPr>
          <w:p>
            <w:pPr>
              <w:pStyle w:val="TableContents"/>
              <w:spacing w:before="0" w:after="283"/>
              <w:rPr>
                <w:sz w:val="4"/>
                <w:szCs w:val="4"/>
              </w:rPr>
            </w:pPr>
            <w:r>
              <w:rPr>
                <w:sz w:val="4"/>
                <w:szCs w:val="4"/>
              </w:rPr>
            </w:r>
          </w:p>
        </w:tc>
        <w:tc>
          <w:tcPr>
            <w:tcW w:w="785" w:type="dxa"/>
            <w:gridSpan w:val="4"/>
            <w:tcBorders/>
            <w:shd w:fill="F2F8FB" w:val="clear"/>
            <w:vAlign w:val="center"/>
          </w:tcPr>
          <w:p>
            <w:pPr>
              <w:pStyle w:val="TableContents"/>
              <w:spacing w:before="0" w:after="283"/>
              <w:rPr>
                <w:sz w:val="4"/>
                <w:szCs w:val="4"/>
              </w:rPr>
            </w:pPr>
            <w:r>
              <w:rPr>
                <w:sz w:val="4"/>
                <w:szCs w:val="4"/>
              </w:rPr>
            </w:r>
          </w:p>
        </w:tc>
        <w:tc>
          <w:tcPr>
            <w:tcW w:w="1400" w:type="dxa"/>
            <w:gridSpan w:val="4"/>
            <w:tcBorders/>
            <w:shd w:fill="F2F8FB" w:val="clear"/>
            <w:vAlign w:val="center"/>
          </w:tcPr>
          <w:p>
            <w:pPr>
              <w:pStyle w:val="TableContents"/>
              <w:spacing w:before="0" w:after="283"/>
              <w:rPr>
                <w:sz w:val="4"/>
                <w:szCs w:val="4"/>
              </w:rPr>
            </w:pPr>
            <w:r>
              <w:rPr>
                <w:sz w:val="4"/>
                <w:szCs w:val="4"/>
              </w:rPr>
            </w:r>
          </w:p>
        </w:tc>
        <w:tc>
          <w:tcPr>
            <w:tcW w:w="1400" w:type="dxa"/>
            <w:gridSpan w:val="4"/>
            <w:tcBorders/>
            <w:shd w:fill="F2F8FB" w:val="clear"/>
            <w:vAlign w:val="center"/>
          </w:tcPr>
          <w:p>
            <w:pPr>
              <w:pStyle w:val="TableContents"/>
              <w:spacing w:before="0" w:after="283"/>
              <w:rPr>
                <w:sz w:val="4"/>
                <w:szCs w:val="4"/>
              </w:rPr>
            </w:pPr>
            <w:r>
              <w:rPr>
                <w:sz w:val="4"/>
                <w:szCs w:val="4"/>
              </w:rPr>
            </w:r>
          </w:p>
        </w:tc>
        <w:tc>
          <w:tcPr>
            <w:tcW w:w="2060" w:type="dxa"/>
            <w:gridSpan w:val="4"/>
            <w:tcBorders/>
            <w:shd w:fill="F2F8FB" w:val="clear"/>
            <w:vAlign w:val="center"/>
          </w:tcPr>
          <w:p>
            <w:pPr>
              <w:pStyle w:val="TableContents"/>
              <w:spacing w:before="0" w:after="283"/>
              <w:rPr>
                <w:sz w:val="4"/>
                <w:szCs w:val="4"/>
              </w:rPr>
            </w:pPr>
            <w:r>
              <w:rPr>
                <w:sz w:val="4"/>
                <w:szCs w:val="4"/>
              </w:rPr>
            </w:r>
          </w:p>
        </w:tc>
        <w:tc>
          <w:tcPr>
            <w:tcW w:w="2045" w:type="dxa"/>
            <w:gridSpan w:val="4"/>
            <w:tcBorders/>
            <w:shd w:fill="F2F8FB" w:val="clear"/>
            <w:vAlign w:val="center"/>
          </w:tcPr>
          <w:p>
            <w:pPr>
              <w:pStyle w:val="TableContents"/>
              <w:spacing w:before="0" w:after="283"/>
              <w:rPr>
                <w:sz w:val="4"/>
                <w:szCs w:val="4"/>
              </w:rPr>
            </w:pPr>
            <w:r>
              <w:rPr>
                <w:sz w:val="4"/>
                <w:szCs w:val="4"/>
              </w:rPr>
            </w:r>
          </w:p>
        </w:tc>
        <w:tc>
          <w:tcPr>
            <w:tcW w:w="1610" w:type="dxa"/>
            <w:gridSpan w:val="4"/>
            <w:tcBorders/>
            <w:shd w:fill="F2F8FB" w:val="clear"/>
            <w:vAlign w:val="center"/>
          </w:tcPr>
          <w:p>
            <w:pPr>
              <w:pStyle w:val="TableContents"/>
              <w:spacing w:before="0" w:after="283"/>
              <w:rPr>
                <w:sz w:val="4"/>
                <w:szCs w:val="4"/>
              </w:rPr>
            </w:pPr>
            <w:r>
              <w:rPr>
                <w:sz w:val="4"/>
                <w:szCs w:val="4"/>
              </w:rPr>
            </w:r>
          </w:p>
        </w:tc>
        <w:tc>
          <w:tcPr>
            <w:tcW w:w="1295" w:type="dxa"/>
            <w:gridSpan w:val="4"/>
            <w:tcBorders/>
            <w:shd w:fill="F2F8FB" w:val="clear"/>
            <w:vAlign w:val="center"/>
          </w:tcPr>
          <w:p>
            <w:pPr>
              <w:pStyle w:val="TableContents"/>
              <w:spacing w:before="0" w:after="283"/>
              <w:rPr>
                <w:sz w:val="4"/>
                <w:szCs w:val="4"/>
              </w:rPr>
            </w:pPr>
            <w:r>
              <w:rPr>
                <w:sz w:val="4"/>
                <w:szCs w:val="4"/>
              </w:rPr>
            </w:r>
          </w:p>
        </w:tc>
      </w:tr>
      <w:tr>
        <w:trPr/>
        <w:tc>
          <w:tcPr>
            <w:tcW w:w="725"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 xml:space="preserve">Craig M. LaTorre </w:t>
            </w:r>
          </w:p>
          <w:p>
            <w:pPr>
              <w:pStyle w:val="TableContents"/>
              <w:spacing w:before="0" w:after="0"/>
              <w:rPr>
                <w:rFonts w:ascii="ARIAL" w:hAnsi="ARIAL"/>
                <w:sz w:val="14"/>
              </w:rPr>
            </w:pPr>
            <w:r>
              <w:rPr>
                <w:rFonts w:ascii="ARIAL" w:hAnsi="ARIAL"/>
                <w:sz w:val="14"/>
              </w:rPr>
              <w:t>Senior Vice President, Chief</w:t>
            </w:r>
          </w:p>
          <w:p>
            <w:pPr>
              <w:pStyle w:val="TableContents"/>
              <w:spacing w:before="0" w:after="20"/>
              <w:rPr>
                <w:rFonts w:ascii="ARIAL" w:hAnsi="ARIAL"/>
                <w:sz w:val="14"/>
              </w:rPr>
            </w:pPr>
            <w:r>
              <w:rPr>
                <w:rFonts w:ascii="ARIAL" w:hAnsi="ARIAL"/>
                <w:sz w:val="14"/>
              </w:rPr>
              <w:t>Human Resource Officer</w:t>
            </w:r>
          </w:p>
        </w:tc>
        <w:tc>
          <w:tcPr>
            <w:tcW w:w="60" w:type="dxa"/>
            <w:tcBorders/>
            <w:shd w:fill="F2F8FB" w:val="clear"/>
            <w:vAlign w:val="center"/>
          </w:tcPr>
          <w:p>
            <w:pPr>
              <w:pStyle w:val="TableContents"/>
              <w:spacing w:before="0" w:after="283"/>
              <w:rPr/>
            </w:pPr>
            <w:r>
              <w:rPr/>
              <w:t> </w:t>
            </w:r>
          </w:p>
        </w:tc>
        <w:tc>
          <w:tcPr>
            <w:tcW w:w="530" w:type="dxa"/>
            <w:tcBorders/>
            <w:shd w:fill="F2F8FB" w:val="clear"/>
            <w:vAlign w:val="center"/>
          </w:tcPr>
          <w:p>
            <w:pPr>
              <w:pStyle w:val="TableContents"/>
              <w:spacing w:before="0" w:after="283"/>
              <w:rPr>
                <w:color w:val="007CBA"/>
              </w:rPr>
            </w:pPr>
            <w:r>
              <w:rPr>
                <w:color w:val="007CBA"/>
              </w:rPr>
              <w:t>2022</w:t>
            </w:r>
          </w:p>
        </w:tc>
        <w:tc>
          <w:tcPr>
            <w:tcW w:w="60" w:type="dxa"/>
            <w:tcBorders/>
            <w:shd w:fill="F2F8FB" w:val="clear"/>
            <w:vAlign w:val="center"/>
          </w:tcPr>
          <w:p>
            <w:pPr>
              <w:pStyle w:val="TableContents"/>
              <w:spacing w:before="0" w:after="283"/>
              <w:rPr/>
            </w:pPr>
            <w:r>
              <w:rPr/>
              <w:t> </w:t>
            </w:r>
          </w:p>
        </w:tc>
        <w:tc>
          <w:tcPr>
            <w:tcW w:w="65" w:type="dxa"/>
            <w:tcBorders/>
            <w:shd w:fill="F2F8FB" w:val="clear"/>
            <w:vAlign w:val="center"/>
          </w:tcPr>
          <w:p>
            <w:pPr>
              <w:pStyle w:val="TableContents"/>
              <w:spacing w:before="0" w:after="283"/>
              <w:rPr/>
            </w:pPr>
            <w:r>
              <w:rPr/>
              <w:t> </w:t>
            </w:r>
          </w:p>
        </w:tc>
        <w:tc>
          <w:tcPr>
            <w:tcW w:w="1065" w:type="dxa"/>
            <w:tcBorders/>
            <w:shd w:fill="F2F8FB" w:val="clear"/>
            <w:vAlign w:val="center"/>
          </w:tcPr>
          <w:p>
            <w:pPr>
              <w:pStyle w:val="TableContents"/>
              <w:spacing w:before="0" w:after="283"/>
              <w:jc w:val="right"/>
              <w:rPr/>
            </w:pPr>
            <w:r>
              <w:rPr/>
              <w:t>535,967</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99" w:type="dxa"/>
            <w:tcBorders/>
            <w:shd w:fill="F2F8FB" w:val="clear"/>
            <w:vAlign w:val="center"/>
          </w:tcPr>
          <w:p>
            <w:pPr>
              <w:pStyle w:val="TableContents"/>
              <w:spacing w:before="0" w:after="283"/>
              <w:rPr>
                <w:color w:val="007CBA"/>
              </w:rPr>
            </w:pPr>
            <w:r>
              <w:rPr>
                <w:color w:val="007CBA"/>
              </w:rPr>
              <w:t> </w:t>
            </w:r>
          </w:p>
        </w:tc>
        <w:tc>
          <w:tcPr>
            <w:tcW w:w="466" w:type="dxa"/>
            <w:tcBorders/>
            <w:shd w:fill="F2F8FB" w:val="clear"/>
            <w:vAlign w:val="center"/>
          </w:tcPr>
          <w:p>
            <w:pPr>
              <w:pStyle w:val="TableContents"/>
              <w:spacing w:before="0" w:after="283"/>
              <w:jc w:val="right"/>
              <w:rPr>
                <w:color w:val="007CBA"/>
              </w:rPr>
            </w:pPr>
            <w:r>
              <w:rPr>
                <w:color w:val="007CBA"/>
              </w:rPr>
              <w:t>–</w:t>
            </w:r>
          </w:p>
        </w:tc>
        <w:tc>
          <w:tcPr>
            <w:tcW w:w="60" w:type="dxa"/>
            <w:tcBorders/>
            <w:shd w:fill="F2F8FB" w:val="clear"/>
            <w:vAlign w:val="center"/>
          </w:tcPr>
          <w:p>
            <w:pPr>
              <w:pStyle w:val="TableContents"/>
              <w:spacing w:before="0" w:after="283"/>
              <w:rPr>
                <w:color w:val="007CBA"/>
              </w:rPr>
            </w:pPr>
            <w:r>
              <w:rPr>
                <w:color w:val="007CBA"/>
              </w:rPr>
              <w:t> </w:t>
            </w:r>
          </w:p>
        </w:tc>
        <w:tc>
          <w:tcPr>
            <w:tcW w:w="60" w:type="dxa"/>
            <w:tcBorders/>
            <w:shd w:fill="F2F8FB" w:val="clear"/>
            <w:vAlign w:val="center"/>
          </w:tcPr>
          <w:p>
            <w:pPr>
              <w:pStyle w:val="TableContents"/>
              <w:spacing w:before="0" w:after="283"/>
              <w:rPr/>
            </w:pPr>
            <w:r>
              <w:rPr/>
              <w:t> </w:t>
            </w:r>
          </w:p>
        </w:tc>
        <w:tc>
          <w:tcPr>
            <w:tcW w:w="73" w:type="dxa"/>
            <w:tcBorders/>
            <w:shd w:fill="F2F8FB" w:val="clear"/>
            <w:vAlign w:val="center"/>
          </w:tcPr>
          <w:p>
            <w:pPr>
              <w:pStyle w:val="TableContents"/>
              <w:spacing w:before="0" w:after="283"/>
              <w:rPr/>
            </w:pPr>
            <w:r>
              <w:rPr/>
              <w:t> </w:t>
            </w:r>
          </w:p>
        </w:tc>
        <w:tc>
          <w:tcPr>
            <w:tcW w:w="1207" w:type="dxa"/>
            <w:tcBorders/>
            <w:shd w:fill="F2F8FB" w:val="clear"/>
            <w:vAlign w:val="center"/>
          </w:tcPr>
          <w:p>
            <w:pPr>
              <w:pStyle w:val="TableContents"/>
              <w:spacing w:before="0" w:after="283"/>
              <w:jc w:val="right"/>
              <w:rPr/>
            </w:pPr>
            <w:r>
              <w:rPr/>
              <w:t>988,195</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384" w:type="dxa"/>
            <w:tcBorders/>
            <w:shd w:fill="F2F8FB" w:val="clear"/>
            <w:vAlign w:val="center"/>
          </w:tcPr>
          <w:p>
            <w:pPr>
              <w:pStyle w:val="TableContents"/>
              <w:spacing w:before="0" w:after="283"/>
              <w:rPr>
                <w:color w:val="007CBA"/>
              </w:rPr>
            </w:pPr>
            <w:r>
              <w:rPr>
                <w:color w:val="007CBA"/>
              </w:rPr>
              <w:t> </w:t>
            </w:r>
          </w:p>
        </w:tc>
        <w:tc>
          <w:tcPr>
            <w:tcW w:w="896" w:type="dxa"/>
            <w:tcBorders/>
            <w:shd w:fill="F2F8FB" w:val="clear"/>
            <w:vAlign w:val="center"/>
          </w:tcPr>
          <w:p>
            <w:pPr>
              <w:pStyle w:val="TableContents"/>
              <w:spacing w:before="0" w:after="283"/>
              <w:jc w:val="right"/>
              <w:rPr>
                <w:color w:val="007CBA"/>
              </w:rPr>
            </w:pPr>
            <w:r>
              <w:rPr>
                <w:color w:val="007CBA"/>
              </w:rPr>
              <w:t>–</w:t>
            </w:r>
          </w:p>
        </w:tc>
        <w:tc>
          <w:tcPr>
            <w:tcW w:w="60" w:type="dxa"/>
            <w:tcBorders/>
            <w:shd w:fill="F2F8FB" w:val="clear"/>
            <w:vAlign w:val="center"/>
          </w:tcPr>
          <w:p>
            <w:pPr>
              <w:pStyle w:val="TableContents"/>
              <w:spacing w:before="0" w:after="283"/>
              <w:rPr>
                <w:color w:val="007CBA"/>
              </w:rPr>
            </w:pPr>
            <w:r>
              <w:rPr>
                <w:color w:val="007CBA"/>
              </w:rPr>
              <w:t> </w:t>
            </w:r>
          </w:p>
        </w:tc>
        <w:tc>
          <w:tcPr>
            <w:tcW w:w="60" w:type="dxa"/>
            <w:tcBorders/>
            <w:shd w:fill="F2F8FB" w:val="clear"/>
            <w:vAlign w:val="center"/>
          </w:tcPr>
          <w:p>
            <w:pPr>
              <w:pStyle w:val="TableContents"/>
              <w:spacing w:before="0" w:after="283"/>
              <w:rPr/>
            </w:pPr>
            <w:r>
              <w:rPr/>
              <w:t> </w:t>
            </w:r>
          </w:p>
        </w:tc>
        <w:tc>
          <w:tcPr>
            <w:tcW w:w="111" w:type="dxa"/>
            <w:tcBorders/>
            <w:shd w:fill="F2F8FB" w:val="clear"/>
            <w:vAlign w:val="center"/>
          </w:tcPr>
          <w:p>
            <w:pPr>
              <w:pStyle w:val="TableContents"/>
              <w:spacing w:before="0" w:after="283"/>
              <w:rPr/>
            </w:pPr>
            <w:r>
              <w:rPr/>
              <w:t> </w:t>
            </w:r>
          </w:p>
        </w:tc>
        <w:tc>
          <w:tcPr>
            <w:tcW w:w="1829" w:type="dxa"/>
            <w:tcBorders/>
            <w:shd w:fill="F2F8FB" w:val="clear"/>
            <w:vAlign w:val="center"/>
          </w:tcPr>
          <w:p>
            <w:pPr>
              <w:pStyle w:val="TableContents"/>
              <w:spacing w:before="0" w:after="283"/>
              <w:jc w:val="right"/>
              <w:rPr/>
            </w:pPr>
            <w:r>
              <w:rPr/>
              <w:t>600,419</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11" w:type="dxa"/>
            <w:tcBorders/>
            <w:shd w:fill="F2F8FB" w:val="clear"/>
            <w:vAlign w:val="center"/>
          </w:tcPr>
          <w:p>
            <w:pPr>
              <w:pStyle w:val="TableContents"/>
              <w:spacing w:before="0" w:after="283"/>
              <w:rPr/>
            </w:pPr>
            <w:r>
              <w:rPr/>
              <w:t> </w:t>
            </w:r>
          </w:p>
        </w:tc>
        <w:tc>
          <w:tcPr>
            <w:tcW w:w="1814" w:type="dxa"/>
            <w:tcBorders/>
            <w:shd w:fill="F2F8FB" w:val="clear"/>
            <w:vAlign w:val="center"/>
          </w:tcPr>
          <w:p>
            <w:pPr>
              <w:pStyle w:val="TableContents"/>
              <w:spacing w:before="0" w:after="283"/>
              <w:jc w:val="right"/>
              <w:rPr/>
            </w:pPr>
            <w:r>
              <w:rPr/>
              <w:t>55,466</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20" w:type="dxa"/>
            <w:tcBorders/>
            <w:shd w:fill="F2F8FB" w:val="clear"/>
            <w:vAlign w:val="center"/>
          </w:tcPr>
          <w:p>
            <w:pPr>
              <w:pStyle w:val="TableContents"/>
              <w:spacing w:before="0" w:after="283"/>
              <w:rPr/>
            </w:pPr>
            <w:r>
              <w:rPr/>
              <w:t> </w:t>
            </w:r>
          </w:p>
        </w:tc>
        <w:tc>
          <w:tcPr>
            <w:tcW w:w="1370" w:type="dxa"/>
            <w:tcBorders/>
            <w:shd w:fill="F2F8FB" w:val="clear"/>
            <w:vAlign w:val="center"/>
          </w:tcPr>
          <w:p>
            <w:pPr>
              <w:pStyle w:val="TableContents"/>
              <w:spacing w:before="0" w:after="283"/>
              <w:jc w:val="right"/>
              <w:rPr/>
            </w:pPr>
            <w:r>
              <w:rPr/>
              <w:t>24,806</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100" w:type="dxa"/>
            <w:tcBorders/>
            <w:shd w:fill="F2F8FB" w:val="clear"/>
            <w:vAlign w:val="center"/>
          </w:tcPr>
          <w:p>
            <w:pPr>
              <w:pStyle w:val="TableContents"/>
              <w:spacing w:before="0" w:after="283"/>
              <w:jc w:val="right"/>
              <w:rPr/>
            </w:pPr>
            <w:r>
              <w:rPr/>
              <w:t>2,204,853</w:t>
            </w:r>
          </w:p>
        </w:tc>
        <w:tc>
          <w:tcPr>
            <w:tcW w:w="75" w:type="dxa"/>
            <w:tcBorders/>
            <w:shd w:fill="F2F8FB" w:val="clear"/>
            <w:vAlign w:val="center"/>
          </w:tcPr>
          <w:p>
            <w:pPr>
              <w:pStyle w:val="TableContents"/>
              <w:spacing w:before="0" w:after="283"/>
              <w:rPr/>
            </w:pPr>
            <w:r>
              <w:rPr/>
              <w:t> </w:t>
            </w:r>
          </w:p>
        </w:tc>
      </w:tr>
      <w:tr>
        <w:trPr/>
        <w:tc>
          <w:tcPr>
            <w:tcW w:w="725"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lineRule="atLeast" w:line="240" w:before="0" w:after="0"/>
              <w:rPr>
                <w:rFonts w:ascii="ARIAL" w:hAnsi="ARIAL"/>
                <w:sz w:val="14"/>
              </w:rPr>
            </w:pPr>
            <w:r>
              <w:rPr>
                <w:rFonts w:ascii="ARIAL" w:hAnsi="ARIAL"/>
                <w:sz w:val="14"/>
              </w:rPr>
              <w:t>2021</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512,333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1,002,288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829" w:type="dxa"/>
            <w:tcBorders/>
            <w:shd w:fill="auto" w:val="clear"/>
            <w:vAlign w:val="center"/>
          </w:tcPr>
          <w:p>
            <w:pPr>
              <w:pStyle w:val="TableContents"/>
              <w:spacing w:before="0" w:after="283"/>
              <w:jc w:val="right"/>
              <w:rPr/>
            </w:pPr>
            <w:r>
              <w:rPr/>
              <w:t>552,000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814" w:type="dxa"/>
            <w:tcBorders/>
            <w:shd w:fill="auto" w:val="clear"/>
            <w:vAlign w:val="center"/>
          </w:tcPr>
          <w:p>
            <w:pPr>
              <w:pStyle w:val="TableContents"/>
              <w:spacing w:before="0" w:after="283"/>
              <w:jc w:val="right"/>
              <w:rPr/>
            </w:pPr>
            <w:r>
              <w:rPr/>
              <w:t>252,524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right"/>
              <w:rPr/>
            </w:pPr>
            <w:r>
              <w:rPr/>
              <w:t>22,056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2,341,201</w:t>
            </w:r>
          </w:p>
        </w:tc>
        <w:tc>
          <w:tcPr>
            <w:tcW w:w="75" w:type="dxa"/>
            <w:tcBorders/>
            <w:shd w:fill="auto" w:val="clear"/>
            <w:vAlign w:val="center"/>
          </w:tcPr>
          <w:p>
            <w:pPr>
              <w:pStyle w:val="TableContents"/>
              <w:spacing w:before="0" w:after="283"/>
              <w:rPr/>
            </w:pPr>
            <w:r>
              <w:rPr/>
              <w:t> </w:t>
            </w:r>
          </w:p>
        </w:tc>
      </w:tr>
      <w:tr>
        <w:trPr/>
        <w:tc>
          <w:tcPr>
            <w:tcW w:w="725"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530" w:type="dxa"/>
            <w:tcBorders>
              <w:bottom w:val="dotted" w:sz="8" w:space="0" w:color="000000"/>
            </w:tcBorders>
            <w:shd w:fill="auto" w:val="clear"/>
            <w:tcMar>
              <w:bottom w:w="100" w:type="dxa"/>
            </w:tcMar>
            <w:vAlign w:val="center"/>
          </w:tcPr>
          <w:p>
            <w:pPr>
              <w:pStyle w:val="TableContents"/>
              <w:spacing w:before="0" w:after="283"/>
              <w:rPr/>
            </w:pPr>
            <w:r>
              <w:rPr/>
              <w:t>2020</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5" w:type="dxa"/>
            <w:tcBorders>
              <w:bottom w:val="dotted" w:sz="8" w:space="0" w:color="000000"/>
            </w:tcBorders>
            <w:shd w:fill="auto" w:val="clear"/>
            <w:tcMar>
              <w:bottom w:w="100" w:type="dxa"/>
            </w:tcMar>
            <w:vAlign w:val="center"/>
          </w:tcPr>
          <w:p>
            <w:pPr>
              <w:pStyle w:val="TableContents"/>
              <w:spacing w:before="0" w:after="283"/>
              <w:rPr/>
            </w:pPr>
            <w:r>
              <w:rPr/>
              <w:t> </w:t>
            </w:r>
          </w:p>
        </w:tc>
        <w:tc>
          <w:tcPr>
            <w:tcW w:w="1065" w:type="dxa"/>
            <w:tcBorders>
              <w:bottom w:val="dotted" w:sz="8" w:space="0" w:color="000000"/>
            </w:tcBorders>
            <w:shd w:fill="auto" w:val="clear"/>
            <w:tcMar>
              <w:bottom w:w="100" w:type="dxa"/>
            </w:tcMar>
            <w:vAlign w:val="center"/>
          </w:tcPr>
          <w:p>
            <w:pPr>
              <w:pStyle w:val="TableContents"/>
              <w:spacing w:before="0" w:after="283"/>
              <w:jc w:val="right"/>
              <w:rPr/>
            </w:pPr>
            <w:r>
              <w:rPr/>
              <w:t>491,667</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99" w:type="dxa"/>
            <w:tcBorders>
              <w:bottom w:val="dotted" w:sz="8" w:space="0" w:color="000000"/>
            </w:tcBorders>
            <w:shd w:fill="auto" w:val="clear"/>
            <w:tcMar>
              <w:bottom w:w="100" w:type="dxa"/>
            </w:tcMar>
            <w:vAlign w:val="center"/>
          </w:tcPr>
          <w:p>
            <w:pPr>
              <w:pStyle w:val="TableContents"/>
              <w:spacing w:before="0" w:after="283"/>
              <w:rPr/>
            </w:pPr>
            <w:r>
              <w:rPr/>
              <w:t> </w:t>
            </w:r>
          </w:p>
        </w:tc>
        <w:tc>
          <w:tcPr>
            <w:tcW w:w="466"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3"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7" w:type="dxa"/>
            <w:tcBorders>
              <w:bottom w:val="dotted" w:sz="8" w:space="0" w:color="000000"/>
            </w:tcBorders>
            <w:shd w:fill="auto" w:val="clear"/>
            <w:tcMar>
              <w:bottom w:w="100" w:type="dxa"/>
            </w:tcMar>
            <w:vAlign w:val="center"/>
          </w:tcPr>
          <w:p>
            <w:pPr>
              <w:pStyle w:val="TableContents"/>
              <w:spacing w:before="0" w:after="283"/>
              <w:jc w:val="right"/>
              <w:rPr/>
            </w:pPr>
            <w:r>
              <w:rPr/>
              <w:t>769,024</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384" w:type="dxa"/>
            <w:tcBorders>
              <w:bottom w:val="dotted" w:sz="8" w:space="0" w:color="000000"/>
            </w:tcBorders>
            <w:shd w:fill="auto" w:val="clear"/>
            <w:tcMar>
              <w:bottom w:w="100" w:type="dxa"/>
            </w:tcMar>
            <w:vAlign w:val="center"/>
          </w:tcPr>
          <w:p>
            <w:pPr>
              <w:pStyle w:val="TableContents"/>
              <w:spacing w:before="0" w:after="283"/>
              <w:rPr/>
            </w:pPr>
            <w:r>
              <w:rPr/>
              <w:t> </w:t>
            </w:r>
          </w:p>
        </w:tc>
        <w:tc>
          <w:tcPr>
            <w:tcW w:w="896"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100" w:type="dxa"/>
            </w:tcMar>
            <w:vAlign w:val="center"/>
          </w:tcPr>
          <w:p>
            <w:pPr>
              <w:pStyle w:val="TableContents"/>
              <w:spacing w:before="0" w:after="283"/>
              <w:rPr/>
            </w:pPr>
            <w:r>
              <w:rPr/>
              <w:t> </w:t>
            </w:r>
          </w:p>
        </w:tc>
        <w:tc>
          <w:tcPr>
            <w:tcW w:w="1829" w:type="dxa"/>
            <w:tcBorders>
              <w:bottom w:val="dotted" w:sz="8" w:space="0" w:color="000000"/>
            </w:tcBorders>
            <w:shd w:fill="auto" w:val="clear"/>
            <w:tcMar>
              <w:bottom w:w="100" w:type="dxa"/>
            </w:tcMar>
            <w:vAlign w:val="center"/>
          </w:tcPr>
          <w:p>
            <w:pPr>
              <w:pStyle w:val="TableContents"/>
              <w:spacing w:before="0" w:after="283"/>
              <w:jc w:val="right"/>
              <w:rPr/>
            </w:pPr>
            <w:r>
              <w:rPr/>
              <w:t>550,728</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100" w:type="dxa"/>
            </w:tcMar>
            <w:vAlign w:val="center"/>
          </w:tcPr>
          <w:p>
            <w:pPr>
              <w:pStyle w:val="TableContents"/>
              <w:spacing w:before="0" w:after="283"/>
              <w:rPr/>
            </w:pPr>
            <w:r>
              <w:rPr/>
              <w:t> </w:t>
            </w:r>
          </w:p>
        </w:tc>
        <w:tc>
          <w:tcPr>
            <w:tcW w:w="1814" w:type="dxa"/>
            <w:tcBorders>
              <w:bottom w:val="dotted" w:sz="8" w:space="0" w:color="000000"/>
            </w:tcBorders>
            <w:shd w:fill="auto" w:val="clear"/>
            <w:tcMar>
              <w:bottom w:w="100" w:type="dxa"/>
            </w:tcMar>
            <w:vAlign w:val="center"/>
          </w:tcPr>
          <w:p>
            <w:pPr>
              <w:pStyle w:val="TableContents"/>
              <w:spacing w:before="0" w:after="283"/>
              <w:jc w:val="right"/>
              <w:rPr/>
            </w:pPr>
            <w:r>
              <w:rPr/>
              <w:t>270,763</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100" w:type="dxa"/>
            </w:tcMar>
            <w:vAlign w:val="center"/>
          </w:tcPr>
          <w:p>
            <w:pPr>
              <w:pStyle w:val="TableContents"/>
              <w:spacing w:before="0" w:after="283"/>
              <w:rPr/>
            </w:pPr>
            <w:r>
              <w:rPr/>
              <w:t> </w:t>
            </w:r>
          </w:p>
        </w:tc>
        <w:tc>
          <w:tcPr>
            <w:tcW w:w="1370" w:type="dxa"/>
            <w:tcBorders>
              <w:bottom w:val="dotted" w:sz="8" w:space="0" w:color="000000"/>
            </w:tcBorders>
            <w:shd w:fill="auto" w:val="clear"/>
            <w:tcMar>
              <w:bottom w:w="100" w:type="dxa"/>
            </w:tcMar>
            <w:vAlign w:val="center"/>
          </w:tcPr>
          <w:p>
            <w:pPr>
              <w:pStyle w:val="TableContents"/>
              <w:spacing w:before="0" w:after="283"/>
              <w:jc w:val="right"/>
              <w:rPr/>
            </w:pPr>
            <w:r>
              <w:rPr/>
              <w:t>25,627</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2,107,809</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590" w:type="dxa"/>
            <w:gridSpan w:val="2"/>
            <w:tcBorders/>
            <w:shd w:fill="F2F8FB" w:val="clear"/>
            <w:vAlign w:val="center"/>
          </w:tcPr>
          <w:p>
            <w:pPr>
              <w:pStyle w:val="TableContents"/>
              <w:spacing w:before="0" w:after="283"/>
              <w:rPr>
                <w:sz w:val="4"/>
                <w:szCs w:val="4"/>
              </w:rPr>
            </w:pPr>
            <w:r>
              <w:rPr>
                <w:sz w:val="4"/>
                <w:szCs w:val="4"/>
              </w:rPr>
            </w:r>
          </w:p>
        </w:tc>
        <w:tc>
          <w:tcPr>
            <w:tcW w:w="1250" w:type="dxa"/>
            <w:gridSpan w:val="4"/>
            <w:tcBorders/>
            <w:shd w:fill="F2F8FB" w:val="clear"/>
            <w:vAlign w:val="center"/>
          </w:tcPr>
          <w:p>
            <w:pPr>
              <w:pStyle w:val="TableContents"/>
              <w:spacing w:before="0" w:after="283"/>
              <w:rPr>
                <w:sz w:val="4"/>
                <w:szCs w:val="4"/>
              </w:rPr>
            </w:pPr>
            <w:r>
              <w:rPr>
                <w:sz w:val="4"/>
                <w:szCs w:val="4"/>
              </w:rPr>
            </w:r>
          </w:p>
        </w:tc>
        <w:tc>
          <w:tcPr>
            <w:tcW w:w="785" w:type="dxa"/>
            <w:gridSpan w:val="4"/>
            <w:tcBorders/>
            <w:shd w:fill="F2F8FB" w:val="clear"/>
            <w:vAlign w:val="center"/>
          </w:tcPr>
          <w:p>
            <w:pPr>
              <w:pStyle w:val="TableContents"/>
              <w:spacing w:before="0" w:after="283"/>
              <w:rPr>
                <w:sz w:val="4"/>
                <w:szCs w:val="4"/>
              </w:rPr>
            </w:pPr>
            <w:r>
              <w:rPr>
                <w:sz w:val="4"/>
                <w:szCs w:val="4"/>
              </w:rPr>
            </w:r>
          </w:p>
        </w:tc>
        <w:tc>
          <w:tcPr>
            <w:tcW w:w="1400" w:type="dxa"/>
            <w:gridSpan w:val="4"/>
            <w:tcBorders/>
            <w:shd w:fill="F2F8FB" w:val="clear"/>
            <w:vAlign w:val="center"/>
          </w:tcPr>
          <w:p>
            <w:pPr>
              <w:pStyle w:val="TableContents"/>
              <w:spacing w:before="0" w:after="283"/>
              <w:rPr>
                <w:sz w:val="4"/>
                <w:szCs w:val="4"/>
              </w:rPr>
            </w:pPr>
            <w:r>
              <w:rPr>
                <w:sz w:val="4"/>
                <w:szCs w:val="4"/>
              </w:rPr>
            </w:r>
          </w:p>
        </w:tc>
        <w:tc>
          <w:tcPr>
            <w:tcW w:w="1400" w:type="dxa"/>
            <w:gridSpan w:val="4"/>
            <w:tcBorders/>
            <w:shd w:fill="F2F8FB" w:val="clear"/>
            <w:vAlign w:val="center"/>
          </w:tcPr>
          <w:p>
            <w:pPr>
              <w:pStyle w:val="TableContents"/>
              <w:spacing w:before="0" w:after="283"/>
              <w:rPr>
                <w:sz w:val="4"/>
                <w:szCs w:val="4"/>
              </w:rPr>
            </w:pPr>
            <w:r>
              <w:rPr>
                <w:sz w:val="4"/>
                <w:szCs w:val="4"/>
              </w:rPr>
            </w:r>
          </w:p>
        </w:tc>
        <w:tc>
          <w:tcPr>
            <w:tcW w:w="2060" w:type="dxa"/>
            <w:gridSpan w:val="4"/>
            <w:tcBorders/>
            <w:shd w:fill="F2F8FB" w:val="clear"/>
            <w:vAlign w:val="center"/>
          </w:tcPr>
          <w:p>
            <w:pPr>
              <w:pStyle w:val="TableContents"/>
              <w:spacing w:before="0" w:after="283"/>
              <w:rPr>
                <w:sz w:val="4"/>
                <w:szCs w:val="4"/>
              </w:rPr>
            </w:pPr>
            <w:r>
              <w:rPr>
                <w:sz w:val="4"/>
                <w:szCs w:val="4"/>
              </w:rPr>
            </w:r>
          </w:p>
        </w:tc>
        <w:tc>
          <w:tcPr>
            <w:tcW w:w="2045" w:type="dxa"/>
            <w:gridSpan w:val="4"/>
            <w:tcBorders/>
            <w:shd w:fill="F2F8FB" w:val="clear"/>
            <w:vAlign w:val="center"/>
          </w:tcPr>
          <w:p>
            <w:pPr>
              <w:pStyle w:val="TableContents"/>
              <w:spacing w:before="0" w:after="283"/>
              <w:rPr>
                <w:sz w:val="4"/>
                <w:szCs w:val="4"/>
              </w:rPr>
            </w:pPr>
            <w:r>
              <w:rPr>
                <w:sz w:val="4"/>
                <w:szCs w:val="4"/>
              </w:rPr>
            </w:r>
          </w:p>
        </w:tc>
        <w:tc>
          <w:tcPr>
            <w:tcW w:w="1610" w:type="dxa"/>
            <w:gridSpan w:val="4"/>
            <w:tcBorders/>
            <w:shd w:fill="F2F8FB" w:val="clear"/>
            <w:vAlign w:val="center"/>
          </w:tcPr>
          <w:p>
            <w:pPr>
              <w:pStyle w:val="TableContents"/>
              <w:spacing w:before="0" w:after="283"/>
              <w:rPr>
                <w:sz w:val="4"/>
                <w:szCs w:val="4"/>
              </w:rPr>
            </w:pPr>
            <w:r>
              <w:rPr>
                <w:sz w:val="4"/>
                <w:szCs w:val="4"/>
              </w:rPr>
            </w:r>
          </w:p>
        </w:tc>
        <w:tc>
          <w:tcPr>
            <w:tcW w:w="1295" w:type="dxa"/>
            <w:gridSpan w:val="4"/>
            <w:tcBorders/>
            <w:shd w:fill="F2F8FB" w:val="clear"/>
            <w:vAlign w:val="center"/>
          </w:tcPr>
          <w:p>
            <w:pPr>
              <w:pStyle w:val="TableContents"/>
              <w:spacing w:before="0" w:after="283"/>
              <w:rPr>
                <w:sz w:val="4"/>
                <w:szCs w:val="4"/>
              </w:rPr>
            </w:pPr>
            <w:r>
              <w:rPr>
                <w:sz w:val="4"/>
                <w:szCs w:val="4"/>
              </w:rPr>
            </w:r>
          </w:p>
        </w:tc>
      </w:tr>
      <w:tr>
        <w:trPr/>
        <w:tc>
          <w:tcPr>
            <w:tcW w:w="725" w:type="dxa"/>
            <w:vMerge w:val="restart"/>
            <w:tcBorders>
              <w:bottom w:val="single"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John P. Mohr</w:t>
            </w:r>
          </w:p>
          <w:p>
            <w:pPr>
              <w:pStyle w:val="TableContents"/>
              <w:spacing w:before="0" w:after="0"/>
              <w:rPr>
                <w:rFonts w:ascii="ARIAL" w:hAnsi="ARIAL"/>
                <w:sz w:val="14"/>
              </w:rPr>
            </w:pPr>
            <w:r>
              <w:rPr>
                <w:rFonts w:ascii="ARIAL" w:hAnsi="ARIAL"/>
                <w:sz w:val="14"/>
              </w:rPr>
              <w:t>Senior Vice President,</w:t>
            </w:r>
          </w:p>
          <w:p>
            <w:pPr>
              <w:pStyle w:val="TableContents"/>
              <w:spacing w:before="0" w:after="20"/>
              <w:rPr>
                <w:rFonts w:ascii="ARIAL" w:hAnsi="ARIAL"/>
                <w:sz w:val="14"/>
              </w:rPr>
            </w:pPr>
            <w:r>
              <w:rPr>
                <w:rFonts w:ascii="ARIAL" w:hAnsi="ARIAL"/>
                <w:sz w:val="14"/>
              </w:rPr>
              <w:t>Chief Infromation Officer7</w:t>
            </w:r>
          </w:p>
        </w:tc>
        <w:tc>
          <w:tcPr>
            <w:tcW w:w="60" w:type="dxa"/>
            <w:tcBorders/>
            <w:shd w:fill="F2F8FB" w:val="clear"/>
            <w:vAlign w:val="center"/>
          </w:tcPr>
          <w:p>
            <w:pPr>
              <w:pStyle w:val="TableContents"/>
              <w:spacing w:before="0" w:after="283"/>
              <w:rPr/>
            </w:pPr>
            <w:r>
              <w:rPr/>
              <w:t> </w:t>
            </w:r>
          </w:p>
        </w:tc>
        <w:tc>
          <w:tcPr>
            <w:tcW w:w="530" w:type="dxa"/>
            <w:tcBorders/>
            <w:shd w:fill="F2F8FB" w:val="clear"/>
            <w:vAlign w:val="center"/>
          </w:tcPr>
          <w:p>
            <w:pPr>
              <w:pStyle w:val="TableContents"/>
              <w:spacing w:before="0" w:after="283"/>
              <w:rPr>
                <w:color w:val="007CBA"/>
              </w:rPr>
            </w:pPr>
            <w:r>
              <w:rPr>
                <w:color w:val="007CBA"/>
              </w:rPr>
              <w:t>2022</w:t>
            </w:r>
          </w:p>
        </w:tc>
        <w:tc>
          <w:tcPr>
            <w:tcW w:w="60" w:type="dxa"/>
            <w:tcBorders/>
            <w:shd w:fill="F2F8FB" w:val="clear"/>
            <w:vAlign w:val="center"/>
          </w:tcPr>
          <w:p>
            <w:pPr>
              <w:pStyle w:val="TableContents"/>
              <w:spacing w:before="0" w:after="283"/>
              <w:rPr/>
            </w:pPr>
            <w:r>
              <w:rPr/>
              <w:t> </w:t>
            </w:r>
          </w:p>
        </w:tc>
        <w:tc>
          <w:tcPr>
            <w:tcW w:w="65" w:type="dxa"/>
            <w:tcBorders/>
            <w:shd w:fill="F2F8FB" w:val="clear"/>
            <w:vAlign w:val="center"/>
          </w:tcPr>
          <w:p>
            <w:pPr>
              <w:pStyle w:val="TableContents"/>
              <w:spacing w:before="0" w:after="283"/>
              <w:rPr/>
            </w:pPr>
            <w:r>
              <w:rPr/>
              <w:t> </w:t>
            </w:r>
          </w:p>
        </w:tc>
        <w:tc>
          <w:tcPr>
            <w:tcW w:w="1065" w:type="dxa"/>
            <w:tcBorders/>
            <w:shd w:fill="F2F8FB" w:val="clear"/>
            <w:vAlign w:val="center"/>
          </w:tcPr>
          <w:p>
            <w:pPr>
              <w:pStyle w:val="TableContents"/>
              <w:spacing w:before="0" w:after="283"/>
              <w:jc w:val="right"/>
              <w:rPr/>
            </w:pPr>
            <w:r>
              <w:rPr/>
              <w:t>422,700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99" w:type="dxa"/>
            <w:tcBorders/>
            <w:shd w:fill="F2F8FB" w:val="clear"/>
            <w:vAlign w:val="center"/>
          </w:tcPr>
          <w:p>
            <w:pPr>
              <w:pStyle w:val="TableContents"/>
              <w:spacing w:before="0" w:after="283"/>
              <w:rPr>
                <w:color w:val="007CBA"/>
              </w:rPr>
            </w:pPr>
            <w:r>
              <w:rPr>
                <w:color w:val="007CBA"/>
              </w:rPr>
              <w:t> </w:t>
            </w:r>
          </w:p>
        </w:tc>
        <w:tc>
          <w:tcPr>
            <w:tcW w:w="466" w:type="dxa"/>
            <w:tcBorders/>
            <w:shd w:fill="F2F8FB" w:val="clear"/>
            <w:vAlign w:val="center"/>
          </w:tcPr>
          <w:p>
            <w:pPr>
              <w:pStyle w:val="TableContents"/>
              <w:spacing w:before="0" w:after="283"/>
              <w:jc w:val="right"/>
              <w:rPr>
                <w:color w:val="007CBA"/>
              </w:rPr>
            </w:pPr>
            <w:r>
              <w:rPr>
                <w:color w:val="007CBA"/>
              </w:rPr>
              <w:t>–</w:t>
            </w:r>
          </w:p>
        </w:tc>
        <w:tc>
          <w:tcPr>
            <w:tcW w:w="60" w:type="dxa"/>
            <w:tcBorders/>
            <w:shd w:fill="F2F8FB" w:val="clear"/>
            <w:vAlign w:val="center"/>
          </w:tcPr>
          <w:p>
            <w:pPr>
              <w:pStyle w:val="TableContents"/>
              <w:spacing w:before="0" w:after="283"/>
              <w:rPr>
                <w:color w:val="007CBA"/>
              </w:rPr>
            </w:pPr>
            <w:r>
              <w:rPr>
                <w:color w:val="007CBA"/>
              </w:rPr>
              <w:t> </w:t>
            </w:r>
          </w:p>
        </w:tc>
        <w:tc>
          <w:tcPr>
            <w:tcW w:w="60" w:type="dxa"/>
            <w:tcBorders/>
            <w:shd w:fill="F2F8FB" w:val="clear"/>
            <w:vAlign w:val="center"/>
          </w:tcPr>
          <w:p>
            <w:pPr>
              <w:pStyle w:val="TableContents"/>
              <w:spacing w:before="0" w:after="283"/>
              <w:rPr/>
            </w:pPr>
            <w:r>
              <w:rPr/>
              <w:t> </w:t>
            </w:r>
          </w:p>
        </w:tc>
        <w:tc>
          <w:tcPr>
            <w:tcW w:w="73" w:type="dxa"/>
            <w:tcBorders/>
            <w:shd w:fill="F2F8FB" w:val="clear"/>
            <w:vAlign w:val="center"/>
          </w:tcPr>
          <w:p>
            <w:pPr>
              <w:pStyle w:val="TableContents"/>
              <w:spacing w:before="0" w:after="283"/>
              <w:rPr/>
            </w:pPr>
            <w:r>
              <w:rPr/>
              <w:t> </w:t>
            </w:r>
          </w:p>
        </w:tc>
        <w:tc>
          <w:tcPr>
            <w:tcW w:w="1207" w:type="dxa"/>
            <w:tcBorders/>
            <w:shd w:fill="F2F8FB" w:val="clear"/>
            <w:vAlign w:val="center"/>
          </w:tcPr>
          <w:p>
            <w:pPr>
              <w:pStyle w:val="TableContents"/>
              <w:spacing w:before="0" w:after="283"/>
              <w:jc w:val="right"/>
              <w:rPr/>
            </w:pPr>
            <w:r>
              <w:rPr/>
              <w:t>690,776</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384" w:type="dxa"/>
            <w:tcBorders/>
            <w:shd w:fill="F2F8FB" w:val="clear"/>
            <w:vAlign w:val="center"/>
          </w:tcPr>
          <w:p>
            <w:pPr>
              <w:pStyle w:val="TableContents"/>
              <w:spacing w:before="0" w:after="283"/>
              <w:rPr>
                <w:color w:val="007CBA"/>
              </w:rPr>
            </w:pPr>
            <w:r>
              <w:rPr>
                <w:color w:val="007CBA"/>
              </w:rPr>
              <w:t> </w:t>
            </w:r>
          </w:p>
        </w:tc>
        <w:tc>
          <w:tcPr>
            <w:tcW w:w="896" w:type="dxa"/>
            <w:tcBorders/>
            <w:shd w:fill="F2F8FB" w:val="clear"/>
            <w:vAlign w:val="center"/>
          </w:tcPr>
          <w:p>
            <w:pPr>
              <w:pStyle w:val="TableContents"/>
              <w:spacing w:before="0" w:after="283"/>
              <w:jc w:val="right"/>
              <w:rPr>
                <w:color w:val="007CBA"/>
              </w:rPr>
            </w:pPr>
            <w:r>
              <w:rPr>
                <w:color w:val="007CBA"/>
              </w:rPr>
              <w:t>–</w:t>
            </w:r>
          </w:p>
        </w:tc>
        <w:tc>
          <w:tcPr>
            <w:tcW w:w="60" w:type="dxa"/>
            <w:tcBorders/>
            <w:shd w:fill="F2F8FB" w:val="clear"/>
            <w:vAlign w:val="center"/>
          </w:tcPr>
          <w:p>
            <w:pPr>
              <w:pStyle w:val="TableContents"/>
              <w:spacing w:before="0" w:after="283"/>
              <w:rPr>
                <w:color w:val="007CBA"/>
              </w:rPr>
            </w:pPr>
            <w:r>
              <w:rPr>
                <w:color w:val="007CBA"/>
              </w:rPr>
              <w:t> </w:t>
            </w:r>
          </w:p>
        </w:tc>
        <w:tc>
          <w:tcPr>
            <w:tcW w:w="60" w:type="dxa"/>
            <w:tcBorders/>
            <w:shd w:fill="F2F8FB" w:val="clear"/>
            <w:vAlign w:val="center"/>
          </w:tcPr>
          <w:p>
            <w:pPr>
              <w:pStyle w:val="TableContents"/>
              <w:spacing w:before="0" w:after="283"/>
              <w:rPr/>
            </w:pPr>
            <w:r>
              <w:rPr/>
              <w:t> </w:t>
            </w:r>
          </w:p>
        </w:tc>
        <w:tc>
          <w:tcPr>
            <w:tcW w:w="111" w:type="dxa"/>
            <w:tcBorders/>
            <w:shd w:fill="F2F8FB" w:val="clear"/>
            <w:vAlign w:val="center"/>
          </w:tcPr>
          <w:p>
            <w:pPr>
              <w:pStyle w:val="TableContents"/>
              <w:spacing w:before="0" w:after="283"/>
              <w:rPr/>
            </w:pPr>
            <w:r>
              <w:rPr/>
              <w:t> </w:t>
            </w:r>
          </w:p>
        </w:tc>
        <w:tc>
          <w:tcPr>
            <w:tcW w:w="1829" w:type="dxa"/>
            <w:tcBorders/>
            <w:shd w:fill="F2F8FB" w:val="clear"/>
            <w:vAlign w:val="center"/>
          </w:tcPr>
          <w:p>
            <w:pPr>
              <w:pStyle w:val="TableContents"/>
              <w:spacing w:before="0" w:after="283"/>
              <w:jc w:val="right"/>
              <w:rPr/>
            </w:pPr>
            <w:r>
              <w:rPr/>
              <w:t>473,536</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11" w:type="dxa"/>
            <w:tcBorders/>
            <w:shd w:fill="F2F8FB" w:val="clear"/>
            <w:vAlign w:val="center"/>
          </w:tcPr>
          <w:p>
            <w:pPr>
              <w:pStyle w:val="TableContents"/>
              <w:spacing w:before="0" w:after="283"/>
              <w:rPr/>
            </w:pPr>
            <w:r>
              <w:rPr/>
              <w:t> </w:t>
            </w:r>
          </w:p>
        </w:tc>
        <w:tc>
          <w:tcPr>
            <w:tcW w:w="1814" w:type="dxa"/>
            <w:tcBorders/>
            <w:shd w:fill="F2F8FB" w:val="clear"/>
            <w:vAlign w:val="center"/>
          </w:tcPr>
          <w:p>
            <w:pPr>
              <w:pStyle w:val="TableContents"/>
              <w:spacing w:before="0" w:after="283"/>
              <w:jc w:val="right"/>
              <w:rPr/>
            </w:pPr>
            <w:r>
              <w:rPr/>
              <w:t>69,560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20" w:type="dxa"/>
            <w:tcBorders/>
            <w:shd w:fill="F2F8FB" w:val="clear"/>
            <w:vAlign w:val="center"/>
          </w:tcPr>
          <w:p>
            <w:pPr>
              <w:pStyle w:val="TableContents"/>
              <w:spacing w:before="0" w:after="283"/>
              <w:rPr/>
            </w:pPr>
            <w:r>
              <w:rPr/>
              <w:t> </w:t>
            </w:r>
          </w:p>
        </w:tc>
        <w:tc>
          <w:tcPr>
            <w:tcW w:w="1370" w:type="dxa"/>
            <w:tcBorders/>
            <w:shd w:fill="F2F8FB" w:val="clear"/>
            <w:vAlign w:val="center"/>
          </w:tcPr>
          <w:p>
            <w:pPr>
              <w:pStyle w:val="TableContents"/>
              <w:spacing w:before="0" w:after="283"/>
              <w:jc w:val="right"/>
              <w:rPr/>
            </w:pPr>
            <w:r>
              <w:rPr/>
              <w:t>17,669</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pPr>
            <w:r>
              <w:rPr/>
              <w:t> </w:t>
            </w:r>
          </w:p>
        </w:tc>
        <w:tc>
          <w:tcPr>
            <w:tcW w:w="1100" w:type="dxa"/>
            <w:tcBorders/>
            <w:shd w:fill="F2F8FB" w:val="clear"/>
            <w:vAlign w:val="center"/>
          </w:tcPr>
          <w:p>
            <w:pPr>
              <w:pStyle w:val="TableContents"/>
              <w:spacing w:before="0" w:after="283"/>
              <w:jc w:val="right"/>
              <w:rPr/>
            </w:pPr>
            <w:r>
              <w:rPr/>
              <w:t>1,674,241</w:t>
            </w:r>
          </w:p>
        </w:tc>
        <w:tc>
          <w:tcPr>
            <w:tcW w:w="75" w:type="dxa"/>
            <w:tcBorders/>
            <w:shd w:fill="F2F8FB" w:val="clear"/>
            <w:vAlign w:val="center"/>
          </w:tcPr>
          <w:p>
            <w:pPr>
              <w:pStyle w:val="TableContents"/>
              <w:spacing w:before="0" w:after="283"/>
              <w:rPr/>
            </w:pPr>
            <w:r>
              <w:rPr/>
              <w:t> </w:t>
            </w:r>
          </w:p>
        </w:tc>
      </w:tr>
      <w:tr>
        <w:trPr/>
        <w:tc>
          <w:tcPr>
            <w:tcW w:w="725"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lineRule="atLeast" w:line="240" w:before="0" w:after="0"/>
              <w:rPr>
                <w:rFonts w:ascii="ARIAL" w:hAnsi="ARIAL"/>
                <w:sz w:val="14"/>
              </w:rPr>
            </w:pPr>
            <w:r>
              <w:rPr>
                <w:rFonts w:ascii="ARIAL" w:hAnsi="ARIAL"/>
                <w:sz w:val="14"/>
              </w:rPr>
              <w:t>2021</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402,667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590,038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829" w:type="dxa"/>
            <w:tcBorders/>
            <w:shd w:fill="auto" w:val="clear"/>
            <w:vAlign w:val="center"/>
          </w:tcPr>
          <w:p>
            <w:pPr>
              <w:pStyle w:val="TableContents"/>
              <w:spacing w:before="0" w:after="283"/>
              <w:jc w:val="right"/>
              <w:rPr/>
            </w:pPr>
            <w:r>
              <w:rPr/>
              <w:t>540,000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814" w:type="dxa"/>
            <w:tcBorders/>
            <w:shd w:fill="auto" w:val="clear"/>
            <w:vAlign w:val="center"/>
          </w:tcPr>
          <w:p>
            <w:pPr>
              <w:pStyle w:val="TableContents"/>
              <w:spacing w:before="0" w:after="283"/>
              <w:jc w:val="right"/>
              <w:rPr/>
            </w:pPr>
            <w:r>
              <w:rPr/>
              <w:t>309,014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right"/>
              <w:rPr/>
            </w:pPr>
            <w:r>
              <w:rPr/>
              <w:t>21,629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1,863,348</w:t>
            </w:r>
          </w:p>
        </w:tc>
        <w:tc>
          <w:tcPr>
            <w:tcW w:w="75" w:type="dxa"/>
            <w:tcBorders/>
            <w:shd w:fill="auto" w:val="clear"/>
            <w:vAlign w:val="center"/>
          </w:tcPr>
          <w:p>
            <w:pPr>
              <w:pStyle w:val="TableContents"/>
              <w:spacing w:before="0" w:after="283"/>
              <w:rPr/>
            </w:pPr>
            <w:r>
              <w:rPr/>
              <w:t> </w:t>
            </w:r>
          </w:p>
        </w:tc>
      </w:tr>
      <w:tr>
        <w:trPr/>
        <w:tc>
          <w:tcPr>
            <w:tcW w:w="725"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53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5" w:type="dxa"/>
            <w:tcBorders>
              <w:bottom w:val="single" w:sz="8" w:space="0" w:color="000000"/>
            </w:tcBorders>
            <w:shd w:fill="auto" w:val="clear"/>
            <w:tcMar>
              <w:bottom w:w="28" w:type="dxa"/>
            </w:tcMar>
            <w:vAlign w:val="center"/>
          </w:tcPr>
          <w:p>
            <w:pPr>
              <w:pStyle w:val="TableContents"/>
              <w:spacing w:before="0" w:after="283"/>
              <w:rPr/>
            </w:pPr>
            <w:r>
              <w:rPr/>
              <w:t> </w:t>
            </w:r>
          </w:p>
        </w:tc>
        <w:tc>
          <w:tcPr>
            <w:tcW w:w="106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9" w:type="dxa"/>
            <w:tcBorders>
              <w:bottom w:val="single" w:sz="8" w:space="0" w:color="000000"/>
            </w:tcBorders>
            <w:shd w:fill="auto" w:val="clear"/>
            <w:tcMar>
              <w:bottom w:w="28" w:type="dxa"/>
            </w:tcMar>
            <w:vAlign w:val="center"/>
          </w:tcPr>
          <w:p>
            <w:pPr>
              <w:pStyle w:val="TableContents"/>
              <w:spacing w:before="0" w:after="283"/>
              <w:rPr/>
            </w:pPr>
            <w:r>
              <w:rPr/>
              <w:t> </w:t>
            </w:r>
          </w:p>
        </w:tc>
        <w:tc>
          <w:tcPr>
            <w:tcW w:w="466"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3" w:type="dxa"/>
            <w:tcBorders>
              <w:bottom w:val="single" w:sz="8" w:space="0" w:color="000000"/>
            </w:tcBorders>
            <w:shd w:fill="auto" w:val="clear"/>
            <w:tcMar>
              <w:bottom w:w="28" w:type="dxa"/>
            </w:tcMar>
            <w:vAlign w:val="center"/>
          </w:tcPr>
          <w:p>
            <w:pPr>
              <w:pStyle w:val="TableContents"/>
              <w:spacing w:before="0" w:after="283"/>
              <w:rPr/>
            </w:pPr>
            <w:r>
              <w:rPr/>
              <w:t> </w:t>
            </w:r>
          </w:p>
        </w:tc>
        <w:tc>
          <w:tcPr>
            <w:tcW w:w="1207"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384" w:type="dxa"/>
            <w:tcBorders>
              <w:bottom w:val="single" w:sz="8" w:space="0" w:color="000000"/>
            </w:tcBorders>
            <w:shd w:fill="auto" w:val="clear"/>
            <w:tcMar>
              <w:bottom w:w="28" w:type="dxa"/>
            </w:tcMar>
            <w:vAlign w:val="center"/>
          </w:tcPr>
          <w:p>
            <w:pPr>
              <w:pStyle w:val="TableContents"/>
              <w:spacing w:before="0" w:after="283"/>
              <w:rPr/>
            </w:pPr>
            <w:r>
              <w:rPr/>
              <w:t> </w:t>
            </w:r>
          </w:p>
        </w:tc>
        <w:tc>
          <w:tcPr>
            <w:tcW w:w="896"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1" w:type="dxa"/>
            <w:tcBorders>
              <w:bottom w:val="single" w:sz="8" w:space="0" w:color="000000"/>
            </w:tcBorders>
            <w:shd w:fill="auto" w:val="clear"/>
            <w:tcMar>
              <w:bottom w:w="28" w:type="dxa"/>
            </w:tcMar>
            <w:vAlign w:val="center"/>
          </w:tcPr>
          <w:p>
            <w:pPr>
              <w:pStyle w:val="TableContents"/>
              <w:spacing w:before="0" w:after="283"/>
              <w:rPr/>
            </w:pPr>
            <w:r>
              <w:rPr/>
              <w:t> </w:t>
            </w:r>
          </w:p>
        </w:tc>
        <w:tc>
          <w:tcPr>
            <w:tcW w:w="1829"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1" w:type="dxa"/>
            <w:tcBorders>
              <w:bottom w:val="single" w:sz="8" w:space="0" w:color="000000"/>
            </w:tcBorders>
            <w:shd w:fill="auto" w:val="clear"/>
            <w:tcMar>
              <w:bottom w:w="28" w:type="dxa"/>
            </w:tcMar>
            <w:vAlign w:val="center"/>
          </w:tcPr>
          <w:p>
            <w:pPr>
              <w:pStyle w:val="TableContents"/>
              <w:spacing w:before="0" w:after="283"/>
              <w:rPr/>
            </w:pPr>
            <w:r>
              <w:rPr/>
              <w:t> </w:t>
            </w:r>
          </w:p>
        </w:tc>
        <w:tc>
          <w:tcPr>
            <w:tcW w:w="1814"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7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4180" w:type="dxa"/>
        <w:jc w:val="left"/>
        <w:tblInd w:w="0" w:type="dxa"/>
        <w:tblCellMar>
          <w:top w:w="0" w:type="dxa"/>
          <w:left w:w="0" w:type="dxa"/>
          <w:bottom w:w="0" w:type="dxa"/>
          <w:right w:w="0" w:type="dxa"/>
        </w:tblCellMar>
      </w:tblPr>
      <w:tblGrid>
        <w:gridCol w:w="155"/>
        <w:gridCol w:w="4025"/>
      </w:tblGrid>
      <w:tr>
        <w:trPr/>
        <w:tc>
          <w:tcPr>
            <w:tcW w:w="155" w:type="dxa"/>
            <w:tcBorders/>
            <w:shd w:fill="auto" w:val="clear"/>
            <w:vAlign w:val="center"/>
          </w:tcPr>
          <w:p>
            <w:pPr>
              <w:pStyle w:val="TableContents"/>
              <w:spacing w:before="0" w:after="283"/>
              <w:jc w:val="left"/>
              <w:rPr/>
            </w:pPr>
            <w:r>
              <w:rPr/>
              <w:t>1</w:t>
            </w:r>
          </w:p>
        </w:tc>
        <w:tc>
          <w:tcPr>
            <w:tcW w:w="4025"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amounts in column (c) reflect the base salary actually paid.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2</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amounts in column (e) reflect the aggregate grant date fair value of awards made in the year reported, determined in accordance with FASB ASC Topic 718 (without any assumption for early forfeiture), of awards of RSUs and awards of PSUs, which are described in more detail on pages 61-65 under the heading “2022 Long-Term Incentive Compensation Overview.” The amounts included in the table reflects the value of the units granted, which are subject to forfeiture if the executive does not remain in the employment of Martin Marietta for the requisite time period (generally three years) or if Martin Marietta does not achieve the performance criteria, where applicable. The amounts reported include the amounts of cash bonuses deferred in common stock units by each named executive officer pursuant to Martin Marietta’s Incentive Stock Plan, which is discussed in further detail on page 61 under the heading “Annual Incentive Feature: Stock Purchase Plan”. The amount in column (e) includes PSUs based on the target level of performance. Assuming the maximum payout under the PSUs granted in 2022, whose payout will be determined in February 2025 based on the Company’s performance in 2022-2024, the amounts reported above for 2022 would be as follows: Mr. Nye, $9,945,046; Mr. Nickolas, $1,813,469; Ms. Bar, $1,842,002; Mr. LaTorre, $1,343,126; and Mr. Mohr, $938,712. Assumptions used in the calculation of these amounts are included in Note A to Martin Marietta’s audited financial statements for the fiscal year ended December 31, 2022, included in Martin Marietta’s Annual Report on Form 10-K filed with the SEC on February 24, 2023. The amounts of cash bonus deferred in 2022 for each named executive officer are included in column (e) as follows: Mr. Nye, $0; Mr. Nickolas, $0; Ms. Bar, $285,000; Mr. LaTorre, $0; and Mr. Mohr, $0. </w:t>
            </w:r>
          </w:p>
        </w:tc>
      </w:tr>
    </w:tbl>
    <w:tbl>
      <w:tblPr>
        <w:tblW w:w="9880" w:type="dxa"/>
        <w:jc w:val="left"/>
        <w:tblInd w:w="0" w:type="dxa"/>
        <w:tblCellMar>
          <w:top w:w="0" w:type="dxa"/>
          <w:left w:w="0" w:type="dxa"/>
          <w:bottom w:w="0" w:type="dxa"/>
          <w:right w:w="0" w:type="dxa"/>
        </w:tblCellMar>
      </w:tblPr>
      <w:tblGrid>
        <w:gridCol w:w="155"/>
        <w:gridCol w:w="9725"/>
      </w:tblGrid>
      <w:tr>
        <w:trPr/>
        <w:tc>
          <w:tcPr>
            <w:tcW w:w="155" w:type="dxa"/>
            <w:tcBorders/>
            <w:shd w:fill="auto" w:val="clear"/>
            <w:vAlign w:val="center"/>
          </w:tcPr>
          <w:p>
            <w:pPr>
              <w:pStyle w:val="TableContents"/>
              <w:spacing w:before="0" w:after="283"/>
              <w:jc w:val="left"/>
              <w:rPr/>
            </w:pPr>
            <w:r>
              <w:rPr/>
              <w:t>3</w:t>
            </w:r>
          </w:p>
        </w:tc>
        <w:tc>
          <w:tcPr>
            <w:tcW w:w="9725"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Company does not issue SARs and has not granted any stock options since 2015. The Stock Plan prohibits share recycling for stock options or SARs. </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72</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25"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9" descr=""/>
                          <pic:cNvPicPr>
                            <a:picLocks noChangeAspect="1" noChangeArrowheads="1"/>
                          </pic:cNvPicPr>
                        </pic:nvPicPr>
                        <pic:blipFill>
                          <a:blip r:embed="rId21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GRANTS OF PLAN-BASED AWARDS  ◆  </w:t>
      </w:r>
      <w:r>
        <w:rPr>
          <w:rFonts w:ascii="ARIAL" w:hAnsi="ARIAL"/>
          <w:color w:val="007CBA"/>
          <w:sz w:val="16"/>
        </w:rPr>
        <w:t>EXECUTIVE COMPENSATION</w:t>
      </w:r>
      <w:r>
        <w:rPr>
          <w:rFonts w:ascii="ARIAL" w:hAnsi="ARIAL"/>
          <w:sz w:val="16"/>
        </w:rPr>
        <w:t xml:space="preserve">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4</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amounts in column (g) for 2022 reflect the cash paid to the named individuals earned in 2022 and paid in 2023 under annual incentive arrangements discussed in further detail beginning on page 59 under the headings “2022 Annual Cash Incentive Goals and Results” and “2022 Actual Incentive Cash Earned,” and not deferred pursuant to Martin Marietta’s Incentive Stock Plan, which is discussed in further detail on page 61 under the heading “Annual Incentive Feature: Stock Purchase Plan.”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5</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amounts in column (h) reflect the aggregate increase in the actuarial present value of the named executive officer’s accumulated benefits during 2022, 2021 and 2020,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6</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 shown in column (i) for 2022 reflects for each named executive officer: matching contributions allocated by Martin Marietta to each of the named executive officers pursuant to the Savings and Investment Plan, which is more fully described on pages under the heading “Retirement and Other Benefits” in the following amounts: Mr. Nye, $10,675; Mr. Nickolas, $9,000; Ms. Bar, $7,368; Mr. LaTorre, $7,386; and Mr. Mohr, $10,675; the value attributable to life insurance benefits provided to the named executive officers, which is more fully described on page 70 under the heading “Retirement and Other Benefits” in the following amounts: Mr. Nye, $15,444; Mr. Nickolas, $5,382; Ms. Bar, $15,444; Mr. LaTorre, $3,883; and Mr. Mohr, $3,008; the value attributable to personal use of leased automobiles provided by Martin Marietta in the following amounts: Mr. Nye, $10,662; Mr. Nickolas, $14,212; Ms. Bar, $15,349; Mr. LaTorre, $13,537; and Mr. Mohr, $3,986. These values are included as compensation on the W-2 of named executive officers who receive such benefits. Each such named executive officer is responsible for paying income tax on such amount. The amounts in column (i) also reflect the dollar value of dividend equivalents on units credited under the equity awards as computed for financial statement reporting purposes for each fiscal year ended December 31, 2022, 2021 and 2020 in accordance with FASB ASC Topic 718. </w:t>
            </w:r>
          </w:p>
        </w:tc>
      </w:tr>
    </w:tbl>
    <w:tbl>
      <w:tblPr>
        <w:tblW w:w="6625" w:type="dxa"/>
        <w:jc w:val="left"/>
        <w:tblInd w:w="0" w:type="dxa"/>
        <w:tblCellMar>
          <w:top w:w="0" w:type="dxa"/>
          <w:left w:w="0" w:type="dxa"/>
          <w:bottom w:w="0" w:type="dxa"/>
          <w:right w:w="0" w:type="dxa"/>
        </w:tblCellMar>
      </w:tblPr>
      <w:tblGrid>
        <w:gridCol w:w="155"/>
        <w:gridCol w:w="6470"/>
      </w:tblGrid>
      <w:tr>
        <w:trPr/>
        <w:tc>
          <w:tcPr>
            <w:tcW w:w="155" w:type="dxa"/>
            <w:tcBorders/>
            <w:shd w:fill="auto" w:val="clear"/>
            <w:vAlign w:val="center"/>
          </w:tcPr>
          <w:p>
            <w:pPr>
              <w:pStyle w:val="TableContents"/>
              <w:spacing w:before="0" w:after="283"/>
              <w:jc w:val="left"/>
              <w:rPr/>
            </w:pPr>
            <w:r>
              <w:rPr/>
              <w:t>7</w:t>
            </w:r>
          </w:p>
        </w:tc>
        <w:tc>
          <w:tcPr>
            <w:tcW w:w="6470" w:type="dxa"/>
            <w:tcBorders/>
            <w:shd w:fill="auto" w:val="clear"/>
            <w:vAlign w:val="center"/>
          </w:tcPr>
          <w:p>
            <w:pPr>
              <w:pStyle w:val="TableContents"/>
              <w:spacing w:before="0" w:after="0"/>
              <w:jc w:val="left"/>
              <w:rPr>
                <w:rFonts w:ascii="ARIAL" w:hAnsi="ARIAL"/>
                <w:sz w:val="14"/>
              </w:rPr>
            </w:pPr>
            <w:r>
              <w:rPr>
                <w:rFonts w:ascii="ARIAL" w:hAnsi="ARIAL"/>
                <w:sz w:val="14"/>
              </w:rPr>
              <w:t xml:space="preserve">Mr. Mohr was not a named executive officer for purposes of the Summary Compensation Table in 2020. </w:t>
            </w:r>
          </w:p>
        </w:tc>
      </w:tr>
    </w:tbl>
    <w:p>
      <w:pPr>
        <w:pStyle w:val="TextBody"/>
        <w:spacing w:before="240" w:after="0"/>
        <w:jc w:val="left"/>
        <w:rPr>
          <w:rFonts w:ascii="ARIAL" w:hAnsi="ARIAL"/>
          <w:b/>
          <w:color w:val="71BE9A"/>
          <w:sz w:val="26"/>
        </w:rPr>
      </w:pPr>
      <w:bookmarkStart w:id="68" w:name="toc390557_61"/>
      <w:bookmarkEnd w:id="68"/>
      <w:r>
        <w:rPr>
          <w:rFonts w:ascii="ARIAL" w:hAnsi="ARIAL"/>
          <w:b/>
          <w:color w:val="71BE9A"/>
          <w:sz w:val="26"/>
        </w:rPr>
        <w:t xml:space="preserve">Grants of Plan-Based Awards </w:t>
      </w:r>
    </w:p>
    <w:p>
      <w:pPr>
        <w:pStyle w:val="TextBody"/>
        <w:spacing w:before="120" w:after="0"/>
        <w:jc w:val="left"/>
        <w:rPr>
          <w:rFonts w:ascii="ARIAL" w:hAnsi="ARIAL"/>
          <w:sz w:val="20"/>
        </w:rPr>
      </w:pPr>
      <w:r>
        <w:rPr>
          <w:rFonts w:ascii="ARIAL" w:hAnsi="ARIAL"/>
          <w:sz w:val="20"/>
        </w:rPr>
        <w:t xml:space="preserve">The table below shows each grant of an award made to a named executive officer in the fiscal year ended December 31, 2022. This includes equity awards made to the named executive officers under the Stock Plan and the Incentive Stock Plan. </w:t>
      </w:r>
    </w:p>
    <w:p>
      <w:pPr>
        <w:pStyle w:val="TextBody"/>
        <w:spacing w:before="240" w:after="0"/>
        <w:jc w:val="center"/>
        <w:rPr>
          <w:rFonts w:ascii="ARIAL" w:hAnsi="ARIAL"/>
          <w:b/>
          <w:sz w:val="20"/>
        </w:rPr>
      </w:pPr>
      <w:r>
        <w:rPr>
          <w:rFonts w:ascii="ARIAL" w:hAnsi="ARIAL"/>
          <w:b/>
          <w:sz w:val="20"/>
        </w:rPr>
        <w:t xml:space="preserve">Grants of Plan-Based Awards Table </w:t>
      </w:r>
    </w:p>
    <w:p>
      <w:pPr>
        <w:pStyle w:val="TextBody"/>
        <w:spacing w:before="0" w:after="0"/>
        <w:jc w:val="left"/>
        <w:rPr/>
      </w:pPr>
      <w:r>
        <w:rPr/>
        <w:t> </w:t>
      </w:r>
    </w:p>
    <w:tbl>
      <w:tblPr>
        <w:tblW w:w="11645" w:type="dxa"/>
        <w:jc w:val="left"/>
        <w:tblInd w:w="0" w:type="dxa"/>
        <w:tblCellMar>
          <w:top w:w="0" w:type="dxa"/>
          <w:left w:w="0" w:type="dxa"/>
          <w:bottom w:w="0" w:type="dxa"/>
          <w:right w:w="0" w:type="dxa"/>
        </w:tblCellMar>
      </w:tblPr>
      <w:tblGrid>
        <w:gridCol w:w="590"/>
        <w:gridCol w:w="60"/>
        <w:gridCol w:w="710"/>
        <w:gridCol w:w="60"/>
        <w:gridCol w:w="1400"/>
        <w:gridCol w:w="60"/>
        <w:gridCol w:w="1040"/>
        <w:gridCol w:w="60"/>
        <w:gridCol w:w="1400"/>
        <w:gridCol w:w="60"/>
        <w:gridCol w:w="60"/>
        <w:gridCol w:w="60"/>
        <w:gridCol w:w="1400"/>
        <w:gridCol w:w="60"/>
        <w:gridCol w:w="1040"/>
        <w:gridCol w:w="60"/>
        <w:gridCol w:w="1400"/>
        <w:gridCol w:w="60"/>
        <w:gridCol w:w="1010"/>
        <w:gridCol w:w="60"/>
        <w:gridCol w:w="995"/>
      </w:tblGrid>
      <w:tr>
        <w:trPr/>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r>
      <w:tr>
        <w:trPr/>
        <w:tc>
          <w:tcPr>
            <w:tcW w:w="590" w:type="dxa"/>
            <w:tcBorders/>
            <w:shd w:fill="DBDBDB" w:val="clear"/>
            <w:vAlign w:val="center"/>
          </w:tcPr>
          <w:p>
            <w:pPr>
              <w:pStyle w:val="TableContents"/>
              <w:spacing w:before="0" w:after="283"/>
              <w:rPr>
                <w:sz w:val="4"/>
                <w:szCs w:val="4"/>
              </w:rPr>
            </w:pPr>
            <w:r>
              <w:rPr>
                <w:sz w:val="4"/>
                <w:szCs w:val="4"/>
              </w:rPr>
            </w:r>
          </w:p>
        </w:tc>
        <w:tc>
          <w:tcPr>
            <w:tcW w:w="770" w:type="dxa"/>
            <w:gridSpan w:val="2"/>
            <w:tcBorders/>
            <w:shd w:fill="DBDBDB" w:val="clear"/>
            <w:vAlign w:val="center"/>
          </w:tcPr>
          <w:p>
            <w:pPr>
              <w:pStyle w:val="TableContents"/>
              <w:spacing w:before="0" w:after="283"/>
              <w:rPr>
                <w:sz w:val="4"/>
                <w:szCs w:val="4"/>
              </w:rPr>
            </w:pPr>
            <w:r>
              <w:rPr>
                <w:sz w:val="4"/>
                <w:szCs w:val="4"/>
              </w:rPr>
            </w:r>
          </w:p>
        </w:tc>
        <w:tc>
          <w:tcPr>
            <w:tcW w:w="4020" w:type="dxa"/>
            <w:gridSpan w:val="6"/>
            <w:tcBorders/>
            <w:shd w:fill="DBDBDB" w:val="clear"/>
            <w:vAlign w:val="center"/>
          </w:tcPr>
          <w:p>
            <w:pPr>
              <w:pStyle w:val="TableContents"/>
              <w:spacing w:before="0" w:after="283"/>
              <w:rPr>
                <w:sz w:val="4"/>
                <w:szCs w:val="4"/>
              </w:rPr>
            </w:pPr>
            <w:r>
              <w:rPr>
                <w:sz w:val="4"/>
                <w:szCs w:val="4"/>
              </w:rPr>
            </w:r>
          </w:p>
        </w:tc>
        <w:tc>
          <w:tcPr>
            <w:tcW w:w="120" w:type="dxa"/>
            <w:gridSpan w:val="2"/>
            <w:tcBorders/>
            <w:shd w:fill="DBDBDB" w:val="clear"/>
            <w:vAlign w:val="center"/>
          </w:tcPr>
          <w:p>
            <w:pPr>
              <w:pStyle w:val="TableContents"/>
              <w:spacing w:before="0" w:after="283"/>
              <w:rPr>
                <w:sz w:val="4"/>
                <w:szCs w:val="4"/>
              </w:rPr>
            </w:pPr>
            <w:r>
              <w:rPr>
                <w:sz w:val="4"/>
                <w:szCs w:val="4"/>
              </w:rPr>
            </w:r>
          </w:p>
        </w:tc>
        <w:tc>
          <w:tcPr>
            <w:tcW w:w="4020" w:type="dxa"/>
            <w:gridSpan w:val="6"/>
            <w:tcBorders/>
            <w:shd w:fill="DBDBDB" w:val="clear"/>
            <w:vAlign w:val="center"/>
          </w:tcPr>
          <w:p>
            <w:pPr>
              <w:pStyle w:val="TableContents"/>
              <w:spacing w:before="0" w:after="283"/>
              <w:rPr>
                <w:sz w:val="4"/>
                <w:szCs w:val="4"/>
              </w:rPr>
            </w:pPr>
            <w:r>
              <w:rPr>
                <w:sz w:val="4"/>
                <w:szCs w:val="4"/>
              </w:rPr>
            </w:r>
          </w:p>
        </w:tc>
        <w:tc>
          <w:tcPr>
            <w:tcW w:w="1070" w:type="dxa"/>
            <w:gridSpan w:val="2"/>
            <w:tcBorders/>
            <w:shd w:fill="DBDBDB" w:val="clear"/>
            <w:vAlign w:val="center"/>
          </w:tcPr>
          <w:p>
            <w:pPr>
              <w:pStyle w:val="TableContents"/>
              <w:spacing w:before="0" w:after="283"/>
              <w:rPr>
                <w:sz w:val="4"/>
                <w:szCs w:val="4"/>
              </w:rPr>
            </w:pPr>
            <w:r>
              <w:rPr>
                <w:sz w:val="4"/>
                <w:szCs w:val="4"/>
              </w:rPr>
            </w:r>
          </w:p>
        </w:tc>
        <w:tc>
          <w:tcPr>
            <w:tcW w:w="1055" w:type="dxa"/>
            <w:gridSpan w:val="2"/>
            <w:tcBorders/>
            <w:shd w:fill="DBDBDB" w:val="clear"/>
            <w:vAlign w:val="center"/>
          </w:tcPr>
          <w:p>
            <w:pPr>
              <w:pStyle w:val="TableContents"/>
              <w:spacing w:before="0" w:after="283"/>
              <w:rPr>
                <w:sz w:val="4"/>
                <w:szCs w:val="4"/>
              </w:rPr>
            </w:pPr>
            <w:r>
              <w:rPr>
                <w:sz w:val="4"/>
                <w:szCs w:val="4"/>
              </w:rPr>
            </w:r>
          </w:p>
        </w:tc>
      </w:tr>
      <w:tr>
        <w:trPr/>
        <w:tc>
          <w:tcPr>
            <w:tcW w:w="59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710" w:type="dxa"/>
            <w:tcBorders/>
            <w:shd w:fill="DBDBDB" w:val="clear"/>
            <w:vAlign w:val="center"/>
          </w:tcPr>
          <w:p>
            <w:pPr>
              <w:pStyle w:val="TableContents"/>
              <w:spacing w:before="0" w:after="283"/>
              <w:rPr/>
            </w:pPr>
            <w:r>
              <w:rPr/>
              <w:t> </w:t>
            </w:r>
          </w:p>
        </w:tc>
        <w:tc>
          <w:tcPr>
            <w:tcW w:w="60" w:type="dxa"/>
            <w:tcBorders>
              <w:bottom w:val="single" w:sz="8" w:space="0" w:color="000000"/>
            </w:tcBorders>
            <w:shd w:fill="DBDBDB" w:val="clear"/>
            <w:tcMar>
              <w:bottom w:w="28" w:type="dxa"/>
            </w:tcMar>
            <w:vAlign w:val="center"/>
          </w:tcPr>
          <w:p>
            <w:pPr>
              <w:pStyle w:val="TableContents"/>
              <w:spacing w:before="0" w:after="283"/>
              <w:rPr/>
            </w:pPr>
            <w:r>
              <w:rPr/>
              <w:t> </w:t>
            </w:r>
          </w:p>
        </w:tc>
        <w:tc>
          <w:tcPr>
            <w:tcW w:w="3960" w:type="dxa"/>
            <w:gridSpan w:val="5"/>
            <w:tcBorders>
              <w:bottom w:val="single" w:sz="8" w:space="0" w:color="000000"/>
            </w:tcBorders>
            <w:shd w:fill="DBDBDB" w:val="clear"/>
            <w:tcMar>
              <w:bottom w:w="28" w:type="dxa"/>
            </w:tcMar>
            <w:vAlign w:val="center"/>
          </w:tcPr>
          <w:p>
            <w:pPr>
              <w:pStyle w:val="TableContents"/>
              <w:spacing w:before="0" w:after="283"/>
              <w:jc w:val="center"/>
              <w:rPr>
                <w:b/>
              </w:rPr>
            </w:pPr>
            <w:r>
              <w:rPr>
                <w:b/>
              </w:rPr>
              <w:t>Estimated Future Payouts Under</w:t>
              <w:br/>
              <w:t>Non-Equity Incentive Plan Award</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rPr/>
            </w:pPr>
            <w:r>
              <w:rPr/>
              <w:t> </w:t>
            </w:r>
          </w:p>
          <w:p>
            <w:pPr>
              <w:pStyle w:val="TableContents"/>
              <w:spacing w:before="0" w:after="0"/>
              <w:rPr/>
            </w:pPr>
            <w:r>
              <w:rPr/>
              <w:t> </w:t>
            </w:r>
          </w:p>
        </w:tc>
        <w:tc>
          <w:tcPr>
            <w:tcW w:w="60" w:type="dxa"/>
            <w:tcBorders>
              <w:bottom w:val="single" w:sz="8" w:space="0" w:color="000000"/>
            </w:tcBorders>
            <w:shd w:fill="DBDBDB" w:val="clear"/>
            <w:tcMar>
              <w:bottom w:w="28" w:type="dxa"/>
            </w:tcMar>
            <w:vAlign w:val="center"/>
          </w:tcPr>
          <w:p>
            <w:pPr>
              <w:pStyle w:val="TableContents"/>
              <w:spacing w:before="0" w:after="283"/>
              <w:rPr/>
            </w:pPr>
            <w:r>
              <w:rPr/>
              <w:t> </w:t>
            </w:r>
          </w:p>
        </w:tc>
        <w:tc>
          <w:tcPr>
            <w:tcW w:w="3960" w:type="dxa"/>
            <w:gridSpan w:val="5"/>
            <w:tcBorders>
              <w:bottom w:val="single" w:sz="8" w:space="0" w:color="000000"/>
            </w:tcBorders>
            <w:shd w:fill="DBDBDB" w:val="clear"/>
            <w:tcMar>
              <w:bottom w:w="28" w:type="dxa"/>
            </w:tcMar>
            <w:vAlign w:val="center"/>
          </w:tcPr>
          <w:p>
            <w:pPr>
              <w:pStyle w:val="TableContents"/>
              <w:spacing w:before="0" w:after="283"/>
              <w:jc w:val="center"/>
              <w:rPr>
                <w:b/>
              </w:rPr>
            </w:pPr>
            <w:r>
              <w:rPr>
                <w:b/>
              </w:rPr>
              <w:t>Estimated Future Payouts Under Equity</w:t>
              <w:br/>
              <w:t>Incentive Plan Awards</w:t>
            </w:r>
          </w:p>
        </w:tc>
        <w:tc>
          <w:tcPr>
            <w:tcW w:w="60" w:type="dxa"/>
            <w:vMerge w:val="restart"/>
            <w:tcBorders/>
            <w:shd w:fill="DBDBDB" w:val="clear"/>
            <w:vAlign w:val="center"/>
          </w:tcPr>
          <w:p>
            <w:pPr>
              <w:pStyle w:val="TableContents"/>
              <w:spacing w:before="0" w:after="283"/>
              <w:rPr/>
            </w:pPr>
            <w:r>
              <w:rPr/>
              <w:t> </w:t>
            </w:r>
          </w:p>
        </w:tc>
        <w:tc>
          <w:tcPr>
            <w:tcW w:w="1010" w:type="dxa"/>
            <w:vMerge w:val="restart"/>
            <w:tcBorders/>
            <w:shd w:fill="DBDBDB" w:val="clear"/>
            <w:vAlign w:val="center"/>
          </w:tcPr>
          <w:p>
            <w:pPr>
              <w:pStyle w:val="TableContents"/>
              <w:spacing w:before="0" w:after="0"/>
              <w:jc w:val="center"/>
              <w:rPr>
                <w:rFonts w:ascii="ARIAL" w:hAnsi="ARIAL"/>
                <w:b/>
                <w:sz w:val="14"/>
              </w:rPr>
            </w:pPr>
            <w:r>
              <w:rPr>
                <w:rFonts w:ascii="ARIAL" w:hAnsi="ARIAL"/>
                <w:b/>
                <w:sz w:val="14"/>
              </w:rPr>
              <w:t>All Other Stock</w:t>
              <w:br/>
              <w:t>Awards:</w:t>
              <w:br/>
              <w:t>Number of</w:t>
              <w:br/>
              <w:t>Shares of</w:t>
              <w:br/>
              <w:t>Stock or</w:t>
              <w:br/>
              <w:t>Units (#)</w:t>
            </w:r>
          </w:p>
          <w:p>
            <w:pPr>
              <w:pStyle w:val="TableContents"/>
              <w:spacing w:before="0" w:after="20"/>
              <w:jc w:val="center"/>
              <w:rPr>
                <w:rFonts w:ascii="ARIAL" w:hAnsi="ARIAL"/>
                <w:sz w:val="14"/>
              </w:rPr>
            </w:pPr>
            <w:r>
              <w:rPr>
                <w:rFonts w:ascii="ARIAL" w:hAnsi="ARIAL"/>
                <w:sz w:val="14"/>
              </w:rPr>
              <w:t>(i)</w:t>
            </w:r>
          </w:p>
        </w:tc>
        <w:tc>
          <w:tcPr>
            <w:tcW w:w="60" w:type="dxa"/>
            <w:vMerge w:val="restart"/>
            <w:tcBorders/>
            <w:shd w:fill="DBDBDB" w:val="clear"/>
            <w:vAlign w:val="center"/>
          </w:tcPr>
          <w:p>
            <w:pPr>
              <w:pStyle w:val="TableContents"/>
              <w:spacing w:before="0" w:after="283"/>
              <w:rPr/>
            </w:pPr>
            <w:r>
              <w:rPr/>
              <w:t> </w:t>
            </w:r>
          </w:p>
        </w:tc>
        <w:tc>
          <w:tcPr>
            <w:tcW w:w="995" w:type="dxa"/>
            <w:vMerge w:val="restart"/>
            <w:tcBorders/>
            <w:shd w:fill="DBDBDB" w:val="clear"/>
            <w:vAlign w:val="center"/>
          </w:tcPr>
          <w:p>
            <w:pPr>
              <w:pStyle w:val="TableContents"/>
              <w:spacing w:before="0" w:after="0"/>
              <w:jc w:val="center"/>
              <w:rPr>
                <w:rFonts w:ascii="ARIAL" w:hAnsi="ARIAL"/>
                <w:b/>
                <w:sz w:val="14"/>
              </w:rPr>
            </w:pPr>
            <w:r>
              <w:rPr>
                <w:rFonts w:ascii="ARIAL" w:hAnsi="ARIAL"/>
                <w:b/>
                <w:sz w:val="14"/>
              </w:rPr>
              <w:t>Grant Date</w:t>
              <w:br/>
              <w:t>Fair Value of  </w:t>
              <w:br/>
              <w:t>Stock and</w:t>
              <w:br/>
              <w:t>Option</w:t>
              <w:br/>
              <w:t>Awards4</w:t>
              <w:br/>
              <w:t>($)</w:t>
            </w:r>
          </w:p>
          <w:p>
            <w:pPr>
              <w:pStyle w:val="TableContents"/>
              <w:spacing w:before="0" w:after="20"/>
              <w:jc w:val="center"/>
              <w:rPr>
                <w:rFonts w:ascii="ARIAL" w:hAnsi="ARIAL"/>
                <w:sz w:val="14"/>
              </w:rPr>
            </w:pPr>
            <w:r>
              <w:rPr>
                <w:rFonts w:ascii="ARIAL" w:hAnsi="ARIAL"/>
                <w:sz w:val="14"/>
              </w:rPr>
              <w:t>(j)</w:t>
            </w:r>
          </w:p>
        </w:tc>
      </w:tr>
      <w:tr>
        <w:trPr/>
        <w:tc>
          <w:tcPr>
            <w:tcW w:w="590" w:type="dxa"/>
            <w:vMerge w:val="restart"/>
            <w:tcBorders/>
            <w:shd w:fill="DBDBDB" w:val="clear"/>
            <w:vAlign w:val="center"/>
          </w:tcPr>
          <w:p>
            <w:pPr>
              <w:pStyle w:val="TableContents"/>
              <w:spacing w:before="0" w:after="0"/>
              <w:rPr>
                <w:rFonts w:ascii="ARIAL" w:hAnsi="ARIAL"/>
                <w:b/>
                <w:sz w:val="14"/>
              </w:rPr>
            </w:pPr>
            <w:r>
              <w:rPr>
                <w:rFonts w:ascii="ARIAL" w:hAnsi="ARIAL"/>
                <w:b/>
                <w:sz w:val="14"/>
              </w:rPr>
              <w:t>Name</w:t>
            </w:r>
          </w:p>
          <w:p>
            <w:pPr>
              <w:pStyle w:val="TableContents"/>
              <w:spacing w:before="0" w:after="20"/>
              <w:rPr>
                <w:rFonts w:ascii="ARIAL" w:hAnsi="ARIAL"/>
                <w:sz w:val="14"/>
              </w:rPr>
            </w:pPr>
            <w:r>
              <w:rPr>
                <w:rFonts w:ascii="ARIAL" w:hAnsi="ARIAL"/>
                <w:sz w:val="14"/>
              </w:rPr>
              <w:t>(a)</w:t>
            </w:r>
          </w:p>
        </w:tc>
        <w:tc>
          <w:tcPr>
            <w:tcW w:w="60" w:type="dxa"/>
            <w:vMerge w:val="restart"/>
            <w:tcBorders/>
            <w:shd w:fill="DBDBDB" w:val="clear"/>
            <w:vAlign w:val="center"/>
          </w:tcPr>
          <w:p>
            <w:pPr>
              <w:pStyle w:val="TableContents"/>
              <w:spacing w:before="0" w:after="283"/>
              <w:rPr/>
            </w:pPr>
            <w:r>
              <w:rPr/>
              <w:t> </w:t>
            </w:r>
          </w:p>
        </w:tc>
        <w:tc>
          <w:tcPr>
            <w:tcW w:w="710" w:type="dxa"/>
            <w:vMerge w:val="restart"/>
            <w:tcBorders/>
            <w:shd w:fill="DBDBDB" w:val="clear"/>
            <w:vAlign w:val="center"/>
          </w:tcPr>
          <w:p>
            <w:pPr>
              <w:pStyle w:val="TableContents"/>
              <w:spacing w:before="0" w:after="0"/>
              <w:jc w:val="center"/>
              <w:rPr>
                <w:rFonts w:ascii="ARIAL" w:hAnsi="ARIAL"/>
                <w:b/>
                <w:sz w:val="14"/>
              </w:rPr>
            </w:pPr>
            <w:r>
              <w:rPr>
                <w:rFonts w:ascii="ARIAL" w:hAnsi="ARIAL"/>
                <w:b/>
                <w:sz w:val="14"/>
              </w:rPr>
              <w:t>Grant Date</w:t>
            </w:r>
          </w:p>
          <w:p>
            <w:pPr>
              <w:pStyle w:val="TableContents"/>
              <w:spacing w:before="0" w:after="20"/>
              <w:jc w:val="center"/>
              <w:rPr>
                <w:rFonts w:ascii="ARIAL" w:hAnsi="ARIAL"/>
                <w:sz w:val="14"/>
              </w:rPr>
            </w:pPr>
            <w:r>
              <w:rPr>
                <w:rFonts w:ascii="ARIAL" w:hAnsi="ARIAL"/>
                <w:sz w:val="14"/>
              </w:rPr>
              <w:t>(b)</w:t>
            </w:r>
          </w:p>
        </w:tc>
        <w:tc>
          <w:tcPr>
            <w:tcW w:w="60" w:type="dxa"/>
            <w:tcBorders/>
            <w:shd w:fill="DBDBDB" w:val="clear"/>
            <w:vAlign w:val="center"/>
          </w:tcPr>
          <w:p>
            <w:pPr>
              <w:pStyle w:val="TableContents"/>
              <w:spacing w:before="0" w:after="283"/>
              <w:rPr/>
            </w:pPr>
            <w:r>
              <w:rPr/>
              <w:t> </w:t>
            </w:r>
          </w:p>
        </w:tc>
        <w:tc>
          <w:tcPr>
            <w:tcW w:w="1400" w:type="dxa"/>
            <w:tcBorders/>
            <w:shd w:fill="DBDBDB" w:val="clear"/>
            <w:vAlign w:val="center"/>
          </w:tcPr>
          <w:p>
            <w:pPr>
              <w:pStyle w:val="TableContents"/>
              <w:spacing w:before="0" w:after="283"/>
              <w:jc w:val="center"/>
              <w:rPr>
                <w:b/>
              </w:rPr>
            </w:pPr>
            <w:r>
              <w:rPr>
                <w:b/>
              </w:rPr>
              <w:t>Threshold ($)</w:t>
            </w:r>
          </w:p>
        </w:tc>
        <w:tc>
          <w:tcPr>
            <w:tcW w:w="60" w:type="dxa"/>
            <w:tcBorders/>
            <w:shd w:fill="DBDBDB" w:val="clear"/>
            <w:vAlign w:val="center"/>
          </w:tcPr>
          <w:p>
            <w:pPr>
              <w:pStyle w:val="TableContents"/>
              <w:spacing w:before="0" w:after="283"/>
              <w:rPr/>
            </w:pPr>
            <w:r>
              <w:rPr/>
              <w:t> </w:t>
            </w:r>
          </w:p>
        </w:tc>
        <w:tc>
          <w:tcPr>
            <w:tcW w:w="1040" w:type="dxa"/>
            <w:tcBorders/>
            <w:shd w:fill="DBDBDB" w:val="clear"/>
            <w:vAlign w:val="center"/>
          </w:tcPr>
          <w:p>
            <w:pPr>
              <w:pStyle w:val="TableContents"/>
              <w:spacing w:before="0" w:after="283"/>
              <w:jc w:val="center"/>
              <w:rPr>
                <w:b/>
              </w:rPr>
            </w:pPr>
            <w:r>
              <w:rPr>
                <w:b/>
              </w:rPr>
              <w:t>Target ($)</w:t>
            </w:r>
          </w:p>
        </w:tc>
        <w:tc>
          <w:tcPr>
            <w:tcW w:w="60" w:type="dxa"/>
            <w:tcBorders/>
            <w:shd w:fill="DBDBDB" w:val="clear"/>
            <w:vAlign w:val="center"/>
          </w:tcPr>
          <w:p>
            <w:pPr>
              <w:pStyle w:val="TableContents"/>
              <w:spacing w:before="0" w:after="283"/>
              <w:rPr/>
            </w:pPr>
            <w:r>
              <w:rPr/>
              <w:t> </w:t>
            </w:r>
          </w:p>
        </w:tc>
        <w:tc>
          <w:tcPr>
            <w:tcW w:w="1400" w:type="dxa"/>
            <w:tcBorders/>
            <w:shd w:fill="DBDBDB" w:val="clear"/>
            <w:vAlign w:val="center"/>
          </w:tcPr>
          <w:p>
            <w:pPr>
              <w:pStyle w:val="TableContents"/>
              <w:spacing w:before="0" w:after="283"/>
              <w:jc w:val="center"/>
              <w:rPr>
                <w:b/>
              </w:rPr>
            </w:pPr>
            <w:r>
              <w:rPr>
                <w:b/>
              </w:rPr>
              <w:t>Maximum ($)</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400" w:type="dxa"/>
            <w:tcBorders/>
            <w:shd w:fill="DBDBDB" w:val="clear"/>
            <w:vAlign w:val="center"/>
          </w:tcPr>
          <w:p>
            <w:pPr>
              <w:pStyle w:val="TableContents"/>
              <w:spacing w:before="0" w:after="283"/>
              <w:jc w:val="center"/>
              <w:rPr>
                <w:b/>
              </w:rPr>
            </w:pPr>
            <w:r>
              <w:rPr>
                <w:b/>
              </w:rPr>
              <w:t>Threshold (#)</w:t>
            </w:r>
          </w:p>
        </w:tc>
        <w:tc>
          <w:tcPr>
            <w:tcW w:w="60" w:type="dxa"/>
            <w:tcBorders/>
            <w:shd w:fill="DBDBDB" w:val="clear"/>
            <w:vAlign w:val="center"/>
          </w:tcPr>
          <w:p>
            <w:pPr>
              <w:pStyle w:val="TableContents"/>
              <w:spacing w:before="0" w:after="283"/>
              <w:rPr/>
            </w:pPr>
            <w:r>
              <w:rPr/>
              <w:t> </w:t>
            </w:r>
          </w:p>
        </w:tc>
        <w:tc>
          <w:tcPr>
            <w:tcW w:w="1040" w:type="dxa"/>
            <w:tcBorders/>
            <w:shd w:fill="DBDBDB" w:val="clear"/>
            <w:vAlign w:val="center"/>
          </w:tcPr>
          <w:p>
            <w:pPr>
              <w:pStyle w:val="TableContents"/>
              <w:spacing w:before="0" w:after="283"/>
              <w:jc w:val="center"/>
              <w:rPr>
                <w:b/>
              </w:rPr>
            </w:pPr>
            <w:r>
              <w:rPr>
                <w:b/>
              </w:rPr>
              <w:t>Target (#)</w:t>
            </w:r>
          </w:p>
        </w:tc>
        <w:tc>
          <w:tcPr>
            <w:tcW w:w="60" w:type="dxa"/>
            <w:tcBorders/>
            <w:shd w:fill="DBDBDB" w:val="clear"/>
            <w:vAlign w:val="center"/>
          </w:tcPr>
          <w:p>
            <w:pPr>
              <w:pStyle w:val="TableContents"/>
              <w:spacing w:before="0" w:after="283"/>
              <w:rPr/>
            </w:pPr>
            <w:r>
              <w:rPr/>
              <w:t> </w:t>
            </w:r>
          </w:p>
        </w:tc>
        <w:tc>
          <w:tcPr>
            <w:tcW w:w="1400" w:type="dxa"/>
            <w:tcBorders/>
            <w:shd w:fill="DBDBDB" w:val="clear"/>
            <w:vAlign w:val="center"/>
          </w:tcPr>
          <w:p>
            <w:pPr>
              <w:pStyle w:val="TableContents"/>
              <w:spacing w:before="0" w:after="283"/>
              <w:jc w:val="center"/>
              <w:rPr>
                <w:b/>
              </w:rPr>
            </w:pPr>
            <w:r>
              <w:rPr>
                <w:b/>
              </w:rPr>
              <w:t>Maximum (#)</w:t>
            </w:r>
          </w:p>
        </w:tc>
        <w:tc>
          <w:tcPr>
            <w:tcW w:w="60" w:type="dxa"/>
            <w:vMerge w:val="continue"/>
            <w:tcBorders/>
            <w:shd w:fill="DBDBDB" w:val="clear"/>
            <w:vAlign w:val="center"/>
          </w:tcPr>
          <w:p>
            <w:pPr>
              <w:pStyle w:val="Normal"/>
              <w:rPr/>
            </w:pPr>
            <w:r>
              <w:rPr/>
            </w:r>
          </w:p>
        </w:tc>
        <w:tc>
          <w:tcPr>
            <w:tcW w:w="1010" w:type="dxa"/>
            <w:vMerge w:val="continue"/>
            <w:tcBorders/>
            <w:shd w:fill="DBDBDB" w:val="clear"/>
            <w:vAlign w:val="center"/>
          </w:tcPr>
          <w:p>
            <w:pPr>
              <w:pStyle w:val="Normal"/>
              <w:rPr/>
            </w:pPr>
            <w:r>
              <w:rPr/>
            </w:r>
          </w:p>
        </w:tc>
        <w:tc>
          <w:tcPr>
            <w:tcW w:w="60" w:type="dxa"/>
            <w:vMerge w:val="continue"/>
            <w:tcBorders/>
            <w:shd w:fill="DBDBDB" w:val="clear"/>
            <w:vAlign w:val="center"/>
          </w:tcPr>
          <w:p>
            <w:pPr>
              <w:pStyle w:val="Normal"/>
              <w:rPr/>
            </w:pPr>
            <w:r>
              <w:rPr/>
            </w:r>
          </w:p>
        </w:tc>
        <w:tc>
          <w:tcPr>
            <w:tcW w:w="995" w:type="dxa"/>
            <w:vMerge w:val="continue"/>
            <w:tcBorders/>
            <w:shd w:fill="DBDBDB" w:val="clear"/>
            <w:vAlign w:val="center"/>
          </w:tcPr>
          <w:p>
            <w:pPr>
              <w:pStyle w:val="Normal"/>
              <w:rPr/>
            </w:pPr>
            <w:r>
              <w:rPr/>
            </w:r>
          </w:p>
        </w:tc>
      </w:tr>
      <w:tr>
        <w:trPr/>
        <w:tc>
          <w:tcPr>
            <w:tcW w:w="590" w:type="dxa"/>
            <w:vMerge w:val="continue"/>
            <w:tcBorders/>
            <w:shd w:fill="DBDBDB" w:val="clear"/>
            <w:vAlign w:val="center"/>
          </w:tcPr>
          <w:p>
            <w:pPr>
              <w:pStyle w:val="Normal"/>
              <w:rPr/>
            </w:pPr>
            <w:r>
              <w:rPr/>
            </w:r>
          </w:p>
        </w:tc>
        <w:tc>
          <w:tcPr>
            <w:tcW w:w="60" w:type="dxa"/>
            <w:vMerge w:val="continue"/>
            <w:tcBorders/>
            <w:shd w:fill="DBDBDB" w:val="clear"/>
            <w:vAlign w:val="center"/>
          </w:tcPr>
          <w:p>
            <w:pPr>
              <w:pStyle w:val="Normal"/>
              <w:rPr/>
            </w:pPr>
            <w:r>
              <w:rPr/>
            </w:r>
          </w:p>
        </w:tc>
        <w:tc>
          <w:tcPr>
            <w:tcW w:w="710" w:type="dxa"/>
            <w:vMerge w:val="continue"/>
            <w:tcBorders/>
            <w:shd w:fill="DBDBDB" w:val="clear"/>
            <w:vAlign w:val="center"/>
          </w:tcPr>
          <w:p>
            <w:pPr>
              <w:pStyle w:val="Normal"/>
              <w:rPr/>
            </w:pPr>
            <w:r>
              <w:rPr/>
            </w:r>
          </w:p>
        </w:tc>
        <w:tc>
          <w:tcPr>
            <w:tcW w:w="60" w:type="dxa"/>
            <w:tcBorders/>
            <w:shd w:fill="DBDBDB" w:val="clear"/>
            <w:vAlign w:val="center"/>
          </w:tcPr>
          <w:p>
            <w:pPr>
              <w:pStyle w:val="TableContents"/>
              <w:spacing w:before="0" w:after="283"/>
              <w:rPr/>
            </w:pPr>
            <w:r>
              <w:rPr/>
              <w:t> </w:t>
            </w:r>
          </w:p>
        </w:tc>
        <w:tc>
          <w:tcPr>
            <w:tcW w:w="1400" w:type="dxa"/>
            <w:tcBorders/>
            <w:shd w:fill="DBDBDB" w:val="clear"/>
            <w:vAlign w:val="center"/>
          </w:tcPr>
          <w:p>
            <w:pPr>
              <w:pStyle w:val="TableContents"/>
              <w:spacing w:before="0" w:after="283"/>
              <w:jc w:val="center"/>
              <w:rPr/>
            </w:pPr>
            <w:r>
              <w:rPr/>
              <w:t>(c)</w:t>
            </w:r>
          </w:p>
        </w:tc>
        <w:tc>
          <w:tcPr>
            <w:tcW w:w="60" w:type="dxa"/>
            <w:tcBorders/>
            <w:shd w:fill="DBDBDB" w:val="clear"/>
            <w:vAlign w:val="center"/>
          </w:tcPr>
          <w:p>
            <w:pPr>
              <w:pStyle w:val="TableContents"/>
              <w:spacing w:before="0" w:after="283"/>
              <w:rPr/>
            </w:pPr>
            <w:r>
              <w:rPr/>
              <w:t> </w:t>
            </w:r>
          </w:p>
        </w:tc>
        <w:tc>
          <w:tcPr>
            <w:tcW w:w="1040" w:type="dxa"/>
            <w:tcBorders/>
            <w:shd w:fill="DBDBDB" w:val="clear"/>
            <w:vAlign w:val="center"/>
          </w:tcPr>
          <w:p>
            <w:pPr>
              <w:pStyle w:val="TableContents"/>
              <w:spacing w:before="0" w:after="283"/>
              <w:jc w:val="center"/>
              <w:rPr/>
            </w:pPr>
            <w:r>
              <w:rPr/>
              <w:t>(d)</w:t>
            </w:r>
          </w:p>
        </w:tc>
        <w:tc>
          <w:tcPr>
            <w:tcW w:w="60" w:type="dxa"/>
            <w:tcBorders/>
            <w:shd w:fill="DBDBDB" w:val="clear"/>
            <w:vAlign w:val="center"/>
          </w:tcPr>
          <w:p>
            <w:pPr>
              <w:pStyle w:val="TableContents"/>
              <w:spacing w:before="0" w:after="283"/>
              <w:rPr/>
            </w:pPr>
            <w:r>
              <w:rPr/>
              <w:t> </w:t>
            </w:r>
          </w:p>
        </w:tc>
        <w:tc>
          <w:tcPr>
            <w:tcW w:w="1400" w:type="dxa"/>
            <w:tcBorders/>
            <w:shd w:fill="DBDBDB" w:val="clear"/>
            <w:vAlign w:val="center"/>
          </w:tcPr>
          <w:p>
            <w:pPr>
              <w:pStyle w:val="TableContents"/>
              <w:spacing w:before="0" w:after="283"/>
              <w:jc w:val="center"/>
              <w:rPr/>
            </w:pPr>
            <w:r>
              <w:rPr/>
              <w:t>(e)</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400" w:type="dxa"/>
            <w:tcBorders/>
            <w:shd w:fill="DBDBDB" w:val="clear"/>
            <w:vAlign w:val="center"/>
          </w:tcPr>
          <w:p>
            <w:pPr>
              <w:pStyle w:val="TableContents"/>
              <w:spacing w:before="0" w:after="283"/>
              <w:jc w:val="center"/>
              <w:rPr/>
            </w:pPr>
            <w:r>
              <w:rPr/>
              <w:t>(f)</w:t>
            </w:r>
          </w:p>
        </w:tc>
        <w:tc>
          <w:tcPr>
            <w:tcW w:w="60" w:type="dxa"/>
            <w:tcBorders/>
            <w:shd w:fill="DBDBDB" w:val="clear"/>
            <w:vAlign w:val="center"/>
          </w:tcPr>
          <w:p>
            <w:pPr>
              <w:pStyle w:val="TableContents"/>
              <w:spacing w:before="0" w:after="283"/>
              <w:rPr/>
            </w:pPr>
            <w:r>
              <w:rPr/>
              <w:t> </w:t>
            </w:r>
          </w:p>
        </w:tc>
        <w:tc>
          <w:tcPr>
            <w:tcW w:w="1040" w:type="dxa"/>
            <w:tcBorders/>
            <w:shd w:fill="DBDBDB" w:val="clear"/>
            <w:vAlign w:val="center"/>
          </w:tcPr>
          <w:p>
            <w:pPr>
              <w:pStyle w:val="TableContents"/>
              <w:spacing w:before="0" w:after="283"/>
              <w:jc w:val="center"/>
              <w:rPr/>
            </w:pPr>
            <w:r>
              <w:rPr/>
              <w:t>(g)</w:t>
            </w:r>
          </w:p>
        </w:tc>
        <w:tc>
          <w:tcPr>
            <w:tcW w:w="60" w:type="dxa"/>
            <w:tcBorders/>
            <w:shd w:fill="DBDBDB" w:val="clear"/>
            <w:vAlign w:val="center"/>
          </w:tcPr>
          <w:p>
            <w:pPr>
              <w:pStyle w:val="TableContents"/>
              <w:spacing w:before="0" w:after="283"/>
              <w:rPr/>
            </w:pPr>
            <w:r>
              <w:rPr/>
              <w:t> </w:t>
            </w:r>
          </w:p>
        </w:tc>
        <w:tc>
          <w:tcPr>
            <w:tcW w:w="1400" w:type="dxa"/>
            <w:tcBorders/>
            <w:shd w:fill="DBDBDB" w:val="clear"/>
            <w:vAlign w:val="center"/>
          </w:tcPr>
          <w:p>
            <w:pPr>
              <w:pStyle w:val="TableContents"/>
              <w:spacing w:before="0" w:after="283"/>
              <w:jc w:val="center"/>
              <w:rPr/>
            </w:pPr>
            <w:r>
              <w:rPr/>
              <w:t>(h)</w:t>
            </w:r>
          </w:p>
        </w:tc>
        <w:tc>
          <w:tcPr>
            <w:tcW w:w="60" w:type="dxa"/>
            <w:vMerge w:val="continue"/>
            <w:tcBorders/>
            <w:shd w:fill="DBDBDB" w:val="clear"/>
            <w:vAlign w:val="center"/>
          </w:tcPr>
          <w:p>
            <w:pPr>
              <w:pStyle w:val="Normal"/>
              <w:rPr/>
            </w:pPr>
            <w:r>
              <w:rPr/>
            </w:r>
          </w:p>
        </w:tc>
        <w:tc>
          <w:tcPr>
            <w:tcW w:w="1010" w:type="dxa"/>
            <w:vMerge w:val="continue"/>
            <w:tcBorders/>
            <w:shd w:fill="DBDBDB" w:val="clear"/>
            <w:vAlign w:val="center"/>
          </w:tcPr>
          <w:p>
            <w:pPr>
              <w:pStyle w:val="Normal"/>
              <w:rPr/>
            </w:pPr>
            <w:r>
              <w:rPr/>
            </w:r>
          </w:p>
        </w:tc>
        <w:tc>
          <w:tcPr>
            <w:tcW w:w="60" w:type="dxa"/>
            <w:vMerge w:val="continue"/>
            <w:tcBorders/>
            <w:shd w:fill="DBDBDB" w:val="clear"/>
            <w:vAlign w:val="center"/>
          </w:tcPr>
          <w:p>
            <w:pPr>
              <w:pStyle w:val="Normal"/>
              <w:rPr/>
            </w:pPr>
            <w:r>
              <w:rPr/>
            </w:r>
          </w:p>
        </w:tc>
        <w:tc>
          <w:tcPr>
            <w:tcW w:w="995" w:type="dxa"/>
            <w:vMerge w:val="continue"/>
            <w:tcBorders/>
            <w:shd w:fill="DBDBDB" w:val="clear"/>
            <w:vAlign w:val="center"/>
          </w:tcPr>
          <w:p>
            <w:pPr>
              <w:pStyle w:val="Normal"/>
              <w:rPr/>
            </w:pPr>
            <w:r>
              <w:rPr/>
            </w:r>
          </w:p>
        </w:tc>
      </w:tr>
      <w:tr>
        <w:trPr/>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rPr>
                <w:sz w:val="4"/>
                <w:szCs w:val="4"/>
              </w:rPr>
            </w:pPr>
            <w:r>
              <w:rPr>
                <w:sz w:val="4"/>
                <w:szCs w:val="4"/>
              </w:rPr>
            </w:r>
          </w:p>
        </w:tc>
      </w:tr>
      <w:tr>
        <w:trPr/>
        <w:tc>
          <w:tcPr>
            <w:tcW w:w="590" w:type="dxa"/>
            <w:tcBorders/>
            <w:shd w:fill="auto" w:val="clear"/>
            <w:vAlign w:val="center"/>
          </w:tcPr>
          <w:p>
            <w:pPr>
              <w:pStyle w:val="TableContents"/>
              <w:spacing w:before="0" w:after="283"/>
              <w:rPr>
                <w:sz w:val="4"/>
                <w:szCs w:val="4"/>
              </w:rPr>
            </w:pPr>
            <w:r>
              <w:rPr>
                <w:sz w:val="4"/>
                <w:szCs w:val="4"/>
              </w:rPr>
            </w:r>
          </w:p>
        </w:tc>
        <w:tc>
          <w:tcPr>
            <w:tcW w:w="77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10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2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10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070" w:type="dxa"/>
            <w:gridSpan w:val="2"/>
            <w:tcBorders/>
            <w:shd w:fill="F2F8FB" w:val="clear"/>
            <w:vAlign w:val="center"/>
          </w:tcPr>
          <w:p>
            <w:pPr>
              <w:pStyle w:val="TableContents"/>
              <w:spacing w:before="0" w:after="283"/>
              <w:rPr>
                <w:sz w:val="4"/>
                <w:szCs w:val="4"/>
              </w:rPr>
            </w:pPr>
            <w:r>
              <w:rPr>
                <w:sz w:val="4"/>
                <w:szCs w:val="4"/>
              </w:rPr>
            </w:r>
          </w:p>
        </w:tc>
        <w:tc>
          <w:tcPr>
            <w:tcW w:w="1055" w:type="dxa"/>
            <w:gridSpan w:val="2"/>
            <w:tcBorders/>
            <w:shd w:fill="F2F8FB" w:val="clear"/>
            <w:vAlign w:val="center"/>
          </w:tcPr>
          <w:p>
            <w:pPr>
              <w:pStyle w:val="TableContents"/>
              <w:spacing w:before="0" w:after="283"/>
              <w:rPr>
                <w:sz w:val="4"/>
                <w:szCs w:val="4"/>
              </w:rPr>
            </w:pPr>
            <w:r>
              <w:rPr>
                <w:sz w:val="4"/>
                <w:szCs w:val="4"/>
              </w:rPr>
            </w:r>
          </w:p>
        </w:tc>
      </w:tr>
      <w:tr>
        <w:trPr/>
        <w:tc>
          <w:tcPr>
            <w:tcW w:w="590"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C. Howard Nye</w:t>
            </w:r>
          </w:p>
        </w:tc>
        <w:tc>
          <w:tcPr>
            <w:tcW w:w="60" w:type="dxa"/>
            <w:tcBorders/>
            <w:shd w:fill="F2F8FB" w:val="clear"/>
            <w:vAlign w:val="center"/>
          </w:tcPr>
          <w:p>
            <w:pPr>
              <w:pStyle w:val="TableContents"/>
              <w:spacing w:before="0" w:after="283"/>
              <w:rPr/>
            </w:pPr>
            <w:r>
              <w:rPr/>
              <w:t> </w:t>
            </w:r>
          </w:p>
        </w:tc>
        <w:tc>
          <w:tcPr>
            <w:tcW w:w="710" w:type="dxa"/>
            <w:tcBorders/>
            <w:shd w:fill="F2F8FB" w:val="clear"/>
            <w:vAlign w:val="center"/>
          </w:tcPr>
          <w:p>
            <w:pPr>
              <w:pStyle w:val="TableContents"/>
              <w:spacing w:before="0" w:after="283"/>
              <w:rPr>
                <w:color w:val="007CBA"/>
              </w:rPr>
            </w:pPr>
            <w:r>
              <w:rPr>
                <w:color w:val="007CBA"/>
              </w:rPr>
              <w:t>02/21/231</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br/>
              <w:t>                </w:t>
            </w:r>
          </w:p>
        </w:tc>
        <w:tc>
          <w:tcPr>
            <w:tcW w:w="60" w:type="dxa"/>
            <w:tcBorders/>
            <w:shd w:fill="F2F8FB" w:val="clear"/>
            <w:vAlign w:val="center"/>
          </w:tcPr>
          <w:p>
            <w:pPr>
              <w:pStyle w:val="TableContents"/>
              <w:spacing w:before="0" w:after="283"/>
              <w:rPr/>
            </w:pPr>
            <w:r>
              <w:rPr/>
              <w:t> </w:t>
            </w:r>
          </w:p>
        </w:tc>
        <w:tc>
          <w:tcPr>
            <w:tcW w:w="1040" w:type="dxa"/>
            <w:tcBorders/>
            <w:shd w:fill="F2F8FB" w:val="clear"/>
            <w:vAlign w:val="center"/>
          </w:tcPr>
          <w:p>
            <w:pPr>
              <w:pStyle w:val="TableContents"/>
              <w:spacing w:before="0" w:after="283"/>
              <w:jc w:val="center"/>
              <w:rPr/>
            </w:pPr>
            <w:r>
              <w:rPr/>
              <w:t>1,799,000</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t>7,500,000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1040" w:type="dxa"/>
            <w:tcBorders/>
            <w:shd w:fill="F2F8FB" w:val="clear"/>
            <w:vAlign w:val="center"/>
          </w:tcPr>
          <w:p>
            <w:pPr>
              <w:pStyle w:val="TableContents"/>
              <w:spacing w:before="0" w:after="283"/>
              <w:jc w:val="center"/>
              <w:rPr/>
            </w:pPr>
            <w:r>
              <w:rPr/>
              <w:t>–</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t>–</w:t>
            </w:r>
          </w:p>
        </w:tc>
        <w:tc>
          <w:tcPr>
            <w:tcW w:w="60" w:type="dxa"/>
            <w:tcBorders/>
            <w:shd w:fill="F2F8FB" w:val="clear"/>
            <w:vAlign w:val="center"/>
          </w:tcPr>
          <w:p>
            <w:pPr>
              <w:pStyle w:val="TableContents"/>
              <w:spacing w:before="0" w:after="283"/>
              <w:rPr/>
            </w:pPr>
            <w:r>
              <w:rPr/>
              <w:t> </w:t>
            </w:r>
          </w:p>
        </w:tc>
        <w:tc>
          <w:tcPr>
            <w:tcW w:w="101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995" w:type="dxa"/>
            <w:tcBorders/>
            <w:shd w:fill="F2F8FB" w:val="clear"/>
            <w:vAlign w:val="center"/>
          </w:tcPr>
          <w:p>
            <w:pPr>
              <w:pStyle w:val="TableContents"/>
              <w:spacing w:before="0" w:after="283"/>
              <w:jc w:val="center"/>
              <w:rPr/>
            </w:pPr>
            <w:r>
              <w:rPr/>
              <w:t>–</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02/18/222</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4,043</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center"/>
              <w:rPr/>
            </w:pPr>
            <w:r>
              <w:rPr/>
              <w:t>10,107</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24,257</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center"/>
              <w:rPr/>
            </w:pPr>
            <w:r>
              <w:rPr/>
              <w:t>4,143,769</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0" w:type="dxa"/>
            <w:tcBorders>
              <w:bottom w:val="dotted" w:sz="8" w:space="0" w:color="000000"/>
            </w:tcBorders>
            <w:shd w:fill="auto" w:val="clear"/>
            <w:tcMar>
              <w:bottom w:w="100" w:type="dxa"/>
            </w:tcMar>
            <w:vAlign w:val="center"/>
          </w:tcPr>
          <w:p>
            <w:pPr>
              <w:pStyle w:val="TableContents"/>
              <w:spacing w:before="0" w:after="283"/>
              <w:rPr/>
            </w:pPr>
            <w:r>
              <w:rPr/>
              <w:t>02/18/223</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4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4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10" w:type="dxa"/>
            <w:tcBorders>
              <w:bottom w:val="dotted" w:sz="8" w:space="0" w:color="000000"/>
            </w:tcBorders>
            <w:shd w:fill="auto" w:val="clear"/>
            <w:tcMar>
              <w:bottom w:w="100" w:type="dxa"/>
            </w:tcMar>
            <w:vAlign w:val="center"/>
          </w:tcPr>
          <w:p>
            <w:pPr>
              <w:pStyle w:val="TableContents"/>
              <w:spacing w:before="0" w:after="283"/>
              <w:jc w:val="center"/>
              <w:rPr/>
            </w:pPr>
            <w:r>
              <w:rPr/>
              <w:t>8,270</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95" w:type="dxa"/>
            <w:tcBorders>
              <w:bottom w:val="dotted" w:sz="8" w:space="0" w:color="000000"/>
            </w:tcBorders>
            <w:shd w:fill="auto" w:val="clear"/>
            <w:tcMar>
              <w:bottom w:w="100" w:type="dxa"/>
            </w:tcMar>
            <w:vAlign w:val="center"/>
          </w:tcPr>
          <w:p>
            <w:pPr>
              <w:pStyle w:val="TableContents"/>
              <w:spacing w:before="0" w:after="283"/>
              <w:jc w:val="center"/>
              <w:rPr/>
            </w:pPr>
            <w:r>
              <w:rPr/>
              <w:t>3,172,951</w:t>
            </w:r>
          </w:p>
        </w:tc>
      </w:tr>
      <w:tr>
        <w:trPr/>
        <w:tc>
          <w:tcPr>
            <w:tcW w:w="590" w:type="dxa"/>
            <w:tcBorders/>
            <w:shd w:fill="auto" w:val="clear"/>
            <w:vAlign w:val="center"/>
          </w:tcPr>
          <w:p>
            <w:pPr>
              <w:pStyle w:val="TableContents"/>
              <w:spacing w:before="0" w:after="283"/>
              <w:rPr>
                <w:sz w:val="4"/>
                <w:szCs w:val="4"/>
              </w:rPr>
            </w:pPr>
            <w:r>
              <w:rPr>
                <w:sz w:val="4"/>
                <w:szCs w:val="4"/>
              </w:rPr>
            </w:r>
          </w:p>
        </w:tc>
        <w:tc>
          <w:tcPr>
            <w:tcW w:w="77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10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2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10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070" w:type="dxa"/>
            <w:gridSpan w:val="2"/>
            <w:tcBorders/>
            <w:shd w:fill="F2F8FB" w:val="clear"/>
            <w:vAlign w:val="center"/>
          </w:tcPr>
          <w:p>
            <w:pPr>
              <w:pStyle w:val="TableContents"/>
              <w:spacing w:before="0" w:after="283"/>
              <w:rPr>
                <w:sz w:val="4"/>
                <w:szCs w:val="4"/>
              </w:rPr>
            </w:pPr>
            <w:r>
              <w:rPr>
                <w:sz w:val="4"/>
                <w:szCs w:val="4"/>
              </w:rPr>
            </w:r>
          </w:p>
        </w:tc>
        <w:tc>
          <w:tcPr>
            <w:tcW w:w="1055" w:type="dxa"/>
            <w:gridSpan w:val="2"/>
            <w:tcBorders/>
            <w:shd w:fill="F2F8FB" w:val="clear"/>
            <w:vAlign w:val="center"/>
          </w:tcPr>
          <w:p>
            <w:pPr>
              <w:pStyle w:val="TableContents"/>
              <w:spacing w:before="0" w:after="283"/>
              <w:rPr>
                <w:sz w:val="4"/>
                <w:szCs w:val="4"/>
              </w:rPr>
            </w:pPr>
            <w:r>
              <w:rPr>
                <w:sz w:val="4"/>
                <w:szCs w:val="4"/>
              </w:rPr>
            </w:r>
          </w:p>
        </w:tc>
      </w:tr>
      <w:tr>
        <w:trPr/>
        <w:tc>
          <w:tcPr>
            <w:tcW w:w="590"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James A. J. Nickolas</w:t>
            </w:r>
          </w:p>
        </w:tc>
        <w:tc>
          <w:tcPr>
            <w:tcW w:w="60" w:type="dxa"/>
            <w:tcBorders/>
            <w:shd w:fill="F2F8FB" w:val="clear"/>
            <w:vAlign w:val="center"/>
          </w:tcPr>
          <w:p>
            <w:pPr>
              <w:pStyle w:val="TableContents"/>
              <w:spacing w:before="0" w:after="283"/>
              <w:rPr/>
            </w:pPr>
            <w:r>
              <w:rPr/>
              <w:t> </w:t>
            </w:r>
          </w:p>
        </w:tc>
        <w:tc>
          <w:tcPr>
            <w:tcW w:w="710" w:type="dxa"/>
            <w:tcBorders/>
            <w:shd w:fill="F2F8FB" w:val="clear"/>
            <w:vAlign w:val="center"/>
          </w:tcPr>
          <w:p>
            <w:pPr>
              <w:pStyle w:val="TableContents"/>
              <w:spacing w:before="0" w:after="283"/>
              <w:rPr>
                <w:color w:val="007CBA"/>
              </w:rPr>
            </w:pPr>
            <w:r>
              <w:rPr>
                <w:color w:val="007CBA"/>
              </w:rPr>
              <w:t>02/21/231</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br/>
              <w:t>                </w:t>
            </w:r>
          </w:p>
        </w:tc>
        <w:tc>
          <w:tcPr>
            <w:tcW w:w="60" w:type="dxa"/>
            <w:tcBorders/>
            <w:shd w:fill="F2F8FB" w:val="clear"/>
            <w:vAlign w:val="center"/>
          </w:tcPr>
          <w:p>
            <w:pPr>
              <w:pStyle w:val="TableContents"/>
              <w:spacing w:before="0" w:after="283"/>
              <w:rPr/>
            </w:pPr>
            <w:r>
              <w:rPr/>
              <w:t> </w:t>
            </w:r>
          </w:p>
        </w:tc>
        <w:tc>
          <w:tcPr>
            <w:tcW w:w="1040" w:type="dxa"/>
            <w:tcBorders/>
            <w:shd w:fill="F2F8FB" w:val="clear"/>
            <w:vAlign w:val="center"/>
          </w:tcPr>
          <w:p>
            <w:pPr>
              <w:pStyle w:val="TableContents"/>
              <w:spacing w:before="0" w:after="283"/>
              <w:jc w:val="center"/>
              <w:rPr/>
            </w:pPr>
            <w:r>
              <w:rPr/>
              <w:t>472,500</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t>7,500,000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1040" w:type="dxa"/>
            <w:tcBorders/>
            <w:shd w:fill="F2F8FB" w:val="clear"/>
            <w:vAlign w:val="center"/>
          </w:tcPr>
          <w:p>
            <w:pPr>
              <w:pStyle w:val="TableContents"/>
              <w:spacing w:before="0" w:after="283"/>
              <w:jc w:val="center"/>
              <w:rPr/>
            </w:pPr>
            <w:r>
              <w:rPr/>
              <w:t>–</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t>–</w:t>
            </w:r>
          </w:p>
        </w:tc>
        <w:tc>
          <w:tcPr>
            <w:tcW w:w="60" w:type="dxa"/>
            <w:tcBorders/>
            <w:shd w:fill="F2F8FB" w:val="clear"/>
            <w:vAlign w:val="center"/>
          </w:tcPr>
          <w:p>
            <w:pPr>
              <w:pStyle w:val="TableContents"/>
              <w:spacing w:before="0" w:after="283"/>
              <w:rPr/>
            </w:pPr>
            <w:r>
              <w:rPr/>
              <w:t> </w:t>
            </w:r>
          </w:p>
        </w:tc>
        <w:tc>
          <w:tcPr>
            <w:tcW w:w="101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995" w:type="dxa"/>
            <w:tcBorders/>
            <w:shd w:fill="F2F8FB" w:val="clear"/>
            <w:vAlign w:val="center"/>
          </w:tcPr>
          <w:p>
            <w:pPr>
              <w:pStyle w:val="TableContents"/>
              <w:spacing w:before="0" w:after="283"/>
              <w:jc w:val="center"/>
              <w:rPr/>
            </w:pPr>
            <w:r>
              <w:rPr/>
              <w:t>–</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02/18/222</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   </w:t>
            </w:r>
            <w:r>
              <w:rPr/>
              <w:t>738</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center"/>
              <w:rPr/>
            </w:pPr>
            <w:r>
              <w:rPr/>
              <w:t>  </w:t>
            </w:r>
            <w:r>
              <w:rPr/>
              <w:t>1,843</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  </w:t>
            </w:r>
            <w:r>
              <w:rPr/>
              <w:t>4,424</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center"/>
              <w:rPr/>
            </w:pPr>
            <w:r>
              <w:rPr/>
              <w:t>   </w:t>
            </w:r>
            <w:r>
              <w:rPr/>
              <w:t>755,612</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0" w:type="dxa"/>
            <w:tcBorders>
              <w:bottom w:val="dotted" w:sz="8" w:space="0" w:color="000000"/>
            </w:tcBorders>
            <w:shd w:fill="auto" w:val="clear"/>
            <w:tcMar>
              <w:bottom w:w="100" w:type="dxa"/>
            </w:tcMar>
            <w:vAlign w:val="center"/>
          </w:tcPr>
          <w:p>
            <w:pPr>
              <w:pStyle w:val="TableContents"/>
              <w:spacing w:before="0" w:after="283"/>
              <w:rPr/>
            </w:pPr>
            <w:r>
              <w:rPr/>
              <w:t>02/18/223</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4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4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10" w:type="dxa"/>
            <w:tcBorders>
              <w:bottom w:val="dotted" w:sz="8" w:space="0" w:color="000000"/>
            </w:tcBorders>
            <w:shd w:fill="auto" w:val="clear"/>
            <w:tcMar>
              <w:bottom w:w="100" w:type="dxa"/>
            </w:tcMar>
            <w:vAlign w:val="center"/>
          </w:tcPr>
          <w:p>
            <w:pPr>
              <w:pStyle w:val="TableContents"/>
              <w:spacing w:before="0" w:after="283"/>
              <w:jc w:val="center"/>
              <w:rPr/>
            </w:pPr>
            <w:r>
              <w:rPr/>
              <w:t>1,508</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95" w:type="dxa"/>
            <w:tcBorders>
              <w:bottom w:val="dotted" w:sz="8" w:space="0" w:color="000000"/>
            </w:tcBorders>
            <w:shd w:fill="auto" w:val="clear"/>
            <w:tcMar>
              <w:bottom w:w="100" w:type="dxa"/>
            </w:tcMar>
            <w:vAlign w:val="center"/>
          </w:tcPr>
          <w:p>
            <w:pPr>
              <w:pStyle w:val="TableContents"/>
              <w:spacing w:before="0" w:after="283"/>
              <w:jc w:val="center"/>
              <w:rPr/>
            </w:pPr>
            <w:r>
              <w:rPr/>
              <w:t>   </w:t>
            </w:r>
            <w:r>
              <w:rPr/>
              <w:t>578,574</w:t>
            </w:r>
          </w:p>
        </w:tc>
      </w:tr>
      <w:tr>
        <w:trPr/>
        <w:tc>
          <w:tcPr>
            <w:tcW w:w="590" w:type="dxa"/>
            <w:tcBorders/>
            <w:shd w:fill="auto" w:val="clear"/>
            <w:vAlign w:val="center"/>
          </w:tcPr>
          <w:p>
            <w:pPr>
              <w:pStyle w:val="TableContents"/>
              <w:spacing w:before="0" w:after="283"/>
              <w:rPr>
                <w:sz w:val="4"/>
                <w:szCs w:val="4"/>
              </w:rPr>
            </w:pPr>
            <w:r>
              <w:rPr>
                <w:sz w:val="4"/>
                <w:szCs w:val="4"/>
              </w:rPr>
            </w:r>
          </w:p>
        </w:tc>
        <w:tc>
          <w:tcPr>
            <w:tcW w:w="77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10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2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10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070" w:type="dxa"/>
            <w:gridSpan w:val="2"/>
            <w:tcBorders/>
            <w:shd w:fill="F2F8FB" w:val="clear"/>
            <w:vAlign w:val="center"/>
          </w:tcPr>
          <w:p>
            <w:pPr>
              <w:pStyle w:val="TableContents"/>
              <w:spacing w:before="0" w:after="283"/>
              <w:rPr>
                <w:sz w:val="4"/>
                <w:szCs w:val="4"/>
              </w:rPr>
            </w:pPr>
            <w:r>
              <w:rPr>
                <w:sz w:val="4"/>
                <w:szCs w:val="4"/>
              </w:rPr>
            </w:r>
          </w:p>
        </w:tc>
        <w:tc>
          <w:tcPr>
            <w:tcW w:w="1055" w:type="dxa"/>
            <w:gridSpan w:val="2"/>
            <w:tcBorders/>
            <w:shd w:fill="F2F8FB" w:val="clear"/>
            <w:vAlign w:val="center"/>
          </w:tcPr>
          <w:p>
            <w:pPr>
              <w:pStyle w:val="TableContents"/>
              <w:spacing w:before="0" w:after="283"/>
              <w:rPr>
                <w:sz w:val="4"/>
                <w:szCs w:val="4"/>
              </w:rPr>
            </w:pPr>
            <w:r>
              <w:rPr>
                <w:sz w:val="4"/>
                <w:szCs w:val="4"/>
              </w:rPr>
            </w:r>
          </w:p>
        </w:tc>
      </w:tr>
      <w:tr>
        <w:trPr/>
        <w:tc>
          <w:tcPr>
            <w:tcW w:w="590"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Roselyn R. Bar</w:t>
            </w:r>
          </w:p>
        </w:tc>
        <w:tc>
          <w:tcPr>
            <w:tcW w:w="60" w:type="dxa"/>
            <w:tcBorders/>
            <w:shd w:fill="F2F8FB" w:val="clear"/>
            <w:vAlign w:val="center"/>
          </w:tcPr>
          <w:p>
            <w:pPr>
              <w:pStyle w:val="TableContents"/>
              <w:spacing w:before="0" w:after="283"/>
              <w:rPr/>
            </w:pPr>
            <w:r>
              <w:rPr/>
              <w:t> </w:t>
            </w:r>
          </w:p>
        </w:tc>
        <w:tc>
          <w:tcPr>
            <w:tcW w:w="710" w:type="dxa"/>
            <w:tcBorders/>
            <w:shd w:fill="F2F8FB" w:val="clear"/>
            <w:vAlign w:val="center"/>
          </w:tcPr>
          <w:p>
            <w:pPr>
              <w:pStyle w:val="TableContents"/>
              <w:spacing w:before="0" w:after="283"/>
              <w:rPr>
                <w:color w:val="007CBA"/>
              </w:rPr>
            </w:pPr>
            <w:r>
              <w:rPr>
                <w:color w:val="007CBA"/>
              </w:rPr>
              <w:t>02/21/231</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br/>
              <w:t>                </w:t>
            </w:r>
          </w:p>
        </w:tc>
        <w:tc>
          <w:tcPr>
            <w:tcW w:w="60" w:type="dxa"/>
            <w:tcBorders/>
            <w:shd w:fill="F2F8FB" w:val="clear"/>
            <w:vAlign w:val="center"/>
          </w:tcPr>
          <w:p>
            <w:pPr>
              <w:pStyle w:val="TableContents"/>
              <w:spacing w:before="0" w:after="283"/>
              <w:rPr/>
            </w:pPr>
            <w:r>
              <w:rPr/>
              <w:t> </w:t>
            </w:r>
          </w:p>
        </w:tc>
        <w:tc>
          <w:tcPr>
            <w:tcW w:w="1040" w:type="dxa"/>
            <w:tcBorders/>
            <w:shd w:fill="F2F8FB" w:val="clear"/>
            <w:vAlign w:val="center"/>
          </w:tcPr>
          <w:p>
            <w:pPr>
              <w:pStyle w:val="TableContents"/>
              <w:spacing w:before="0" w:after="283"/>
              <w:jc w:val="center"/>
              <w:rPr/>
            </w:pPr>
            <w:r>
              <w:rPr/>
              <w:t>359,800</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t>5,250,000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1040" w:type="dxa"/>
            <w:tcBorders/>
            <w:shd w:fill="F2F8FB" w:val="clear"/>
            <w:vAlign w:val="center"/>
          </w:tcPr>
          <w:p>
            <w:pPr>
              <w:pStyle w:val="TableContents"/>
              <w:spacing w:before="0" w:after="283"/>
              <w:jc w:val="center"/>
              <w:rPr/>
            </w:pPr>
            <w:r>
              <w:rPr/>
              <w:t>     </w:t>
            </w:r>
            <w:r>
              <w:rPr/>
              <w:t>533</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t>  </w:t>
            </w:r>
            <w:r>
              <w:rPr/>
              <w:t>7,768</w:t>
            </w:r>
          </w:p>
        </w:tc>
        <w:tc>
          <w:tcPr>
            <w:tcW w:w="60" w:type="dxa"/>
            <w:tcBorders/>
            <w:shd w:fill="F2F8FB" w:val="clear"/>
            <w:vAlign w:val="center"/>
          </w:tcPr>
          <w:p>
            <w:pPr>
              <w:pStyle w:val="TableContents"/>
              <w:spacing w:before="0" w:after="283"/>
              <w:rPr/>
            </w:pPr>
            <w:r>
              <w:rPr/>
              <w:t> </w:t>
            </w:r>
          </w:p>
        </w:tc>
        <w:tc>
          <w:tcPr>
            <w:tcW w:w="101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995" w:type="dxa"/>
            <w:tcBorders/>
            <w:shd w:fill="F2F8FB" w:val="clear"/>
            <w:vAlign w:val="center"/>
          </w:tcPr>
          <w:p>
            <w:pPr>
              <w:pStyle w:val="TableContents"/>
              <w:spacing w:before="0" w:after="283"/>
              <w:jc w:val="center"/>
              <w:rPr/>
            </w:pPr>
            <w:r>
              <w:rPr/>
              <w:t>   </w:t>
            </w:r>
            <w:r>
              <w:rPr/>
              <w:t>192,989</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02/18/222</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   </w:t>
            </w:r>
            <w:r>
              <w:rPr/>
              <w:t>749</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center"/>
              <w:rPr/>
            </w:pPr>
            <w:r>
              <w:rPr/>
              <w:t>  </w:t>
            </w:r>
            <w:r>
              <w:rPr/>
              <w:t>1,872</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  </w:t>
            </w:r>
            <w:r>
              <w:rPr/>
              <w:t>4,493</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center"/>
              <w:rPr/>
            </w:pPr>
            <w:r>
              <w:rPr/>
              <w:t>   </w:t>
            </w:r>
            <w:r>
              <w:rPr/>
              <w:t>767,501</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0" w:type="dxa"/>
            <w:tcBorders>
              <w:bottom w:val="dotted" w:sz="8" w:space="0" w:color="000000"/>
            </w:tcBorders>
            <w:shd w:fill="auto" w:val="clear"/>
            <w:tcMar>
              <w:bottom w:w="100" w:type="dxa"/>
            </w:tcMar>
            <w:vAlign w:val="center"/>
          </w:tcPr>
          <w:p>
            <w:pPr>
              <w:pStyle w:val="TableContents"/>
              <w:spacing w:before="0" w:after="283"/>
              <w:rPr/>
            </w:pPr>
            <w:r>
              <w:rPr/>
              <w:t>02/18/223</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4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4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10" w:type="dxa"/>
            <w:tcBorders>
              <w:bottom w:val="dotted" w:sz="8" w:space="0" w:color="000000"/>
            </w:tcBorders>
            <w:shd w:fill="auto" w:val="clear"/>
            <w:tcMar>
              <w:bottom w:w="100" w:type="dxa"/>
            </w:tcMar>
            <w:vAlign w:val="center"/>
          </w:tcPr>
          <w:p>
            <w:pPr>
              <w:pStyle w:val="TableContents"/>
              <w:spacing w:before="0" w:after="283"/>
              <w:jc w:val="center"/>
              <w:rPr/>
            </w:pPr>
            <w:r>
              <w:rPr/>
              <w:t>1,531</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95" w:type="dxa"/>
            <w:tcBorders>
              <w:bottom w:val="dotted" w:sz="8" w:space="0" w:color="000000"/>
            </w:tcBorders>
            <w:shd w:fill="auto" w:val="clear"/>
            <w:tcMar>
              <w:bottom w:w="100" w:type="dxa"/>
            </w:tcMar>
            <w:vAlign w:val="center"/>
          </w:tcPr>
          <w:p>
            <w:pPr>
              <w:pStyle w:val="TableContents"/>
              <w:spacing w:before="0" w:after="283"/>
              <w:jc w:val="center"/>
              <w:rPr/>
            </w:pPr>
            <w:r>
              <w:rPr/>
              <w:t>   </w:t>
            </w:r>
            <w:r>
              <w:rPr/>
              <w:t>587,399</w:t>
            </w:r>
          </w:p>
        </w:tc>
      </w:tr>
      <w:tr>
        <w:trPr/>
        <w:tc>
          <w:tcPr>
            <w:tcW w:w="590" w:type="dxa"/>
            <w:tcBorders/>
            <w:shd w:fill="auto" w:val="clear"/>
            <w:vAlign w:val="center"/>
          </w:tcPr>
          <w:p>
            <w:pPr>
              <w:pStyle w:val="TableContents"/>
              <w:spacing w:before="0" w:after="283"/>
              <w:rPr>
                <w:sz w:val="4"/>
                <w:szCs w:val="4"/>
              </w:rPr>
            </w:pPr>
            <w:r>
              <w:rPr>
                <w:sz w:val="4"/>
                <w:szCs w:val="4"/>
              </w:rPr>
            </w:r>
          </w:p>
        </w:tc>
        <w:tc>
          <w:tcPr>
            <w:tcW w:w="77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10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2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10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070" w:type="dxa"/>
            <w:gridSpan w:val="2"/>
            <w:tcBorders/>
            <w:shd w:fill="F2F8FB" w:val="clear"/>
            <w:vAlign w:val="center"/>
          </w:tcPr>
          <w:p>
            <w:pPr>
              <w:pStyle w:val="TableContents"/>
              <w:spacing w:before="0" w:after="283"/>
              <w:rPr>
                <w:sz w:val="4"/>
                <w:szCs w:val="4"/>
              </w:rPr>
            </w:pPr>
            <w:r>
              <w:rPr>
                <w:sz w:val="4"/>
                <w:szCs w:val="4"/>
              </w:rPr>
            </w:r>
          </w:p>
        </w:tc>
        <w:tc>
          <w:tcPr>
            <w:tcW w:w="1055" w:type="dxa"/>
            <w:gridSpan w:val="2"/>
            <w:tcBorders/>
            <w:shd w:fill="F2F8FB" w:val="clear"/>
            <w:vAlign w:val="center"/>
          </w:tcPr>
          <w:p>
            <w:pPr>
              <w:pStyle w:val="TableContents"/>
              <w:spacing w:before="0" w:after="283"/>
              <w:rPr>
                <w:sz w:val="4"/>
                <w:szCs w:val="4"/>
              </w:rPr>
            </w:pPr>
            <w:r>
              <w:rPr>
                <w:sz w:val="4"/>
                <w:szCs w:val="4"/>
              </w:rPr>
            </w:r>
          </w:p>
        </w:tc>
      </w:tr>
      <w:tr>
        <w:trPr/>
        <w:tc>
          <w:tcPr>
            <w:tcW w:w="590"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Craig M. LaTorre</w:t>
            </w:r>
          </w:p>
        </w:tc>
        <w:tc>
          <w:tcPr>
            <w:tcW w:w="60" w:type="dxa"/>
            <w:tcBorders/>
            <w:shd w:fill="F2F8FB" w:val="clear"/>
            <w:vAlign w:val="center"/>
          </w:tcPr>
          <w:p>
            <w:pPr>
              <w:pStyle w:val="TableContents"/>
              <w:spacing w:before="0" w:after="283"/>
              <w:rPr/>
            </w:pPr>
            <w:r>
              <w:rPr/>
              <w:t> </w:t>
            </w:r>
          </w:p>
        </w:tc>
        <w:tc>
          <w:tcPr>
            <w:tcW w:w="710" w:type="dxa"/>
            <w:tcBorders/>
            <w:shd w:fill="F2F8FB" w:val="clear"/>
            <w:vAlign w:val="center"/>
          </w:tcPr>
          <w:p>
            <w:pPr>
              <w:pStyle w:val="TableContents"/>
              <w:spacing w:before="0" w:after="283"/>
              <w:rPr>
                <w:color w:val="007CBA"/>
              </w:rPr>
            </w:pPr>
            <w:r>
              <w:rPr>
                <w:color w:val="007CBA"/>
              </w:rPr>
              <w:t>02/21/231</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br/>
              <w:t>                </w:t>
            </w:r>
          </w:p>
        </w:tc>
        <w:tc>
          <w:tcPr>
            <w:tcW w:w="60" w:type="dxa"/>
            <w:tcBorders/>
            <w:shd w:fill="F2F8FB" w:val="clear"/>
            <w:vAlign w:val="center"/>
          </w:tcPr>
          <w:p>
            <w:pPr>
              <w:pStyle w:val="TableContents"/>
              <w:spacing w:before="0" w:after="283"/>
              <w:rPr/>
            </w:pPr>
            <w:r>
              <w:rPr/>
              <w:t> </w:t>
            </w:r>
          </w:p>
        </w:tc>
        <w:tc>
          <w:tcPr>
            <w:tcW w:w="1040" w:type="dxa"/>
            <w:tcBorders/>
            <w:shd w:fill="F2F8FB" w:val="clear"/>
            <w:vAlign w:val="center"/>
          </w:tcPr>
          <w:p>
            <w:pPr>
              <w:pStyle w:val="TableContents"/>
              <w:spacing w:before="0" w:after="283"/>
              <w:jc w:val="center"/>
              <w:rPr/>
            </w:pPr>
            <w:r>
              <w:rPr/>
              <w:t>375,177</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t>7,500,000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1040" w:type="dxa"/>
            <w:tcBorders/>
            <w:shd w:fill="F2F8FB" w:val="clear"/>
            <w:vAlign w:val="center"/>
          </w:tcPr>
          <w:p>
            <w:pPr>
              <w:pStyle w:val="TableContents"/>
              <w:spacing w:before="0" w:after="283"/>
              <w:jc w:val="center"/>
              <w:rPr/>
            </w:pPr>
            <w:r>
              <w:rPr/>
              <w:t>–</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t>–</w:t>
            </w:r>
          </w:p>
        </w:tc>
        <w:tc>
          <w:tcPr>
            <w:tcW w:w="60" w:type="dxa"/>
            <w:tcBorders/>
            <w:shd w:fill="F2F8FB" w:val="clear"/>
            <w:vAlign w:val="center"/>
          </w:tcPr>
          <w:p>
            <w:pPr>
              <w:pStyle w:val="TableContents"/>
              <w:spacing w:before="0" w:after="283"/>
              <w:rPr/>
            </w:pPr>
            <w:r>
              <w:rPr/>
              <w:t> </w:t>
            </w:r>
          </w:p>
        </w:tc>
        <w:tc>
          <w:tcPr>
            <w:tcW w:w="101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995" w:type="dxa"/>
            <w:tcBorders/>
            <w:shd w:fill="F2F8FB" w:val="clear"/>
            <w:vAlign w:val="center"/>
          </w:tcPr>
          <w:p>
            <w:pPr>
              <w:pStyle w:val="TableContents"/>
              <w:spacing w:before="0" w:after="283"/>
              <w:jc w:val="center"/>
              <w:rPr/>
            </w:pPr>
            <w:r>
              <w:rPr/>
              <w:t>–</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02/18/222</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   </w:t>
            </w:r>
            <w:r>
              <w:rPr/>
              <w:t>546</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center"/>
              <w:rPr/>
            </w:pPr>
            <w:r>
              <w:rPr/>
              <w:t>  </w:t>
            </w:r>
            <w:r>
              <w:rPr/>
              <w:t>1,365</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  </w:t>
            </w:r>
            <w:r>
              <w:rPr/>
              <w:t>3,276</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center"/>
              <w:rPr/>
            </w:pPr>
            <w:r>
              <w:rPr/>
              <w:t>   </w:t>
            </w:r>
            <w:r>
              <w:rPr/>
              <w:t>559,636</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0" w:type="dxa"/>
            <w:tcBorders>
              <w:bottom w:val="dotted" w:sz="8" w:space="0" w:color="000000"/>
            </w:tcBorders>
            <w:shd w:fill="auto" w:val="clear"/>
            <w:tcMar>
              <w:bottom w:w="100" w:type="dxa"/>
            </w:tcMar>
            <w:vAlign w:val="center"/>
          </w:tcPr>
          <w:p>
            <w:pPr>
              <w:pStyle w:val="TableContents"/>
              <w:spacing w:before="0" w:after="283"/>
              <w:rPr/>
            </w:pPr>
            <w:r>
              <w:rPr/>
              <w:t>02/18/223</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4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4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10" w:type="dxa"/>
            <w:tcBorders>
              <w:bottom w:val="dotted" w:sz="8" w:space="0" w:color="000000"/>
            </w:tcBorders>
            <w:shd w:fill="auto" w:val="clear"/>
            <w:tcMar>
              <w:bottom w:w="100" w:type="dxa"/>
            </w:tcMar>
            <w:vAlign w:val="center"/>
          </w:tcPr>
          <w:p>
            <w:pPr>
              <w:pStyle w:val="TableContents"/>
              <w:spacing w:before="0" w:after="283"/>
              <w:jc w:val="center"/>
              <w:rPr/>
            </w:pPr>
            <w:r>
              <w:rPr/>
              <w:t>1,117</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95" w:type="dxa"/>
            <w:tcBorders>
              <w:bottom w:val="dotted" w:sz="8" w:space="0" w:color="000000"/>
            </w:tcBorders>
            <w:shd w:fill="auto" w:val="clear"/>
            <w:tcMar>
              <w:bottom w:w="100" w:type="dxa"/>
            </w:tcMar>
            <w:vAlign w:val="center"/>
          </w:tcPr>
          <w:p>
            <w:pPr>
              <w:pStyle w:val="TableContents"/>
              <w:spacing w:before="0" w:after="283"/>
              <w:jc w:val="center"/>
              <w:rPr/>
            </w:pPr>
            <w:r>
              <w:rPr/>
              <w:t>   </w:t>
            </w:r>
            <w:r>
              <w:rPr/>
              <w:t>428,559</w:t>
            </w:r>
          </w:p>
        </w:tc>
      </w:tr>
      <w:tr>
        <w:trPr/>
        <w:tc>
          <w:tcPr>
            <w:tcW w:w="590" w:type="dxa"/>
            <w:tcBorders/>
            <w:shd w:fill="auto" w:val="clear"/>
            <w:vAlign w:val="center"/>
          </w:tcPr>
          <w:p>
            <w:pPr>
              <w:pStyle w:val="TableContents"/>
              <w:spacing w:before="0" w:after="283"/>
              <w:rPr>
                <w:sz w:val="4"/>
                <w:szCs w:val="4"/>
              </w:rPr>
            </w:pPr>
            <w:r>
              <w:rPr>
                <w:sz w:val="4"/>
                <w:szCs w:val="4"/>
              </w:rPr>
            </w:r>
          </w:p>
        </w:tc>
        <w:tc>
          <w:tcPr>
            <w:tcW w:w="77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10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2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100" w:type="dxa"/>
            <w:gridSpan w:val="2"/>
            <w:tcBorders/>
            <w:shd w:fill="F2F8FB" w:val="clear"/>
            <w:vAlign w:val="center"/>
          </w:tcPr>
          <w:p>
            <w:pPr>
              <w:pStyle w:val="TableContents"/>
              <w:spacing w:before="0" w:after="283"/>
              <w:rPr>
                <w:sz w:val="4"/>
                <w:szCs w:val="4"/>
              </w:rPr>
            </w:pPr>
            <w:r>
              <w:rPr>
                <w:sz w:val="4"/>
                <w:szCs w:val="4"/>
              </w:rPr>
            </w:r>
          </w:p>
        </w:tc>
        <w:tc>
          <w:tcPr>
            <w:tcW w:w="1460" w:type="dxa"/>
            <w:gridSpan w:val="2"/>
            <w:tcBorders/>
            <w:shd w:fill="F2F8FB" w:val="clear"/>
            <w:vAlign w:val="center"/>
          </w:tcPr>
          <w:p>
            <w:pPr>
              <w:pStyle w:val="TableContents"/>
              <w:spacing w:before="0" w:after="283"/>
              <w:rPr>
                <w:sz w:val="4"/>
                <w:szCs w:val="4"/>
              </w:rPr>
            </w:pPr>
            <w:r>
              <w:rPr>
                <w:sz w:val="4"/>
                <w:szCs w:val="4"/>
              </w:rPr>
            </w:r>
          </w:p>
        </w:tc>
        <w:tc>
          <w:tcPr>
            <w:tcW w:w="1070" w:type="dxa"/>
            <w:gridSpan w:val="2"/>
            <w:tcBorders/>
            <w:shd w:fill="F2F8FB" w:val="clear"/>
            <w:vAlign w:val="center"/>
          </w:tcPr>
          <w:p>
            <w:pPr>
              <w:pStyle w:val="TableContents"/>
              <w:spacing w:before="0" w:after="283"/>
              <w:rPr>
                <w:sz w:val="4"/>
                <w:szCs w:val="4"/>
              </w:rPr>
            </w:pPr>
            <w:r>
              <w:rPr>
                <w:sz w:val="4"/>
                <w:szCs w:val="4"/>
              </w:rPr>
            </w:r>
          </w:p>
        </w:tc>
        <w:tc>
          <w:tcPr>
            <w:tcW w:w="1055" w:type="dxa"/>
            <w:gridSpan w:val="2"/>
            <w:tcBorders/>
            <w:shd w:fill="F2F8FB" w:val="clear"/>
            <w:vAlign w:val="center"/>
          </w:tcPr>
          <w:p>
            <w:pPr>
              <w:pStyle w:val="TableContents"/>
              <w:spacing w:before="0" w:after="283"/>
              <w:rPr>
                <w:sz w:val="4"/>
                <w:szCs w:val="4"/>
              </w:rPr>
            </w:pPr>
            <w:r>
              <w:rPr>
                <w:sz w:val="4"/>
                <w:szCs w:val="4"/>
              </w:rPr>
            </w:r>
          </w:p>
        </w:tc>
      </w:tr>
      <w:tr>
        <w:trPr/>
        <w:tc>
          <w:tcPr>
            <w:tcW w:w="590" w:type="dxa"/>
            <w:vMerge w:val="restart"/>
            <w:tcBorders>
              <w:bottom w:val="single"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John P. Mohr</w:t>
            </w:r>
          </w:p>
        </w:tc>
        <w:tc>
          <w:tcPr>
            <w:tcW w:w="60" w:type="dxa"/>
            <w:tcBorders/>
            <w:shd w:fill="F2F8FB" w:val="clear"/>
            <w:vAlign w:val="center"/>
          </w:tcPr>
          <w:p>
            <w:pPr>
              <w:pStyle w:val="TableContents"/>
              <w:spacing w:before="0" w:after="283"/>
              <w:rPr/>
            </w:pPr>
            <w:r>
              <w:rPr/>
              <w:t> </w:t>
            </w:r>
          </w:p>
        </w:tc>
        <w:tc>
          <w:tcPr>
            <w:tcW w:w="710" w:type="dxa"/>
            <w:tcBorders/>
            <w:shd w:fill="F2F8FB" w:val="clear"/>
            <w:vAlign w:val="center"/>
          </w:tcPr>
          <w:p>
            <w:pPr>
              <w:pStyle w:val="TableContents"/>
              <w:spacing w:before="0" w:after="283"/>
              <w:rPr>
                <w:color w:val="007CBA"/>
              </w:rPr>
            </w:pPr>
            <w:r>
              <w:rPr>
                <w:color w:val="007CBA"/>
              </w:rPr>
              <w:t>02/21/231</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br/>
              <w:t>                </w:t>
            </w:r>
          </w:p>
        </w:tc>
        <w:tc>
          <w:tcPr>
            <w:tcW w:w="60" w:type="dxa"/>
            <w:tcBorders/>
            <w:shd w:fill="F2F8FB" w:val="clear"/>
            <w:vAlign w:val="center"/>
          </w:tcPr>
          <w:p>
            <w:pPr>
              <w:pStyle w:val="TableContents"/>
              <w:spacing w:before="0" w:after="283"/>
              <w:rPr/>
            </w:pPr>
            <w:r>
              <w:rPr/>
              <w:t> </w:t>
            </w:r>
          </w:p>
        </w:tc>
        <w:tc>
          <w:tcPr>
            <w:tcW w:w="1040" w:type="dxa"/>
            <w:tcBorders/>
            <w:shd w:fill="F2F8FB" w:val="clear"/>
            <w:vAlign w:val="center"/>
          </w:tcPr>
          <w:p>
            <w:pPr>
              <w:pStyle w:val="TableContents"/>
              <w:spacing w:before="0" w:after="283"/>
              <w:jc w:val="center"/>
              <w:rPr/>
            </w:pPr>
            <w:r>
              <w:rPr/>
              <w:t>295,890</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t>7,500,000</w:t>
            </w:r>
          </w:p>
        </w:tc>
        <w:tc>
          <w:tcPr>
            <w:tcW w:w="60" w:type="dxa"/>
            <w:tcBorders/>
            <w:shd w:fill="F2F8FB" w:val="clear"/>
            <w:vAlign w:val="center"/>
          </w:tcPr>
          <w:p>
            <w:pPr>
              <w:pStyle w:val="TableContents"/>
              <w:spacing w:before="0" w:after="283"/>
              <w:rPr/>
            </w:pPr>
            <w:r>
              <w:rPr/>
              <w:t> </w:t>
            </w:r>
          </w:p>
        </w:tc>
        <w:tc>
          <w:tcPr>
            <w:tcW w:w="6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1040" w:type="dxa"/>
            <w:tcBorders/>
            <w:shd w:fill="F2F8FB" w:val="clear"/>
            <w:vAlign w:val="center"/>
          </w:tcPr>
          <w:p>
            <w:pPr>
              <w:pStyle w:val="TableContents"/>
              <w:spacing w:before="0" w:after="283"/>
              <w:jc w:val="center"/>
              <w:rPr/>
            </w:pPr>
            <w:r>
              <w:rPr/>
              <w:t>–</w:t>
            </w:r>
          </w:p>
        </w:tc>
        <w:tc>
          <w:tcPr>
            <w:tcW w:w="60" w:type="dxa"/>
            <w:tcBorders/>
            <w:shd w:fill="F2F8FB" w:val="clear"/>
            <w:vAlign w:val="center"/>
          </w:tcPr>
          <w:p>
            <w:pPr>
              <w:pStyle w:val="TableContents"/>
              <w:spacing w:before="0" w:after="283"/>
              <w:rPr/>
            </w:pPr>
            <w:r>
              <w:rPr/>
              <w:t> </w:t>
            </w:r>
          </w:p>
        </w:tc>
        <w:tc>
          <w:tcPr>
            <w:tcW w:w="1400" w:type="dxa"/>
            <w:tcBorders/>
            <w:shd w:fill="F2F8FB" w:val="clear"/>
            <w:vAlign w:val="center"/>
          </w:tcPr>
          <w:p>
            <w:pPr>
              <w:pStyle w:val="TableContents"/>
              <w:spacing w:before="0" w:after="283"/>
              <w:jc w:val="center"/>
              <w:rPr/>
            </w:pPr>
            <w:r>
              <w:rPr/>
              <w:t>–</w:t>
            </w:r>
          </w:p>
        </w:tc>
        <w:tc>
          <w:tcPr>
            <w:tcW w:w="60" w:type="dxa"/>
            <w:tcBorders/>
            <w:shd w:fill="F2F8FB" w:val="clear"/>
            <w:vAlign w:val="center"/>
          </w:tcPr>
          <w:p>
            <w:pPr>
              <w:pStyle w:val="TableContents"/>
              <w:spacing w:before="0" w:after="283"/>
              <w:rPr/>
            </w:pPr>
            <w:r>
              <w:rPr/>
              <w:t> </w:t>
            </w:r>
          </w:p>
        </w:tc>
        <w:tc>
          <w:tcPr>
            <w:tcW w:w="1010" w:type="dxa"/>
            <w:tcBorders/>
            <w:shd w:fill="F2F8FB" w:val="clear"/>
            <w:vAlign w:val="center"/>
          </w:tcPr>
          <w:p>
            <w:pPr>
              <w:pStyle w:val="TableContents"/>
              <w:spacing w:before="0" w:after="283"/>
              <w:rPr>
                <w:sz w:val="4"/>
                <w:szCs w:val="4"/>
              </w:rPr>
            </w:pPr>
            <w:r>
              <w:rPr>
                <w:sz w:val="4"/>
                <w:szCs w:val="4"/>
              </w:rPr>
            </w:r>
          </w:p>
        </w:tc>
        <w:tc>
          <w:tcPr>
            <w:tcW w:w="60" w:type="dxa"/>
            <w:tcBorders/>
            <w:shd w:fill="F2F8FB" w:val="clear"/>
            <w:vAlign w:val="center"/>
          </w:tcPr>
          <w:p>
            <w:pPr>
              <w:pStyle w:val="TableContents"/>
              <w:spacing w:before="0" w:after="283"/>
              <w:rPr/>
            </w:pPr>
            <w:r>
              <w:rPr/>
              <w:t> </w:t>
            </w:r>
          </w:p>
        </w:tc>
        <w:tc>
          <w:tcPr>
            <w:tcW w:w="995" w:type="dxa"/>
            <w:tcBorders/>
            <w:shd w:fill="F2F8FB" w:val="clear"/>
            <w:vAlign w:val="center"/>
          </w:tcPr>
          <w:p>
            <w:pPr>
              <w:pStyle w:val="TableContents"/>
              <w:spacing w:before="0" w:after="283"/>
              <w:jc w:val="center"/>
              <w:rPr/>
            </w:pPr>
            <w:r>
              <w:rPr/>
              <w:t>–</w:t>
            </w:r>
          </w:p>
        </w:tc>
      </w:tr>
      <w:tr>
        <w:trPr/>
        <w:tc>
          <w:tcPr>
            <w:tcW w:w="590"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02/18/222</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   </w:t>
            </w:r>
            <w:r>
              <w:rPr/>
              <w:t>382</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center"/>
              <w:rPr/>
            </w:pPr>
            <w:r>
              <w:rPr/>
              <w:t>     </w:t>
            </w:r>
            <w:r>
              <w:rPr/>
              <w:t>954</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  </w:t>
            </w:r>
            <w:r>
              <w:rPr/>
              <w:t>2,290</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center"/>
              <w:rPr/>
            </w:pPr>
            <w:r>
              <w:rPr/>
              <w:t>   </w:t>
            </w:r>
            <w:r>
              <w:rPr/>
              <w:t>391,130</w:t>
            </w:r>
          </w:p>
        </w:tc>
      </w:tr>
      <w:tr>
        <w:trPr/>
        <w:tc>
          <w:tcPr>
            <w:tcW w:w="590"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10" w:type="dxa"/>
            <w:tcBorders>
              <w:bottom w:val="single" w:sz="8" w:space="0" w:color="000000"/>
            </w:tcBorders>
            <w:shd w:fill="auto" w:val="clear"/>
            <w:tcMar>
              <w:bottom w:w="100" w:type="dxa"/>
            </w:tcMar>
            <w:vAlign w:val="center"/>
          </w:tcPr>
          <w:p>
            <w:pPr>
              <w:pStyle w:val="TableContents"/>
              <w:spacing w:before="0" w:after="283"/>
              <w:rPr/>
            </w:pPr>
            <w:r>
              <w:rPr/>
              <w:t>02/18/223</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4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4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10" w:type="dxa"/>
            <w:tcBorders>
              <w:bottom w:val="single" w:sz="8" w:space="0" w:color="000000"/>
            </w:tcBorders>
            <w:shd w:fill="auto" w:val="clear"/>
            <w:tcMar>
              <w:bottom w:w="100" w:type="dxa"/>
            </w:tcMar>
            <w:vAlign w:val="center"/>
          </w:tcPr>
          <w:p>
            <w:pPr>
              <w:pStyle w:val="TableContents"/>
              <w:spacing w:before="0" w:after="283"/>
              <w:jc w:val="center"/>
              <w:rPr/>
            </w:pPr>
            <w:r>
              <w:rPr/>
              <w:t>781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995" w:type="dxa"/>
            <w:tcBorders>
              <w:bottom w:val="single" w:sz="8" w:space="0" w:color="000000"/>
            </w:tcBorders>
            <w:shd w:fill="auto" w:val="clear"/>
            <w:tcMar>
              <w:bottom w:w="100" w:type="dxa"/>
            </w:tcMar>
            <w:vAlign w:val="center"/>
          </w:tcPr>
          <w:p>
            <w:pPr>
              <w:pStyle w:val="TableContents"/>
              <w:spacing w:before="0" w:after="283"/>
              <w:jc w:val="center"/>
              <w:rPr/>
            </w:pPr>
            <w:r>
              <w:rPr/>
              <w:t>   </w:t>
            </w:r>
            <w:r>
              <w:rPr/>
              <w:t>299,646</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1</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amounts shown in this row reflect the annual bonus that could have been earned in 2022, payable in 2023, pursuant to the Executive Cash Incentive Plan. For each named executive officer, the amounts shown in columns (d) and (e) reflect the portion of the annual bonus that would have been paid in cash if, respectively, target and maximum performance was achieved for the year (i.e., after reduction for the total portion that would be deferred pursuant to the Incentive Stock Plan pursuant to voluntary deferrals). The amounts shown in columns (g) and (h) reflect the portion of the annual bonus that would have been deferred pursuant to the Incentive Stock Plan if, respectively, target and maximum performance was achieved for the year, inclusive of the 20% discount. Participants in the Incentive Stock Plan for 2022 were approved on May 12, 2022. These awards are discussed under the heading “Annual Incentive Feature: Stock Purchase Plan” on page 61. The actual amounts paid are reflected in the Summary Compensation Table on page 72.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2</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amounts shown in columns (f), (g) and (h) reflect the threshold, target and maximum, respectively, levels of PSUs payable if the performance measurements are satisfied in the period 2022-2024. These awards are discussed under the heading “2022 Long-Term Incentive Compensation” on pages 61-65.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3</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amounts shown in column (i) reflect the number of RSUs granted in 2022 to each of the named executive officers pursuant to the Stock Plan. These awards are discussed under the heading “2022 Long-Term Incentive Compensation” on pages 61-65. These awards are also included in column (e) of the Summary Compensation Table on page 72.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4</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amounts shown in column (l) reflect the grant date fair value of each equity award computed in accordance with FASB ASC Topic 718. No options to purchase shares of Martin Marietta’s common stock were granted in 2022. </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26"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10" descr=""/>
                          <pic:cNvPicPr>
                            <a:picLocks noChangeAspect="1" noChangeArrowheads="1"/>
                          </pic:cNvPicPr>
                        </pic:nvPicPr>
                        <pic:blipFill>
                          <a:blip r:embed="rId21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73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EXECUTIVE COMPENSATION  ◆</w:t>
      </w:r>
      <w:r>
        <w:rPr>
          <w:rFonts w:ascii="ARIAL" w:hAnsi="ARIAL"/>
          <w:sz w:val="16"/>
        </w:rPr>
        <w:t xml:space="preserve">  GRANTS OF PLAN-BASED AWARDS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Stock-based incentive awards have been a significant component of Martin Marietta’s management compensation. In 1998, the Board of Directors adopted and Martin Marietta’s shareholders approved the Stock Plan. In 2016, the Board of Directors and the shareholders approved amendments to the plan increasing the number of shares of Martin Marietta’s common stock available for equity awards. They also approved amendments to the plan designed to more directly tie long-term compensation incentives to Martin Marietta’s performance and enhance flexibility in structuring long-term incentive compensation packages by providing a mix of different types of long-term stock-based incentives. In addition, the amendments provided that dividend equivalents that would have been paid in cash during the vesting period will be paid only if and when an award vests. </w:t>
      </w:r>
    </w:p>
    <w:p>
      <w:pPr>
        <w:pStyle w:val="TextBody"/>
        <w:spacing w:before="240" w:after="0"/>
        <w:jc w:val="left"/>
        <w:rPr>
          <w:rFonts w:ascii="ARIAL" w:hAnsi="ARIAL"/>
          <w:sz w:val="20"/>
        </w:rPr>
      </w:pPr>
      <w:r>
        <w:rPr>
          <w:rFonts w:ascii="ARIAL" w:hAnsi="ARIAL"/>
          <w:sz w:val="20"/>
        </w:rPr>
        <w:t xml:space="preserve">As amended, the Stock Plan authorizes the Management Development and Compensation Committee to award stock options, restricted stock and other stock-based incentive awards to employees of Martin Marietta for the purpose of attracting, motivating, retaining and rewarding talented and experienced employees. Since 2016, Martin Marietta’s long-term compensation program consists of a mix of RSUs and PSUs for senior level employees and other select employees. </w:t>
      </w:r>
    </w:p>
    <w:p>
      <w:pPr>
        <w:pStyle w:val="TextBody"/>
        <w:spacing w:before="240" w:after="0"/>
        <w:jc w:val="left"/>
        <w:rPr>
          <w:rFonts w:ascii="ARIAL" w:hAnsi="ARIAL"/>
          <w:sz w:val="20"/>
        </w:rPr>
      </w:pPr>
      <w:r>
        <w:rPr>
          <w:rFonts w:ascii="ARIAL" w:hAnsi="ARIAL"/>
          <w:sz w:val="20"/>
        </w:rPr>
        <w:t xml:space="preserve">Vesting of the awards granted in 2022 is based on the achievement by Martin Marietta of performance measures described under “2022 Long-Term Incentive Compensation” on pages 61-65. </w:t>
      </w:r>
    </w:p>
    <w:p>
      <w:pPr>
        <w:pStyle w:val="TextBody"/>
        <w:spacing w:before="240" w:after="0"/>
        <w:jc w:val="left"/>
        <w:rPr>
          <w:rFonts w:ascii="ARIAL" w:hAnsi="ARIAL"/>
          <w:sz w:val="20"/>
        </w:rPr>
      </w:pPr>
      <w:r>
        <w:rPr>
          <w:rFonts w:ascii="ARIAL" w:hAnsi="ARIAL"/>
          <w:sz w:val="20"/>
        </w:rPr>
        <w:t xml:space="preserve">A maximum of 5,800,000 shares of Martin Marietta’s common stock are authorized under the plan for grants to key employees. Each award under the plan is evidenced by an award agreement setting forth the number and type of stock-based incentives subject to the award and such other terms and conditions applicable to the award as determined by the Committee. No employee may receive annual grants for more than 300,000 shares of common stock with respect to (i) full-value awards or (ii) stock options or stock appreciation rights.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74</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27"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1" descr=""/>
                          <pic:cNvPicPr>
                            <a:picLocks noChangeAspect="1" noChangeArrowheads="1"/>
                          </pic:cNvPicPr>
                        </pic:nvPicPr>
                        <pic:blipFill>
                          <a:blip r:embed="rId21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OUTSTANDING EQUITY AWARDS AT FISCAL YEAR-END  ◆  </w:t>
      </w:r>
      <w:r>
        <w:rPr>
          <w:rFonts w:ascii="ARIAL" w:hAnsi="ARIAL"/>
          <w:color w:val="007CBA"/>
          <w:sz w:val="16"/>
        </w:rPr>
        <w:t>EXECUTIVE COMPENSATION</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color w:val="71BE9A"/>
          <w:sz w:val="26"/>
        </w:rPr>
      </w:pPr>
      <w:bookmarkStart w:id="69" w:name="toc390557_62"/>
      <w:bookmarkEnd w:id="69"/>
      <w:r>
        <w:rPr>
          <w:rFonts w:ascii="ARIAL" w:hAnsi="ARIAL"/>
          <w:b/>
          <w:color w:val="71BE9A"/>
          <w:sz w:val="26"/>
        </w:rPr>
        <w:t xml:space="preserve">Outstanding Equity Awards at Fiscal Year-End </w:t>
      </w:r>
    </w:p>
    <w:p>
      <w:pPr>
        <w:pStyle w:val="TextBody"/>
        <w:spacing w:before="120" w:after="0"/>
        <w:jc w:val="left"/>
        <w:rPr>
          <w:rFonts w:ascii="ARIAL" w:hAnsi="ARIAL"/>
          <w:sz w:val="20"/>
        </w:rPr>
      </w:pPr>
      <w:r>
        <w:rPr>
          <w:rFonts w:ascii="ARIAL" w:hAnsi="ARIAL"/>
          <w:sz w:val="20"/>
        </w:rPr>
        <w:t xml:space="preserve">The table below shows for each of the named executive officers information with respect to the unexercised stock options (columns (b), (c), (e), and (f)), stock unit awards (columns (g) and (h)) that have not vested, and equity incentive plan awards (columns (i) and (j)) outstanding on December 31, 2022. </w:t>
      </w:r>
    </w:p>
    <w:p>
      <w:pPr>
        <w:pStyle w:val="TextBody"/>
        <w:spacing w:before="0" w:after="0"/>
        <w:jc w:val="left"/>
        <w:rPr/>
      </w:pPr>
      <w:r>
        <w:rPr/>
        <w:t> </w:t>
      </w:r>
    </w:p>
    <w:tbl>
      <w:tblPr>
        <w:tblW w:w="13020" w:type="dxa"/>
        <w:jc w:val="left"/>
        <w:tblInd w:w="0" w:type="dxa"/>
        <w:tblCellMar>
          <w:top w:w="0" w:type="dxa"/>
          <w:left w:w="0" w:type="dxa"/>
          <w:bottom w:w="0" w:type="dxa"/>
          <w:right w:w="0" w:type="dxa"/>
        </w:tblCellMar>
      </w:tblPr>
      <w:tblGrid>
        <w:gridCol w:w="590"/>
        <w:gridCol w:w="60"/>
        <w:gridCol w:w="632"/>
        <w:gridCol w:w="633"/>
        <w:gridCol w:w="60"/>
        <w:gridCol w:w="60"/>
        <w:gridCol w:w="632"/>
        <w:gridCol w:w="633"/>
        <w:gridCol w:w="60"/>
        <w:gridCol w:w="60"/>
        <w:gridCol w:w="437"/>
        <w:gridCol w:w="438"/>
        <w:gridCol w:w="60"/>
        <w:gridCol w:w="60"/>
        <w:gridCol w:w="557"/>
        <w:gridCol w:w="558"/>
        <w:gridCol w:w="60"/>
        <w:gridCol w:w="60"/>
        <w:gridCol w:w="60"/>
        <w:gridCol w:w="60"/>
        <w:gridCol w:w="60"/>
        <w:gridCol w:w="60"/>
        <w:gridCol w:w="111"/>
        <w:gridCol w:w="1484"/>
        <w:gridCol w:w="60"/>
        <w:gridCol w:w="60"/>
        <w:gridCol w:w="98"/>
        <w:gridCol w:w="1602"/>
        <w:gridCol w:w="60"/>
        <w:gridCol w:w="60"/>
        <w:gridCol w:w="118"/>
        <w:gridCol w:w="1582"/>
        <w:gridCol w:w="60"/>
        <w:gridCol w:w="60"/>
        <w:gridCol w:w="98"/>
        <w:gridCol w:w="1602"/>
        <w:gridCol w:w="75"/>
      </w:tblGrid>
      <w:tr>
        <w:trPr/>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90" w:type="dxa"/>
            <w:tcBorders/>
            <w:shd w:fill="DBDBDB" w:val="clear"/>
            <w:vAlign w:val="center"/>
          </w:tcPr>
          <w:p>
            <w:pPr>
              <w:pStyle w:val="TableContents"/>
              <w:spacing w:before="0" w:after="283"/>
              <w:rPr>
                <w:sz w:val="4"/>
                <w:szCs w:val="4"/>
              </w:rPr>
            </w:pPr>
            <w:r>
              <w:rPr>
                <w:sz w:val="4"/>
                <w:szCs w:val="4"/>
              </w:rPr>
            </w:r>
          </w:p>
        </w:tc>
        <w:tc>
          <w:tcPr>
            <w:tcW w:w="5000" w:type="dxa"/>
            <w:gridSpan w:val="16"/>
            <w:tcBorders/>
            <w:shd w:fill="DBDBDB" w:val="clear"/>
            <w:vAlign w:val="center"/>
          </w:tcPr>
          <w:p>
            <w:pPr>
              <w:pStyle w:val="TableContents"/>
              <w:spacing w:before="0" w:after="283"/>
              <w:rPr>
                <w:sz w:val="4"/>
                <w:szCs w:val="4"/>
              </w:rPr>
            </w:pPr>
            <w:r>
              <w:rPr>
                <w:sz w:val="4"/>
                <w:szCs w:val="4"/>
              </w:rPr>
            </w:r>
          </w:p>
        </w:tc>
        <w:tc>
          <w:tcPr>
            <w:tcW w:w="240" w:type="dxa"/>
            <w:gridSpan w:val="4"/>
            <w:tcBorders/>
            <w:shd w:fill="DBDBDB" w:val="clear"/>
            <w:vAlign w:val="center"/>
          </w:tcPr>
          <w:p>
            <w:pPr>
              <w:pStyle w:val="TableContents"/>
              <w:spacing w:before="0" w:after="283"/>
              <w:rPr>
                <w:sz w:val="4"/>
                <w:szCs w:val="4"/>
              </w:rPr>
            </w:pPr>
            <w:r>
              <w:rPr>
                <w:sz w:val="4"/>
                <w:szCs w:val="4"/>
              </w:rPr>
            </w:r>
          </w:p>
        </w:tc>
        <w:tc>
          <w:tcPr>
            <w:tcW w:w="7190" w:type="dxa"/>
            <w:gridSpan w:val="16"/>
            <w:tcBorders/>
            <w:shd w:fill="DBDBDB" w:val="clear"/>
            <w:vAlign w:val="center"/>
          </w:tcPr>
          <w:p>
            <w:pPr>
              <w:pStyle w:val="TableContents"/>
              <w:spacing w:before="0" w:after="283"/>
              <w:rPr>
                <w:sz w:val="4"/>
                <w:szCs w:val="4"/>
              </w:rPr>
            </w:pPr>
            <w:r>
              <w:rPr>
                <w:sz w:val="4"/>
                <w:szCs w:val="4"/>
              </w:rPr>
            </w:r>
          </w:p>
        </w:tc>
      </w:tr>
      <w:tr>
        <w:trPr/>
        <w:tc>
          <w:tcPr>
            <w:tcW w:w="590" w:type="dxa"/>
            <w:tcBorders/>
            <w:shd w:fill="DBDBDB" w:val="clear"/>
            <w:vAlign w:val="center"/>
          </w:tcPr>
          <w:p>
            <w:pPr>
              <w:pStyle w:val="TableContents"/>
              <w:spacing w:before="0" w:after="283"/>
              <w:rPr/>
            </w:pPr>
            <w:r>
              <w:rPr/>
              <w:t> </w:t>
            </w:r>
          </w:p>
        </w:tc>
        <w:tc>
          <w:tcPr>
            <w:tcW w:w="60" w:type="dxa"/>
            <w:tcBorders>
              <w:bottom w:val="single" w:sz="8" w:space="0" w:color="000000"/>
            </w:tcBorders>
            <w:shd w:fill="DBDBDB" w:val="clear"/>
            <w:tcMar>
              <w:bottom w:w="28" w:type="dxa"/>
            </w:tcMar>
            <w:vAlign w:val="center"/>
          </w:tcPr>
          <w:p>
            <w:pPr>
              <w:pStyle w:val="TableContents"/>
              <w:spacing w:before="0" w:after="283"/>
              <w:rPr/>
            </w:pPr>
            <w:r>
              <w:rPr/>
              <w:t> </w:t>
            </w:r>
          </w:p>
        </w:tc>
        <w:tc>
          <w:tcPr>
            <w:tcW w:w="4880" w:type="dxa"/>
            <w:gridSpan w:val="14"/>
            <w:tcBorders>
              <w:bottom w:val="single" w:sz="8" w:space="0" w:color="000000"/>
            </w:tcBorders>
            <w:shd w:fill="DBDBDB" w:val="clear"/>
            <w:tcMar>
              <w:bottom w:w="28" w:type="dxa"/>
            </w:tcMar>
            <w:vAlign w:val="center"/>
          </w:tcPr>
          <w:p>
            <w:pPr>
              <w:pStyle w:val="TableContents"/>
              <w:spacing w:before="0" w:after="283"/>
              <w:jc w:val="center"/>
              <w:rPr>
                <w:b/>
              </w:rPr>
            </w:pPr>
            <w:r>
              <w:rPr>
                <w:b/>
              </w:rPr>
              <w:t>Option Awards</w:t>
            </w:r>
          </w:p>
        </w:tc>
        <w:tc>
          <w:tcPr>
            <w:tcW w:w="60" w:type="dxa"/>
            <w:tcBorders>
              <w:bottom w:val="single" w:sz="8" w:space="0" w:color="000000"/>
            </w:tcBorders>
            <w:shd w:fill="DBDBDB" w:val="clear"/>
            <w:tcMar>
              <w:bottom w:w="28" w:type="dxa"/>
            </w:tcM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20" w:type="dxa"/>
            <w:gridSpan w:val="2"/>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60" w:type="dxa"/>
            <w:tcBorders>
              <w:bottom w:val="single" w:sz="8" w:space="0" w:color="000000"/>
            </w:tcBorders>
            <w:shd w:fill="DBDBDB" w:val="clear"/>
            <w:tcMar>
              <w:bottom w:w="28" w:type="dxa"/>
            </w:tcMar>
            <w:vAlign w:val="center"/>
          </w:tcPr>
          <w:p>
            <w:pPr>
              <w:pStyle w:val="TableContents"/>
              <w:spacing w:before="0" w:after="283"/>
              <w:rPr/>
            </w:pPr>
            <w:r>
              <w:rPr/>
              <w:t> </w:t>
            </w:r>
          </w:p>
        </w:tc>
        <w:tc>
          <w:tcPr>
            <w:tcW w:w="7055" w:type="dxa"/>
            <w:gridSpan w:val="14"/>
            <w:tcBorders>
              <w:bottom w:val="single" w:sz="8" w:space="0" w:color="000000"/>
            </w:tcBorders>
            <w:shd w:fill="DBDBDB" w:val="clear"/>
            <w:tcMar>
              <w:bottom w:w="28" w:type="dxa"/>
            </w:tcMar>
            <w:vAlign w:val="center"/>
          </w:tcPr>
          <w:p>
            <w:pPr>
              <w:pStyle w:val="TableContents"/>
              <w:spacing w:before="0" w:after="283"/>
              <w:jc w:val="center"/>
              <w:rPr>
                <w:b/>
              </w:rPr>
            </w:pPr>
            <w:r>
              <w:rPr>
                <w:b/>
              </w:rPr>
              <w:t>Stock Awards</w:t>
            </w:r>
          </w:p>
        </w:tc>
        <w:tc>
          <w:tcPr>
            <w:tcW w:w="75" w:type="dxa"/>
            <w:tcBorders>
              <w:bottom w:val="single" w:sz="8" w:space="0" w:color="000000"/>
            </w:tcBorders>
            <w:shd w:fill="DBDBDB" w:val="clear"/>
            <w:tcMar>
              <w:bottom w:w="28" w:type="dxa"/>
            </w:tcMar>
            <w:vAlign w:val="center"/>
          </w:tcPr>
          <w:p>
            <w:pPr>
              <w:pStyle w:val="TableContents"/>
              <w:spacing w:before="0" w:after="283"/>
              <w:rPr/>
            </w:pPr>
            <w:r>
              <w:rPr/>
              <w:t> </w:t>
            </w:r>
          </w:p>
        </w:tc>
      </w:tr>
      <w:tr>
        <w:trPr/>
        <w:tc>
          <w:tcPr>
            <w:tcW w:w="590" w:type="dxa"/>
            <w:tcBorders/>
            <w:shd w:fill="DBDBDB" w:val="clear"/>
            <w:vAlign w:val="center"/>
          </w:tcPr>
          <w:p>
            <w:pPr>
              <w:pStyle w:val="TableContents"/>
              <w:spacing w:before="0" w:after="283"/>
              <w:rPr>
                <w:sz w:val="4"/>
                <w:szCs w:val="4"/>
              </w:rPr>
            </w:pPr>
            <w:r>
              <w:rPr>
                <w:sz w:val="4"/>
                <w:szCs w:val="4"/>
              </w:rPr>
            </w:r>
          </w:p>
        </w:tc>
        <w:tc>
          <w:tcPr>
            <w:tcW w:w="1385" w:type="dxa"/>
            <w:gridSpan w:val="4"/>
            <w:tcBorders/>
            <w:shd w:fill="DBDBDB" w:val="clear"/>
            <w:vAlign w:val="center"/>
          </w:tcPr>
          <w:p>
            <w:pPr>
              <w:pStyle w:val="TableContents"/>
              <w:spacing w:before="0" w:after="283"/>
              <w:rPr>
                <w:sz w:val="4"/>
                <w:szCs w:val="4"/>
              </w:rPr>
            </w:pPr>
            <w:r>
              <w:rPr>
                <w:sz w:val="4"/>
                <w:szCs w:val="4"/>
              </w:rPr>
            </w:r>
          </w:p>
        </w:tc>
        <w:tc>
          <w:tcPr>
            <w:tcW w:w="1385" w:type="dxa"/>
            <w:gridSpan w:val="4"/>
            <w:tcBorders/>
            <w:shd w:fill="DBDBDB" w:val="clear"/>
            <w:vAlign w:val="center"/>
          </w:tcPr>
          <w:p>
            <w:pPr>
              <w:pStyle w:val="TableContents"/>
              <w:spacing w:before="0" w:after="283"/>
              <w:rPr>
                <w:sz w:val="4"/>
                <w:szCs w:val="4"/>
              </w:rPr>
            </w:pPr>
            <w:r>
              <w:rPr>
                <w:sz w:val="4"/>
                <w:szCs w:val="4"/>
              </w:rPr>
            </w:r>
          </w:p>
        </w:tc>
        <w:tc>
          <w:tcPr>
            <w:tcW w:w="995" w:type="dxa"/>
            <w:gridSpan w:val="4"/>
            <w:tcBorders/>
            <w:shd w:fill="DBDBDB" w:val="clear"/>
            <w:vAlign w:val="center"/>
          </w:tcPr>
          <w:p>
            <w:pPr>
              <w:pStyle w:val="TableContents"/>
              <w:spacing w:before="0" w:after="283"/>
              <w:rPr>
                <w:sz w:val="4"/>
                <w:szCs w:val="4"/>
              </w:rPr>
            </w:pPr>
            <w:r>
              <w:rPr>
                <w:sz w:val="4"/>
                <w:szCs w:val="4"/>
              </w:rPr>
            </w:r>
          </w:p>
        </w:tc>
        <w:tc>
          <w:tcPr>
            <w:tcW w:w="1235" w:type="dxa"/>
            <w:gridSpan w:val="4"/>
            <w:tcBorders/>
            <w:shd w:fill="DBDBDB" w:val="clear"/>
            <w:vAlign w:val="center"/>
          </w:tcPr>
          <w:p>
            <w:pPr>
              <w:pStyle w:val="TableContents"/>
              <w:spacing w:before="0" w:after="283"/>
              <w:rPr>
                <w:sz w:val="4"/>
                <w:szCs w:val="4"/>
              </w:rPr>
            </w:pPr>
            <w:r>
              <w:rPr>
                <w:sz w:val="4"/>
                <w:szCs w:val="4"/>
              </w:rPr>
            </w:r>
          </w:p>
        </w:tc>
        <w:tc>
          <w:tcPr>
            <w:tcW w:w="240" w:type="dxa"/>
            <w:gridSpan w:val="4"/>
            <w:tcBorders/>
            <w:shd w:fill="DBDBDB" w:val="clear"/>
            <w:vAlign w:val="center"/>
          </w:tcPr>
          <w:p>
            <w:pPr>
              <w:pStyle w:val="TableContents"/>
              <w:spacing w:before="0" w:after="283"/>
              <w:rPr>
                <w:sz w:val="4"/>
                <w:szCs w:val="4"/>
              </w:rPr>
            </w:pPr>
            <w:r>
              <w:rPr>
                <w:sz w:val="4"/>
                <w:szCs w:val="4"/>
              </w:rPr>
            </w:r>
          </w:p>
        </w:tc>
        <w:tc>
          <w:tcPr>
            <w:tcW w:w="1715" w:type="dxa"/>
            <w:gridSpan w:val="4"/>
            <w:tcBorders/>
            <w:shd w:fill="DBDBDB" w:val="clear"/>
            <w:vAlign w:val="center"/>
          </w:tcPr>
          <w:p>
            <w:pPr>
              <w:pStyle w:val="TableContents"/>
              <w:spacing w:before="0" w:after="283"/>
              <w:rPr>
                <w:sz w:val="4"/>
                <w:szCs w:val="4"/>
              </w:rPr>
            </w:pPr>
            <w:r>
              <w:rPr>
                <w:sz w:val="4"/>
                <w:szCs w:val="4"/>
              </w:rPr>
            </w:r>
          </w:p>
        </w:tc>
        <w:tc>
          <w:tcPr>
            <w:tcW w:w="1820" w:type="dxa"/>
            <w:gridSpan w:val="4"/>
            <w:tcBorders/>
            <w:shd w:fill="DBDBDB" w:val="clear"/>
            <w:vAlign w:val="center"/>
          </w:tcPr>
          <w:p>
            <w:pPr>
              <w:pStyle w:val="TableContents"/>
              <w:spacing w:before="0" w:after="283"/>
              <w:rPr>
                <w:sz w:val="4"/>
                <w:szCs w:val="4"/>
              </w:rPr>
            </w:pPr>
            <w:r>
              <w:rPr>
                <w:sz w:val="4"/>
                <w:szCs w:val="4"/>
              </w:rPr>
            </w:r>
          </w:p>
        </w:tc>
        <w:tc>
          <w:tcPr>
            <w:tcW w:w="1820" w:type="dxa"/>
            <w:gridSpan w:val="4"/>
            <w:tcBorders/>
            <w:shd w:fill="DBDBDB" w:val="clear"/>
            <w:vAlign w:val="center"/>
          </w:tcPr>
          <w:p>
            <w:pPr>
              <w:pStyle w:val="TableContents"/>
              <w:spacing w:before="0" w:after="283"/>
              <w:rPr>
                <w:sz w:val="4"/>
                <w:szCs w:val="4"/>
              </w:rPr>
            </w:pPr>
            <w:r>
              <w:rPr>
                <w:sz w:val="4"/>
                <w:szCs w:val="4"/>
              </w:rPr>
            </w:r>
          </w:p>
        </w:tc>
        <w:tc>
          <w:tcPr>
            <w:tcW w:w="1835" w:type="dxa"/>
            <w:gridSpan w:val="4"/>
            <w:tcBorders/>
            <w:shd w:fill="DBDBDB" w:val="clear"/>
            <w:vAlign w:val="center"/>
          </w:tcPr>
          <w:p>
            <w:pPr>
              <w:pStyle w:val="TableContents"/>
              <w:spacing w:before="0" w:after="283"/>
              <w:rPr>
                <w:sz w:val="4"/>
                <w:szCs w:val="4"/>
              </w:rPr>
            </w:pPr>
            <w:r>
              <w:rPr>
                <w:sz w:val="4"/>
                <w:szCs w:val="4"/>
              </w:rPr>
            </w:r>
          </w:p>
        </w:tc>
      </w:tr>
      <w:tr>
        <w:trPr/>
        <w:tc>
          <w:tcPr>
            <w:tcW w:w="590" w:type="dxa"/>
            <w:tcBorders/>
            <w:shd w:fill="DBDBDB" w:val="clear"/>
            <w:vAlign w:val="center"/>
          </w:tcPr>
          <w:p>
            <w:pPr>
              <w:pStyle w:val="TableContents"/>
              <w:spacing w:before="0" w:after="0"/>
              <w:rPr>
                <w:rFonts w:ascii="ARIAL" w:hAnsi="ARIAL"/>
                <w:b/>
                <w:sz w:val="14"/>
              </w:rPr>
            </w:pPr>
            <w:r>
              <w:rPr>
                <w:rFonts w:ascii="ARIAL" w:hAnsi="ARIAL"/>
                <w:b/>
                <w:sz w:val="14"/>
              </w:rPr>
              <w:t>Name</w:t>
            </w:r>
          </w:p>
        </w:tc>
        <w:tc>
          <w:tcPr>
            <w:tcW w:w="60" w:type="dxa"/>
            <w:tcBorders/>
            <w:shd w:fill="DBDBDB" w:val="clear"/>
            <w:vAlign w:val="center"/>
          </w:tcPr>
          <w:p>
            <w:pPr>
              <w:pStyle w:val="TableContents"/>
              <w:spacing w:before="0" w:after="283"/>
              <w:rPr/>
            </w:pPr>
            <w:r>
              <w:rPr/>
              <w:t> </w:t>
            </w:r>
          </w:p>
        </w:tc>
        <w:tc>
          <w:tcPr>
            <w:tcW w:w="1265" w:type="dxa"/>
            <w:gridSpan w:val="2"/>
            <w:tcBorders/>
            <w:shd w:fill="DBDBDB" w:val="clear"/>
            <w:vAlign w:val="center"/>
          </w:tcPr>
          <w:p>
            <w:pPr>
              <w:pStyle w:val="TableContents"/>
              <w:spacing w:before="0" w:after="283"/>
              <w:jc w:val="center"/>
              <w:rPr>
                <w:b/>
              </w:rPr>
            </w:pPr>
            <w:r>
              <w:rPr>
                <w:b/>
              </w:rPr>
              <w:t>Number of</w:t>
              <w:br/>
              <w:t>Securities</w:t>
              <w:br/>
              <w:t>Underlying</w:t>
              <w:br/>
              <w:t>Unexercised</w:t>
              <w:br/>
              <w:t>Options</w:t>
              <w:br/>
              <w:t>(#)</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265" w:type="dxa"/>
            <w:gridSpan w:val="2"/>
            <w:tcBorders/>
            <w:shd w:fill="DBDBDB" w:val="clear"/>
            <w:vAlign w:val="center"/>
          </w:tcPr>
          <w:p>
            <w:pPr>
              <w:pStyle w:val="TableContents"/>
              <w:spacing w:before="0" w:after="283"/>
              <w:jc w:val="center"/>
              <w:rPr>
                <w:b/>
              </w:rPr>
            </w:pPr>
            <w:r>
              <w:rPr>
                <w:b/>
              </w:rPr>
              <w:t>Number of</w:t>
              <w:br/>
              <w:t>Securities</w:t>
              <w:br/>
              <w:t>Underlying</w:t>
              <w:br/>
              <w:t>Unexercised</w:t>
              <w:br/>
              <w:t>Options</w:t>
              <w:br/>
              <w:t>(#)</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875" w:type="dxa"/>
            <w:gridSpan w:val="2"/>
            <w:tcBorders/>
            <w:shd w:fill="DBDBDB" w:val="clear"/>
            <w:vAlign w:val="center"/>
          </w:tcPr>
          <w:p>
            <w:pPr>
              <w:pStyle w:val="TableContents"/>
              <w:spacing w:before="0" w:after="283"/>
              <w:jc w:val="center"/>
              <w:rPr>
                <w:b/>
              </w:rPr>
            </w:pPr>
            <w:r>
              <w:rPr>
                <w:b/>
              </w:rPr>
              <w:t>Option</w:t>
              <w:br/>
              <w:t>Exercise</w:t>
              <w:br/>
              <w:t>Price</w:t>
              <w:br/>
              <w:t>($)</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115" w:type="dxa"/>
            <w:gridSpan w:val="2"/>
            <w:tcBorders/>
            <w:shd w:fill="DBDBDB" w:val="clear"/>
            <w:vAlign w:val="center"/>
          </w:tcPr>
          <w:p>
            <w:pPr>
              <w:pStyle w:val="TableContents"/>
              <w:spacing w:before="0" w:after="283"/>
              <w:jc w:val="center"/>
              <w:rPr>
                <w:b/>
              </w:rPr>
            </w:pPr>
            <w:r>
              <w:rPr>
                <w:b/>
              </w:rPr>
              <w:t>Option</w:t>
              <w:br/>
              <w:t>Expiration</w:t>
              <w:br/>
              <w:t>Date</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20" w:type="dxa"/>
            <w:gridSpan w:val="2"/>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595" w:type="dxa"/>
            <w:gridSpan w:val="2"/>
            <w:tcBorders/>
            <w:shd w:fill="DBDBDB" w:val="clear"/>
            <w:vAlign w:val="center"/>
          </w:tcPr>
          <w:p>
            <w:pPr>
              <w:pStyle w:val="TableContents"/>
              <w:spacing w:before="0" w:after="283"/>
              <w:jc w:val="center"/>
              <w:rPr>
                <w:b/>
              </w:rPr>
            </w:pPr>
            <w:r>
              <w:rPr>
                <w:b/>
              </w:rPr>
              <w:t>Number of</w:t>
              <w:br/>
              <w:t>Shares or Units</w:t>
              <w:br/>
              <w:t>of Stock That</w:t>
              <w:br/>
              <w:t>Have Not</w:t>
              <w:br/>
              <w:t>Vested1</w:t>
              <w:br/>
              <w:t>(#)</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700" w:type="dxa"/>
            <w:gridSpan w:val="2"/>
            <w:tcBorders/>
            <w:shd w:fill="DBDBDB" w:val="clear"/>
            <w:vAlign w:val="center"/>
          </w:tcPr>
          <w:p>
            <w:pPr>
              <w:pStyle w:val="TableContents"/>
              <w:spacing w:before="0" w:after="283"/>
              <w:jc w:val="center"/>
              <w:rPr>
                <w:b/>
              </w:rPr>
            </w:pPr>
            <w:r>
              <w:rPr>
                <w:b/>
              </w:rPr>
              <w:t>Market Value of</w:t>
              <w:br/>
              <w:t>Shares or Units</w:t>
              <w:br/>
              <w:t>Of Stock That</w:t>
              <w:br/>
              <w:t>Have Not</w:t>
              <w:br/>
              <w:t>Vested1</w:t>
              <w:br/>
              <w:t>($)</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700" w:type="dxa"/>
            <w:gridSpan w:val="2"/>
            <w:tcBorders/>
            <w:shd w:fill="DBDBDB" w:val="clear"/>
            <w:vAlign w:val="center"/>
          </w:tcPr>
          <w:p>
            <w:pPr>
              <w:pStyle w:val="TableContents"/>
              <w:spacing w:before="0" w:after="283"/>
              <w:jc w:val="center"/>
              <w:rPr>
                <w:b/>
              </w:rPr>
            </w:pPr>
            <w:r>
              <w:rPr>
                <w:b/>
              </w:rPr>
              <w:t>Equity Incentive</w:t>
              <w:br/>
              <w:t>Plan Awards:</w:t>
              <w:br/>
              <w:t>Number of</w:t>
              <w:br/>
              <w:t>Unearned</w:t>
              <w:br/>
              <w:t>Shares, Units or</w:t>
              <w:br/>
              <w:t>Other Rights</w:t>
              <w:br/>
              <w:t>That Have not</w:t>
              <w:br/>
              <w:t>Vested</w:t>
              <w:br/>
              <w:t>(#)</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700" w:type="dxa"/>
            <w:gridSpan w:val="2"/>
            <w:tcBorders/>
            <w:shd w:fill="DBDBDB" w:val="clear"/>
            <w:vAlign w:val="center"/>
          </w:tcPr>
          <w:p>
            <w:pPr>
              <w:pStyle w:val="TableContents"/>
              <w:spacing w:before="0" w:after="283"/>
              <w:jc w:val="center"/>
              <w:rPr>
                <w:b/>
              </w:rPr>
            </w:pPr>
            <w:r>
              <w:rPr>
                <w:b/>
              </w:rPr>
              <w:t>Equity Incentive</w:t>
              <w:br/>
              <w:t>Plan Awards:</w:t>
              <w:br/>
              <w:t>Market Payout</w:t>
              <w:br/>
              <w:t>Value or</w:t>
              <w:br/>
              <w:t>Unearned</w:t>
              <w:br/>
              <w:t>Shares, Units or</w:t>
              <w:br/>
              <w:t>Other Rights</w:t>
              <w:br/>
              <w:t>That Have Not</w:t>
              <w:br/>
              <w:t>Vested1</w:t>
              <w:br/>
              <w:t>($)</w:t>
            </w:r>
          </w:p>
        </w:tc>
        <w:tc>
          <w:tcPr>
            <w:tcW w:w="75" w:type="dxa"/>
            <w:tcBorders/>
            <w:shd w:fill="DBDBDB" w:val="clear"/>
            <w:vAlign w:val="center"/>
          </w:tcPr>
          <w:p>
            <w:pPr>
              <w:pStyle w:val="TableContents"/>
              <w:spacing w:before="0" w:after="283"/>
              <w:rPr/>
            </w:pPr>
            <w:r>
              <w:rPr/>
              <w:t> </w:t>
            </w:r>
          </w:p>
        </w:tc>
      </w:tr>
      <w:tr>
        <w:trPr/>
        <w:tc>
          <w:tcPr>
            <w:tcW w:w="590" w:type="dxa"/>
            <w:tcBorders/>
            <w:shd w:fill="DBDBDB" w:val="clear"/>
            <w:vAlign w:val="center"/>
          </w:tcPr>
          <w:p>
            <w:pPr>
              <w:pStyle w:val="TableContents"/>
              <w:spacing w:before="0" w:after="0"/>
              <w:rPr>
                <w:rFonts w:ascii="ARIAL" w:hAnsi="ARIAL"/>
                <w:sz w:val="14"/>
              </w:rPr>
            </w:pPr>
            <w:r>
              <w:rPr>
                <w:rFonts w:ascii="ARIAL" w:hAnsi="ARIAL"/>
                <w:sz w:val="14"/>
              </w:rPr>
              <w:t>(a)</w:t>
            </w:r>
          </w:p>
        </w:tc>
        <w:tc>
          <w:tcPr>
            <w:tcW w:w="60" w:type="dxa"/>
            <w:tcBorders/>
            <w:shd w:fill="DBDBDB" w:val="clear"/>
            <w:vAlign w:val="center"/>
          </w:tcPr>
          <w:p>
            <w:pPr>
              <w:pStyle w:val="TableContents"/>
              <w:spacing w:before="0" w:after="283"/>
              <w:rPr/>
            </w:pPr>
            <w:r>
              <w:rPr/>
              <w:t> </w:t>
            </w:r>
          </w:p>
        </w:tc>
        <w:tc>
          <w:tcPr>
            <w:tcW w:w="1265" w:type="dxa"/>
            <w:gridSpan w:val="2"/>
            <w:tcBorders/>
            <w:shd w:fill="DBDBDB" w:val="clear"/>
            <w:vAlign w:val="center"/>
          </w:tcPr>
          <w:p>
            <w:pPr>
              <w:pStyle w:val="TableContents"/>
              <w:spacing w:before="0" w:after="283"/>
              <w:jc w:val="center"/>
              <w:rPr/>
            </w:pPr>
            <w:r>
              <w:rPr/>
              <w:t>(b)</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265" w:type="dxa"/>
            <w:gridSpan w:val="2"/>
            <w:tcBorders/>
            <w:shd w:fill="DBDBDB" w:val="clear"/>
            <w:vAlign w:val="center"/>
          </w:tcPr>
          <w:p>
            <w:pPr>
              <w:pStyle w:val="TableContents"/>
              <w:spacing w:before="0" w:after="283"/>
              <w:jc w:val="center"/>
              <w:rPr/>
            </w:pPr>
            <w:r>
              <w:rPr/>
              <w:t>(c)</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875" w:type="dxa"/>
            <w:gridSpan w:val="2"/>
            <w:tcBorders/>
            <w:shd w:fill="DBDBDB" w:val="clear"/>
            <w:vAlign w:val="center"/>
          </w:tcPr>
          <w:p>
            <w:pPr>
              <w:pStyle w:val="TableContents"/>
              <w:spacing w:before="0" w:after="283"/>
              <w:jc w:val="center"/>
              <w:rPr/>
            </w:pPr>
            <w:r>
              <w:rPr/>
              <w:t>(e)</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115" w:type="dxa"/>
            <w:gridSpan w:val="2"/>
            <w:tcBorders/>
            <w:shd w:fill="DBDBDB" w:val="clear"/>
            <w:vAlign w:val="center"/>
          </w:tcPr>
          <w:p>
            <w:pPr>
              <w:pStyle w:val="TableContents"/>
              <w:spacing w:before="0" w:after="283"/>
              <w:jc w:val="center"/>
              <w:rPr/>
            </w:pPr>
            <w:r>
              <w:rPr/>
              <w:t>(f)</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20" w:type="dxa"/>
            <w:gridSpan w:val="2"/>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595" w:type="dxa"/>
            <w:gridSpan w:val="2"/>
            <w:tcBorders/>
            <w:shd w:fill="DBDBDB" w:val="clear"/>
            <w:vAlign w:val="center"/>
          </w:tcPr>
          <w:p>
            <w:pPr>
              <w:pStyle w:val="TableContents"/>
              <w:spacing w:before="0" w:after="283"/>
              <w:jc w:val="center"/>
              <w:rPr/>
            </w:pPr>
            <w:r>
              <w:rPr/>
              <w:t>(g)</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700" w:type="dxa"/>
            <w:gridSpan w:val="2"/>
            <w:tcBorders/>
            <w:shd w:fill="DBDBDB" w:val="clear"/>
            <w:vAlign w:val="center"/>
          </w:tcPr>
          <w:p>
            <w:pPr>
              <w:pStyle w:val="TableContents"/>
              <w:spacing w:before="0" w:after="283"/>
              <w:jc w:val="center"/>
              <w:rPr/>
            </w:pPr>
            <w:r>
              <w:rPr/>
              <w:t>(h)</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700" w:type="dxa"/>
            <w:gridSpan w:val="2"/>
            <w:tcBorders/>
            <w:shd w:fill="DBDBDB" w:val="clear"/>
            <w:vAlign w:val="center"/>
          </w:tcPr>
          <w:p>
            <w:pPr>
              <w:pStyle w:val="TableContents"/>
              <w:spacing w:before="0" w:after="283"/>
              <w:jc w:val="center"/>
              <w:rPr/>
            </w:pPr>
            <w:r>
              <w:rPr/>
              <w:t>(i)</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700" w:type="dxa"/>
            <w:gridSpan w:val="2"/>
            <w:tcBorders/>
            <w:shd w:fill="DBDBDB" w:val="clear"/>
            <w:vAlign w:val="center"/>
          </w:tcPr>
          <w:p>
            <w:pPr>
              <w:pStyle w:val="TableContents"/>
              <w:spacing w:before="0" w:after="283"/>
              <w:jc w:val="center"/>
              <w:rPr/>
            </w:pPr>
            <w:r>
              <w:rPr/>
              <w:t>(j)</w:t>
            </w:r>
          </w:p>
        </w:tc>
        <w:tc>
          <w:tcPr>
            <w:tcW w:w="75" w:type="dxa"/>
            <w:tcBorders/>
            <w:shd w:fill="DBDBDB" w:val="clear"/>
            <w:vAlign w:val="center"/>
          </w:tcPr>
          <w:p>
            <w:pPr>
              <w:pStyle w:val="TableContents"/>
              <w:spacing w:before="0" w:after="283"/>
              <w:rPr/>
            </w:pPr>
            <w:r>
              <w:rPr/>
              <w:t> </w:t>
            </w:r>
          </w:p>
        </w:tc>
      </w:tr>
      <w:tr>
        <w:trPr/>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90" w:type="dxa"/>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1715"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35" w:type="dxa"/>
            <w:gridSpan w:val="4"/>
            <w:tcBorders/>
            <w:shd w:fill="auto" w:val="clear"/>
            <w:vAlign w:val="center"/>
          </w:tcPr>
          <w:p>
            <w:pPr>
              <w:pStyle w:val="TableContents"/>
              <w:spacing w:before="0" w:after="283"/>
              <w:rPr>
                <w:sz w:val="4"/>
                <w:szCs w:val="4"/>
              </w:rPr>
            </w:pPr>
            <w:r>
              <w:rPr>
                <w:sz w:val="4"/>
                <w:szCs w:val="4"/>
              </w:rPr>
            </w:r>
          </w:p>
        </w:tc>
      </w:tr>
      <w:tr>
        <w:trPr/>
        <w:tc>
          <w:tcPr>
            <w:tcW w:w="590"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C. Howard Nye</w:t>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3,3802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1,142,339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11,8047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3,989,398</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6,4003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2,163,008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11,7358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3,966,078</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8,2704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2,795,012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10,1079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3,415,863</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6,3415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2,143,068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32" w:type="dxa"/>
            <w:tcBorders>
              <w:bottom w:val="dotted" w:sz="8" w:space="0" w:color="000000"/>
            </w:tcBorders>
            <w:shd w:fill="auto" w:val="clear"/>
            <w:tcMar>
              <w:bottom w:w="28" w:type="dxa"/>
            </w:tcMar>
            <w:vAlign w:val="center"/>
          </w:tcPr>
          <w:p>
            <w:pPr>
              <w:pStyle w:val="TableContents"/>
              <w:spacing w:before="0" w:after="283"/>
              <w:rPr/>
            </w:pPr>
            <w:r>
              <w:rPr/>
              <w:t> </w:t>
            </w:r>
          </w:p>
        </w:tc>
        <w:tc>
          <w:tcPr>
            <w:tcW w:w="63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32" w:type="dxa"/>
            <w:tcBorders>
              <w:bottom w:val="dotted" w:sz="8" w:space="0" w:color="000000"/>
            </w:tcBorders>
            <w:shd w:fill="auto" w:val="clear"/>
            <w:tcMar>
              <w:bottom w:w="28" w:type="dxa"/>
            </w:tcMar>
            <w:vAlign w:val="center"/>
          </w:tcPr>
          <w:p>
            <w:pPr>
              <w:pStyle w:val="TableContents"/>
              <w:spacing w:before="0" w:after="283"/>
              <w:rPr/>
            </w:pPr>
            <w:r>
              <w:rPr/>
              <w:t> </w:t>
            </w:r>
          </w:p>
        </w:tc>
        <w:tc>
          <w:tcPr>
            <w:tcW w:w="63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37" w:type="dxa"/>
            <w:tcBorders>
              <w:bottom w:val="dotted" w:sz="8" w:space="0" w:color="000000"/>
            </w:tcBorders>
            <w:shd w:fill="auto" w:val="clear"/>
            <w:tcMar>
              <w:bottom w:w="28" w:type="dxa"/>
            </w:tcMar>
            <w:vAlign w:val="center"/>
          </w:tcPr>
          <w:p>
            <w:pPr>
              <w:pStyle w:val="TableContents"/>
              <w:spacing w:before="0" w:after="283"/>
              <w:rPr/>
            </w:pPr>
            <w:r>
              <w:rPr/>
              <w:t> </w:t>
            </w:r>
          </w:p>
        </w:tc>
        <w:tc>
          <w:tcPr>
            <w:tcW w:w="438"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557" w:type="dxa"/>
            <w:tcBorders>
              <w:bottom w:val="dotted" w:sz="8" w:space="0" w:color="000000"/>
            </w:tcBorders>
            <w:shd w:fill="auto" w:val="clear"/>
            <w:tcMar>
              <w:bottom w:w="28" w:type="dxa"/>
            </w:tcMar>
            <w:vAlign w:val="center"/>
          </w:tcPr>
          <w:p>
            <w:pPr>
              <w:pStyle w:val="TableContents"/>
              <w:spacing w:before="0" w:after="283"/>
              <w:rPr/>
            </w:pPr>
            <w:r>
              <w:rPr/>
              <w:t> </w:t>
            </w:r>
          </w:p>
        </w:tc>
        <w:tc>
          <w:tcPr>
            <w:tcW w:w="558"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100" w:type="dxa"/>
            </w:tcMar>
            <w:vAlign w:val="center"/>
          </w:tcPr>
          <w:p>
            <w:pPr>
              <w:pStyle w:val="TableContents"/>
              <w:spacing w:before="0" w:after="283"/>
              <w:rPr/>
            </w:pPr>
            <w:r>
              <w:rPr/>
              <w:t> </w:t>
            </w:r>
          </w:p>
        </w:tc>
        <w:tc>
          <w:tcPr>
            <w:tcW w:w="1484" w:type="dxa"/>
            <w:tcBorders>
              <w:bottom w:val="dotted" w:sz="8" w:space="0" w:color="000000"/>
            </w:tcBorders>
            <w:shd w:fill="auto" w:val="clear"/>
            <w:tcMar>
              <w:bottom w:w="100" w:type="dxa"/>
            </w:tcMar>
            <w:vAlign w:val="center"/>
          </w:tcPr>
          <w:p>
            <w:pPr>
              <w:pStyle w:val="TableContents"/>
              <w:spacing w:before="0" w:after="283"/>
              <w:jc w:val="right"/>
              <w:rPr/>
            </w:pPr>
            <w:r>
              <w:rPr/>
              <w:t>4,1506</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8" w:type="dxa"/>
            <w:tcBorders>
              <w:bottom w:val="dotted" w:sz="8" w:space="0" w:color="000000"/>
            </w:tcBorders>
            <w:shd w:fill="auto" w:val="clear"/>
            <w:tcMar>
              <w:bottom w:w="100" w:type="dxa"/>
            </w:tcMar>
            <w:vAlign w:val="center"/>
          </w:tcPr>
          <w:p>
            <w:pPr>
              <w:pStyle w:val="TableContents"/>
              <w:spacing w:before="0" w:after="283"/>
              <w:rPr/>
            </w:pPr>
            <w:r>
              <w:rPr/>
              <w:t> </w:t>
            </w:r>
          </w:p>
        </w:tc>
        <w:tc>
          <w:tcPr>
            <w:tcW w:w="1602" w:type="dxa"/>
            <w:tcBorders>
              <w:bottom w:val="dotted" w:sz="8" w:space="0" w:color="000000"/>
            </w:tcBorders>
            <w:shd w:fill="auto" w:val="clear"/>
            <w:tcMar>
              <w:bottom w:w="100" w:type="dxa"/>
            </w:tcMar>
            <w:vAlign w:val="center"/>
          </w:tcPr>
          <w:p>
            <w:pPr>
              <w:pStyle w:val="TableContents"/>
              <w:spacing w:before="0" w:after="283"/>
              <w:jc w:val="right"/>
              <w:rPr/>
            </w:pPr>
            <w:r>
              <w:rPr/>
              <w:t>1,402,576</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8" w:type="dxa"/>
            <w:tcBorders>
              <w:bottom w:val="dotted" w:sz="8" w:space="0" w:color="000000"/>
            </w:tcBorders>
            <w:shd w:fill="auto" w:val="clear"/>
            <w:tcMar>
              <w:bottom w:w="28" w:type="dxa"/>
            </w:tcMar>
            <w:vAlign w:val="center"/>
          </w:tcPr>
          <w:p>
            <w:pPr>
              <w:pStyle w:val="TableContents"/>
              <w:spacing w:before="0" w:after="283"/>
              <w:rPr/>
            </w:pPr>
            <w:r>
              <w:rPr/>
              <w:t> </w:t>
            </w:r>
          </w:p>
        </w:tc>
        <w:tc>
          <w:tcPr>
            <w:tcW w:w="1582"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8" w:type="dxa"/>
            <w:tcBorders>
              <w:bottom w:val="dotted" w:sz="8" w:space="0" w:color="000000"/>
            </w:tcBorders>
            <w:shd w:fill="auto" w:val="clear"/>
            <w:tcMar>
              <w:bottom w:w="28" w:type="dxa"/>
            </w:tcMar>
            <w:vAlign w:val="center"/>
          </w:tcPr>
          <w:p>
            <w:pPr>
              <w:pStyle w:val="TableContents"/>
              <w:spacing w:before="0" w:after="283"/>
              <w:rPr/>
            </w:pPr>
            <w:r>
              <w:rPr/>
              <w:t> </w:t>
            </w:r>
          </w:p>
        </w:tc>
        <w:tc>
          <w:tcPr>
            <w:tcW w:w="1602" w:type="dxa"/>
            <w:tcBorders>
              <w:bottom w:val="dotted" w:sz="8" w:space="0" w:color="000000"/>
            </w:tcBorders>
            <w:shd w:fill="auto" w:val="clear"/>
            <w:tcMar>
              <w:bottom w:w="28" w:type="dxa"/>
            </w:tcMar>
            <w:vAlign w:val="center"/>
          </w:tcPr>
          <w:p>
            <w:pPr>
              <w:pStyle w:val="TableContents"/>
              <w:spacing w:before="0" w:after="283"/>
              <w:rPr/>
            </w:pPr>
            <w:r>
              <w:rPr/>
              <w:t> </w:t>
            </w:r>
          </w:p>
        </w:tc>
        <w:tc>
          <w:tcPr>
            <w:tcW w:w="75" w:type="dxa"/>
            <w:tcBorders>
              <w:bottom w:val="dotted" w:sz="8" w:space="0" w:color="000000"/>
            </w:tcBorders>
            <w:shd w:fill="auto" w:val="clear"/>
            <w:tcMar>
              <w:bottom w:w="28" w:type="dxa"/>
            </w:tcMar>
            <w:vAlign w:val="center"/>
          </w:tcPr>
          <w:p>
            <w:pPr>
              <w:pStyle w:val="TableContents"/>
              <w:spacing w:before="0" w:after="283"/>
              <w:rPr/>
            </w:pPr>
            <w:r>
              <w:rPr/>
              <w:t> </w:t>
            </w:r>
          </w:p>
        </w:tc>
      </w:tr>
      <w:tr>
        <w:trPr/>
        <w:tc>
          <w:tcPr>
            <w:tcW w:w="590" w:type="dxa"/>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1715"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35" w:type="dxa"/>
            <w:gridSpan w:val="4"/>
            <w:tcBorders/>
            <w:shd w:fill="auto" w:val="clear"/>
            <w:vAlign w:val="center"/>
          </w:tcPr>
          <w:p>
            <w:pPr>
              <w:pStyle w:val="TableContents"/>
              <w:spacing w:before="0" w:after="283"/>
              <w:rPr>
                <w:sz w:val="4"/>
                <w:szCs w:val="4"/>
              </w:rPr>
            </w:pPr>
            <w:r>
              <w:rPr>
                <w:sz w:val="4"/>
                <w:szCs w:val="4"/>
              </w:rPr>
            </w:r>
          </w:p>
        </w:tc>
      </w:tr>
      <w:tr>
        <w:trPr/>
        <w:tc>
          <w:tcPr>
            <w:tcW w:w="590"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James A. J. Nickolas</w:t>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5572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188,249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1,9467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657,690</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1,0173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343,715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1,8648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629,976</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1,5084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509,659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1,8439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622,879</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32" w:type="dxa"/>
            <w:tcBorders>
              <w:bottom w:val="dotted" w:sz="8" w:space="0" w:color="000000"/>
            </w:tcBorders>
            <w:shd w:fill="auto" w:val="clear"/>
            <w:tcMar>
              <w:bottom w:w="28" w:type="dxa"/>
            </w:tcMar>
            <w:vAlign w:val="center"/>
          </w:tcPr>
          <w:p>
            <w:pPr>
              <w:pStyle w:val="TableContents"/>
              <w:spacing w:before="0" w:after="283"/>
              <w:rPr/>
            </w:pPr>
            <w:r>
              <w:rPr/>
              <w:t> </w:t>
            </w:r>
          </w:p>
        </w:tc>
        <w:tc>
          <w:tcPr>
            <w:tcW w:w="63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32" w:type="dxa"/>
            <w:tcBorders>
              <w:bottom w:val="dotted" w:sz="8" w:space="0" w:color="000000"/>
            </w:tcBorders>
            <w:shd w:fill="auto" w:val="clear"/>
            <w:tcMar>
              <w:bottom w:w="28" w:type="dxa"/>
            </w:tcMar>
            <w:vAlign w:val="center"/>
          </w:tcPr>
          <w:p>
            <w:pPr>
              <w:pStyle w:val="TableContents"/>
              <w:spacing w:before="0" w:after="283"/>
              <w:rPr/>
            </w:pPr>
            <w:r>
              <w:rPr/>
              <w:t> </w:t>
            </w:r>
          </w:p>
        </w:tc>
        <w:tc>
          <w:tcPr>
            <w:tcW w:w="63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37" w:type="dxa"/>
            <w:tcBorders>
              <w:bottom w:val="dotted" w:sz="8" w:space="0" w:color="000000"/>
            </w:tcBorders>
            <w:shd w:fill="auto" w:val="clear"/>
            <w:tcMar>
              <w:bottom w:w="28" w:type="dxa"/>
            </w:tcMar>
            <w:vAlign w:val="center"/>
          </w:tcPr>
          <w:p>
            <w:pPr>
              <w:pStyle w:val="TableContents"/>
              <w:spacing w:before="0" w:after="283"/>
              <w:rPr/>
            </w:pPr>
            <w:r>
              <w:rPr/>
              <w:t> </w:t>
            </w:r>
          </w:p>
        </w:tc>
        <w:tc>
          <w:tcPr>
            <w:tcW w:w="438"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557" w:type="dxa"/>
            <w:tcBorders>
              <w:bottom w:val="dotted" w:sz="8" w:space="0" w:color="000000"/>
            </w:tcBorders>
            <w:shd w:fill="auto" w:val="clear"/>
            <w:tcMar>
              <w:bottom w:w="28" w:type="dxa"/>
            </w:tcMar>
            <w:vAlign w:val="center"/>
          </w:tcPr>
          <w:p>
            <w:pPr>
              <w:pStyle w:val="TableContents"/>
              <w:spacing w:before="0" w:after="283"/>
              <w:rPr/>
            </w:pPr>
            <w:r>
              <w:rPr/>
              <w:t> </w:t>
            </w:r>
          </w:p>
        </w:tc>
        <w:tc>
          <w:tcPr>
            <w:tcW w:w="558"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80" w:type="dxa"/>
            </w:tcMar>
            <w:vAlign w:val="center"/>
          </w:tcPr>
          <w:p>
            <w:pPr>
              <w:pStyle w:val="TableContents"/>
              <w:spacing w:before="0" w:after="283"/>
              <w:rPr/>
            </w:pPr>
            <w:r>
              <w:rPr/>
              <w:t> </w:t>
            </w:r>
          </w:p>
        </w:tc>
        <w:tc>
          <w:tcPr>
            <w:tcW w:w="1484" w:type="dxa"/>
            <w:tcBorders>
              <w:bottom w:val="dotted" w:sz="8" w:space="0" w:color="000000"/>
            </w:tcBorders>
            <w:shd w:fill="auto" w:val="clear"/>
            <w:tcMar>
              <w:bottom w:w="80" w:type="dxa"/>
            </w:tcMar>
            <w:vAlign w:val="center"/>
          </w:tcPr>
          <w:p>
            <w:pPr>
              <w:pStyle w:val="TableContents"/>
              <w:spacing w:before="0" w:after="283"/>
              <w:jc w:val="right"/>
              <w:rPr/>
            </w:pPr>
            <w:r>
              <w:rPr/>
              <w:t>6125</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8" w:type="dxa"/>
            <w:tcBorders>
              <w:bottom w:val="dotted" w:sz="8" w:space="0" w:color="000000"/>
            </w:tcBorders>
            <w:shd w:fill="auto" w:val="clear"/>
            <w:tcMar>
              <w:bottom w:w="80" w:type="dxa"/>
            </w:tcMar>
            <w:vAlign w:val="center"/>
          </w:tcPr>
          <w:p>
            <w:pPr>
              <w:pStyle w:val="TableContents"/>
              <w:spacing w:before="0" w:after="283"/>
              <w:rPr/>
            </w:pPr>
            <w:r>
              <w:rPr/>
              <w:t> </w:t>
            </w:r>
          </w:p>
        </w:tc>
        <w:tc>
          <w:tcPr>
            <w:tcW w:w="1602" w:type="dxa"/>
            <w:tcBorders>
              <w:bottom w:val="dotted" w:sz="8" w:space="0" w:color="000000"/>
            </w:tcBorders>
            <w:shd w:fill="auto" w:val="clear"/>
            <w:tcMar>
              <w:bottom w:w="80" w:type="dxa"/>
            </w:tcMar>
            <w:vAlign w:val="center"/>
          </w:tcPr>
          <w:p>
            <w:pPr>
              <w:pStyle w:val="TableContents"/>
              <w:spacing w:before="0" w:after="283"/>
              <w:jc w:val="right"/>
              <w:rPr/>
            </w:pPr>
            <w:r>
              <w:rPr/>
              <w:t>206,838</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8" w:type="dxa"/>
            <w:tcBorders>
              <w:bottom w:val="dotted" w:sz="8" w:space="0" w:color="000000"/>
            </w:tcBorders>
            <w:shd w:fill="auto" w:val="clear"/>
            <w:tcMar>
              <w:bottom w:w="28" w:type="dxa"/>
            </w:tcMar>
            <w:vAlign w:val="center"/>
          </w:tcPr>
          <w:p>
            <w:pPr>
              <w:pStyle w:val="TableContents"/>
              <w:spacing w:before="0" w:after="283"/>
              <w:rPr/>
            </w:pPr>
            <w:r>
              <w:rPr/>
              <w:t> </w:t>
            </w:r>
          </w:p>
        </w:tc>
        <w:tc>
          <w:tcPr>
            <w:tcW w:w="1582"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8" w:type="dxa"/>
            <w:tcBorders>
              <w:bottom w:val="dotted" w:sz="8" w:space="0" w:color="000000"/>
            </w:tcBorders>
            <w:shd w:fill="auto" w:val="clear"/>
            <w:tcMar>
              <w:bottom w:w="28" w:type="dxa"/>
            </w:tcMar>
            <w:vAlign w:val="center"/>
          </w:tcPr>
          <w:p>
            <w:pPr>
              <w:pStyle w:val="TableContents"/>
              <w:spacing w:before="0" w:after="283"/>
              <w:rPr/>
            </w:pPr>
            <w:r>
              <w:rPr/>
              <w:t> </w:t>
            </w:r>
          </w:p>
        </w:tc>
        <w:tc>
          <w:tcPr>
            <w:tcW w:w="1602" w:type="dxa"/>
            <w:tcBorders>
              <w:bottom w:val="dotted" w:sz="8" w:space="0" w:color="000000"/>
            </w:tcBorders>
            <w:shd w:fill="auto" w:val="clear"/>
            <w:tcMar>
              <w:bottom w:w="28" w:type="dxa"/>
            </w:tcMar>
            <w:vAlign w:val="center"/>
          </w:tcPr>
          <w:p>
            <w:pPr>
              <w:pStyle w:val="TableContents"/>
              <w:spacing w:before="0" w:after="283"/>
              <w:rPr/>
            </w:pPr>
            <w:r>
              <w:rPr/>
              <w:t> </w:t>
            </w:r>
          </w:p>
        </w:tc>
        <w:tc>
          <w:tcPr>
            <w:tcW w:w="75" w:type="dxa"/>
            <w:tcBorders>
              <w:bottom w:val="dotted" w:sz="8" w:space="0" w:color="000000"/>
            </w:tcBorders>
            <w:shd w:fill="auto" w:val="clear"/>
            <w:tcMar>
              <w:bottom w:w="28" w:type="dxa"/>
            </w:tcMar>
            <w:vAlign w:val="center"/>
          </w:tcPr>
          <w:p>
            <w:pPr>
              <w:pStyle w:val="TableContents"/>
              <w:spacing w:before="0" w:after="283"/>
              <w:rPr/>
            </w:pPr>
            <w:r>
              <w:rPr/>
              <w:t> </w:t>
            </w:r>
          </w:p>
        </w:tc>
      </w:tr>
      <w:tr>
        <w:trPr/>
        <w:tc>
          <w:tcPr>
            <w:tcW w:w="590" w:type="dxa"/>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1715"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35" w:type="dxa"/>
            <w:gridSpan w:val="4"/>
            <w:tcBorders/>
            <w:shd w:fill="auto" w:val="clear"/>
            <w:vAlign w:val="center"/>
          </w:tcPr>
          <w:p>
            <w:pPr>
              <w:pStyle w:val="TableContents"/>
              <w:spacing w:before="0" w:after="283"/>
              <w:rPr>
                <w:sz w:val="4"/>
                <w:szCs w:val="4"/>
              </w:rPr>
            </w:pPr>
            <w:r>
              <w:rPr>
                <w:sz w:val="4"/>
                <w:szCs w:val="4"/>
              </w:rPr>
            </w:r>
          </w:p>
        </w:tc>
      </w:tr>
      <w:tr>
        <w:trPr/>
        <w:tc>
          <w:tcPr>
            <w:tcW w:w="590"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Roselyn R. Bar</w:t>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5822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196,699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2,0327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686,755</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1,0603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358,248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1,9438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656,676</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1,4684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496,140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1,8729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632,680</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1,1375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384,272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90"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32" w:type="dxa"/>
            <w:tcBorders>
              <w:bottom w:val="dotted" w:sz="8" w:space="0" w:color="000000"/>
            </w:tcBorders>
            <w:shd w:fill="auto" w:val="clear"/>
            <w:tcMar>
              <w:bottom w:w="28" w:type="dxa"/>
            </w:tcMar>
            <w:vAlign w:val="center"/>
          </w:tcPr>
          <w:p>
            <w:pPr>
              <w:pStyle w:val="TableContents"/>
              <w:spacing w:before="0" w:after="283"/>
              <w:rPr/>
            </w:pPr>
            <w:r>
              <w:rPr/>
              <w:t> </w:t>
            </w:r>
          </w:p>
        </w:tc>
        <w:tc>
          <w:tcPr>
            <w:tcW w:w="63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32" w:type="dxa"/>
            <w:tcBorders>
              <w:bottom w:val="dotted" w:sz="8" w:space="0" w:color="000000"/>
            </w:tcBorders>
            <w:shd w:fill="auto" w:val="clear"/>
            <w:tcMar>
              <w:bottom w:w="28" w:type="dxa"/>
            </w:tcMar>
            <w:vAlign w:val="center"/>
          </w:tcPr>
          <w:p>
            <w:pPr>
              <w:pStyle w:val="TableContents"/>
              <w:spacing w:before="0" w:after="283"/>
              <w:rPr/>
            </w:pPr>
            <w:r>
              <w:rPr/>
              <w:t> </w:t>
            </w:r>
          </w:p>
        </w:tc>
        <w:tc>
          <w:tcPr>
            <w:tcW w:w="63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37" w:type="dxa"/>
            <w:tcBorders>
              <w:bottom w:val="dotted" w:sz="8" w:space="0" w:color="000000"/>
            </w:tcBorders>
            <w:shd w:fill="auto" w:val="clear"/>
            <w:tcMar>
              <w:bottom w:w="28" w:type="dxa"/>
            </w:tcMar>
            <w:vAlign w:val="center"/>
          </w:tcPr>
          <w:p>
            <w:pPr>
              <w:pStyle w:val="TableContents"/>
              <w:spacing w:before="0" w:after="283"/>
              <w:rPr/>
            </w:pPr>
            <w:r>
              <w:rPr/>
              <w:t> </w:t>
            </w:r>
          </w:p>
        </w:tc>
        <w:tc>
          <w:tcPr>
            <w:tcW w:w="438"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557" w:type="dxa"/>
            <w:tcBorders>
              <w:bottom w:val="dotted" w:sz="8" w:space="0" w:color="000000"/>
            </w:tcBorders>
            <w:shd w:fill="auto" w:val="clear"/>
            <w:tcMar>
              <w:bottom w:w="28" w:type="dxa"/>
            </w:tcMar>
            <w:vAlign w:val="center"/>
          </w:tcPr>
          <w:p>
            <w:pPr>
              <w:pStyle w:val="TableContents"/>
              <w:spacing w:before="0" w:after="283"/>
              <w:rPr/>
            </w:pPr>
            <w:r>
              <w:rPr/>
              <w:t> </w:t>
            </w:r>
          </w:p>
        </w:tc>
        <w:tc>
          <w:tcPr>
            <w:tcW w:w="558"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100" w:type="dxa"/>
            </w:tcMar>
            <w:vAlign w:val="center"/>
          </w:tcPr>
          <w:p>
            <w:pPr>
              <w:pStyle w:val="TableContents"/>
              <w:spacing w:before="0" w:after="283"/>
              <w:rPr/>
            </w:pPr>
            <w:r>
              <w:rPr/>
              <w:t> </w:t>
            </w:r>
          </w:p>
        </w:tc>
        <w:tc>
          <w:tcPr>
            <w:tcW w:w="1484" w:type="dxa"/>
            <w:tcBorders>
              <w:bottom w:val="dotted" w:sz="8" w:space="0" w:color="000000"/>
            </w:tcBorders>
            <w:shd w:fill="auto" w:val="clear"/>
            <w:tcMar>
              <w:bottom w:w="100" w:type="dxa"/>
            </w:tcMar>
            <w:vAlign w:val="center"/>
          </w:tcPr>
          <w:p>
            <w:pPr>
              <w:pStyle w:val="TableContents"/>
              <w:spacing w:before="0" w:after="283"/>
              <w:jc w:val="right"/>
              <w:rPr/>
            </w:pPr>
            <w:r>
              <w:rPr/>
              <w:t>8496</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8" w:type="dxa"/>
            <w:tcBorders>
              <w:bottom w:val="dotted" w:sz="8" w:space="0" w:color="000000"/>
            </w:tcBorders>
            <w:shd w:fill="auto" w:val="clear"/>
            <w:tcMar>
              <w:bottom w:w="100" w:type="dxa"/>
            </w:tcMar>
            <w:vAlign w:val="center"/>
          </w:tcPr>
          <w:p>
            <w:pPr>
              <w:pStyle w:val="TableContents"/>
              <w:spacing w:before="0" w:after="283"/>
              <w:rPr/>
            </w:pPr>
            <w:r>
              <w:rPr/>
              <w:t> </w:t>
            </w:r>
          </w:p>
        </w:tc>
        <w:tc>
          <w:tcPr>
            <w:tcW w:w="1602" w:type="dxa"/>
            <w:tcBorders>
              <w:bottom w:val="dotted" w:sz="8" w:space="0" w:color="000000"/>
            </w:tcBorders>
            <w:shd w:fill="auto" w:val="clear"/>
            <w:tcMar>
              <w:bottom w:w="100" w:type="dxa"/>
            </w:tcMar>
            <w:vAlign w:val="center"/>
          </w:tcPr>
          <w:p>
            <w:pPr>
              <w:pStyle w:val="TableContents"/>
              <w:spacing w:before="0" w:after="283"/>
              <w:jc w:val="right"/>
              <w:rPr/>
            </w:pPr>
            <w:r>
              <w:rPr/>
              <w:t>286,937</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8" w:type="dxa"/>
            <w:tcBorders>
              <w:bottom w:val="dotted" w:sz="8" w:space="0" w:color="000000"/>
            </w:tcBorders>
            <w:shd w:fill="auto" w:val="clear"/>
            <w:tcMar>
              <w:bottom w:w="28" w:type="dxa"/>
            </w:tcMar>
            <w:vAlign w:val="center"/>
          </w:tcPr>
          <w:p>
            <w:pPr>
              <w:pStyle w:val="TableContents"/>
              <w:spacing w:before="0" w:after="283"/>
              <w:rPr/>
            </w:pPr>
            <w:r>
              <w:rPr/>
              <w:t> </w:t>
            </w:r>
          </w:p>
        </w:tc>
        <w:tc>
          <w:tcPr>
            <w:tcW w:w="1582"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8" w:type="dxa"/>
            <w:tcBorders>
              <w:bottom w:val="dotted" w:sz="8" w:space="0" w:color="000000"/>
            </w:tcBorders>
            <w:shd w:fill="auto" w:val="clear"/>
            <w:tcMar>
              <w:bottom w:w="28" w:type="dxa"/>
            </w:tcMar>
            <w:vAlign w:val="center"/>
          </w:tcPr>
          <w:p>
            <w:pPr>
              <w:pStyle w:val="TableContents"/>
              <w:spacing w:before="0" w:after="283"/>
              <w:rPr/>
            </w:pPr>
            <w:r>
              <w:rPr/>
              <w:t> </w:t>
            </w:r>
          </w:p>
        </w:tc>
        <w:tc>
          <w:tcPr>
            <w:tcW w:w="1602" w:type="dxa"/>
            <w:tcBorders>
              <w:bottom w:val="dotted" w:sz="8" w:space="0" w:color="000000"/>
            </w:tcBorders>
            <w:shd w:fill="auto" w:val="clear"/>
            <w:tcMar>
              <w:bottom w:w="28" w:type="dxa"/>
            </w:tcMar>
            <w:vAlign w:val="center"/>
          </w:tcPr>
          <w:p>
            <w:pPr>
              <w:pStyle w:val="TableContents"/>
              <w:spacing w:before="0" w:after="283"/>
              <w:rPr/>
            </w:pPr>
            <w:r>
              <w:rPr/>
              <w:t> </w:t>
            </w:r>
          </w:p>
        </w:tc>
        <w:tc>
          <w:tcPr>
            <w:tcW w:w="75" w:type="dxa"/>
            <w:tcBorders>
              <w:bottom w:val="dotted" w:sz="8" w:space="0" w:color="000000"/>
            </w:tcBorders>
            <w:shd w:fill="auto" w:val="clear"/>
            <w:tcMar>
              <w:bottom w:w="28" w:type="dxa"/>
            </w:tcMar>
            <w:vAlign w:val="center"/>
          </w:tcPr>
          <w:p>
            <w:pPr>
              <w:pStyle w:val="TableContents"/>
              <w:spacing w:before="0" w:after="283"/>
              <w:rPr/>
            </w:pPr>
            <w:r>
              <w:rPr/>
              <w:t> </w:t>
            </w:r>
          </w:p>
        </w:tc>
      </w:tr>
      <w:tr>
        <w:trPr/>
        <w:tc>
          <w:tcPr>
            <w:tcW w:w="590" w:type="dxa"/>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1715"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35" w:type="dxa"/>
            <w:gridSpan w:val="4"/>
            <w:tcBorders/>
            <w:shd w:fill="auto" w:val="clear"/>
            <w:vAlign w:val="center"/>
          </w:tcPr>
          <w:p>
            <w:pPr>
              <w:pStyle w:val="TableContents"/>
              <w:spacing w:before="0" w:after="283"/>
              <w:rPr>
                <w:sz w:val="4"/>
                <w:szCs w:val="4"/>
              </w:rPr>
            </w:pPr>
            <w:r>
              <w:rPr>
                <w:sz w:val="4"/>
                <w:szCs w:val="4"/>
              </w:rPr>
            </w:r>
          </w:p>
        </w:tc>
      </w:tr>
      <w:tr>
        <w:trPr/>
        <w:tc>
          <w:tcPr>
            <w:tcW w:w="590" w:type="dxa"/>
            <w:vMerge w:val="restart"/>
            <w:tcBorders/>
            <w:shd w:fill="auto" w:val="clear"/>
            <w:vAlign w:val="center"/>
          </w:tcPr>
          <w:p>
            <w:pPr>
              <w:pStyle w:val="TableContents"/>
              <w:spacing w:before="0" w:after="0"/>
              <w:rPr>
                <w:rFonts w:ascii="ARIAL" w:hAnsi="ARIAL"/>
                <w:b/>
                <w:sz w:val="14"/>
              </w:rPr>
            </w:pPr>
            <w:r>
              <w:rPr>
                <w:rFonts w:ascii="ARIAL" w:hAnsi="ARIAL"/>
                <w:b/>
                <w:sz w:val="14"/>
              </w:rPr>
              <w:t>Craig M. LaTorre</w:t>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4182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141,271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1,4617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493,774</w:t>
            </w:r>
          </w:p>
        </w:tc>
        <w:tc>
          <w:tcPr>
            <w:tcW w:w="75" w:type="dxa"/>
            <w:tcBorders/>
            <w:shd w:fill="auto" w:val="clear"/>
            <w:vAlign w:val="center"/>
          </w:tcPr>
          <w:p>
            <w:pPr>
              <w:pStyle w:val="TableContents"/>
              <w:spacing w:before="0" w:after="283"/>
              <w:rPr/>
            </w:pPr>
            <w:r>
              <w:rPr/>
              <w:t> </w:t>
            </w:r>
          </w:p>
        </w:tc>
      </w:tr>
      <w:tr>
        <w:trPr/>
        <w:tc>
          <w:tcPr>
            <w:tcW w:w="59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1,96410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663,773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1,3978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472,144</w:t>
            </w:r>
          </w:p>
        </w:tc>
        <w:tc>
          <w:tcPr>
            <w:tcW w:w="75" w:type="dxa"/>
            <w:tcBorders/>
            <w:shd w:fill="auto" w:val="clear"/>
            <w:vAlign w:val="center"/>
          </w:tcPr>
          <w:p>
            <w:pPr>
              <w:pStyle w:val="TableContents"/>
              <w:spacing w:before="0" w:after="283"/>
              <w:rPr/>
            </w:pPr>
            <w:r>
              <w:rPr/>
              <w:t> </w:t>
            </w:r>
          </w:p>
        </w:tc>
      </w:tr>
      <w:tr>
        <w:trPr/>
        <w:tc>
          <w:tcPr>
            <w:tcW w:w="59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7623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257,533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1,3659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461,329</w:t>
            </w:r>
          </w:p>
        </w:tc>
        <w:tc>
          <w:tcPr>
            <w:tcW w:w="75" w:type="dxa"/>
            <w:tcBorders/>
            <w:shd w:fill="auto" w:val="clear"/>
            <w:vAlign w:val="center"/>
          </w:tcPr>
          <w:p>
            <w:pPr>
              <w:pStyle w:val="TableContents"/>
              <w:spacing w:before="0" w:after="283"/>
              <w:rPr/>
            </w:pPr>
            <w:r>
              <w:rPr/>
              <w:t> </w:t>
            </w:r>
          </w:p>
        </w:tc>
      </w:tr>
      <w:tr>
        <w:trPr/>
        <w:tc>
          <w:tcPr>
            <w:tcW w:w="59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1,1174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377,512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90" w:type="dxa"/>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1715"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35" w:type="dxa"/>
            <w:gridSpan w:val="4"/>
            <w:tcBorders/>
            <w:shd w:fill="auto" w:val="clear"/>
            <w:vAlign w:val="center"/>
          </w:tcPr>
          <w:p>
            <w:pPr>
              <w:pStyle w:val="TableContents"/>
              <w:spacing w:before="0" w:after="283"/>
              <w:rPr>
                <w:sz w:val="4"/>
                <w:szCs w:val="4"/>
              </w:rPr>
            </w:pPr>
            <w:r>
              <w:rPr>
                <w:sz w:val="4"/>
                <w:szCs w:val="4"/>
              </w:rPr>
            </w:r>
          </w:p>
        </w:tc>
      </w:tr>
      <w:tr>
        <w:trPr/>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5305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179,124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90" w:type="dxa"/>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1715"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35" w:type="dxa"/>
            <w:gridSpan w:val="4"/>
            <w:tcBorders/>
            <w:shd w:fill="auto" w:val="clear"/>
            <w:vAlign w:val="center"/>
          </w:tcPr>
          <w:p>
            <w:pPr>
              <w:pStyle w:val="TableContents"/>
              <w:spacing w:before="0" w:after="283"/>
              <w:rPr>
                <w:sz w:val="4"/>
                <w:szCs w:val="4"/>
              </w:rPr>
            </w:pPr>
            <w:r>
              <w:rPr>
                <w:sz w:val="4"/>
                <w:szCs w:val="4"/>
              </w:rPr>
            </w:r>
          </w:p>
        </w:tc>
      </w:tr>
      <w:tr>
        <w:trPr/>
        <w:tc>
          <w:tcPr>
            <w:tcW w:w="59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32" w:type="dxa"/>
            <w:tcBorders>
              <w:bottom w:val="dotted" w:sz="8" w:space="0" w:color="000000"/>
            </w:tcBorders>
            <w:shd w:fill="auto" w:val="clear"/>
            <w:tcMar>
              <w:bottom w:w="28" w:type="dxa"/>
            </w:tcMar>
            <w:vAlign w:val="center"/>
          </w:tcPr>
          <w:p>
            <w:pPr>
              <w:pStyle w:val="TableContents"/>
              <w:spacing w:before="0" w:after="283"/>
              <w:rPr/>
            </w:pPr>
            <w:r>
              <w:rPr/>
              <w:t> </w:t>
            </w:r>
          </w:p>
        </w:tc>
        <w:tc>
          <w:tcPr>
            <w:tcW w:w="63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32" w:type="dxa"/>
            <w:tcBorders>
              <w:bottom w:val="dotted" w:sz="8" w:space="0" w:color="000000"/>
            </w:tcBorders>
            <w:shd w:fill="auto" w:val="clear"/>
            <w:tcMar>
              <w:bottom w:w="28" w:type="dxa"/>
            </w:tcMar>
            <w:vAlign w:val="center"/>
          </w:tcPr>
          <w:p>
            <w:pPr>
              <w:pStyle w:val="TableContents"/>
              <w:spacing w:before="0" w:after="283"/>
              <w:rPr/>
            </w:pPr>
            <w:r>
              <w:rPr/>
              <w:t> </w:t>
            </w:r>
          </w:p>
        </w:tc>
        <w:tc>
          <w:tcPr>
            <w:tcW w:w="63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437" w:type="dxa"/>
            <w:tcBorders>
              <w:bottom w:val="dotted" w:sz="8" w:space="0" w:color="000000"/>
            </w:tcBorders>
            <w:shd w:fill="auto" w:val="clear"/>
            <w:tcMar>
              <w:bottom w:w="28" w:type="dxa"/>
            </w:tcMar>
            <w:vAlign w:val="center"/>
          </w:tcPr>
          <w:p>
            <w:pPr>
              <w:pStyle w:val="TableContents"/>
              <w:spacing w:before="0" w:after="283"/>
              <w:rPr/>
            </w:pPr>
            <w:r>
              <w:rPr/>
              <w:t> </w:t>
            </w:r>
          </w:p>
        </w:tc>
        <w:tc>
          <w:tcPr>
            <w:tcW w:w="438"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557" w:type="dxa"/>
            <w:tcBorders>
              <w:bottom w:val="dotted" w:sz="8" w:space="0" w:color="000000"/>
            </w:tcBorders>
            <w:shd w:fill="auto" w:val="clear"/>
            <w:tcMar>
              <w:bottom w:w="28" w:type="dxa"/>
            </w:tcMar>
            <w:vAlign w:val="center"/>
          </w:tcPr>
          <w:p>
            <w:pPr>
              <w:pStyle w:val="TableContents"/>
              <w:spacing w:before="0" w:after="283"/>
              <w:rPr/>
            </w:pPr>
            <w:r>
              <w:rPr/>
              <w:t> </w:t>
            </w:r>
          </w:p>
        </w:tc>
        <w:tc>
          <w:tcPr>
            <w:tcW w:w="558"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1" w:type="dxa"/>
            <w:tcBorders>
              <w:bottom w:val="dotted" w:sz="8" w:space="0" w:color="000000"/>
            </w:tcBorders>
            <w:shd w:fill="auto" w:val="clear"/>
            <w:tcMar>
              <w:bottom w:w="100" w:type="dxa"/>
            </w:tcMar>
            <w:vAlign w:val="center"/>
          </w:tcPr>
          <w:p>
            <w:pPr>
              <w:pStyle w:val="TableContents"/>
              <w:spacing w:before="0" w:after="283"/>
              <w:rPr/>
            </w:pPr>
            <w:r>
              <w:rPr/>
              <w:t> </w:t>
            </w:r>
          </w:p>
        </w:tc>
        <w:tc>
          <w:tcPr>
            <w:tcW w:w="1484" w:type="dxa"/>
            <w:tcBorders>
              <w:bottom w:val="dotted" w:sz="8" w:space="0" w:color="000000"/>
            </w:tcBorders>
            <w:shd w:fill="auto" w:val="clear"/>
            <w:tcMar>
              <w:bottom w:w="100" w:type="dxa"/>
            </w:tcMar>
            <w:vAlign w:val="center"/>
          </w:tcPr>
          <w:p>
            <w:pPr>
              <w:pStyle w:val="TableContents"/>
              <w:spacing w:before="0" w:after="283"/>
              <w:jc w:val="right"/>
              <w:rPr/>
            </w:pPr>
            <w:r>
              <w:rPr/>
              <w:t>4686</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8" w:type="dxa"/>
            <w:tcBorders>
              <w:bottom w:val="dotted" w:sz="8" w:space="0" w:color="000000"/>
            </w:tcBorders>
            <w:shd w:fill="auto" w:val="clear"/>
            <w:tcMar>
              <w:bottom w:w="100" w:type="dxa"/>
            </w:tcMar>
            <w:vAlign w:val="center"/>
          </w:tcPr>
          <w:p>
            <w:pPr>
              <w:pStyle w:val="TableContents"/>
              <w:spacing w:before="0" w:after="283"/>
              <w:rPr/>
            </w:pPr>
            <w:r>
              <w:rPr/>
              <w:t> </w:t>
            </w:r>
          </w:p>
        </w:tc>
        <w:tc>
          <w:tcPr>
            <w:tcW w:w="1602" w:type="dxa"/>
            <w:tcBorders>
              <w:bottom w:val="dotted" w:sz="8" w:space="0" w:color="000000"/>
            </w:tcBorders>
            <w:shd w:fill="auto" w:val="clear"/>
            <w:tcMar>
              <w:bottom w:w="100" w:type="dxa"/>
            </w:tcMar>
            <w:vAlign w:val="center"/>
          </w:tcPr>
          <w:p>
            <w:pPr>
              <w:pStyle w:val="TableContents"/>
              <w:spacing w:before="0" w:after="283"/>
              <w:jc w:val="right"/>
              <w:rPr/>
            </w:pPr>
            <w:r>
              <w:rPr/>
              <w:t>158,170</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8" w:type="dxa"/>
            <w:tcBorders>
              <w:bottom w:val="dotted" w:sz="8" w:space="0" w:color="000000"/>
            </w:tcBorders>
            <w:shd w:fill="auto" w:val="clear"/>
            <w:tcMar>
              <w:bottom w:w="28" w:type="dxa"/>
            </w:tcMar>
            <w:vAlign w:val="center"/>
          </w:tcPr>
          <w:p>
            <w:pPr>
              <w:pStyle w:val="TableContents"/>
              <w:spacing w:before="0" w:after="283"/>
              <w:rPr/>
            </w:pPr>
            <w:r>
              <w:rPr/>
              <w:t> </w:t>
            </w:r>
          </w:p>
        </w:tc>
        <w:tc>
          <w:tcPr>
            <w:tcW w:w="1582"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98" w:type="dxa"/>
            <w:tcBorders>
              <w:bottom w:val="dotted" w:sz="8" w:space="0" w:color="000000"/>
            </w:tcBorders>
            <w:shd w:fill="auto" w:val="clear"/>
            <w:tcMar>
              <w:bottom w:w="28" w:type="dxa"/>
            </w:tcMar>
            <w:vAlign w:val="center"/>
          </w:tcPr>
          <w:p>
            <w:pPr>
              <w:pStyle w:val="TableContents"/>
              <w:spacing w:before="0" w:after="283"/>
              <w:rPr/>
            </w:pPr>
            <w:r>
              <w:rPr/>
              <w:t> </w:t>
            </w:r>
          </w:p>
        </w:tc>
        <w:tc>
          <w:tcPr>
            <w:tcW w:w="1602" w:type="dxa"/>
            <w:tcBorders>
              <w:bottom w:val="dotted" w:sz="8" w:space="0" w:color="000000"/>
            </w:tcBorders>
            <w:shd w:fill="auto" w:val="clear"/>
            <w:tcMar>
              <w:bottom w:w="28" w:type="dxa"/>
            </w:tcMar>
            <w:vAlign w:val="center"/>
          </w:tcPr>
          <w:p>
            <w:pPr>
              <w:pStyle w:val="TableContents"/>
              <w:spacing w:before="0" w:after="283"/>
              <w:rPr/>
            </w:pPr>
            <w:r>
              <w:rPr/>
              <w:t> </w:t>
            </w:r>
          </w:p>
        </w:tc>
        <w:tc>
          <w:tcPr>
            <w:tcW w:w="75" w:type="dxa"/>
            <w:tcBorders>
              <w:bottom w:val="dotted" w:sz="8" w:space="0" w:color="000000"/>
            </w:tcBorders>
            <w:shd w:fill="auto" w:val="clear"/>
            <w:tcMar>
              <w:bottom w:w="28" w:type="dxa"/>
            </w:tcMar>
            <w:vAlign w:val="center"/>
          </w:tcPr>
          <w:p>
            <w:pPr>
              <w:pStyle w:val="TableContents"/>
              <w:spacing w:before="0" w:after="283"/>
              <w:rPr/>
            </w:pPr>
            <w:r>
              <w:rPr/>
              <w:t> </w:t>
            </w:r>
          </w:p>
        </w:tc>
      </w:tr>
      <w:tr>
        <w:trPr/>
        <w:tc>
          <w:tcPr>
            <w:tcW w:w="590" w:type="dxa"/>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1715"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835" w:type="dxa"/>
            <w:gridSpan w:val="4"/>
            <w:tcBorders/>
            <w:shd w:fill="auto" w:val="clear"/>
            <w:vAlign w:val="center"/>
          </w:tcPr>
          <w:p>
            <w:pPr>
              <w:pStyle w:val="TableContents"/>
              <w:spacing w:before="0" w:after="283"/>
              <w:rPr>
                <w:sz w:val="4"/>
                <w:szCs w:val="4"/>
              </w:rPr>
            </w:pPr>
            <w:r>
              <w:rPr>
                <w:sz w:val="4"/>
                <w:szCs w:val="4"/>
              </w:rPr>
            </w:r>
          </w:p>
        </w:tc>
      </w:tr>
      <w:tr>
        <w:trPr/>
        <w:tc>
          <w:tcPr>
            <w:tcW w:w="590" w:type="dxa"/>
            <w:vMerge w:val="restart"/>
            <w:tcBorders>
              <w:bottom w:val="single"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John P. Mohr</w:t>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2822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95,308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9857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332,900</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5203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175,744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9548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322,423</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3,99211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1,349,176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1582" w:type="dxa"/>
            <w:tcBorders/>
            <w:shd w:fill="auto" w:val="clear"/>
            <w:vAlign w:val="center"/>
          </w:tcPr>
          <w:p>
            <w:pPr>
              <w:pStyle w:val="TableContents"/>
              <w:spacing w:before="0" w:after="283"/>
              <w:jc w:val="right"/>
              <w:rPr/>
            </w:pPr>
            <w:r>
              <w:rPr/>
              <w:t>9549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322,423</w:t>
            </w:r>
          </w:p>
        </w:tc>
        <w:tc>
          <w:tcPr>
            <w:tcW w:w="75" w:type="dxa"/>
            <w:tcBorders/>
            <w:shd w:fill="auto" w:val="clear"/>
            <w:vAlign w:val="center"/>
          </w:tcPr>
          <w:p>
            <w:pPr>
              <w:pStyle w:val="TableContents"/>
              <w:spacing w:before="0" w:after="283"/>
              <w:rPr/>
            </w:pPr>
            <w:r>
              <w:rPr/>
              <w:t> </w:t>
            </w:r>
          </w:p>
        </w:tc>
      </w:tr>
      <w:tr>
        <w:trPr/>
        <w:tc>
          <w:tcPr>
            <w:tcW w:w="590"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7814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2" w:type="dxa"/>
            <w:tcBorders/>
            <w:shd w:fill="auto" w:val="clear"/>
            <w:vAlign w:val="center"/>
          </w:tcPr>
          <w:p>
            <w:pPr>
              <w:pStyle w:val="TableContents"/>
              <w:spacing w:before="0" w:after="283"/>
              <w:jc w:val="right"/>
              <w:rPr/>
            </w:pPr>
            <w:r>
              <w:rPr/>
              <w:t>263,955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90"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32" w:type="dxa"/>
            <w:tcBorders>
              <w:bottom w:val="single" w:sz="8" w:space="0" w:color="000000"/>
            </w:tcBorders>
            <w:shd w:fill="auto" w:val="clear"/>
            <w:tcMar>
              <w:bottom w:w="28" w:type="dxa"/>
            </w:tcMar>
            <w:vAlign w:val="center"/>
          </w:tcPr>
          <w:p>
            <w:pPr>
              <w:pStyle w:val="TableContents"/>
              <w:spacing w:before="0" w:after="283"/>
              <w:rPr/>
            </w:pPr>
            <w:r>
              <w:rPr/>
              <w:t> </w:t>
            </w:r>
          </w:p>
        </w:tc>
        <w:tc>
          <w:tcPr>
            <w:tcW w:w="633"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32" w:type="dxa"/>
            <w:tcBorders>
              <w:bottom w:val="single" w:sz="8" w:space="0" w:color="000000"/>
            </w:tcBorders>
            <w:shd w:fill="auto" w:val="clear"/>
            <w:tcMar>
              <w:bottom w:w="28" w:type="dxa"/>
            </w:tcMar>
            <w:vAlign w:val="center"/>
          </w:tcPr>
          <w:p>
            <w:pPr>
              <w:pStyle w:val="TableContents"/>
              <w:spacing w:before="0" w:after="283"/>
              <w:rPr/>
            </w:pPr>
            <w:r>
              <w:rPr/>
              <w:t> </w:t>
            </w:r>
          </w:p>
        </w:tc>
        <w:tc>
          <w:tcPr>
            <w:tcW w:w="633"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437" w:type="dxa"/>
            <w:tcBorders>
              <w:bottom w:val="single" w:sz="8" w:space="0" w:color="000000"/>
            </w:tcBorders>
            <w:shd w:fill="auto" w:val="clear"/>
            <w:tcMar>
              <w:bottom w:w="28" w:type="dxa"/>
            </w:tcMar>
            <w:vAlign w:val="center"/>
          </w:tcPr>
          <w:p>
            <w:pPr>
              <w:pStyle w:val="TableContents"/>
              <w:spacing w:before="0" w:after="283"/>
              <w:rPr/>
            </w:pPr>
            <w:r>
              <w:rPr/>
              <w:t> </w:t>
            </w:r>
          </w:p>
        </w:tc>
        <w:tc>
          <w:tcPr>
            <w:tcW w:w="438"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557" w:type="dxa"/>
            <w:tcBorders>
              <w:bottom w:val="single" w:sz="8" w:space="0" w:color="000000"/>
            </w:tcBorders>
            <w:shd w:fill="auto" w:val="clear"/>
            <w:tcMar>
              <w:bottom w:w="28" w:type="dxa"/>
            </w:tcMar>
            <w:vAlign w:val="center"/>
          </w:tcPr>
          <w:p>
            <w:pPr>
              <w:pStyle w:val="TableContents"/>
              <w:spacing w:before="0" w:after="283"/>
              <w:rPr/>
            </w:pPr>
            <w:r>
              <w:rPr/>
              <w:t> </w:t>
            </w:r>
          </w:p>
        </w:tc>
        <w:tc>
          <w:tcPr>
            <w:tcW w:w="558"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1" w:type="dxa"/>
            <w:tcBorders>
              <w:bottom w:val="single" w:sz="8" w:space="0" w:color="000000"/>
            </w:tcBorders>
            <w:shd w:fill="auto" w:val="clear"/>
            <w:tcMar>
              <w:bottom w:w="80" w:type="dxa"/>
            </w:tcMar>
            <w:vAlign w:val="center"/>
          </w:tcPr>
          <w:p>
            <w:pPr>
              <w:pStyle w:val="TableContents"/>
              <w:spacing w:before="0" w:after="283"/>
              <w:rPr/>
            </w:pPr>
            <w:r>
              <w:rPr/>
              <w:t> </w:t>
            </w:r>
          </w:p>
        </w:tc>
        <w:tc>
          <w:tcPr>
            <w:tcW w:w="1484" w:type="dxa"/>
            <w:tcBorders>
              <w:bottom w:val="single" w:sz="8" w:space="0" w:color="000000"/>
            </w:tcBorders>
            <w:shd w:fill="auto" w:val="clear"/>
            <w:tcMar>
              <w:bottom w:w="80" w:type="dxa"/>
            </w:tcMar>
            <w:vAlign w:val="center"/>
          </w:tcPr>
          <w:p>
            <w:pPr>
              <w:pStyle w:val="TableContents"/>
              <w:spacing w:before="0" w:after="283"/>
              <w:jc w:val="right"/>
              <w:rPr/>
            </w:pPr>
            <w:r>
              <w:rPr/>
              <w:t>4115</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98" w:type="dxa"/>
            <w:tcBorders>
              <w:bottom w:val="single" w:sz="8" w:space="0" w:color="000000"/>
            </w:tcBorders>
            <w:shd w:fill="auto" w:val="clear"/>
            <w:tcMar>
              <w:bottom w:w="80" w:type="dxa"/>
            </w:tcMar>
            <w:vAlign w:val="center"/>
          </w:tcPr>
          <w:p>
            <w:pPr>
              <w:pStyle w:val="TableContents"/>
              <w:spacing w:before="0" w:after="283"/>
              <w:rPr/>
            </w:pPr>
            <w:r>
              <w:rPr/>
              <w:t> </w:t>
            </w:r>
          </w:p>
        </w:tc>
        <w:tc>
          <w:tcPr>
            <w:tcW w:w="1602" w:type="dxa"/>
            <w:tcBorders>
              <w:bottom w:val="single" w:sz="8" w:space="0" w:color="000000"/>
            </w:tcBorders>
            <w:shd w:fill="auto" w:val="clear"/>
            <w:tcMar>
              <w:bottom w:w="80" w:type="dxa"/>
            </w:tcMar>
            <w:vAlign w:val="center"/>
          </w:tcPr>
          <w:p>
            <w:pPr>
              <w:pStyle w:val="TableContents"/>
              <w:spacing w:before="0" w:after="283"/>
              <w:jc w:val="right"/>
              <w:rPr/>
            </w:pPr>
            <w:r>
              <w:rPr/>
              <w:t>138,906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8" w:type="dxa"/>
            <w:tcBorders>
              <w:bottom w:val="single" w:sz="8" w:space="0" w:color="000000"/>
            </w:tcBorders>
            <w:shd w:fill="auto" w:val="clear"/>
            <w:tcMar>
              <w:bottom w:w="28" w:type="dxa"/>
            </w:tcMar>
            <w:vAlign w:val="center"/>
          </w:tcPr>
          <w:p>
            <w:pPr>
              <w:pStyle w:val="TableContents"/>
              <w:spacing w:before="0" w:after="283"/>
              <w:rPr/>
            </w:pPr>
            <w:r>
              <w:rPr/>
              <w:t> </w:t>
            </w:r>
          </w:p>
        </w:tc>
        <w:tc>
          <w:tcPr>
            <w:tcW w:w="1582"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98" w:type="dxa"/>
            <w:tcBorders>
              <w:bottom w:val="single" w:sz="8" w:space="0" w:color="000000"/>
            </w:tcBorders>
            <w:shd w:fill="auto" w:val="clear"/>
            <w:tcMar>
              <w:bottom w:w="28" w:type="dxa"/>
            </w:tcMar>
            <w:vAlign w:val="center"/>
          </w:tcPr>
          <w:p>
            <w:pPr>
              <w:pStyle w:val="TableContents"/>
              <w:spacing w:before="0" w:after="283"/>
              <w:rPr/>
            </w:pPr>
            <w:r>
              <w:rPr/>
              <w:t> </w:t>
            </w:r>
          </w:p>
        </w:tc>
        <w:tc>
          <w:tcPr>
            <w:tcW w:w="1602"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5515" w:type="dxa"/>
        <w:jc w:val="left"/>
        <w:tblInd w:w="0" w:type="dxa"/>
        <w:tblCellMar>
          <w:top w:w="0" w:type="dxa"/>
          <w:left w:w="0" w:type="dxa"/>
          <w:bottom w:w="0" w:type="dxa"/>
          <w:right w:w="0" w:type="dxa"/>
        </w:tblCellMar>
      </w:tblPr>
      <w:tblGrid>
        <w:gridCol w:w="155"/>
        <w:gridCol w:w="5360"/>
      </w:tblGrid>
      <w:tr>
        <w:trPr/>
        <w:tc>
          <w:tcPr>
            <w:tcW w:w="155" w:type="dxa"/>
            <w:tcBorders/>
            <w:shd w:fill="auto" w:val="clear"/>
            <w:vAlign w:val="center"/>
          </w:tcPr>
          <w:p>
            <w:pPr>
              <w:pStyle w:val="TableContents"/>
              <w:spacing w:before="0" w:after="283"/>
              <w:jc w:val="left"/>
              <w:rPr/>
            </w:pPr>
            <w:r>
              <w:rPr/>
              <w:t>1</w:t>
            </w:r>
          </w:p>
        </w:tc>
        <w:tc>
          <w:tcPr>
            <w:tcW w:w="5360" w:type="dxa"/>
            <w:tcBorders/>
            <w:shd w:fill="auto" w:val="clear"/>
            <w:vAlign w:val="center"/>
          </w:tcPr>
          <w:p>
            <w:pPr>
              <w:pStyle w:val="TableContents"/>
              <w:spacing w:before="0" w:after="0"/>
              <w:jc w:val="left"/>
              <w:rPr>
                <w:rFonts w:ascii="ARIAL" w:hAnsi="ARIAL"/>
                <w:sz w:val="14"/>
              </w:rPr>
            </w:pPr>
            <w:r>
              <w:rPr>
                <w:rFonts w:ascii="ARIAL" w:hAnsi="ARIAL"/>
                <w:sz w:val="14"/>
              </w:rPr>
              <w:t xml:space="preserve">Based on the closing price of our common stock as of December 31, 2022 ($337.97). </w:t>
            </w:r>
          </w:p>
        </w:tc>
      </w:tr>
    </w:tbl>
    <w:tbl>
      <w:tblPr>
        <w:tblW w:w="3100" w:type="dxa"/>
        <w:jc w:val="left"/>
        <w:tblInd w:w="0" w:type="dxa"/>
        <w:tblCellMar>
          <w:top w:w="0" w:type="dxa"/>
          <w:left w:w="0" w:type="dxa"/>
          <w:bottom w:w="0" w:type="dxa"/>
          <w:right w:w="0" w:type="dxa"/>
        </w:tblCellMar>
      </w:tblPr>
      <w:tblGrid>
        <w:gridCol w:w="155"/>
        <w:gridCol w:w="2945"/>
      </w:tblGrid>
      <w:tr>
        <w:trPr/>
        <w:tc>
          <w:tcPr>
            <w:tcW w:w="155" w:type="dxa"/>
            <w:tcBorders/>
            <w:shd w:fill="auto" w:val="clear"/>
            <w:vAlign w:val="center"/>
          </w:tcPr>
          <w:p>
            <w:pPr>
              <w:pStyle w:val="TableContents"/>
              <w:spacing w:before="0" w:after="283"/>
              <w:jc w:val="left"/>
              <w:rPr/>
            </w:pPr>
            <w:r>
              <w:rPr/>
              <w:t>2</w:t>
            </w:r>
          </w:p>
        </w:tc>
        <w:tc>
          <w:tcPr>
            <w:tcW w:w="2945" w:type="dxa"/>
            <w:tcBorders/>
            <w:shd w:fill="auto" w:val="clear"/>
            <w:vAlign w:val="center"/>
          </w:tcPr>
          <w:p>
            <w:pPr>
              <w:pStyle w:val="TableContents"/>
              <w:spacing w:before="0" w:after="0"/>
              <w:jc w:val="left"/>
              <w:rPr>
                <w:rFonts w:ascii="ARIAL" w:hAnsi="ARIAL"/>
                <w:sz w:val="14"/>
              </w:rPr>
            </w:pPr>
            <w:r>
              <w:rPr>
                <w:rFonts w:ascii="ARIAL" w:hAnsi="ARIAL"/>
                <w:sz w:val="14"/>
              </w:rPr>
              <w:t xml:space="preserve">RSU restrictions lapsed on February 19, 2023. </w:t>
            </w:r>
          </w:p>
        </w:tc>
      </w:tr>
    </w:tbl>
    <w:tbl>
      <w:tblPr>
        <w:tblW w:w="5860" w:type="dxa"/>
        <w:jc w:val="left"/>
        <w:tblInd w:w="0" w:type="dxa"/>
        <w:tblCellMar>
          <w:top w:w="0" w:type="dxa"/>
          <w:left w:w="0" w:type="dxa"/>
          <w:bottom w:w="0" w:type="dxa"/>
          <w:right w:w="0" w:type="dxa"/>
        </w:tblCellMar>
      </w:tblPr>
      <w:tblGrid>
        <w:gridCol w:w="155"/>
        <w:gridCol w:w="5705"/>
      </w:tblGrid>
      <w:tr>
        <w:trPr/>
        <w:tc>
          <w:tcPr>
            <w:tcW w:w="155" w:type="dxa"/>
            <w:tcBorders/>
            <w:shd w:fill="auto" w:val="clear"/>
            <w:vAlign w:val="center"/>
          </w:tcPr>
          <w:p>
            <w:pPr>
              <w:pStyle w:val="TableContents"/>
              <w:spacing w:before="0" w:after="283"/>
              <w:jc w:val="left"/>
              <w:rPr/>
            </w:pPr>
            <w:r>
              <w:rPr/>
              <w:t>3</w:t>
            </w:r>
          </w:p>
        </w:tc>
        <w:tc>
          <w:tcPr>
            <w:tcW w:w="5705" w:type="dxa"/>
            <w:tcBorders/>
            <w:shd w:fill="auto" w:val="clear"/>
            <w:vAlign w:val="center"/>
          </w:tcPr>
          <w:p>
            <w:pPr>
              <w:pStyle w:val="TableContents"/>
              <w:spacing w:before="0" w:after="0"/>
              <w:jc w:val="left"/>
              <w:rPr>
                <w:rFonts w:ascii="ARIAL" w:hAnsi="ARIAL"/>
                <w:sz w:val="14"/>
              </w:rPr>
            </w:pPr>
            <w:r>
              <w:rPr>
                <w:rFonts w:ascii="ARIAL" w:hAnsi="ARIAL"/>
                <w:sz w:val="14"/>
              </w:rPr>
              <w:t xml:space="preserve">RSU restrictions lapse ratably in installments on February 17, 2023 and February 17, 2024. </w:t>
            </w:r>
          </w:p>
        </w:tc>
      </w:tr>
    </w:tbl>
    <w:tbl>
      <w:tblPr>
        <w:tblW w:w="7075" w:type="dxa"/>
        <w:jc w:val="left"/>
        <w:tblInd w:w="0" w:type="dxa"/>
        <w:tblCellMar>
          <w:top w:w="0" w:type="dxa"/>
          <w:left w:w="0" w:type="dxa"/>
          <w:bottom w:w="0" w:type="dxa"/>
          <w:right w:w="0" w:type="dxa"/>
        </w:tblCellMar>
      </w:tblPr>
      <w:tblGrid>
        <w:gridCol w:w="155"/>
        <w:gridCol w:w="6920"/>
      </w:tblGrid>
      <w:tr>
        <w:trPr/>
        <w:tc>
          <w:tcPr>
            <w:tcW w:w="155" w:type="dxa"/>
            <w:tcBorders/>
            <w:shd w:fill="auto" w:val="clear"/>
            <w:vAlign w:val="center"/>
          </w:tcPr>
          <w:p>
            <w:pPr>
              <w:pStyle w:val="TableContents"/>
              <w:spacing w:before="0" w:after="283"/>
              <w:jc w:val="left"/>
              <w:rPr/>
            </w:pPr>
            <w:r>
              <w:rPr/>
              <w:t>4</w:t>
            </w:r>
          </w:p>
        </w:tc>
        <w:tc>
          <w:tcPr>
            <w:tcW w:w="6920" w:type="dxa"/>
            <w:tcBorders/>
            <w:shd w:fill="auto" w:val="clear"/>
            <w:vAlign w:val="center"/>
          </w:tcPr>
          <w:p>
            <w:pPr>
              <w:pStyle w:val="TableContents"/>
              <w:spacing w:before="0" w:after="0"/>
              <w:jc w:val="left"/>
              <w:rPr>
                <w:rFonts w:ascii="ARIAL" w:hAnsi="ARIAL"/>
                <w:sz w:val="14"/>
              </w:rPr>
            </w:pPr>
            <w:r>
              <w:rPr>
                <w:rFonts w:ascii="ARIAL" w:hAnsi="ARIAL"/>
                <w:sz w:val="14"/>
              </w:rPr>
              <w:t xml:space="preserve">RSU restrictions lapse ratably in installments on February 18, 2023, February 18, 2024 and February 18, 2025. </w:t>
            </w:r>
          </w:p>
        </w:tc>
      </w:tr>
    </w:tbl>
    <w:tbl>
      <w:tblPr>
        <w:tblW w:w="4390" w:type="dxa"/>
        <w:jc w:val="left"/>
        <w:tblInd w:w="0" w:type="dxa"/>
        <w:tblCellMar>
          <w:top w:w="0" w:type="dxa"/>
          <w:left w:w="0" w:type="dxa"/>
          <w:bottom w:w="0" w:type="dxa"/>
          <w:right w:w="0" w:type="dxa"/>
        </w:tblCellMar>
      </w:tblPr>
      <w:tblGrid>
        <w:gridCol w:w="155"/>
        <w:gridCol w:w="4235"/>
      </w:tblGrid>
      <w:tr>
        <w:trPr/>
        <w:tc>
          <w:tcPr>
            <w:tcW w:w="155" w:type="dxa"/>
            <w:tcBorders/>
            <w:shd w:fill="auto" w:val="clear"/>
            <w:vAlign w:val="center"/>
          </w:tcPr>
          <w:p>
            <w:pPr>
              <w:pStyle w:val="TableContents"/>
              <w:spacing w:before="0" w:after="283"/>
              <w:jc w:val="left"/>
              <w:rPr/>
            </w:pPr>
            <w:r>
              <w:rPr/>
              <w:t>5</w:t>
            </w:r>
          </w:p>
        </w:tc>
        <w:tc>
          <w:tcPr>
            <w:tcW w:w="4235" w:type="dxa"/>
            <w:tcBorders/>
            <w:shd w:fill="auto" w:val="clear"/>
            <w:vAlign w:val="center"/>
          </w:tcPr>
          <w:p>
            <w:pPr>
              <w:pStyle w:val="TableContents"/>
              <w:spacing w:before="0" w:after="0"/>
              <w:jc w:val="left"/>
              <w:rPr>
                <w:rFonts w:ascii="ARIAL" w:hAnsi="ARIAL"/>
                <w:sz w:val="14"/>
              </w:rPr>
            </w:pPr>
            <w:r>
              <w:rPr>
                <w:rFonts w:ascii="ARIAL" w:hAnsi="ARIAL"/>
                <w:sz w:val="14"/>
              </w:rPr>
              <w:t xml:space="preserve">Incentive Stock Plan units restrictions lapse on December 1, 2023. </w:t>
            </w:r>
          </w:p>
        </w:tc>
      </w:tr>
    </w:tbl>
    <w:tbl>
      <w:tblPr>
        <w:tblW w:w="4390" w:type="dxa"/>
        <w:jc w:val="left"/>
        <w:tblInd w:w="0" w:type="dxa"/>
        <w:tblCellMar>
          <w:top w:w="0" w:type="dxa"/>
          <w:left w:w="0" w:type="dxa"/>
          <w:bottom w:w="0" w:type="dxa"/>
          <w:right w:w="0" w:type="dxa"/>
        </w:tblCellMar>
      </w:tblPr>
      <w:tblGrid>
        <w:gridCol w:w="155"/>
        <w:gridCol w:w="4235"/>
      </w:tblGrid>
      <w:tr>
        <w:trPr/>
        <w:tc>
          <w:tcPr>
            <w:tcW w:w="155" w:type="dxa"/>
            <w:tcBorders/>
            <w:shd w:fill="auto" w:val="clear"/>
            <w:vAlign w:val="center"/>
          </w:tcPr>
          <w:p>
            <w:pPr>
              <w:pStyle w:val="TableContents"/>
              <w:spacing w:before="0" w:after="283"/>
              <w:jc w:val="left"/>
              <w:rPr/>
            </w:pPr>
            <w:r>
              <w:rPr/>
              <w:t>6</w:t>
            </w:r>
          </w:p>
        </w:tc>
        <w:tc>
          <w:tcPr>
            <w:tcW w:w="4235" w:type="dxa"/>
            <w:tcBorders/>
            <w:shd w:fill="auto" w:val="clear"/>
            <w:vAlign w:val="center"/>
          </w:tcPr>
          <w:p>
            <w:pPr>
              <w:pStyle w:val="TableContents"/>
              <w:spacing w:before="0" w:after="0"/>
              <w:jc w:val="left"/>
              <w:rPr>
                <w:rFonts w:ascii="ARIAL" w:hAnsi="ARIAL"/>
                <w:sz w:val="14"/>
              </w:rPr>
            </w:pPr>
            <w:r>
              <w:rPr>
                <w:rFonts w:ascii="ARIAL" w:hAnsi="ARIAL"/>
                <w:sz w:val="14"/>
              </w:rPr>
              <w:t xml:space="preserve">Incentive Stock Plan units restrictions lapse on December 1, 2024. </w:t>
            </w:r>
          </w:p>
        </w:tc>
      </w:tr>
    </w:tbl>
    <w:tbl>
      <w:tblPr>
        <w:tblW w:w="9595" w:type="dxa"/>
        <w:jc w:val="left"/>
        <w:tblInd w:w="0" w:type="dxa"/>
        <w:tblCellMar>
          <w:top w:w="0" w:type="dxa"/>
          <w:left w:w="0" w:type="dxa"/>
          <w:bottom w:w="0" w:type="dxa"/>
          <w:right w:w="0" w:type="dxa"/>
        </w:tblCellMar>
      </w:tblPr>
      <w:tblGrid>
        <w:gridCol w:w="155"/>
        <w:gridCol w:w="9440"/>
      </w:tblGrid>
      <w:tr>
        <w:trPr/>
        <w:tc>
          <w:tcPr>
            <w:tcW w:w="155" w:type="dxa"/>
            <w:tcBorders/>
            <w:shd w:fill="auto" w:val="clear"/>
            <w:vAlign w:val="center"/>
          </w:tcPr>
          <w:p>
            <w:pPr>
              <w:pStyle w:val="TableContents"/>
              <w:spacing w:before="0" w:after="283"/>
              <w:jc w:val="left"/>
              <w:rPr/>
            </w:pPr>
            <w:r>
              <w:rPr/>
              <w:t>7</w:t>
            </w:r>
          </w:p>
        </w:tc>
        <w:tc>
          <w:tcPr>
            <w:tcW w:w="944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 for these outstanding awards of PSUs are presented at the target performance levels. The awards generally vested at December 31, 2022. </w:t>
            </w:r>
          </w:p>
        </w:tc>
      </w:tr>
    </w:tbl>
    <w:tbl>
      <w:tblPr>
        <w:tblW w:w="9445" w:type="dxa"/>
        <w:jc w:val="left"/>
        <w:tblInd w:w="0" w:type="dxa"/>
        <w:tblCellMar>
          <w:top w:w="0" w:type="dxa"/>
          <w:left w:w="0" w:type="dxa"/>
          <w:bottom w:w="0" w:type="dxa"/>
          <w:right w:w="0" w:type="dxa"/>
        </w:tblCellMar>
      </w:tblPr>
      <w:tblGrid>
        <w:gridCol w:w="155"/>
        <w:gridCol w:w="9290"/>
      </w:tblGrid>
      <w:tr>
        <w:trPr/>
        <w:tc>
          <w:tcPr>
            <w:tcW w:w="155" w:type="dxa"/>
            <w:tcBorders/>
            <w:shd w:fill="auto" w:val="clear"/>
            <w:vAlign w:val="center"/>
          </w:tcPr>
          <w:p>
            <w:pPr>
              <w:pStyle w:val="TableContents"/>
              <w:spacing w:before="0" w:after="283"/>
              <w:jc w:val="left"/>
              <w:rPr/>
            </w:pPr>
            <w:r>
              <w:rPr/>
              <w:t>8</w:t>
            </w:r>
          </w:p>
        </w:tc>
        <w:tc>
          <w:tcPr>
            <w:tcW w:w="929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 for these outstanding awards of PSUs are presented at the target performance levels. The awards generally vest at December 31, 2023. </w:t>
            </w:r>
          </w:p>
        </w:tc>
      </w:tr>
    </w:tbl>
    <w:tbl>
      <w:tblPr>
        <w:tblW w:w="9445" w:type="dxa"/>
        <w:jc w:val="left"/>
        <w:tblInd w:w="0" w:type="dxa"/>
        <w:tblCellMar>
          <w:top w:w="0" w:type="dxa"/>
          <w:left w:w="0" w:type="dxa"/>
          <w:bottom w:w="0" w:type="dxa"/>
          <w:right w:w="0" w:type="dxa"/>
        </w:tblCellMar>
      </w:tblPr>
      <w:tblGrid>
        <w:gridCol w:w="155"/>
        <w:gridCol w:w="9290"/>
      </w:tblGrid>
      <w:tr>
        <w:trPr/>
        <w:tc>
          <w:tcPr>
            <w:tcW w:w="155" w:type="dxa"/>
            <w:tcBorders/>
            <w:shd w:fill="auto" w:val="clear"/>
            <w:vAlign w:val="center"/>
          </w:tcPr>
          <w:p>
            <w:pPr>
              <w:pStyle w:val="TableContents"/>
              <w:spacing w:before="0" w:after="283"/>
              <w:jc w:val="left"/>
              <w:rPr/>
            </w:pPr>
            <w:r>
              <w:rPr/>
              <w:t>9</w:t>
            </w:r>
          </w:p>
        </w:tc>
        <w:tc>
          <w:tcPr>
            <w:tcW w:w="929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amount for these outstanding awards of PSUs are presented at the target performance levels. The awards generally vest at December 31, 2024. </w:t>
            </w:r>
          </w:p>
        </w:tc>
      </w:tr>
    </w:tbl>
    <w:tbl>
      <w:tblPr>
        <w:tblW w:w="4705" w:type="dxa"/>
        <w:jc w:val="left"/>
        <w:tblInd w:w="0" w:type="dxa"/>
        <w:tblCellMar>
          <w:top w:w="0" w:type="dxa"/>
          <w:left w:w="0" w:type="dxa"/>
          <w:bottom w:w="0" w:type="dxa"/>
          <w:right w:w="0" w:type="dxa"/>
        </w:tblCellMar>
      </w:tblPr>
      <w:tblGrid>
        <w:gridCol w:w="275"/>
        <w:gridCol w:w="4430"/>
      </w:tblGrid>
      <w:tr>
        <w:trPr/>
        <w:tc>
          <w:tcPr>
            <w:tcW w:w="275" w:type="dxa"/>
            <w:tcBorders/>
            <w:shd w:fill="auto" w:val="clear"/>
            <w:vAlign w:val="center"/>
          </w:tcPr>
          <w:p>
            <w:pPr>
              <w:pStyle w:val="TableContents"/>
              <w:spacing w:before="0" w:after="283"/>
              <w:jc w:val="left"/>
              <w:rPr/>
            </w:pPr>
            <w:r>
              <w:rPr/>
              <w:t>10</w:t>
            </w:r>
          </w:p>
        </w:tc>
        <w:tc>
          <w:tcPr>
            <w:tcW w:w="4430" w:type="dxa"/>
            <w:tcBorders/>
            <w:shd w:fill="auto" w:val="clear"/>
            <w:vAlign w:val="center"/>
          </w:tcPr>
          <w:p>
            <w:pPr>
              <w:pStyle w:val="TableContents"/>
              <w:spacing w:before="0" w:after="0"/>
              <w:jc w:val="left"/>
              <w:rPr>
                <w:rFonts w:ascii="ARIAL" w:hAnsi="ARIAL"/>
                <w:sz w:val="14"/>
              </w:rPr>
            </w:pPr>
            <w:r>
              <w:rPr>
                <w:rFonts w:ascii="ARIAL" w:hAnsi="ARIAL"/>
                <w:sz w:val="14"/>
              </w:rPr>
              <w:t xml:space="preserve">RSUs fully vest subject to continued employment on August 23, 2023. </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83"/>
              <w:jc w:val="left"/>
              <w:rPr/>
            </w:pPr>
            <w:r>
              <w:rPr/>
              <w:t>11</w:t>
            </w:r>
          </w:p>
        </w:tc>
        <w:tc>
          <w:tcPr>
            <w:tcW w:w="9930" w:type="dxa"/>
            <w:tcBorders/>
            <w:shd w:fill="auto" w:val="clear"/>
            <w:vAlign w:val="center"/>
          </w:tcPr>
          <w:p>
            <w:pPr>
              <w:pStyle w:val="TableContents"/>
              <w:spacing w:before="0" w:after="0"/>
              <w:jc w:val="left"/>
              <w:rPr>
                <w:rFonts w:ascii="ARIAL" w:hAnsi="ARIAL"/>
                <w:sz w:val="14"/>
              </w:rPr>
            </w:pPr>
            <w:r>
              <w:rPr>
                <w:rFonts w:ascii="ARIAL" w:hAnsi="ARIAL"/>
                <w:sz w:val="14"/>
              </w:rPr>
              <w:t xml:space="preserve">RSUs vest as follows subject to continued employment on the dates of vesting: 1,996 units vest on February 20, 2023 and 1,996 units vest on February 20, 2024. </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28"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12" descr=""/>
                          <pic:cNvPicPr>
                            <a:picLocks noChangeAspect="1" noChangeArrowheads="1"/>
                          </pic:cNvPicPr>
                        </pic:nvPicPr>
                        <pic:blipFill>
                          <a:blip r:embed="rId21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75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EXECUTIVE COMPENSATION  ◆</w:t>
      </w:r>
      <w:r>
        <w:rPr>
          <w:rFonts w:ascii="ARIAL" w:hAnsi="ARIAL"/>
          <w:sz w:val="16"/>
        </w:rPr>
        <w:t xml:space="preserve">  OPTION EXERCISES AND STOCK VESTED </w:t>
      </w:r>
    </w:p>
    <w:p>
      <w:pPr>
        <w:pStyle w:val="TextBody"/>
        <w:spacing w:before="0" w:after="0"/>
        <w:jc w:val="left"/>
        <w:rPr/>
      </w:pPr>
      <w:r>
        <w:rPr/>
        <w:t> </w:t>
      </w:r>
    </w:p>
    <w:p>
      <w:pPr>
        <w:pStyle w:val="TextBody"/>
        <w:spacing w:before="0" w:after="0"/>
        <w:jc w:val="left"/>
        <w:rPr>
          <w:rFonts w:ascii="ARIAL" w:hAnsi="ARIAL"/>
          <w:b/>
          <w:color w:val="71BE9A"/>
          <w:sz w:val="26"/>
        </w:rPr>
      </w:pPr>
      <w:bookmarkStart w:id="70" w:name="toc390557_63"/>
      <w:bookmarkEnd w:id="70"/>
      <w:r>
        <w:rPr>
          <w:rFonts w:ascii="ARIAL" w:hAnsi="ARIAL"/>
          <w:b/>
          <w:color w:val="71BE9A"/>
          <w:sz w:val="26"/>
        </w:rPr>
        <w:t xml:space="preserve">Option Exercises and Stock Vested </w:t>
      </w:r>
    </w:p>
    <w:p>
      <w:pPr>
        <w:pStyle w:val="TextBody"/>
        <w:spacing w:before="120" w:after="0"/>
        <w:jc w:val="left"/>
        <w:rPr>
          <w:rFonts w:ascii="ARIAL" w:hAnsi="ARIAL"/>
          <w:sz w:val="20"/>
        </w:rPr>
      </w:pPr>
      <w:r>
        <w:rPr>
          <w:rFonts w:ascii="ARIAL" w:hAnsi="ARIAL"/>
          <w:sz w:val="20"/>
        </w:rPr>
        <w:t xml:space="preserve">The table below shows on an aggregated basis for each of the named executive officers information on (1) the exercise of options for the purchase of Martin Marietta’s common stock and (2) the vesting of stock, including RSUs, PSUs and Incentive Stock Plan units, during the last completed fiscal year. There are no awards of stock appreciation rights for Martin Marietta’s common stock or other similar instruments. </w:t>
      </w:r>
    </w:p>
    <w:p>
      <w:pPr>
        <w:pStyle w:val="TextBody"/>
        <w:spacing w:before="240" w:after="0"/>
        <w:jc w:val="center"/>
        <w:rPr>
          <w:rFonts w:ascii="ARIAL" w:hAnsi="ARIAL"/>
          <w:b/>
          <w:sz w:val="20"/>
        </w:rPr>
      </w:pPr>
      <w:r>
        <w:rPr>
          <w:rFonts w:ascii="ARIAL" w:hAnsi="ARIAL"/>
          <w:b/>
          <w:sz w:val="20"/>
        </w:rPr>
        <w:t xml:space="preserve">Option Exercises and Stock Vested Table </w:t>
      </w:r>
    </w:p>
    <w:p>
      <w:pPr>
        <w:pStyle w:val="TextBody"/>
        <w:spacing w:before="0" w:after="0"/>
        <w:jc w:val="left"/>
        <w:rPr/>
      </w:pPr>
      <w:r>
        <w:rPr/>
        <w:t> </w:t>
      </w:r>
    </w:p>
    <w:tbl>
      <w:tblPr>
        <w:tblW w:w="7799" w:type="dxa"/>
        <w:jc w:val="left"/>
        <w:tblInd w:w="0" w:type="dxa"/>
        <w:tblCellMar>
          <w:top w:w="0" w:type="dxa"/>
          <w:left w:w="0" w:type="dxa"/>
          <w:bottom w:w="0" w:type="dxa"/>
          <w:right w:w="0" w:type="dxa"/>
        </w:tblCellMar>
      </w:tblPr>
      <w:tblGrid>
        <w:gridCol w:w="1655"/>
        <w:gridCol w:w="120"/>
        <w:gridCol w:w="595"/>
        <w:gridCol w:w="595"/>
        <w:gridCol w:w="228"/>
        <w:gridCol w:w="451"/>
        <w:gridCol w:w="439"/>
        <w:gridCol w:w="451"/>
        <w:gridCol w:w="120"/>
        <w:gridCol w:w="60"/>
        <w:gridCol w:w="120"/>
        <w:gridCol w:w="120"/>
        <w:gridCol w:w="120"/>
        <w:gridCol w:w="120"/>
        <w:gridCol w:w="91"/>
        <w:gridCol w:w="1039"/>
        <w:gridCol w:w="60"/>
        <w:gridCol w:w="120"/>
        <w:gridCol w:w="63"/>
        <w:gridCol w:w="1157"/>
        <w:gridCol w:w="75"/>
      </w:tblGrid>
      <w:tr>
        <w:trPr/>
        <w:tc>
          <w:tcPr>
            <w:tcW w:w="16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DBDBDB" w:val="clear"/>
            <w:vAlign w:val="center"/>
          </w:tcPr>
          <w:p>
            <w:pPr>
              <w:pStyle w:val="TableContents"/>
              <w:spacing w:before="0" w:after="283"/>
              <w:rPr>
                <w:sz w:val="4"/>
                <w:szCs w:val="4"/>
              </w:rPr>
            </w:pPr>
            <w:r>
              <w:rPr>
                <w:sz w:val="4"/>
                <w:szCs w:val="4"/>
              </w:rPr>
            </w:r>
          </w:p>
        </w:tc>
        <w:tc>
          <w:tcPr>
            <w:tcW w:w="2999" w:type="dxa"/>
            <w:gridSpan w:val="8"/>
            <w:tcBorders/>
            <w:shd w:fill="DBDBDB" w:val="clear"/>
            <w:vAlign w:val="center"/>
          </w:tcPr>
          <w:p>
            <w:pPr>
              <w:pStyle w:val="TableContents"/>
              <w:spacing w:before="0" w:after="283"/>
              <w:rPr>
                <w:sz w:val="4"/>
                <w:szCs w:val="4"/>
              </w:rPr>
            </w:pPr>
            <w:r>
              <w:rPr>
                <w:sz w:val="4"/>
                <w:szCs w:val="4"/>
              </w:rPr>
            </w:r>
          </w:p>
        </w:tc>
        <w:tc>
          <w:tcPr>
            <w:tcW w:w="420" w:type="dxa"/>
            <w:gridSpan w:val="4"/>
            <w:tcBorders/>
            <w:shd w:fill="DBDBDB" w:val="clear"/>
            <w:vAlign w:val="center"/>
          </w:tcPr>
          <w:p>
            <w:pPr>
              <w:pStyle w:val="TableContents"/>
              <w:spacing w:before="0" w:after="283"/>
              <w:rPr>
                <w:sz w:val="4"/>
                <w:szCs w:val="4"/>
              </w:rPr>
            </w:pPr>
            <w:r>
              <w:rPr>
                <w:sz w:val="4"/>
                <w:szCs w:val="4"/>
              </w:rPr>
            </w:r>
          </w:p>
        </w:tc>
        <w:tc>
          <w:tcPr>
            <w:tcW w:w="2725" w:type="dxa"/>
            <w:gridSpan w:val="8"/>
            <w:tcBorders/>
            <w:shd w:fill="DBDBDB" w:val="clear"/>
            <w:vAlign w:val="center"/>
          </w:tcPr>
          <w:p>
            <w:pPr>
              <w:pStyle w:val="TableContents"/>
              <w:spacing w:before="0" w:after="283"/>
              <w:rPr>
                <w:sz w:val="4"/>
                <w:szCs w:val="4"/>
              </w:rPr>
            </w:pPr>
            <w:r>
              <w:rPr>
                <w:sz w:val="4"/>
                <w:szCs w:val="4"/>
              </w:rPr>
            </w:r>
          </w:p>
        </w:tc>
      </w:tr>
      <w:tr>
        <w:trPr/>
        <w:tc>
          <w:tcPr>
            <w:tcW w:w="1655" w:type="dxa"/>
            <w:tcBorders/>
            <w:shd w:fill="DBDBDB" w:val="clear"/>
            <w:vAlign w:val="center"/>
          </w:tcPr>
          <w:p>
            <w:pPr>
              <w:pStyle w:val="TableContents"/>
              <w:spacing w:before="0" w:after="283"/>
              <w:rPr/>
            </w:pPr>
            <w:r>
              <w:rPr/>
              <w:t> </w:t>
            </w:r>
          </w:p>
        </w:tc>
        <w:tc>
          <w:tcPr>
            <w:tcW w:w="120" w:type="dxa"/>
            <w:tcBorders>
              <w:bottom w:val="single" w:sz="8" w:space="0" w:color="000000"/>
            </w:tcBorders>
            <w:shd w:fill="DBDBDB" w:val="clear"/>
            <w:tcMar>
              <w:bottom w:w="28" w:type="dxa"/>
            </w:tcMar>
            <w:vAlign w:val="center"/>
          </w:tcPr>
          <w:p>
            <w:pPr>
              <w:pStyle w:val="TableContents"/>
              <w:spacing w:before="0" w:after="283"/>
              <w:rPr/>
            </w:pPr>
            <w:r>
              <w:rPr/>
              <w:t>  </w:t>
            </w:r>
          </w:p>
        </w:tc>
        <w:tc>
          <w:tcPr>
            <w:tcW w:w="2759" w:type="dxa"/>
            <w:gridSpan w:val="6"/>
            <w:tcBorders>
              <w:bottom w:val="single" w:sz="8" w:space="0" w:color="000000"/>
            </w:tcBorders>
            <w:shd w:fill="DBDBDB" w:val="clear"/>
            <w:tcMar>
              <w:bottom w:w="80" w:type="dxa"/>
            </w:tcMar>
            <w:vAlign w:val="center"/>
          </w:tcPr>
          <w:p>
            <w:pPr>
              <w:pStyle w:val="TableContents"/>
              <w:spacing w:before="0" w:after="283"/>
              <w:jc w:val="center"/>
              <w:rPr>
                <w:b/>
              </w:rPr>
            </w:pPr>
            <w:r>
              <w:rPr>
                <w:b/>
              </w:rPr>
              <w:t>Option Awards</w:t>
            </w:r>
          </w:p>
        </w:tc>
        <w:tc>
          <w:tcPr>
            <w:tcW w:w="120" w:type="dxa"/>
            <w:tcBorders>
              <w:bottom w:val="single" w:sz="8" w:space="0" w:color="000000"/>
            </w:tcBorders>
            <w:shd w:fill="DBDBDB" w:val="clear"/>
            <w:tcMar>
              <w:bottom w:w="28" w:type="dxa"/>
            </w:tcM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240" w:type="dxa"/>
            <w:gridSpan w:val="2"/>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20" w:type="dxa"/>
            <w:tcBorders>
              <w:bottom w:val="single" w:sz="8" w:space="0" w:color="000000"/>
            </w:tcBorders>
            <w:shd w:fill="DBDBDB" w:val="clear"/>
            <w:tcMar>
              <w:bottom w:w="28" w:type="dxa"/>
            </w:tcMar>
            <w:vAlign w:val="center"/>
          </w:tcPr>
          <w:p>
            <w:pPr>
              <w:pStyle w:val="TableContents"/>
              <w:spacing w:before="0" w:after="283"/>
              <w:rPr/>
            </w:pPr>
            <w:r>
              <w:rPr/>
              <w:t>  </w:t>
            </w:r>
          </w:p>
        </w:tc>
        <w:tc>
          <w:tcPr>
            <w:tcW w:w="2530" w:type="dxa"/>
            <w:gridSpan w:val="6"/>
            <w:tcBorders>
              <w:bottom w:val="single" w:sz="8" w:space="0" w:color="000000"/>
            </w:tcBorders>
            <w:shd w:fill="DBDBDB" w:val="clear"/>
            <w:tcMar>
              <w:bottom w:w="80" w:type="dxa"/>
            </w:tcMar>
            <w:vAlign w:val="center"/>
          </w:tcPr>
          <w:p>
            <w:pPr>
              <w:pStyle w:val="TableContents"/>
              <w:spacing w:before="0" w:after="283"/>
              <w:jc w:val="center"/>
              <w:rPr>
                <w:b/>
              </w:rPr>
            </w:pPr>
            <w:r>
              <w:rPr>
                <w:b/>
              </w:rPr>
              <w:t>Stock Awards</w:t>
            </w:r>
          </w:p>
        </w:tc>
        <w:tc>
          <w:tcPr>
            <w:tcW w:w="75" w:type="dxa"/>
            <w:tcBorders>
              <w:bottom w:val="single" w:sz="8" w:space="0" w:color="000000"/>
            </w:tcBorders>
            <w:shd w:fill="DBDBDB" w:val="clear"/>
            <w:tcMar>
              <w:bottom w:w="28" w:type="dxa"/>
            </w:tcMar>
            <w:vAlign w:val="center"/>
          </w:tcPr>
          <w:p>
            <w:pPr>
              <w:pStyle w:val="TableContents"/>
              <w:spacing w:before="0" w:after="283"/>
              <w:rPr/>
            </w:pPr>
            <w:r>
              <w:rPr/>
              <w:t> </w:t>
            </w:r>
          </w:p>
        </w:tc>
      </w:tr>
      <w:tr>
        <w:trPr/>
        <w:tc>
          <w:tcPr>
            <w:tcW w:w="1655" w:type="dxa"/>
            <w:tcBorders/>
            <w:shd w:fill="DBDBDB" w:val="clear"/>
            <w:vAlign w:val="center"/>
          </w:tcPr>
          <w:p>
            <w:pPr>
              <w:pStyle w:val="TableContents"/>
              <w:spacing w:before="0" w:after="283"/>
              <w:rPr>
                <w:sz w:val="4"/>
                <w:szCs w:val="4"/>
              </w:rPr>
            </w:pPr>
            <w:r>
              <w:rPr>
                <w:sz w:val="4"/>
                <w:szCs w:val="4"/>
              </w:rPr>
            </w:r>
          </w:p>
        </w:tc>
        <w:tc>
          <w:tcPr>
            <w:tcW w:w="1538" w:type="dxa"/>
            <w:gridSpan w:val="4"/>
            <w:tcBorders/>
            <w:shd w:fill="DBDBDB" w:val="clear"/>
            <w:vAlign w:val="center"/>
          </w:tcPr>
          <w:p>
            <w:pPr>
              <w:pStyle w:val="TableContents"/>
              <w:spacing w:before="0" w:after="283"/>
              <w:rPr>
                <w:sz w:val="4"/>
                <w:szCs w:val="4"/>
              </w:rPr>
            </w:pPr>
            <w:r>
              <w:rPr>
                <w:sz w:val="4"/>
                <w:szCs w:val="4"/>
              </w:rPr>
            </w:r>
          </w:p>
        </w:tc>
        <w:tc>
          <w:tcPr>
            <w:tcW w:w="1461" w:type="dxa"/>
            <w:gridSpan w:val="4"/>
            <w:tcBorders/>
            <w:shd w:fill="DBDBDB" w:val="clear"/>
            <w:vAlign w:val="center"/>
          </w:tcPr>
          <w:p>
            <w:pPr>
              <w:pStyle w:val="TableContents"/>
              <w:spacing w:before="0" w:after="283"/>
              <w:rPr>
                <w:sz w:val="4"/>
                <w:szCs w:val="4"/>
              </w:rPr>
            </w:pPr>
            <w:r>
              <w:rPr>
                <w:sz w:val="4"/>
                <w:szCs w:val="4"/>
              </w:rPr>
            </w:r>
          </w:p>
        </w:tc>
        <w:tc>
          <w:tcPr>
            <w:tcW w:w="420" w:type="dxa"/>
            <w:gridSpan w:val="4"/>
            <w:tcBorders/>
            <w:shd w:fill="DBDBDB" w:val="clear"/>
            <w:vAlign w:val="center"/>
          </w:tcPr>
          <w:p>
            <w:pPr>
              <w:pStyle w:val="TableContents"/>
              <w:spacing w:before="0" w:after="283"/>
              <w:rPr>
                <w:sz w:val="4"/>
                <w:szCs w:val="4"/>
              </w:rPr>
            </w:pPr>
            <w:r>
              <w:rPr>
                <w:sz w:val="4"/>
                <w:szCs w:val="4"/>
              </w:rPr>
            </w:r>
          </w:p>
        </w:tc>
        <w:tc>
          <w:tcPr>
            <w:tcW w:w="1310" w:type="dxa"/>
            <w:gridSpan w:val="4"/>
            <w:tcBorders/>
            <w:shd w:fill="DBDBDB" w:val="clear"/>
            <w:vAlign w:val="center"/>
          </w:tcPr>
          <w:p>
            <w:pPr>
              <w:pStyle w:val="TableContents"/>
              <w:spacing w:before="0" w:after="283"/>
              <w:rPr>
                <w:sz w:val="4"/>
                <w:szCs w:val="4"/>
              </w:rPr>
            </w:pPr>
            <w:r>
              <w:rPr>
                <w:sz w:val="4"/>
                <w:szCs w:val="4"/>
              </w:rPr>
            </w:r>
          </w:p>
        </w:tc>
        <w:tc>
          <w:tcPr>
            <w:tcW w:w="1415" w:type="dxa"/>
            <w:gridSpan w:val="4"/>
            <w:tcBorders/>
            <w:shd w:fill="DBDBDB" w:val="clear"/>
            <w:vAlign w:val="center"/>
          </w:tcPr>
          <w:p>
            <w:pPr>
              <w:pStyle w:val="TableContents"/>
              <w:spacing w:before="0" w:after="283"/>
              <w:rPr>
                <w:sz w:val="4"/>
                <w:szCs w:val="4"/>
              </w:rPr>
            </w:pPr>
            <w:r>
              <w:rPr>
                <w:sz w:val="4"/>
                <w:szCs w:val="4"/>
              </w:rPr>
            </w:r>
          </w:p>
        </w:tc>
      </w:tr>
      <w:tr>
        <w:trPr/>
        <w:tc>
          <w:tcPr>
            <w:tcW w:w="1655" w:type="dxa"/>
            <w:tcBorders/>
            <w:shd w:fill="DBDBDB" w:val="clear"/>
            <w:vAlign w:val="center"/>
          </w:tcPr>
          <w:p>
            <w:pPr>
              <w:pStyle w:val="TableContents"/>
              <w:spacing w:before="0" w:after="0"/>
              <w:rPr>
                <w:rFonts w:ascii="ARIAL" w:hAnsi="ARIAL"/>
                <w:b/>
                <w:sz w:val="16"/>
              </w:rPr>
            </w:pPr>
            <w:r>
              <w:rPr>
                <w:rFonts w:ascii="ARIAL" w:hAnsi="ARIAL"/>
                <w:b/>
                <w:sz w:val="16"/>
              </w:rPr>
              <w:t>Name</w:t>
            </w:r>
          </w:p>
        </w:tc>
        <w:tc>
          <w:tcPr>
            <w:tcW w:w="120" w:type="dxa"/>
            <w:tcBorders/>
            <w:shd w:fill="DBDBDB" w:val="clear"/>
            <w:vAlign w:val="center"/>
          </w:tcPr>
          <w:p>
            <w:pPr>
              <w:pStyle w:val="TableContents"/>
              <w:spacing w:before="0" w:after="283"/>
              <w:rPr/>
            </w:pPr>
            <w:r>
              <w:rPr/>
              <w:t>  </w:t>
            </w:r>
          </w:p>
        </w:tc>
        <w:tc>
          <w:tcPr>
            <w:tcW w:w="1190" w:type="dxa"/>
            <w:gridSpan w:val="2"/>
            <w:tcBorders/>
            <w:shd w:fill="DBDBDB" w:val="clear"/>
            <w:vAlign w:val="center"/>
          </w:tcPr>
          <w:p>
            <w:pPr>
              <w:pStyle w:val="TableContents"/>
              <w:spacing w:before="0" w:after="283"/>
              <w:jc w:val="center"/>
              <w:rPr>
                <w:b/>
              </w:rPr>
            </w:pPr>
            <w:r>
              <w:rPr>
                <w:b/>
              </w:rPr>
              <w:t>Number of</w:t>
              <w:br/>
              <w:t>Shares</w:t>
              <w:br/>
              <w:t>Acquired</w:t>
              <w:br/>
              <w:t>on Exercise</w:t>
              <w:br/>
              <w:t>(#)</w:t>
            </w:r>
          </w:p>
        </w:tc>
        <w:tc>
          <w:tcPr>
            <w:tcW w:w="228" w:type="dxa"/>
            <w:tcBorders/>
            <w:shd w:fill="DBDBDB" w:val="clear"/>
            <w:vAlign w:val="center"/>
          </w:tcPr>
          <w:p>
            <w:pPr>
              <w:pStyle w:val="TableContents"/>
              <w:spacing w:before="0" w:after="283"/>
              <w:rPr/>
            </w:pPr>
            <w:r>
              <w:rPr/>
              <w:t> </w:t>
            </w:r>
          </w:p>
        </w:tc>
        <w:tc>
          <w:tcPr>
            <w:tcW w:w="451" w:type="dxa"/>
            <w:tcBorders/>
            <w:shd w:fill="DBDBDB" w:val="clear"/>
            <w:vAlign w:val="center"/>
          </w:tcPr>
          <w:p>
            <w:pPr>
              <w:pStyle w:val="TableContents"/>
              <w:spacing w:before="0" w:after="283"/>
              <w:rPr/>
            </w:pPr>
            <w:r>
              <w:rPr/>
              <w:t>  </w:t>
            </w:r>
          </w:p>
        </w:tc>
        <w:tc>
          <w:tcPr>
            <w:tcW w:w="890" w:type="dxa"/>
            <w:gridSpan w:val="2"/>
            <w:tcBorders/>
            <w:shd w:fill="DBDBDB" w:val="clear"/>
            <w:vAlign w:val="center"/>
          </w:tcPr>
          <w:p>
            <w:pPr>
              <w:pStyle w:val="TableContents"/>
              <w:spacing w:before="0" w:after="283"/>
              <w:jc w:val="center"/>
              <w:rPr>
                <w:b/>
              </w:rPr>
            </w:pPr>
            <w:r>
              <w:rPr>
                <w:b/>
              </w:rPr>
              <w:t>Value</w:t>
              <w:br/>
              <w:t>Realized</w:t>
              <w:br/>
              <w:t>on</w:t>
              <w:br/>
              <w:t>Exercise</w:t>
              <w:br/>
              <w:t>($)</w:t>
            </w:r>
          </w:p>
        </w:tc>
        <w:tc>
          <w:tcPr>
            <w:tcW w:w="12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240" w:type="dxa"/>
            <w:gridSpan w:val="2"/>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130" w:type="dxa"/>
            <w:gridSpan w:val="2"/>
            <w:tcBorders/>
            <w:shd w:fill="DBDBDB" w:val="clear"/>
            <w:vAlign w:val="center"/>
          </w:tcPr>
          <w:p>
            <w:pPr>
              <w:pStyle w:val="TableContents"/>
              <w:spacing w:before="0" w:after="283"/>
              <w:jc w:val="center"/>
              <w:rPr>
                <w:b/>
              </w:rPr>
            </w:pPr>
            <w:r>
              <w:rPr>
                <w:b/>
              </w:rPr>
              <w:t>Number of</w:t>
              <w:br/>
              <w:t>Shares</w:t>
              <w:br/>
              <w:t>Acquired</w:t>
              <w:br/>
              <w:t>on Vesting</w:t>
              <w:br/>
              <w:t>(#)</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220" w:type="dxa"/>
            <w:gridSpan w:val="2"/>
            <w:tcBorders/>
            <w:shd w:fill="DBDBDB" w:val="clear"/>
            <w:vAlign w:val="center"/>
          </w:tcPr>
          <w:p>
            <w:pPr>
              <w:pStyle w:val="TableContents"/>
              <w:spacing w:before="0" w:after="283"/>
              <w:jc w:val="center"/>
              <w:rPr>
                <w:b/>
              </w:rPr>
            </w:pPr>
            <w:r>
              <w:rPr>
                <w:b/>
              </w:rPr>
              <w:t>Value</w:t>
              <w:br/>
              <w:t>Realized</w:t>
              <w:br/>
              <w:t>on Vesting1</w:t>
              <w:br/>
              <w:t>($)</w:t>
            </w:r>
          </w:p>
        </w:tc>
        <w:tc>
          <w:tcPr>
            <w:tcW w:w="75" w:type="dxa"/>
            <w:tcBorders/>
            <w:shd w:fill="DBDBDB" w:val="clear"/>
            <w:vAlign w:val="center"/>
          </w:tcPr>
          <w:p>
            <w:pPr>
              <w:pStyle w:val="TableContents"/>
              <w:spacing w:before="0" w:after="283"/>
              <w:rPr/>
            </w:pPr>
            <w:r>
              <w:rPr/>
              <w:t> </w:t>
            </w:r>
          </w:p>
        </w:tc>
      </w:tr>
      <w:tr>
        <w:trPr/>
        <w:tc>
          <w:tcPr>
            <w:tcW w:w="1655" w:type="dxa"/>
            <w:tcBorders/>
            <w:shd w:fill="DBDBDB" w:val="clear"/>
            <w:vAlign w:val="center"/>
          </w:tcPr>
          <w:p>
            <w:pPr>
              <w:pStyle w:val="TableContents"/>
              <w:spacing w:before="0" w:after="0"/>
              <w:rPr>
                <w:rFonts w:ascii="ARIAL" w:hAnsi="ARIAL"/>
                <w:sz w:val="16"/>
              </w:rPr>
            </w:pPr>
            <w:r>
              <w:rPr>
                <w:rFonts w:ascii="ARIAL" w:hAnsi="ARIAL"/>
                <w:sz w:val="16"/>
              </w:rPr>
              <w:t>(a)</w:t>
            </w:r>
          </w:p>
        </w:tc>
        <w:tc>
          <w:tcPr>
            <w:tcW w:w="120" w:type="dxa"/>
            <w:tcBorders/>
            <w:shd w:fill="DBDBDB" w:val="clear"/>
            <w:vAlign w:val="center"/>
          </w:tcPr>
          <w:p>
            <w:pPr>
              <w:pStyle w:val="TableContents"/>
              <w:spacing w:before="0" w:after="283"/>
              <w:rPr/>
            </w:pPr>
            <w:r>
              <w:rPr/>
              <w:t>  </w:t>
            </w:r>
          </w:p>
        </w:tc>
        <w:tc>
          <w:tcPr>
            <w:tcW w:w="1190" w:type="dxa"/>
            <w:gridSpan w:val="2"/>
            <w:tcBorders/>
            <w:shd w:fill="DBDBDB" w:val="clear"/>
            <w:vAlign w:val="center"/>
          </w:tcPr>
          <w:p>
            <w:pPr>
              <w:pStyle w:val="TableContents"/>
              <w:spacing w:before="0" w:after="283"/>
              <w:jc w:val="center"/>
              <w:rPr/>
            </w:pPr>
            <w:r>
              <w:rPr/>
              <w:t>(b)</w:t>
            </w:r>
          </w:p>
        </w:tc>
        <w:tc>
          <w:tcPr>
            <w:tcW w:w="228" w:type="dxa"/>
            <w:tcBorders/>
            <w:shd w:fill="DBDBDB" w:val="clear"/>
            <w:vAlign w:val="center"/>
          </w:tcPr>
          <w:p>
            <w:pPr>
              <w:pStyle w:val="TableContents"/>
              <w:spacing w:before="0" w:after="283"/>
              <w:rPr/>
            </w:pPr>
            <w:r>
              <w:rPr/>
              <w:t> </w:t>
            </w:r>
          </w:p>
        </w:tc>
        <w:tc>
          <w:tcPr>
            <w:tcW w:w="451" w:type="dxa"/>
            <w:tcBorders/>
            <w:shd w:fill="DBDBDB" w:val="clear"/>
            <w:vAlign w:val="center"/>
          </w:tcPr>
          <w:p>
            <w:pPr>
              <w:pStyle w:val="TableContents"/>
              <w:spacing w:before="0" w:after="283"/>
              <w:rPr/>
            </w:pPr>
            <w:r>
              <w:rPr/>
              <w:t>  </w:t>
            </w:r>
          </w:p>
        </w:tc>
        <w:tc>
          <w:tcPr>
            <w:tcW w:w="890" w:type="dxa"/>
            <w:gridSpan w:val="2"/>
            <w:tcBorders/>
            <w:shd w:fill="DBDBDB" w:val="clear"/>
            <w:vAlign w:val="center"/>
          </w:tcPr>
          <w:p>
            <w:pPr>
              <w:pStyle w:val="TableContents"/>
              <w:spacing w:before="0" w:after="283"/>
              <w:jc w:val="center"/>
              <w:rPr/>
            </w:pPr>
            <w:r>
              <w:rPr/>
              <w:t>(c)</w:t>
            </w:r>
          </w:p>
        </w:tc>
        <w:tc>
          <w:tcPr>
            <w:tcW w:w="12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240" w:type="dxa"/>
            <w:gridSpan w:val="2"/>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130" w:type="dxa"/>
            <w:gridSpan w:val="2"/>
            <w:tcBorders/>
            <w:shd w:fill="DBDBDB" w:val="clear"/>
            <w:vAlign w:val="center"/>
          </w:tcPr>
          <w:p>
            <w:pPr>
              <w:pStyle w:val="TableContents"/>
              <w:spacing w:before="0" w:after="283"/>
              <w:jc w:val="center"/>
              <w:rPr/>
            </w:pPr>
            <w:r>
              <w:rPr/>
              <w:t>(d)</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220" w:type="dxa"/>
            <w:gridSpan w:val="2"/>
            <w:tcBorders/>
            <w:shd w:fill="DBDBDB" w:val="clear"/>
            <w:vAlign w:val="center"/>
          </w:tcPr>
          <w:p>
            <w:pPr>
              <w:pStyle w:val="TableContents"/>
              <w:spacing w:before="0" w:after="283"/>
              <w:jc w:val="center"/>
              <w:rPr/>
            </w:pPr>
            <w:r>
              <w:rPr/>
              <w:t>(e)</w:t>
            </w:r>
          </w:p>
        </w:tc>
        <w:tc>
          <w:tcPr>
            <w:tcW w:w="75" w:type="dxa"/>
            <w:tcBorders/>
            <w:shd w:fill="DBDBDB"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1538" w:type="dxa"/>
            <w:gridSpan w:val="4"/>
            <w:tcBorders/>
            <w:shd w:fill="auto" w:val="clear"/>
            <w:vAlign w:val="center"/>
          </w:tcPr>
          <w:p>
            <w:pPr>
              <w:pStyle w:val="TableContents"/>
              <w:spacing w:before="0" w:after="283"/>
              <w:rPr>
                <w:sz w:val="4"/>
                <w:szCs w:val="4"/>
              </w:rPr>
            </w:pPr>
            <w:r>
              <w:rPr>
                <w:sz w:val="4"/>
                <w:szCs w:val="4"/>
              </w:rPr>
            </w:r>
          </w:p>
        </w:tc>
        <w:tc>
          <w:tcPr>
            <w:tcW w:w="1461" w:type="dxa"/>
            <w:gridSpan w:val="4"/>
            <w:tcBorders/>
            <w:shd w:fill="auto" w:val="clear"/>
            <w:vAlign w:val="center"/>
          </w:tcPr>
          <w:p>
            <w:pPr>
              <w:pStyle w:val="TableContents"/>
              <w:spacing w:before="0" w:after="283"/>
              <w:rPr>
                <w:sz w:val="4"/>
                <w:szCs w:val="4"/>
              </w:rPr>
            </w:pPr>
            <w:r>
              <w:rPr>
                <w:sz w:val="4"/>
                <w:szCs w:val="4"/>
              </w:rPr>
            </w:r>
          </w:p>
        </w:tc>
        <w:tc>
          <w:tcPr>
            <w:tcW w:w="42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c>
          <w:tcPr>
            <w:tcW w:w="1415" w:type="dxa"/>
            <w:gridSpan w:val="4"/>
            <w:tcBorders/>
            <w:shd w:fill="auto" w:val="clear"/>
            <w:vAlign w:val="center"/>
          </w:tcPr>
          <w:p>
            <w:pPr>
              <w:pStyle w:val="TableContents"/>
              <w:spacing w:before="0" w:after="283"/>
              <w:rPr>
                <w:sz w:val="4"/>
                <w:szCs w:val="4"/>
              </w:rPr>
            </w:pPr>
            <w:r>
              <w:rPr>
                <w:sz w:val="4"/>
                <w:szCs w:val="4"/>
              </w:rPr>
            </w:r>
          </w:p>
        </w:tc>
      </w:tr>
      <w:tr>
        <w:trPr/>
        <w:tc>
          <w:tcPr>
            <w:tcW w:w="1655"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C. Howard Nye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595"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95"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228"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51" w:type="dxa"/>
            <w:tcBorders>
              <w:bottom w:val="dotted" w:sz="8" w:space="0" w:color="000000"/>
            </w:tcBorders>
            <w:shd w:fill="auto" w:val="clear"/>
            <w:tcMar>
              <w:bottom w:w="28" w:type="dxa"/>
            </w:tcMar>
            <w:vAlign w:val="center"/>
          </w:tcPr>
          <w:p>
            <w:pPr>
              <w:pStyle w:val="TableContents"/>
              <w:spacing w:before="0" w:after="283"/>
              <w:rPr/>
            </w:pPr>
            <w:r>
              <w:rPr/>
              <w:t>  </w:t>
            </w:r>
          </w:p>
        </w:tc>
        <w:tc>
          <w:tcPr>
            <w:tcW w:w="439"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51"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91" w:type="dxa"/>
            <w:tcBorders>
              <w:bottom w:val="dotted" w:sz="8" w:space="0" w:color="000000"/>
            </w:tcBorders>
            <w:shd w:fill="auto" w:val="clear"/>
            <w:tcMar>
              <w:bottom w:w="80" w:type="dxa"/>
            </w:tcMar>
            <w:vAlign w:val="center"/>
          </w:tcPr>
          <w:p>
            <w:pPr>
              <w:pStyle w:val="TableContents"/>
              <w:spacing w:before="0" w:after="283"/>
              <w:rPr/>
            </w:pPr>
            <w:r>
              <w:rPr/>
              <w:t> </w:t>
            </w:r>
          </w:p>
        </w:tc>
        <w:tc>
          <w:tcPr>
            <w:tcW w:w="1039" w:type="dxa"/>
            <w:tcBorders>
              <w:bottom w:val="dotted" w:sz="8" w:space="0" w:color="000000"/>
            </w:tcBorders>
            <w:shd w:fill="auto" w:val="clear"/>
            <w:tcMar>
              <w:bottom w:w="80" w:type="dxa"/>
            </w:tcMar>
            <w:vAlign w:val="center"/>
          </w:tcPr>
          <w:p>
            <w:pPr>
              <w:pStyle w:val="TableContents"/>
              <w:spacing w:before="0" w:after="283"/>
              <w:jc w:val="right"/>
              <w:rPr/>
            </w:pPr>
            <w:r>
              <w:rPr/>
              <w:t>39,707</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3" w:type="dxa"/>
            <w:tcBorders>
              <w:bottom w:val="dotted" w:sz="8" w:space="0" w:color="000000"/>
            </w:tcBorders>
            <w:shd w:fill="auto" w:val="clear"/>
            <w:tcMar>
              <w:bottom w:w="80" w:type="dxa"/>
            </w:tcMar>
            <w:vAlign w:val="center"/>
          </w:tcPr>
          <w:p>
            <w:pPr>
              <w:pStyle w:val="TableContents"/>
              <w:spacing w:before="0" w:after="283"/>
              <w:rPr/>
            </w:pPr>
            <w:r>
              <w:rPr/>
              <w:t> </w:t>
            </w:r>
          </w:p>
        </w:tc>
        <w:tc>
          <w:tcPr>
            <w:tcW w:w="1157" w:type="dxa"/>
            <w:tcBorders>
              <w:bottom w:val="dotted" w:sz="8" w:space="0" w:color="000000"/>
            </w:tcBorders>
            <w:shd w:fill="auto" w:val="clear"/>
            <w:tcMar>
              <w:bottom w:w="80" w:type="dxa"/>
            </w:tcMar>
            <w:vAlign w:val="center"/>
          </w:tcPr>
          <w:p>
            <w:pPr>
              <w:pStyle w:val="TableContents"/>
              <w:spacing w:before="0" w:after="283"/>
              <w:jc w:val="right"/>
              <w:rPr/>
            </w:pPr>
            <w:r>
              <w:rPr/>
              <w:t>14,549,215</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1538" w:type="dxa"/>
            <w:gridSpan w:val="4"/>
            <w:tcBorders/>
            <w:shd w:fill="auto" w:val="clear"/>
            <w:vAlign w:val="center"/>
          </w:tcPr>
          <w:p>
            <w:pPr>
              <w:pStyle w:val="TableContents"/>
              <w:spacing w:before="0" w:after="283"/>
              <w:rPr>
                <w:sz w:val="4"/>
                <w:szCs w:val="4"/>
              </w:rPr>
            </w:pPr>
            <w:r>
              <w:rPr>
                <w:sz w:val="4"/>
                <w:szCs w:val="4"/>
              </w:rPr>
            </w:r>
          </w:p>
        </w:tc>
        <w:tc>
          <w:tcPr>
            <w:tcW w:w="1461" w:type="dxa"/>
            <w:gridSpan w:val="4"/>
            <w:tcBorders/>
            <w:shd w:fill="auto" w:val="clear"/>
            <w:vAlign w:val="center"/>
          </w:tcPr>
          <w:p>
            <w:pPr>
              <w:pStyle w:val="TableContents"/>
              <w:spacing w:before="0" w:after="283"/>
              <w:rPr>
                <w:sz w:val="4"/>
                <w:szCs w:val="4"/>
              </w:rPr>
            </w:pPr>
            <w:r>
              <w:rPr>
                <w:sz w:val="4"/>
                <w:szCs w:val="4"/>
              </w:rPr>
            </w:r>
          </w:p>
        </w:tc>
        <w:tc>
          <w:tcPr>
            <w:tcW w:w="42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c>
          <w:tcPr>
            <w:tcW w:w="1415" w:type="dxa"/>
            <w:gridSpan w:val="4"/>
            <w:tcBorders/>
            <w:shd w:fill="auto" w:val="clear"/>
            <w:vAlign w:val="center"/>
          </w:tcPr>
          <w:p>
            <w:pPr>
              <w:pStyle w:val="TableContents"/>
              <w:spacing w:before="0" w:after="283"/>
              <w:rPr>
                <w:sz w:val="4"/>
                <w:szCs w:val="4"/>
              </w:rPr>
            </w:pPr>
            <w:r>
              <w:rPr>
                <w:sz w:val="4"/>
                <w:szCs w:val="4"/>
              </w:rPr>
            </w:r>
          </w:p>
        </w:tc>
      </w:tr>
      <w:tr>
        <w:trPr/>
        <w:tc>
          <w:tcPr>
            <w:tcW w:w="1655"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James A. J. Nickolas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595"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95"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228"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51" w:type="dxa"/>
            <w:tcBorders>
              <w:bottom w:val="dotted" w:sz="8" w:space="0" w:color="000000"/>
            </w:tcBorders>
            <w:shd w:fill="auto" w:val="clear"/>
            <w:tcMar>
              <w:bottom w:w="28" w:type="dxa"/>
            </w:tcMar>
            <w:vAlign w:val="center"/>
          </w:tcPr>
          <w:p>
            <w:pPr>
              <w:pStyle w:val="TableContents"/>
              <w:spacing w:before="0" w:after="283"/>
              <w:rPr/>
            </w:pPr>
            <w:r>
              <w:rPr/>
              <w:t>  </w:t>
            </w:r>
          </w:p>
        </w:tc>
        <w:tc>
          <w:tcPr>
            <w:tcW w:w="439"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51"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91" w:type="dxa"/>
            <w:tcBorders>
              <w:bottom w:val="dotted" w:sz="8" w:space="0" w:color="000000"/>
            </w:tcBorders>
            <w:shd w:fill="auto" w:val="clear"/>
            <w:tcMar>
              <w:bottom w:w="80" w:type="dxa"/>
            </w:tcMar>
            <w:vAlign w:val="center"/>
          </w:tcPr>
          <w:p>
            <w:pPr>
              <w:pStyle w:val="TableContents"/>
              <w:spacing w:before="0" w:after="283"/>
              <w:rPr/>
            </w:pPr>
            <w:r>
              <w:rPr/>
              <w:t> </w:t>
            </w:r>
          </w:p>
        </w:tc>
        <w:tc>
          <w:tcPr>
            <w:tcW w:w="1039" w:type="dxa"/>
            <w:tcBorders>
              <w:bottom w:val="dotted" w:sz="8" w:space="0" w:color="000000"/>
            </w:tcBorders>
            <w:shd w:fill="auto" w:val="clear"/>
            <w:tcMar>
              <w:bottom w:w="80" w:type="dxa"/>
            </w:tcMar>
            <w:vAlign w:val="center"/>
          </w:tcPr>
          <w:p>
            <w:pPr>
              <w:pStyle w:val="TableContents"/>
              <w:spacing w:before="0" w:after="283"/>
              <w:jc w:val="right"/>
              <w:rPr/>
            </w:pPr>
            <w:r>
              <w:rPr/>
              <w:t>10,190</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3" w:type="dxa"/>
            <w:tcBorders>
              <w:bottom w:val="dotted" w:sz="8" w:space="0" w:color="000000"/>
            </w:tcBorders>
            <w:shd w:fill="auto" w:val="clear"/>
            <w:tcMar>
              <w:bottom w:w="80" w:type="dxa"/>
            </w:tcMar>
            <w:vAlign w:val="center"/>
          </w:tcPr>
          <w:p>
            <w:pPr>
              <w:pStyle w:val="TableContents"/>
              <w:spacing w:before="0" w:after="283"/>
              <w:rPr/>
            </w:pPr>
            <w:r>
              <w:rPr/>
              <w:t> </w:t>
            </w:r>
          </w:p>
        </w:tc>
        <w:tc>
          <w:tcPr>
            <w:tcW w:w="1157" w:type="dxa"/>
            <w:tcBorders>
              <w:bottom w:val="dotted" w:sz="8" w:space="0" w:color="000000"/>
            </w:tcBorders>
            <w:shd w:fill="auto" w:val="clear"/>
            <w:tcMar>
              <w:bottom w:w="80" w:type="dxa"/>
            </w:tcMar>
            <w:vAlign w:val="center"/>
          </w:tcPr>
          <w:p>
            <w:pPr>
              <w:pStyle w:val="TableContents"/>
              <w:spacing w:before="0" w:after="283"/>
              <w:jc w:val="right"/>
              <w:rPr/>
            </w:pPr>
            <w:r>
              <w:rPr/>
              <w:t>3,694,804</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1538" w:type="dxa"/>
            <w:gridSpan w:val="4"/>
            <w:tcBorders/>
            <w:shd w:fill="auto" w:val="clear"/>
            <w:vAlign w:val="center"/>
          </w:tcPr>
          <w:p>
            <w:pPr>
              <w:pStyle w:val="TableContents"/>
              <w:spacing w:before="0" w:after="283"/>
              <w:rPr>
                <w:sz w:val="4"/>
                <w:szCs w:val="4"/>
              </w:rPr>
            </w:pPr>
            <w:r>
              <w:rPr>
                <w:sz w:val="4"/>
                <w:szCs w:val="4"/>
              </w:rPr>
            </w:r>
          </w:p>
        </w:tc>
        <w:tc>
          <w:tcPr>
            <w:tcW w:w="1461" w:type="dxa"/>
            <w:gridSpan w:val="4"/>
            <w:tcBorders/>
            <w:shd w:fill="auto" w:val="clear"/>
            <w:vAlign w:val="center"/>
          </w:tcPr>
          <w:p>
            <w:pPr>
              <w:pStyle w:val="TableContents"/>
              <w:spacing w:before="0" w:after="283"/>
              <w:rPr>
                <w:sz w:val="4"/>
                <w:szCs w:val="4"/>
              </w:rPr>
            </w:pPr>
            <w:r>
              <w:rPr>
                <w:sz w:val="4"/>
                <w:szCs w:val="4"/>
              </w:rPr>
            </w:r>
          </w:p>
        </w:tc>
        <w:tc>
          <w:tcPr>
            <w:tcW w:w="42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c>
          <w:tcPr>
            <w:tcW w:w="1415" w:type="dxa"/>
            <w:gridSpan w:val="4"/>
            <w:tcBorders/>
            <w:shd w:fill="auto" w:val="clear"/>
            <w:vAlign w:val="center"/>
          </w:tcPr>
          <w:p>
            <w:pPr>
              <w:pStyle w:val="TableContents"/>
              <w:spacing w:before="0" w:after="283"/>
              <w:rPr>
                <w:sz w:val="4"/>
                <w:szCs w:val="4"/>
              </w:rPr>
            </w:pPr>
            <w:r>
              <w:rPr>
                <w:sz w:val="4"/>
                <w:szCs w:val="4"/>
              </w:rPr>
            </w:r>
          </w:p>
        </w:tc>
      </w:tr>
      <w:tr>
        <w:trPr/>
        <w:tc>
          <w:tcPr>
            <w:tcW w:w="1655"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Roselyn R. Bar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595"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95"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228"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51" w:type="dxa"/>
            <w:tcBorders>
              <w:bottom w:val="dotted" w:sz="8" w:space="0" w:color="000000"/>
            </w:tcBorders>
            <w:shd w:fill="auto" w:val="clear"/>
            <w:tcMar>
              <w:bottom w:w="28" w:type="dxa"/>
            </w:tcMar>
            <w:vAlign w:val="center"/>
          </w:tcPr>
          <w:p>
            <w:pPr>
              <w:pStyle w:val="TableContents"/>
              <w:spacing w:before="0" w:after="283"/>
              <w:rPr/>
            </w:pPr>
            <w:r>
              <w:rPr/>
              <w:t>  </w:t>
            </w:r>
          </w:p>
        </w:tc>
        <w:tc>
          <w:tcPr>
            <w:tcW w:w="439"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51"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91" w:type="dxa"/>
            <w:tcBorders>
              <w:bottom w:val="dotted" w:sz="8" w:space="0" w:color="000000"/>
            </w:tcBorders>
            <w:shd w:fill="auto" w:val="clear"/>
            <w:tcMar>
              <w:bottom w:w="80" w:type="dxa"/>
            </w:tcMar>
            <w:vAlign w:val="center"/>
          </w:tcPr>
          <w:p>
            <w:pPr>
              <w:pStyle w:val="TableContents"/>
              <w:spacing w:before="0" w:after="283"/>
              <w:rPr/>
            </w:pPr>
            <w:r>
              <w:rPr/>
              <w:t> </w:t>
            </w:r>
          </w:p>
        </w:tc>
        <w:tc>
          <w:tcPr>
            <w:tcW w:w="1039" w:type="dxa"/>
            <w:tcBorders>
              <w:bottom w:val="dotted" w:sz="8" w:space="0" w:color="000000"/>
            </w:tcBorders>
            <w:shd w:fill="auto" w:val="clear"/>
            <w:tcMar>
              <w:bottom w:w="80" w:type="dxa"/>
            </w:tcMar>
            <w:vAlign w:val="center"/>
          </w:tcPr>
          <w:p>
            <w:pPr>
              <w:pStyle w:val="TableContents"/>
              <w:spacing w:before="0" w:after="283"/>
              <w:jc w:val="right"/>
              <w:rPr/>
            </w:pPr>
            <w:r>
              <w:rPr/>
              <w:t>6,989</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3" w:type="dxa"/>
            <w:tcBorders>
              <w:bottom w:val="dotted" w:sz="8" w:space="0" w:color="000000"/>
            </w:tcBorders>
            <w:shd w:fill="auto" w:val="clear"/>
            <w:tcMar>
              <w:bottom w:w="80" w:type="dxa"/>
            </w:tcMar>
            <w:vAlign w:val="center"/>
          </w:tcPr>
          <w:p>
            <w:pPr>
              <w:pStyle w:val="TableContents"/>
              <w:spacing w:before="0" w:after="283"/>
              <w:rPr/>
            </w:pPr>
            <w:r>
              <w:rPr/>
              <w:t> </w:t>
            </w:r>
          </w:p>
        </w:tc>
        <w:tc>
          <w:tcPr>
            <w:tcW w:w="1157" w:type="dxa"/>
            <w:tcBorders>
              <w:bottom w:val="dotted" w:sz="8" w:space="0" w:color="000000"/>
            </w:tcBorders>
            <w:shd w:fill="auto" w:val="clear"/>
            <w:tcMar>
              <w:bottom w:w="80" w:type="dxa"/>
            </w:tcMar>
            <w:vAlign w:val="center"/>
          </w:tcPr>
          <w:p>
            <w:pPr>
              <w:pStyle w:val="TableContents"/>
              <w:spacing w:before="0" w:after="283"/>
              <w:jc w:val="right"/>
              <w:rPr/>
            </w:pPr>
            <w:r>
              <w:rPr/>
              <w:t>2,561,154</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1538" w:type="dxa"/>
            <w:gridSpan w:val="4"/>
            <w:tcBorders/>
            <w:shd w:fill="auto" w:val="clear"/>
            <w:vAlign w:val="center"/>
          </w:tcPr>
          <w:p>
            <w:pPr>
              <w:pStyle w:val="TableContents"/>
              <w:spacing w:before="0" w:after="283"/>
              <w:rPr>
                <w:sz w:val="4"/>
                <w:szCs w:val="4"/>
              </w:rPr>
            </w:pPr>
            <w:r>
              <w:rPr>
                <w:sz w:val="4"/>
                <w:szCs w:val="4"/>
              </w:rPr>
            </w:r>
          </w:p>
        </w:tc>
        <w:tc>
          <w:tcPr>
            <w:tcW w:w="1461" w:type="dxa"/>
            <w:gridSpan w:val="4"/>
            <w:tcBorders/>
            <w:shd w:fill="auto" w:val="clear"/>
            <w:vAlign w:val="center"/>
          </w:tcPr>
          <w:p>
            <w:pPr>
              <w:pStyle w:val="TableContents"/>
              <w:spacing w:before="0" w:after="283"/>
              <w:rPr>
                <w:sz w:val="4"/>
                <w:szCs w:val="4"/>
              </w:rPr>
            </w:pPr>
            <w:r>
              <w:rPr>
                <w:sz w:val="4"/>
                <w:szCs w:val="4"/>
              </w:rPr>
            </w:r>
          </w:p>
        </w:tc>
        <w:tc>
          <w:tcPr>
            <w:tcW w:w="42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c>
          <w:tcPr>
            <w:tcW w:w="1415" w:type="dxa"/>
            <w:gridSpan w:val="4"/>
            <w:tcBorders/>
            <w:shd w:fill="auto" w:val="clear"/>
            <w:vAlign w:val="center"/>
          </w:tcPr>
          <w:p>
            <w:pPr>
              <w:pStyle w:val="TableContents"/>
              <w:spacing w:before="0" w:after="283"/>
              <w:rPr>
                <w:sz w:val="4"/>
                <w:szCs w:val="4"/>
              </w:rPr>
            </w:pPr>
            <w:r>
              <w:rPr>
                <w:sz w:val="4"/>
                <w:szCs w:val="4"/>
              </w:rPr>
            </w:r>
          </w:p>
        </w:tc>
      </w:tr>
      <w:tr>
        <w:trPr/>
        <w:tc>
          <w:tcPr>
            <w:tcW w:w="1655" w:type="dxa"/>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Craig M. LaTorre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595"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95"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228"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51" w:type="dxa"/>
            <w:tcBorders>
              <w:bottom w:val="dotted" w:sz="8" w:space="0" w:color="000000"/>
            </w:tcBorders>
            <w:shd w:fill="auto" w:val="clear"/>
            <w:tcMar>
              <w:bottom w:w="28" w:type="dxa"/>
            </w:tcMar>
            <w:vAlign w:val="center"/>
          </w:tcPr>
          <w:p>
            <w:pPr>
              <w:pStyle w:val="TableContents"/>
              <w:spacing w:before="0" w:after="283"/>
              <w:rPr/>
            </w:pPr>
            <w:r>
              <w:rPr/>
              <w:t>  </w:t>
            </w:r>
          </w:p>
        </w:tc>
        <w:tc>
          <w:tcPr>
            <w:tcW w:w="439"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51"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91" w:type="dxa"/>
            <w:tcBorders>
              <w:bottom w:val="dotted" w:sz="8" w:space="0" w:color="000000"/>
            </w:tcBorders>
            <w:shd w:fill="auto" w:val="clear"/>
            <w:tcMar>
              <w:bottom w:w="80" w:type="dxa"/>
            </w:tcMar>
            <w:vAlign w:val="center"/>
          </w:tcPr>
          <w:p>
            <w:pPr>
              <w:pStyle w:val="TableContents"/>
              <w:spacing w:before="0" w:after="283"/>
              <w:rPr/>
            </w:pPr>
            <w:r>
              <w:rPr/>
              <w:t> </w:t>
            </w:r>
          </w:p>
        </w:tc>
        <w:tc>
          <w:tcPr>
            <w:tcW w:w="1039" w:type="dxa"/>
            <w:tcBorders>
              <w:bottom w:val="dotted" w:sz="8" w:space="0" w:color="000000"/>
            </w:tcBorders>
            <w:shd w:fill="auto" w:val="clear"/>
            <w:tcMar>
              <w:bottom w:w="80" w:type="dxa"/>
            </w:tcMar>
            <w:vAlign w:val="center"/>
          </w:tcPr>
          <w:p>
            <w:pPr>
              <w:pStyle w:val="TableContents"/>
              <w:spacing w:before="0" w:after="283"/>
              <w:jc w:val="right"/>
              <w:rPr/>
            </w:pPr>
            <w:r>
              <w:rPr/>
              <w:t>6,765</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3" w:type="dxa"/>
            <w:tcBorders>
              <w:bottom w:val="dotted" w:sz="8" w:space="0" w:color="000000"/>
            </w:tcBorders>
            <w:shd w:fill="auto" w:val="clear"/>
            <w:tcMar>
              <w:bottom w:w="80" w:type="dxa"/>
            </w:tcMar>
            <w:vAlign w:val="center"/>
          </w:tcPr>
          <w:p>
            <w:pPr>
              <w:pStyle w:val="TableContents"/>
              <w:spacing w:before="0" w:after="283"/>
              <w:rPr/>
            </w:pPr>
            <w:r>
              <w:rPr/>
              <w:t> </w:t>
            </w:r>
          </w:p>
        </w:tc>
        <w:tc>
          <w:tcPr>
            <w:tcW w:w="1157" w:type="dxa"/>
            <w:tcBorders>
              <w:bottom w:val="dotted" w:sz="8" w:space="0" w:color="000000"/>
            </w:tcBorders>
            <w:shd w:fill="auto" w:val="clear"/>
            <w:tcMar>
              <w:bottom w:w="80" w:type="dxa"/>
            </w:tcMar>
            <w:vAlign w:val="center"/>
          </w:tcPr>
          <w:p>
            <w:pPr>
              <w:pStyle w:val="TableContents"/>
              <w:spacing w:before="0" w:after="283"/>
              <w:jc w:val="right"/>
              <w:rPr/>
            </w:pPr>
            <w:r>
              <w:rPr/>
              <w:t>2,461,476</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1538" w:type="dxa"/>
            <w:gridSpan w:val="4"/>
            <w:tcBorders/>
            <w:shd w:fill="auto" w:val="clear"/>
            <w:vAlign w:val="center"/>
          </w:tcPr>
          <w:p>
            <w:pPr>
              <w:pStyle w:val="TableContents"/>
              <w:spacing w:before="0" w:after="283"/>
              <w:rPr>
                <w:sz w:val="4"/>
                <w:szCs w:val="4"/>
              </w:rPr>
            </w:pPr>
            <w:r>
              <w:rPr>
                <w:sz w:val="4"/>
                <w:szCs w:val="4"/>
              </w:rPr>
            </w:r>
          </w:p>
        </w:tc>
        <w:tc>
          <w:tcPr>
            <w:tcW w:w="1461" w:type="dxa"/>
            <w:gridSpan w:val="4"/>
            <w:tcBorders/>
            <w:shd w:fill="auto" w:val="clear"/>
            <w:vAlign w:val="center"/>
          </w:tcPr>
          <w:p>
            <w:pPr>
              <w:pStyle w:val="TableContents"/>
              <w:spacing w:before="0" w:after="283"/>
              <w:rPr>
                <w:sz w:val="4"/>
                <w:szCs w:val="4"/>
              </w:rPr>
            </w:pPr>
            <w:r>
              <w:rPr>
                <w:sz w:val="4"/>
                <w:szCs w:val="4"/>
              </w:rPr>
            </w:r>
          </w:p>
        </w:tc>
        <w:tc>
          <w:tcPr>
            <w:tcW w:w="42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c>
          <w:tcPr>
            <w:tcW w:w="1415" w:type="dxa"/>
            <w:gridSpan w:val="4"/>
            <w:tcBorders/>
            <w:shd w:fill="auto" w:val="clear"/>
            <w:vAlign w:val="center"/>
          </w:tcPr>
          <w:p>
            <w:pPr>
              <w:pStyle w:val="TableContents"/>
              <w:spacing w:before="0" w:after="283"/>
              <w:rPr>
                <w:sz w:val="4"/>
                <w:szCs w:val="4"/>
              </w:rPr>
            </w:pPr>
            <w:r>
              <w:rPr>
                <w:sz w:val="4"/>
                <w:szCs w:val="4"/>
              </w:rPr>
            </w:r>
          </w:p>
        </w:tc>
      </w:tr>
      <w:tr>
        <w:trPr/>
        <w:tc>
          <w:tcPr>
            <w:tcW w:w="165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John P. Mohr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595"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95"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228"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51" w:type="dxa"/>
            <w:tcBorders>
              <w:bottom w:val="single" w:sz="8" w:space="0" w:color="000000"/>
            </w:tcBorders>
            <w:shd w:fill="auto" w:val="clear"/>
            <w:tcMar>
              <w:bottom w:w="28" w:type="dxa"/>
            </w:tcMar>
            <w:vAlign w:val="center"/>
          </w:tcPr>
          <w:p>
            <w:pPr>
              <w:pStyle w:val="TableContents"/>
              <w:spacing w:before="0" w:after="283"/>
              <w:rPr/>
            </w:pPr>
            <w:r>
              <w:rPr/>
              <w:t>  </w:t>
            </w:r>
          </w:p>
        </w:tc>
        <w:tc>
          <w:tcPr>
            <w:tcW w:w="439"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51"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1" w:type="dxa"/>
            <w:tcBorders>
              <w:bottom w:val="single" w:sz="8" w:space="0" w:color="000000"/>
            </w:tcBorders>
            <w:shd w:fill="auto" w:val="clear"/>
            <w:tcMar>
              <w:bottom w:w="80" w:type="dxa"/>
            </w:tcMar>
            <w:vAlign w:val="center"/>
          </w:tcPr>
          <w:p>
            <w:pPr>
              <w:pStyle w:val="TableContents"/>
              <w:spacing w:before="0" w:after="283"/>
              <w:rPr/>
            </w:pPr>
            <w:r>
              <w:rPr/>
              <w:t> </w:t>
            </w:r>
          </w:p>
        </w:tc>
        <w:tc>
          <w:tcPr>
            <w:tcW w:w="1039" w:type="dxa"/>
            <w:tcBorders>
              <w:bottom w:val="single" w:sz="8" w:space="0" w:color="000000"/>
            </w:tcBorders>
            <w:shd w:fill="auto" w:val="clear"/>
            <w:tcMar>
              <w:bottom w:w="80" w:type="dxa"/>
            </w:tcMar>
            <w:vAlign w:val="center"/>
          </w:tcPr>
          <w:p>
            <w:pPr>
              <w:pStyle w:val="TableContents"/>
              <w:spacing w:before="0" w:after="283"/>
              <w:jc w:val="right"/>
              <w:rPr/>
            </w:pPr>
            <w:r>
              <w:rPr/>
              <w:t>5,221</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3" w:type="dxa"/>
            <w:tcBorders>
              <w:bottom w:val="single" w:sz="8" w:space="0" w:color="000000"/>
            </w:tcBorders>
            <w:shd w:fill="auto" w:val="clear"/>
            <w:tcMar>
              <w:bottom w:w="80" w:type="dxa"/>
            </w:tcMar>
            <w:vAlign w:val="center"/>
          </w:tcPr>
          <w:p>
            <w:pPr>
              <w:pStyle w:val="TableContents"/>
              <w:spacing w:before="0" w:after="283"/>
              <w:rPr/>
            </w:pPr>
            <w:r>
              <w:rPr/>
              <w:t> </w:t>
            </w:r>
          </w:p>
        </w:tc>
        <w:tc>
          <w:tcPr>
            <w:tcW w:w="1157" w:type="dxa"/>
            <w:tcBorders>
              <w:bottom w:val="single" w:sz="8" w:space="0" w:color="000000"/>
            </w:tcBorders>
            <w:shd w:fill="auto" w:val="clear"/>
            <w:tcMar>
              <w:bottom w:w="80" w:type="dxa"/>
            </w:tcMar>
            <w:vAlign w:val="center"/>
          </w:tcPr>
          <w:p>
            <w:pPr>
              <w:pStyle w:val="TableContents"/>
              <w:spacing w:before="0" w:after="283"/>
              <w:jc w:val="right"/>
              <w:rPr/>
            </w:pPr>
            <w:r>
              <w:rPr/>
              <w:t>1,941,367</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1</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amounts in column (e) include the value of RSUs and PSUs at the time of vesting and the appreciation of units received under the Incentive Stock Plan. </w:t>
            </w:r>
          </w:p>
        </w:tc>
      </w:tr>
    </w:tbl>
    <w:p>
      <w:pPr>
        <w:pStyle w:val="TextBody"/>
        <w:spacing w:before="240" w:after="0"/>
        <w:jc w:val="left"/>
        <w:rPr>
          <w:rFonts w:ascii="ARIAL" w:hAnsi="ARIAL"/>
          <w:b/>
          <w:color w:val="71BE9A"/>
          <w:sz w:val="26"/>
        </w:rPr>
      </w:pPr>
      <w:bookmarkStart w:id="71" w:name="toc390557_64"/>
      <w:bookmarkEnd w:id="71"/>
      <w:r>
        <w:rPr>
          <w:rFonts w:ascii="ARIAL" w:hAnsi="ARIAL"/>
          <w:b/>
          <w:color w:val="71BE9A"/>
          <w:sz w:val="26"/>
        </w:rPr>
        <w:t xml:space="preserve">Retirement and Other Benefits </w:t>
      </w:r>
    </w:p>
    <w:p>
      <w:pPr>
        <w:pStyle w:val="TextBody"/>
        <w:spacing w:before="120" w:after="0"/>
        <w:jc w:val="left"/>
        <w:rPr>
          <w:rFonts w:ascii="ARIAL" w:hAnsi="ARIAL"/>
          <w:sz w:val="20"/>
        </w:rPr>
      </w:pPr>
      <w:r>
        <w:rPr>
          <w:rFonts w:ascii="ARIAL" w:hAnsi="ARIAL"/>
          <w:sz w:val="20"/>
        </w:rPr>
        <w:t xml:space="preserve">In order to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 </w:t>
      </w:r>
    </w:p>
    <w:p>
      <w:pPr>
        <w:pStyle w:val="TextBody"/>
        <w:spacing w:before="240" w:after="0"/>
        <w:jc w:val="left"/>
        <w:rPr>
          <w:rFonts w:ascii="ARIAL" w:hAnsi="ARIAL"/>
          <w:sz w:val="20"/>
        </w:rPr>
      </w:pPr>
      <w:r>
        <w:rPr>
          <w:rFonts w:ascii="ARIAL" w:hAnsi="ARIAL"/>
          <w:b/>
          <w:sz w:val="20"/>
        </w:rPr>
        <w:t>Pension Plan.</w:t>
      </w:r>
      <w:r>
        <w:rPr>
          <w:rFonts w:ascii="ARIAL" w:hAnsi="ARIAL"/>
          <w:sz w:val="20"/>
        </w:rPr>
        <w:t xml:space="preserve"> We have a tax qualified defined benefit pension plan (Pension Plan) under which eligible full-time salaried employees of Martin Marietta 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(B) and (C)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37"/>
        <w:gridCol w:w="9868"/>
      </w:tblGrid>
      <w:tr>
        <w:trPr/>
        <w:tc>
          <w:tcPr>
            <w:tcW w:w="337" w:type="dxa"/>
            <w:tcBorders/>
            <w:shd w:fill="auto" w:val="clear"/>
            <w:vAlign w:val="center"/>
          </w:tcPr>
          <w:p>
            <w:pPr>
              <w:pStyle w:val="TableContents"/>
              <w:spacing w:before="0" w:after="283"/>
              <w:jc w:val="left"/>
              <w:rPr/>
            </w:pPr>
            <w:r>
              <w:rPr/>
              <w:t>(A)</w:t>
            </w:r>
          </w:p>
        </w:tc>
        <w:tc>
          <w:tcPr>
            <w:tcW w:w="9868" w:type="dxa"/>
            <w:tcBorders/>
            <w:shd w:fill="auto" w:val="clear"/>
            <w:vAlign w:val="center"/>
          </w:tcPr>
          <w:p>
            <w:pPr>
              <w:pStyle w:val="TableContents"/>
              <w:spacing w:before="0" w:after="0"/>
              <w:jc w:val="left"/>
              <w:rPr>
                <w:rFonts w:ascii="ARIAL" w:hAnsi="ARIAL"/>
                <w:sz w:val="20"/>
              </w:rPr>
            </w:pPr>
            <w:r>
              <w:rPr>
                <w:rFonts w:ascii="ARIAL" w:hAnsi="ARIAL"/>
                <w:sz w:val="20"/>
              </w:rPr>
              <w:t xml:space="preserve">1.165% of the participant’s final average eligible pay up to social security covered compensation, multiplied by the participant’s credited years of service up to 35 years;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283"/>
              <w:jc w:val="left"/>
              <w:rPr/>
            </w:pPr>
            <w:r>
              <w:rPr/>
              <w:t>(B)</w:t>
            </w:r>
          </w:p>
        </w:tc>
        <w:tc>
          <w:tcPr>
            <w:tcW w:w="9885" w:type="dxa"/>
            <w:tcBorders/>
            <w:shd w:fill="auto" w:val="clear"/>
            <w:vAlign w:val="center"/>
          </w:tcPr>
          <w:p>
            <w:pPr>
              <w:pStyle w:val="TableContents"/>
              <w:spacing w:before="0" w:after="0"/>
              <w:jc w:val="left"/>
              <w:rPr>
                <w:rFonts w:ascii="ARIAL" w:hAnsi="ARIAL"/>
                <w:sz w:val="20"/>
              </w:rPr>
            </w:pPr>
            <w:r>
              <w:rPr>
                <w:rFonts w:ascii="ARIAL" w:hAnsi="ARIAL"/>
                <w:sz w:val="20"/>
              </w:rPr>
              <w:t xml:space="preserve">1.50% of the participant’s final average eligible pay in excess of social security covered compensation, multiplied by the participant’s credited years of service up to 35 years;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39"/>
        <w:gridCol w:w="9866"/>
      </w:tblGrid>
      <w:tr>
        <w:trPr/>
        <w:tc>
          <w:tcPr>
            <w:tcW w:w="339" w:type="dxa"/>
            <w:tcBorders/>
            <w:shd w:fill="auto" w:val="clear"/>
            <w:vAlign w:val="center"/>
          </w:tcPr>
          <w:p>
            <w:pPr>
              <w:pStyle w:val="TableContents"/>
              <w:spacing w:before="0" w:after="283"/>
              <w:jc w:val="left"/>
              <w:rPr/>
            </w:pPr>
            <w:r>
              <w:rPr/>
              <w:t>(C)</w:t>
            </w:r>
          </w:p>
        </w:tc>
        <w:tc>
          <w:tcPr>
            <w:tcW w:w="9866" w:type="dxa"/>
            <w:tcBorders/>
            <w:shd w:fill="auto" w:val="clear"/>
            <w:vAlign w:val="center"/>
          </w:tcPr>
          <w:p>
            <w:pPr>
              <w:pStyle w:val="TableContents"/>
              <w:spacing w:before="0" w:after="0"/>
              <w:jc w:val="left"/>
              <w:rPr>
                <w:rFonts w:ascii="ARIAL" w:hAnsi="ARIAL"/>
                <w:sz w:val="20"/>
              </w:rPr>
            </w:pPr>
            <w:r>
              <w:rPr>
                <w:rFonts w:ascii="ARIAL" w:hAnsi="ARIAL"/>
                <w:sz w:val="20"/>
              </w:rPr>
              <w:t xml:space="preserve">1.50% of the participant’s final average eligible pay multiplied by the participant’s credited years of service in excess of 35 years. </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76</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29"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13" descr=""/>
                          <pic:cNvPicPr>
                            <a:picLocks noChangeAspect="1" noChangeArrowheads="1"/>
                          </pic:cNvPicPr>
                        </pic:nvPicPr>
                        <pic:blipFill>
                          <a:blip r:embed="rId21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RETIREMENT AND OTHER BENEFITS  ◆  </w:t>
      </w:r>
      <w:r>
        <w:rPr>
          <w:rFonts w:ascii="ARIAL" w:hAnsi="ARIAL"/>
          <w:color w:val="007CBA"/>
          <w:sz w:val="16"/>
        </w:rPr>
        <w:t>EXECUTIVE COMPENSATION</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b/>
          <w:sz w:val="20"/>
        </w:rPr>
        <w:t>Supplemental Excess Retirement Plan (SERP).</w:t>
      </w:r>
      <w:r>
        <w:rPr>
          <w:rFonts w:ascii="ARIAL" w:hAnsi="ARIAL"/>
          <w:sz w:val="20"/>
        </w:rPr>
        <w:t xml:space="preserve"> We also have a non-qualified restoration plan that covers any employee in the defined benefit pension plan, including the named executive officers, who are highly compensated and whose qualified plan benefit is reduced by Internal Revenue Code benefit or pay limits in Sections 415(b) and 401(a)(17). The plan is based on the same formula as the qualified Pension Plan described above. Benefits under our nonqualified plan are paid from our general assets. </w:t>
      </w:r>
    </w:p>
    <w:p>
      <w:pPr>
        <w:pStyle w:val="TextBody"/>
        <w:spacing w:before="240" w:after="0"/>
        <w:jc w:val="left"/>
        <w:rPr>
          <w:rFonts w:ascii="ARIAL" w:hAnsi="ARIAL"/>
          <w:sz w:val="20"/>
        </w:rPr>
      </w:pPr>
      <w:r>
        <w:rPr>
          <w:rFonts w:ascii="ARIAL" w:hAnsi="ARIAL"/>
          <w:b/>
          <w:sz w:val="20"/>
        </w:rPr>
        <w:t>Savings and Investment Plan.</w:t>
      </w:r>
      <w:r>
        <w:rPr>
          <w:rFonts w:ascii="ARIAL" w:hAnsi="ARIAL"/>
          <w:sz w:val="20"/>
        </w:rPr>
        <w:t xml:space="preserve"> The Savings and Investment Plan is a tax-qualified defined contribution retirement savings plan pursuant to which all employees in the United States, including the named executive officers, are eligible to contribute up to 25% of pay or the limit prescribed by the Internal Revenue Service on a ROTH individual retirement account on a before-tax basis and up to an additional 17% of pay on an after-tax basis not to exceed a total of 25% of pay. We match 100% of the first 1% of pay and 50% of the next 5% of pay that is contributed by employees to the Savings and Investment Plan up to Internal Revenue Service limitations. All contributions as well as any matching contributions are fully vested upon contribution. Prior to 2015, the Company sponsored two defined contribution savings plans, the Performance Sharing Plan for salaried employees and the Savings and Investment Plan for hourly employees generally. The two plans were merged in 2014. </w:t>
      </w:r>
    </w:p>
    <w:p>
      <w:pPr>
        <w:pStyle w:val="TextBody"/>
        <w:spacing w:before="240" w:after="0"/>
        <w:jc w:val="left"/>
        <w:rPr>
          <w:rFonts w:ascii="ARIAL" w:hAnsi="ARIAL"/>
          <w:sz w:val="20"/>
        </w:rPr>
      </w:pPr>
      <w:r>
        <w:rPr>
          <w:rFonts w:ascii="ARIAL" w:hAnsi="ARIAL"/>
          <w:b/>
          <w:sz w:val="20"/>
        </w:rPr>
        <w:t>Retiree Medical.</w:t>
      </w:r>
      <w:r>
        <w:rPr>
          <w:rFonts w:ascii="ARIAL" w:hAnsi="ARIAL"/>
          <w:sz w:val="20"/>
        </w:rPr>
        <w:t xml:space="preserve"> Eligible salaried employees who commenced employment with Martin Marietta prior to December 1, 1999 and who retire with at least 5 years of service are currently eligible for retiree medical benefits until age 65 and then will receive a one-time payment of $1,000 upon reaching age 65 (or upon retirement, if after reaching age 65). Eligible salaried employees who commenced employment with Martin Marietta between December 1, 1999 and December 31, 2001 and who retire with at least 15 years of service are currently eligible for retiree medical benefits until age 65. Eligible employees share the cost of retiree medical based on their years of service and a predetermined cap on total payments by Martin Marietta. Employees who commenced employment with Martin Marietta on or after January 1, 2002 are not eligible for retiree medical benefits. Mr. Nye, Mr. Nickolas, Mr. LaTorre and Mr. Mohr are not eligible for retiree medical benefits as each commenced employment with Martin Marietta after 2002. </w:t>
      </w:r>
    </w:p>
    <w:p>
      <w:pPr>
        <w:pStyle w:val="TextBody"/>
        <w:spacing w:before="240" w:after="0"/>
        <w:jc w:val="left"/>
        <w:rPr>
          <w:rFonts w:ascii="ARIAL" w:hAnsi="ARIAL"/>
          <w:sz w:val="20"/>
        </w:rPr>
      </w:pPr>
      <w:r>
        <w:rPr>
          <w:rFonts w:ascii="ARIAL" w:hAnsi="ARIAL"/>
          <w:b/>
          <w:sz w:val="20"/>
        </w:rPr>
        <w:t>Medical Insurance.</w:t>
      </w:r>
      <w:r>
        <w:rPr>
          <w:rFonts w:ascii="ARIAL" w:hAnsi="ARIAL"/>
          <w:sz w:val="20"/>
        </w:rPr>
        <w:t xml:space="preserve"> Martin Marietta provides an opportunity to all of its salaried employees in the United States and the employees’ immediate family members to select health, dental and vision insurance coverage. Martin Marietta pays a portion of the premiums for this insurance for all employees. All employees in the United States, including the named executive officers, pay a portion of the premiums depending on the coverage they choose. </w:t>
      </w:r>
    </w:p>
    <w:p>
      <w:pPr>
        <w:pStyle w:val="TextBody"/>
        <w:spacing w:before="240" w:after="0"/>
        <w:jc w:val="left"/>
        <w:rPr>
          <w:rFonts w:ascii="ARIAL" w:hAnsi="ARIAL"/>
          <w:sz w:val="20"/>
        </w:rPr>
      </w:pPr>
      <w:r>
        <w:rPr>
          <w:rFonts w:ascii="ARIAL" w:hAnsi="ARIAL"/>
          <w:b/>
          <w:sz w:val="20"/>
        </w:rPr>
        <w:t>Life and Disability Insurance.</w:t>
      </w:r>
      <w:r>
        <w:rPr>
          <w:rFonts w:ascii="ARIAL" w:hAnsi="ARIAL"/>
          <w:sz w:val="20"/>
        </w:rPr>
        <w:t xml:space="preserve"> Martin Marietta provides to all of its salaried employees in the United States, including the named executive officers, long-term disability and life insurance that provides up to 1.5 times base salary at no cost to the employee. All of our employees in the United States, including the named executive officers, can choose additional coverage and pay a portion of the premiums depending on the coverage they choose. In addition, Martin Marietta pays an amount equal to one year of base salary in the event of death of any active salaried employee. </w:t>
      </w:r>
    </w:p>
    <w:p>
      <w:pPr>
        <w:pStyle w:val="TextBody"/>
        <w:spacing w:before="240" w:after="0"/>
        <w:jc w:val="left"/>
        <w:rPr>
          <w:rFonts w:ascii="ARIAL" w:hAnsi="ARIAL"/>
          <w:sz w:val="20"/>
        </w:rPr>
      </w:pPr>
      <w:r>
        <w:rPr>
          <w:rFonts w:ascii="ARIAL" w:hAnsi="ARIAL"/>
          <w:b/>
          <w:sz w:val="20"/>
        </w:rPr>
        <w:t>Housing Allowance and Relocation Costs.</w:t>
      </w:r>
      <w:r>
        <w:rPr>
          <w:rFonts w:ascii="ARIAL" w:hAnsi="ARIAL"/>
          <w:sz w:val="20"/>
        </w:rPr>
        <w:t xml:space="preserve"> Martin Marietta provides relocation benefits, including a housing allowance, to certain employees upon their employment with Martin Marietta or in conjunction with a job relocation or promotion.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30"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14" descr=""/>
                          <pic:cNvPicPr>
                            <a:picLocks noChangeAspect="1" noChangeArrowheads="1"/>
                          </pic:cNvPicPr>
                        </pic:nvPicPr>
                        <pic:blipFill>
                          <a:blip r:embed="rId21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77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EXECUTIVE COMPENSATION  ◆</w:t>
      </w:r>
      <w:r>
        <w:rPr>
          <w:rFonts w:ascii="ARIAL" w:hAnsi="ARIAL"/>
          <w:sz w:val="16"/>
        </w:rPr>
        <w:t xml:space="preserve">  PENSION BENEFITS </w:t>
      </w:r>
    </w:p>
    <w:p>
      <w:pPr>
        <w:pStyle w:val="TextBody"/>
        <w:spacing w:before="0" w:after="0"/>
        <w:jc w:val="left"/>
        <w:rPr/>
      </w:pPr>
      <w:r>
        <w:rPr/>
        <w:t> </w:t>
      </w:r>
    </w:p>
    <w:p>
      <w:pPr>
        <w:pStyle w:val="TextBody"/>
        <w:spacing w:before="0" w:after="0"/>
        <w:jc w:val="left"/>
        <w:rPr>
          <w:rFonts w:ascii="ARIAL" w:hAnsi="ARIAL"/>
          <w:b/>
          <w:color w:val="71BE9A"/>
          <w:sz w:val="26"/>
        </w:rPr>
      </w:pPr>
      <w:bookmarkStart w:id="72" w:name="toc390557_65"/>
      <w:bookmarkEnd w:id="72"/>
      <w:r>
        <w:rPr>
          <w:rFonts w:ascii="ARIAL" w:hAnsi="ARIAL"/>
          <w:b/>
          <w:color w:val="71BE9A"/>
          <w:sz w:val="26"/>
        </w:rPr>
        <w:t xml:space="preserve">Pension Benefits </w:t>
      </w:r>
    </w:p>
    <w:p>
      <w:pPr>
        <w:pStyle w:val="TextBody"/>
        <w:spacing w:before="120" w:after="0"/>
        <w:jc w:val="left"/>
        <w:rPr>
          <w:rFonts w:ascii="ARIAL" w:hAnsi="ARIAL"/>
          <w:sz w:val="20"/>
        </w:rPr>
      </w:pPr>
      <w:r>
        <w:rPr>
          <w:rFonts w:ascii="ARIAL" w:hAnsi="ARIAL"/>
          <w:sz w:val="20"/>
        </w:rPr>
        <w:t xml:space="preserve">The table below shows the present value of accumulated benefits payable to each of the named executive officers, including the number of years of service credited to each such named executive officer, under our Pension Plan and SERP, determined using interest rate and mortality rate assumptions consistent with those used in Martin Marietta’s financial statements. </w:t>
      </w:r>
    </w:p>
    <w:p>
      <w:pPr>
        <w:pStyle w:val="TextBody"/>
        <w:spacing w:before="240" w:after="0"/>
        <w:jc w:val="center"/>
        <w:rPr>
          <w:rFonts w:ascii="ARIAL" w:hAnsi="ARIAL"/>
          <w:b/>
          <w:sz w:val="20"/>
        </w:rPr>
      </w:pPr>
      <w:r>
        <w:rPr>
          <w:rFonts w:ascii="ARIAL" w:hAnsi="ARIAL"/>
          <w:b/>
          <w:sz w:val="20"/>
        </w:rPr>
        <w:t xml:space="preserve">Pension Benefits Table </w:t>
      </w:r>
    </w:p>
    <w:p>
      <w:pPr>
        <w:pStyle w:val="TextBody"/>
        <w:spacing w:before="0" w:after="0"/>
        <w:jc w:val="left"/>
        <w:rPr/>
      </w:pPr>
      <w:r>
        <w:rPr/>
        <w:t> </w:t>
      </w:r>
    </w:p>
    <w:tbl>
      <w:tblPr>
        <w:tblW w:w="8124" w:type="dxa"/>
        <w:jc w:val="left"/>
        <w:tblInd w:w="0" w:type="dxa"/>
        <w:tblCellMar>
          <w:top w:w="0" w:type="dxa"/>
          <w:left w:w="0" w:type="dxa"/>
          <w:bottom w:w="0" w:type="dxa"/>
          <w:right w:w="0" w:type="dxa"/>
        </w:tblCellMar>
      </w:tblPr>
      <w:tblGrid>
        <w:gridCol w:w="1655"/>
        <w:gridCol w:w="120"/>
        <w:gridCol w:w="1250"/>
        <w:gridCol w:w="120"/>
        <w:gridCol w:w="86"/>
        <w:gridCol w:w="1494"/>
        <w:gridCol w:w="60"/>
        <w:gridCol w:w="120"/>
        <w:gridCol w:w="62"/>
        <w:gridCol w:w="1638"/>
        <w:gridCol w:w="60"/>
        <w:gridCol w:w="120"/>
        <w:gridCol w:w="379"/>
        <w:gridCol w:w="885"/>
        <w:gridCol w:w="75"/>
      </w:tblGrid>
      <w:tr>
        <w:trPr/>
        <w:tc>
          <w:tcPr>
            <w:tcW w:w="16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DBDBDB" w:val="clear"/>
            <w:vAlign w:val="center"/>
          </w:tcPr>
          <w:p>
            <w:pPr>
              <w:pStyle w:val="TableContents"/>
              <w:spacing w:before="0" w:after="283"/>
              <w:rPr>
                <w:sz w:val="4"/>
                <w:szCs w:val="4"/>
              </w:rPr>
            </w:pPr>
            <w:r>
              <w:rPr>
                <w:sz w:val="4"/>
                <w:szCs w:val="4"/>
              </w:rPr>
            </w:r>
          </w:p>
        </w:tc>
        <w:tc>
          <w:tcPr>
            <w:tcW w:w="1370" w:type="dxa"/>
            <w:gridSpan w:val="2"/>
            <w:tcBorders/>
            <w:shd w:fill="DBDBDB" w:val="clear"/>
            <w:vAlign w:val="center"/>
          </w:tcPr>
          <w:p>
            <w:pPr>
              <w:pStyle w:val="TableContents"/>
              <w:spacing w:before="0" w:after="283"/>
              <w:rPr>
                <w:sz w:val="4"/>
                <w:szCs w:val="4"/>
              </w:rPr>
            </w:pPr>
            <w:r>
              <w:rPr>
                <w:sz w:val="4"/>
                <w:szCs w:val="4"/>
              </w:rPr>
            </w:r>
          </w:p>
        </w:tc>
        <w:tc>
          <w:tcPr>
            <w:tcW w:w="1760" w:type="dxa"/>
            <w:gridSpan w:val="4"/>
            <w:tcBorders/>
            <w:shd w:fill="DBDBDB" w:val="clear"/>
            <w:vAlign w:val="center"/>
          </w:tcPr>
          <w:p>
            <w:pPr>
              <w:pStyle w:val="TableContents"/>
              <w:spacing w:before="0" w:after="283"/>
              <w:rPr>
                <w:sz w:val="4"/>
                <w:szCs w:val="4"/>
              </w:rPr>
            </w:pPr>
            <w:r>
              <w:rPr>
                <w:sz w:val="4"/>
                <w:szCs w:val="4"/>
              </w:rPr>
            </w:r>
          </w:p>
        </w:tc>
        <w:tc>
          <w:tcPr>
            <w:tcW w:w="1880" w:type="dxa"/>
            <w:gridSpan w:val="4"/>
            <w:tcBorders/>
            <w:shd w:fill="DBDBDB" w:val="clear"/>
            <w:vAlign w:val="center"/>
          </w:tcPr>
          <w:p>
            <w:pPr>
              <w:pStyle w:val="TableContents"/>
              <w:spacing w:before="0" w:after="283"/>
              <w:rPr>
                <w:sz w:val="4"/>
                <w:szCs w:val="4"/>
              </w:rPr>
            </w:pPr>
            <w:r>
              <w:rPr>
                <w:sz w:val="4"/>
                <w:szCs w:val="4"/>
              </w:rPr>
            </w:r>
          </w:p>
        </w:tc>
        <w:tc>
          <w:tcPr>
            <w:tcW w:w="1459" w:type="dxa"/>
            <w:gridSpan w:val="4"/>
            <w:tcBorders/>
            <w:shd w:fill="DBDBDB" w:val="clear"/>
            <w:vAlign w:val="center"/>
          </w:tcPr>
          <w:p>
            <w:pPr>
              <w:pStyle w:val="TableContents"/>
              <w:spacing w:before="0" w:after="283"/>
              <w:rPr>
                <w:sz w:val="4"/>
                <w:szCs w:val="4"/>
              </w:rPr>
            </w:pPr>
            <w:r>
              <w:rPr>
                <w:sz w:val="4"/>
                <w:szCs w:val="4"/>
              </w:rPr>
            </w:r>
          </w:p>
        </w:tc>
      </w:tr>
      <w:tr>
        <w:trPr/>
        <w:tc>
          <w:tcPr>
            <w:tcW w:w="1655" w:type="dxa"/>
            <w:tcBorders/>
            <w:shd w:fill="DBDBDB" w:val="clear"/>
            <w:vAlign w:val="center"/>
          </w:tcPr>
          <w:p>
            <w:pPr>
              <w:pStyle w:val="TableContents"/>
              <w:spacing w:before="0" w:after="0"/>
              <w:rPr>
                <w:rFonts w:ascii="ARIAL" w:hAnsi="ARIAL"/>
                <w:b/>
                <w:sz w:val="16"/>
              </w:rPr>
            </w:pPr>
            <w:r>
              <w:rPr>
                <w:rFonts w:ascii="ARIAL" w:hAnsi="ARIAL"/>
                <w:b/>
                <w:sz w:val="16"/>
              </w:rPr>
              <w:t>Name</w:t>
            </w:r>
          </w:p>
        </w:tc>
        <w:tc>
          <w:tcPr>
            <w:tcW w:w="120" w:type="dxa"/>
            <w:tcBorders/>
            <w:shd w:fill="DBDBDB" w:val="clear"/>
            <w:vAlign w:val="center"/>
          </w:tcPr>
          <w:p>
            <w:pPr>
              <w:pStyle w:val="TableContents"/>
              <w:spacing w:before="0" w:after="283"/>
              <w:rPr/>
            </w:pPr>
            <w:r>
              <w:rPr/>
              <w:t>  </w:t>
            </w:r>
          </w:p>
        </w:tc>
        <w:tc>
          <w:tcPr>
            <w:tcW w:w="1250" w:type="dxa"/>
            <w:tcBorders/>
            <w:shd w:fill="DBDBDB" w:val="clear"/>
            <w:vAlign w:val="center"/>
          </w:tcPr>
          <w:p>
            <w:pPr>
              <w:pStyle w:val="TableContents"/>
              <w:spacing w:before="0" w:after="283"/>
              <w:jc w:val="center"/>
              <w:rPr>
                <w:b/>
              </w:rPr>
            </w:pPr>
            <w:r>
              <w:rPr>
                <w:b/>
              </w:rPr>
              <w:t>Plan Name</w:t>
            </w:r>
          </w:p>
        </w:tc>
        <w:tc>
          <w:tcPr>
            <w:tcW w:w="120" w:type="dxa"/>
            <w:tcBorders/>
            <w:shd w:fill="DBDBDB" w:val="clear"/>
            <w:vAlign w:val="center"/>
          </w:tcPr>
          <w:p>
            <w:pPr>
              <w:pStyle w:val="TableContents"/>
              <w:spacing w:before="0" w:after="283"/>
              <w:rPr/>
            </w:pPr>
            <w:r>
              <w:rPr/>
              <w:t>  </w:t>
            </w:r>
          </w:p>
        </w:tc>
        <w:tc>
          <w:tcPr>
            <w:tcW w:w="1580" w:type="dxa"/>
            <w:gridSpan w:val="2"/>
            <w:tcBorders/>
            <w:shd w:fill="DBDBDB" w:val="clear"/>
            <w:vAlign w:val="center"/>
          </w:tcPr>
          <w:p>
            <w:pPr>
              <w:pStyle w:val="TableContents"/>
              <w:spacing w:before="0" w:after="283"/>
              <w:jc w:val="center"/>
              <w:rPr>
                <w:b/>
              </w:rPr>
            </w:pPr>
            <w:r>
              <w:rPr>
                <w:b/>
              </w:rPr>
              <w:t>Number of</w:t>
              <w:br/>
              <w:t>Years Credited</w:t>
              <w:br/>
              <w:t>Service</w:t>
              <w:br/>
              <w:t>(#)</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700" w:type="dxa"/>
            <w:gridSpan w:val="2"/>
            <w:tcBorders/>
            <w:shd w:fill="DBDBDB" w:val="clear"/>
            <w:vAlign w:val="center"/>
          </w:tcPr>
          <w:p>
            <w:pPr>
              <w:pStyle w:val="TableContents"/>
              <w:spacing w:before="0" w:after="283"/>
              <w:jc w:val="center"/>
              <w:rPr>
                <w:b/>
              </w:rPr>
            </w:pPr>
            <w:r>
              <w:rPr>
                <w:b/>
              </w:rPr>
              <w:t>Present Value of</w:t>
              <w:br/>
              <w:t>Accumulated</w:t>
              <w:br/>
              <w:t>Benefit</w:t>
              <w:br/>
              <w:t>($)1</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264" w:type="dxa"/>
            <w:gridSpan w:val="2"/>
            <w:tcBorders/>
            <w:shd w:fill="DBDBDB" w:val="clear"/>
            <w:vAlign w:val="center"/>
          </w:tcPr>
          <w:p>
            <w:pPr>
              <w:pStyle w:val="TableContents"/>
              <w:spacing w:before="0" w:after="283"/>
              <w:jc w:val="center"/>
              <w:rPr>
                <w:b/>
              </w:rPr>
            </w:pPr>
            <w:r>
              <w:rPr>
                <w:b/>
              </w:rPr>
              <w:t>Payments    </w:t>
              <w:br/>
              <w:t>During Last</w:t>
              <w:br/>
              <w:t>Fiscal Year</w:t>
              <w:br/>
              <w:t>($)</w:t>
            </w:r>
          </w:p>
        </w:tc>
        <w:tc>
          <w:tcPr>
            <w:tcW w:w="75" w:type="dxa"/>
            <w:tcBorders/>
            <w:shd w:fill="DBDBDB" w:val="clear"/>
            <w:vAlign w:val="center"/>
          </w:tcPr>
          <w:p>
            <w:pPr>
              <w:pStyle w:val="TableContents"/>
              <w:spacing w:before="0" w:after="283"/>
              <w:rPr/>
            </w:pPr>
            <w:r>
              <w:rPr/>
              <w:t> </w:t>
            </w:r>
          </w:p>
        </w:tc>
      </w:tr>
      <w:tr>
        <w:trPr/>
        <w:tc>
          <w:tcPr>
            <w:tcW w:w="1655" w:type="dxa"/>
            <w:tcBorders/>
            <w:shd w:fill="DBDBDB" w:val="clear"/>
            <w:vAlign w:val="center"/>
          </w:tcPr>
          <w:p>
            <w:pPr>
              <w:pStyle w:val="TableContents"/>
              <w:spacing w:before="0" w:after="0"/>
              <w:rPr>
                <w:rFonts w:ascii="ARIAL" w:hAnsi="ARIAL"/>
                <w:sz w:val="16"/>
              </w:rPr>
            </w:pPr>
            <w:r>
              <w:rPr>
                <w:rFonts w:ascii="ARIAL" w:hAnsi="ARIAL"/>
                <w:sz w:val="16"/>
              </w:rPr>
              <w:t>(a)</w:t>
            </w:r>
          </w:p>
        </w:tc>
        <w:tc>
          <w:tcPr>
            <w:tcW w:w="120" w:type="dxa"/>
            <w:tcBorders/>
            <w:shd w:fill="DBDBDB" w:val="clear"/>
            <w:vAlign w:val="center"/>
          </w:tcPr>
          <w:p>
            <w:pPr>
              <w:pStyle w:val="TableContents"/>
              <w:spacing w:before="0" w:after="283"/>
              <w:rPr/>
            </w:pPr>
            <w:r>
              <w:rPr/>
              <w:t>  </w:t>
            </w:r>
          </w:p>
        </w:tc>
        <w:tc>
          <w:tcPr>
            <w:tcW w:w="1250" w:type="dxa"/>
            <w:tcBorders/>
            <w:shd w:fill="DBDBDB" w:val="clear"/>
            <w:vAlign w:val="center"/>
          </w:tcPr>
          <w:p>
            <w:pPr>
              <w:pStyle w:val="TableContents"/>
              <w:spacing w:before="0" w:after="283"/>
              <w:jc w:val="center"/>
              <w:rPr/>
            </w:pPr>
            <w:r>
              <w:rPr/>
              <w:t>(b)</w:t>
            </w:r>
          </w:p>
        </w:tc>
        <w:tc>
          <w:tcPr>
            <w:tcW w:w="120" w:type="dxa"/>
            <w:tcBorders/>
            <w:shd w:fill="DBDBDB" w:val="clear"/>
            <w:vAlign w:val="center"/>
          </w:tcPr>
          <w:p>
            <w:pPr>
              <w:pStyle w:val="TableContents"/>
              <w:spacing w:before="0" w:after="283"/>
              <w:rPr/>
            </w:pPr>
            <w:r>
              <w:rPr/>
              <w:t>  </w:t>
            </w:r>
          </w:p>
        </w:tc>
        <w:tc>
          <w:tcPr>
            <w:tcW w:w="1580" w:type="dxa"/>
            <w:gridSpan w:val="2"/>
            <w:tcBorders/>
            <w:shd w:fill="DBDBDB" w:val="clear"/>
            <w:vAlign w:val="center"/>
          </w:tcPr>
          <w:p>
            <w:pPr>
              <w:pStyle w:val="TableContents"/>
              <w:spacing w:before="0" w:after="283"/>
              <w:jc w:val="center"/>
              <w:rPr/>
            </w:pPr>
            <w:r>
              <w:rPr/>
              <w:t>(c)</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700" w:type="dxa"/>
            <w:gridSpan w:val="2"/>
            <w:tcBorders/>
            <w:shd w:fill="DBDBDB" w:val="clear"/>
            <w:vAlign w:val="center"/>
          </w:tcPr>
          <w:p>
            <w:pPr>
              <w:pStyle w:val="TableContents"/>
              <w:spacing w:before="0" w:after="283"/>
              <w:jc w:val="center"/>
              <w:rPr/>
            </w:pPr>
            <w:r>
              <w:rPr/>
              <w:t>(d)</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264" w:type="dxa"/>
            <w:gridSpan w:val="2"/>
            <w:tcBorders/>
            <w:shd w:fill="DBDBDB" w:val="clear"/>
            <w:vAlign w:val="center"/>
          </w:tcPr>
          <w:p>
            <w:pPr>
              <w:pStyle w:val="TableContents"/>
              <w:spacing w:before="0" w:after="283"/>
              <w:jc w:val="center"/>
              <w:rPr/>
            </w:pPr>
            <w:r>
              <w:rPr/>
              <w:t>(e)</w:t>
            </w:r>
          </w:p>
        </w:tc>
        <w:tc>
          <w:tcPr>
            <w:tcW w:w="75" w:type="dxa"/>
            <w:tcBorders/>
            <w:shd w:fill="DBDBDB"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c>
          <w:tcPr>
            <w:tcW w:w="1459" w:type="dxa"/>
            <w:gridSpan w:val="4"/>
            <w:tcBorders/>
            <w:shd w:fill="auto" w:val="clear"/>
            <w:vAlign w:val="center"/>
          </w:tcPr>
          <w:p>
            <w:pPr>
              <w:pStyle w:val="TableContents"/>
              <w:spacing w:before="0" w:after="283"/>
              <w:rPr>
                <w:sz w:val="4"/>
                <w:szCs w:val="4"/>
              </w:rPr>
            </w:pPr>
            <w:r>
              <w:rPr>
                <w:sz w:val="4"/>
                <w:szCs w:val="4"/>
              </w:rPr>
            </w:r>
          </w:p>
        </w:tc>
      </w:tr>
      <w:tr>
        <w:trPr/>
        <w:tc>
          <w:tcPr>
            <w:tcW w:w="1655" w:type="dxa"/>
            <w:vMerge w:val="restart"/>
            <w:tcBorders>
              <w:bottom w:val="dotted" w:sz="8" w:space="0" w:color="000000"/>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C. Howard Nye</w:t>
            </w:r>
          </w:p>
        </w:tc>
        <w:tc>
          <w:tcPr>
            <w:tcW w:w="12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rPr/>
            </w:pPr>
            <w:r>
              <w:rPr/>
              <w:t>Pension Plan</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1494" w:type="dxa"/>
            <w:tcBorders/>
            <w:shd w:fill="auto" w:val="clear"/>
            <w:vAlign w:val="center"/>
          </w:tcPr>
          <w:p>
            <w:pPr>
              <w:pStyle w:val="TableContents"/>
              <w:spacing w:before="0" w:after="283"/>
              <w:jc w:val="right"/>
              <w:rPr/>
            </w:pPr>
            <w:r>
              <w:rPr/>
              <w:t>16.417      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638" w:type="dxa"/>
            <w:tcBorders/>
            <w:shd w:fill="auto" w:val="clear"/>
            <w:vAlign w:val="center"/>
          </w:tcPr>
          <w:p>
            <w:pPr>
              <w:pStyle w:val="TableContents"/>
              <w:spacing w:before="0" w:after="283"/>
              <w:jc w:val="right"/>
              <w:rPr/>
            </w:pPr>
            <w:r>
              <w:rPr/>
              <w:t>  </w:t>
            </w:r>
            <w:r>
              <w:rPr/>
              <w:t>704,437      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55" w:type="dxa"/>
            <w:vMerge w:val="continue"/>
            <w:tcBorders>
              <w:bottom w:val="dotted" w:sz="8" w:space="0" w:color="000000"/>
            </w:tcBorders>
            <w:shd w:fill="auto" w:val="clear"/>
            <w:tcMar>
              <w:bottom w:w="28" w:type="dxa"/>
            </w:tcMar>
            <w:vAlign w:val="center"/>
          </w:tcPr>
          <w:p>
            <w:pPr>
              <w:pStyle w:val="Normal"/>
              <w:rPr/>
            </w:pPr>
            <w:r>
              <w:rPr/>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250" w:type="dxa"/>
            <w:tcBorders>
              <w:bottom w:val="dotted" w:sz="8" w:space="0" w:color="000000"/>
            </w:tcBorders>
            <w:shd w:fill="auto" w:val="clear"/>
            <w:tcMar>
              <w:bottom w:w="80" w:type="dxa"/>
            </w:tcMar>
            <w:vAlign w:val="center"/>
          </w:tcPr>
          <w:p>
            <w:pPr>
              <w:pStyle w:val="TableContents"/>
              <w:spacing w:before="0" w:after="283"/>
              <w:rPr/>
            </w:pPr>
            <w:r>
              <w:rPr/>
              <w:t>SERP</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86" w:type="dxa"/>
            <w:tcBorders>
              <w:bottom w:val="dotted" w:sz="8" w:space="0" w:color="000000"/>
            </w:tcBorders>
            <w:shd w:fill="auto" w:val="clear"/>
            <w:tcMar>
              <w:bottom w:w="80" w:type="dxa"/>
            </w:tcMar>
            <w:vAlign w:val="center"/>
          </w:tcPr>
          <w:p>
            <w:pPr>
              <w:pStyle w:val="TableContents"/>
              <w:spacing w:before="0" w:after="283"/>
              <w:rPr/>
            </w:pPr>
            <w:r>
              <w:rPr/>
              <w:t> </w:t>
            </w:r>
          </w:p>
        </w:tc>
        <w:tc>
          <w:tcPr>
            <w:tcW w:w="1494" w:type="dxa"/>
            <w:tcBorders>
              <w:bottom w:val="dotted" w:sz="8" w:space="0" w:color="000000"/>
            </w:tcBorders>
            <w:shd w:fill="auto" w:val="clear"/>
            <w:tcMar>
              <w:bottom w:w="80" w:type="dxa"/>
            </w:tcMar>
            <w:vAlign w:val="center"/>
          </w:tcPr>
          <w:p>
            <w:pPr>
              <w:pStyle w:val="TableContents"/>
              <w:spacing w:before="0" w:after="283"/>
              <w:jc w:val="right"/>
              <w:rPr/>
            </w:pPr>
            <w:r>
              <w:rPr/>
              <w:t>16.417      </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2" w:type="dxa"/>
            <w:tcBorders>
              <w:bottom w:val="dotted" w:sz="8" w:space="0" w:color="000000"/>
            </w:tcBorders>
            <w:shd w:fill="auto" w:val="clear"/>
            <w:tcMar>
              <w:bottom w:w="80" w:type="dxa"/>
            </w:tcMar>
            <w:vAlign w:val="center"/>
          </w:tcPr>
          <w:p>
            <w:pPr>
              <w:pStyle w:val="TableContents"/>
              <w:spacing w:before="0" w:after="283"/>
              <w:rPr/>
            </w:pPr>
            <w:r>
              <w:rPr/>
              <w:t> </w:t>
            </w:r>
          </w:p>
        </w:tc>
        <w:tc>
          <w:tcPr>
            <w:tcW w:w="1638" w:type="dxa"/>
            <w:tcBorders>
              <w:bottom w:val="dotted" w:sz="8" w:space="0" w:color="000000"/>
            </w:tcBorders>
            <w:shd w:fill="auto" w:val="clear"/>
            <w:tcMar>
              <w:bottom w:w="80" w:type="dxa"/>
            </w:tcMar>
            <w:vAlign w:val="center"/>
          </w:tcPr>
          <w:p>
            <w:pPr>
              <w:pStyle w:val="TableContents"/>
              <w:spacing w:before="0" w:after="283"/>
              <w:jc w:val="right"/>
              <w:rPr/>
            </w:pPr>
            <w:r>
              <w:rPr/>
              <w:t>  </w:t>
            </w:r>
            <w:r>
              <w:rPr/>
              <w:t>15,497,125      </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379" w:type="dxa"/>
            <w:tcBorders>
              <w:bottom w:val="dotted" w:sz="8" w:space="0" w:color="000000"/>
            </w:tcBorders>
            <w:shd w:fill="auto" w:val="clear"/>
            <w:tcMar>
              <w:bottom w:w="80" w:type="dxa"/>
            </w:tcMar>
            <w:vAlign w:val="center"/>
          </w:tcPr>
          <w:p>
            <w:pPr>
              <w:pStyle w:val="TableContents"/>
              <w:spacing w:before="0" w:after="283"/>
              <w:rPr/>
            </w:pPr>
            <w:r>
              <w:rPr/>
              <w:t> </w:t>
            </w:r>
          </w:p>
        </w:tc>
        <w:tc>
          <w:tcPr>
            <w:tcW w:w="885" w:type="dxa"/>
            <w:tcBorders>
              <w:bottom w:val="dotted" w:sz="8" w:space="0" w:color="000000"/>
            </w:tcBorders>
            <w:shd w:fill="auto" w:val="clear"/>
            <w:tcMar>
              <w:bottom w:w="80" w:type="dxa"/>
            </w:tcMar>
            <w:vAlign w:val="center"/>
          </w:tcPr>
          <w:p>
            <w:pPr>
              <w:pStyle w:val="TableContents"/>
              <w:spacing w:before="0" w:after="283"/>
              <w:jc w:val="right"/>
              <w:rPr/>
            </w:pPr>
            <w:r>
              <w:rPr/>
              <w:t>–</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c>
          <w:tcPr>
            <w:tcW w:w="1459" w:type="dxa"/>
            <w:gridSpan w:val="4"/>
            <w:tcBorders/>
            <w:shd w:fill="auto" w:val="clear"/>
            <w:vAlign w:val="center"/>
          </w:tcPr>
          <w:p>
            <w:pPr>
              <w:pStyle w:val="TableContents"/>
              <w:spacing w:before="0" w:after="283"/>
              <w:rPr>
                <w:sz w:val="4"/>
                <w:szCs w:val="4"/>
              </w:rPr>
            </w:pPr>
            <w:r>
              <w:rPr>
                <w:sz w:val="4"/>
                <w:szCs w:val="4"/>
              </w:rPr>
            </w:r>
          </w:p>
        </w:tc>
      </w:tr>
      <w:tr>
        <w:trPr/>
        <w:tc>
          <w:tcPr>
            <w:tcW w:w="1655"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James A. J. Nickolas</w:t>
            </w:r>
          </w:p>
        </w:tc>
        <w:tc>
          <w:tcPr>
            <w:tcW w:w="12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rPr/>
            </w:pPr>
            <w:r>
              <w:rPr/>
              <w:t>Pension Plan</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1494" w:type="dxa"/>
            <w:tcBorders/>
            <w:shd w:fill="auto" w:val="clear"/>
            <w:vAlign w:val="center"/>
          </w:tcPr>
          <w:p>
            <w:pPr>
              <w:pStyle w:val="TableContents"/>
              <w:spacing w:before="0" w:after="283"/>
              <w:jc w:val="right"/>
              <w:rPr/>
            </w:pPr>
            <w:r>
              <w:rPr/>
              <w:t>5.417      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638" w:type="dxa"/>
            <w:tcBorders/>
            <w:shd w:fill="auto" w:val="clear"/>
            <w:vAlign w:val="center"/>
          </w:tcPr>
          <w:p>
            <w:pPr>
              <w:pStyle w:val="TableContents"/>
              <w:spacing w:before="0" w:after="283"/>
              <w:jc w:val="right"/>
              <w:rPr/>
            </w:pPr>
            <w:r>
              <w:rPr/>
              <w:t>  </w:t>
            </w:r>
            <w:r>
              <w:rPr/>
              <w:t>145,799      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55" w:type="dxa"/>
            <w:vMerge w:val="continue"/>
            <w:tcBorders>
              <w:bottom w:val="dotted" w:sz="8" w:space="0" w:color="000000"/>
            </w:tcBorders>
            <w:shd w:fill="auto" w:val="clear"/>
            <w:tcMar>
              <w:bottom w:w="80" w:type="dxa"/>
            </w:tcMar>
            <w:vAlign w:val="center"/>
          </w:tcPr>
          <w:p>
            <w:pPr>
              <w:pStyle w:val="Normal"/>
              <w:rPr/>
            </w:pPr>
            <w:r>
              <w:rPr/>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250" w:type="dxa"/>
            <w:tcBorders>
              <w:bottom w:val="dotted" w:sz="8" w:space="0" w:color="000000"/>
            </w:tcBorders>
            <w:shd w:fill="auto" w:val="clear"/>
            <w:tcMar>
              <w:bottom w:w="80" w:type="dxa"/>
            </w:tcMar>
            <w:vAlign w:val="center"/>
          </w:tcPr>
          <w:p>
            <w:pPr>
              <w:pStyle w:val="TableContents"/>
              <w:spacing w:before="0" w:after="283"/>
              <w:rPr/>
            </w:pPr>
            <w:r>
              <w:rPr/>
              <w:t>SERP</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86" w:type="dxa"/>
            <w:tcBorders>
              <w:bottom w:val="dotted" w:sz="8" w:space="0" w:color="000000"/>
            </w:tcBorders>
            <w:shd w:fill="auto" w:val="clear"/>
            <w:tcMar>
              <w:bottom w:w="80" w:type="dxa"/>
            </w:tcMar>
            <w:vAlign w:val="center"/>
          </w:tcPr>
          <w:p>
            <w:pPr>
              <w:pStyle w:val="TableContents"/>
              <w:spacing w:before="0" w:after="283"/>
              <w:rPr/>
            </w:pPr>
            <w:r>
              <w:rPr/>
              <w:t> </w:t>
            </w:r>
          </w:p>
        </w:tc>
        <w:tc>
          <w:tcPr>
            <w:tcW w:w="1494" w:type="dxa"/>
            <w:tcBorders>
              <w:bottom w:val="dotted" w:sz="8" w:space="0" w:color="000000"/>
            </w:tcBorders>
            <w:shd w:fill="auto" w:val="clear"/>
            <w:tcMar>
              <w:bottom w:w="80" w:type="dxa"/>
            </w:tcMar>
            <w:vAlign w:val="center"/>
          </w:tcPr>
          <w:p>
            <w:pPr>
              <w:pStyle w:val="TableContents"/>
              <w:spacing w:before="0" w:after="283"/>
              <w:jc w:val="right"/>
              <w:rPr/>
            </w:pPr>
            <w:r>
              <w:rPr/>
              <w:t>5.417      </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2" w:type="dxa"/>
            <w:tcBorders>
              <w:bottom w:val="dotted" w:sz="8" w:space="0" w:color="000000"/>
            </w:tcBorders>
            <w:shd w:fill="auto" w:val="clear"/>
            <w:tcMar>
              <w:bottom w:w="80" w:type="dxa"/>
            </w:tcMar>
            <w:vAlign w:val="center"/>
          </w:tcPr>
          <w:p>
            <w:pPr>
              <w:pStyle w:val="TableContents"/>
              <w:spacing w:before="0" w:after="283"/>
              <w:rPr/>
            </w:pPr>
            <w:r>
              <w:rPr/>
              <w:t> </w:t>
            </w:r>
          </w:p>
        </w:tc>
        <w:tc>
          <w:tcPr>
            <w:tcW w:w="1638" w:type="dxa"/>
            <w:tcBorders>
              <w:bottom w:val="dotted" w:sz="8" w:space="0" w:color="000000"/>
            </w:tcBorders>
            <w:shd w:fill="auto" w:val="clear"/>
            <w:tcMar>
              <w:bottom w:w="80" w:type="dxa"/>
            </w:tcMar>
            <w:vAlign w:val="center"/>
          </w:tcPr>
          <w:p>
            <w:pPr>
              <w:pStyle w:val="TableContents"/>
              <w:spacing w:before="0" w:after="283"/>
              <w:jc w:val="right"/>
              <w:rPr/>
            </w:pPr>
            <w:r>
              <w:rPr/>
              <w:t>  </w:t>
            </w:r>
            <w:r>
              <w:rPr/>
              <w:t>735,685      </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379" w:type="dxa"/>
            <w:tcBorders>
              <w:bottom w:val="dotted" w:sz="8" w:space="0" w:color="000000"/>
            </w:tcBorders>
            <w:shd w:fill="auto" w:val="clear"/>
            <w:tcMar>
              <w:bottom w:w="80" w:type="dxa"/>
            </w:tcMar>
            <w:vAlign w:val="center"/>
          </w:tcPr>
          <w:p>
            <w:pPr>
              <w:pStyle w:val="TableContents"/>
              <w:spacing w:before="0" w:after="283"/>
              <w:rPr/>
            </w:pPr>
            <w:r>
              <w:rPr/>
              <w:t> </w:t>
            </w:r>
          </w:p>
        </w:tc>
        <w:tc>
          <w:tcPr>
            <w:tcW w:w="885" w:type="dxa"/>
            <w:tcBorders>
              <w:bottom w:val="dotted" w:sz="8" w:space="0" w:color="000000"/>
            </w:tcBorders>
            <w:shd w:fill="auto" w:val="clear"/>
            <w:tcMar>
              <w:bottom w:w="80" w:type="dxa"/>
            </w:tcMar>
            <w:vAlign w:val="center"/>
          </w:tcPr>
          <w:p>
            <w:pPr>
              <w:pStyle w:val="TableContents"/>
              <w:spacing w:before="0" w:after="283"/>
              <w:jc w:val="right"/>
              <w:rPr/>
            </w:pPr>
            <w:r>
              <w:rPr/>
              <w:t>–</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c>
          <w:tcPr>
            <w:tcW w:w="1459" w:type="dxa"/>
            <w:gridSpan w:val="4"/>
            <w:tcBorders/>
            <w:shd w:fill="auto" w:val="clear"/>
            <w:vAlign w:val="center"/>
          </w:tcPr>
          <w:p>
            <w:pPr>
              <w:pStyle w:val="TableContents"/>
              <w:spacing w:before="0" w:after="283"/>
              <w:rPr>
                <w:sz w:val="4"/>
                <w:szCs w:val="4"/>
              </w:rPr>
            </w:pPr>
            <w:r>
              <w:rPr>
                <w:sz w:val="4"/>
                <w:szCs w:val="4"/>
              </w:rPr>
            </w:r>
          </w:p>
        </w:tc>
      </w:tr>
      <w:tr>
        <w:trPr/>
        <w:tc>
          <w:tcPr>
            <w:tcW w:w="1655"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Roselyn R. Bar</w:t>
            </w:r>
          </w:p>
        </w:tc>
        <w:tc>
          <w:tcPr>
            <w:tcW w:w="12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rPr/>
            </w:pPr>
            <w:r>
              <w:rPr/>
              <w:t>Pension Plan</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1494" w:type="dxa"/>
            <w:tcBorders/>
            <w:shd w:fill="auto" w:val="clear"/>
            <w:vAlign w:val="center"/>
          </w:tcPr>
          <w:p>
            <w:pPr>
              <w:pStyle w:val="TableContents"/>
              <w:spacing w:before="0" w:after="283"/>
              <w:jc w:val="right"/>
              <w:rPr/>
            </w:pPr>
            <w:r>
              <w:rPr/>
              <w:t>28.5      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638" w:type="dxa"/>
            <w:tcBorders/>
            <w:shd w:fill="auto" w:val="clear"/>
            <w:vAlign w:val="center"/>
          </w:tcPr>
          <w:p>
            <w:pPr>
              <w:pStyle w:val="TableContents"/>
              <w:spacing w:before="0" w:after="283"/>
              <w:jc w:val="right"/>
              <w:rPr/>
            </w:pPr>
            <w:r>
              <w:rPr/>
              <w:t>  </w:t>
            </w:r>
            <w:r>
              <w:rPr/>
              <w:t>1,366,632      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55" w:type="dxa"/>
            <w:vMerge w:val="continue"/>
            <w:tcBorders>
              <w:bottom w:val="dotted" w:sz="8" w:space="0" w:color="000000"/>
            </w:tcBorders>
            <w:shd w:fill="auto" w:val="clear"/>
            <w:tcMar>
              <w:bottom w:w="80" w:type="dxa"/>
            </w:tcMar>
            <w:vAlign w:val="center"/>
          </w:tcPr>
          <w:p>
            <w:pPr>
              <w:pStyle w:val="Normal"/>
              <w:rPr/>
            </w:pPr>
            <w:r>
              <w:rPr/>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250" w:type="dxa"/>
            <w:tcBorders>
              <w:bottom w:val="dotted" w:sz="8" w:space="0" w:color="000000"/>
            </w:tcBorders>
            <w:shd w:fill="auto" w:val="clear"/>
            <w:tcMar>
              <w:bottom w:w="80" w:type="dxa"/>
            </w:tcMar>
            <w:vAlign w:val="center"/>
          </w:tcPr>
          <w:p>
            <w:pPr>
              <w:pStyle w:val="TableContents"/>
              <w:spacing w:before="0" w:after="283"/>
              <w:rPr/>
            </w:pPr>
            <w:r>
              <w:rPr/>
              <w:t>SERP</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86" w:type="dxa"/>
            <w:tcBorders>
              <w:bottom w:val="dotted" w:sz="8" w:space="0" w:color="000000"/>
            </w:tcBorders>
            <w:shd w:fill="auto" w:val="clear"/>
            <w:tcMar>
              <w:bottom w:w="80" w:type="dxa"/>
            </w:tcMar>
            <w:vAlign w:val="center"/>
          </w:tcPr>
          <w:p>
            <w:pPr>
              <w:pStyle w:val="TableContents"/>
              <w:spacing w:before="0" w:after="283"/>
              <w:rPr/>
            </w:pPr>
            <w:r>
              <w:rPr/>
              <w:t> </w:t>
            </w:r>
          </w:p>
        </w:tc>
        <w:tc>
          <w:tcPr>
            <w:tcW w:w="1494" w:type="dxa"/>
            <w:tcBorders>
              <w:bottom w:val="dotted" w:sz="8" w:space="0" w:color="000000"/>
            </w:tcBorders>
            <w:shd w:fill="auto" w:val="clear"/>
            <w:tcMar>
              <w:bottom w:w="80" w:type="dxa"/>
            </w:tcMar>
            <w:vAlign w:val="center"/>
          </w:tcPr>
          <w:p>
            <w:pPr>
              <w:pStyle w:val="TableContents"/>
              <w:spacing w:before="0" w:after="283"/>
              <w:jc w:val="right"/>
              <w:rPr/>
            </w:pPr>
            <w:r>
              <w:rPr/>
              <w:t>28.5      </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2" w:type="dxa"/>
            <w:tcBorders>
              <w:bottom w:val="dotted" w:sz="8" w:space="0" w:color="000000"/>
            </w:tcBorders>
            <w:shd w:fill="auto" w:val="clear"/>
            <w:tcMar>
              <w:bottom w:w="80" w:type="dxa"/>
            </w:tcMar>
            <w:vAlign w:val="center"/>
          </w:tcPr>
          <w:p>
            <w:pPr>
              <w:pStyle w:val="TableContents"/>
              <w:spacing w:before="0" w:after="283"/>
              <w:rPr/>
            </w:pPr>
            <w:r>
              <w:rPr/>
              <w:t> </w:t>
            </w:r>
          </w:p>
        </w:tc>
        <w:tc>
          <w:tcPr>
            <w:tcW w:w="1638" w:type="dxa"/>
            <w:tcBorders>
              <w:bottom w:val="dotted" w:sz="8" w:space="0" w:color="000000"/>
            </w:tcBorders>
            <w:shd w:fill="auto" w:val="clear"/>
            <w:tcMar>
              <w:bottom w:w="80" w:type="dxa"/>
            </w:tcMar>
            <w:vAlign w:val="center"/>
          </w:tcPr>
          <w:p>
            <w:pPr>
              <w:pStyle w:val="TableContents"/>
              <w:spacing w:before="0" w:after="283"/>
              <w:jc w:val="right"/>
              <w:rPr/>
            </w:pPr>
            <w:r>
              <w:rPr/>
              <w:t>  </w:t>
            </w:r>
            <w:r>
              <w:rPr/>
              <w:t>8,623,189      </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379" w:type="dxa"/>
            <w:tcBorders>
              <w:bottom w:val="dotted" w:sz="8" w:space="0" w:color="000000"/>
            </w:tcBorders>
            <w:shd w:fill="auto" w:val="clear"/>
            <w:tcMar>
              <w:bottom w:w="80" w:type="dxa"/>
            </w:tcMar>
            <w:vAlign w:val="center"/>
          </w:tcPr>
          <w:p>
            <w:pPr>
              <w:pStyle w:val="TableContents"/>
              <w:spacing w:before="0" w:after="283"/>
              <w:rPr/>
            </w:pPr>
            <w:r>
              <w:rPr/>
              <w:t> </w:t>
            </w:r>
          </w:p>
        </w:tc>
        <w:tc>
          <w:tcPr>
            <w:tcW w:w="885" w:type="dxa"/>
            <w:tcBorders>
              <w:bottom w:val="dotted" w:sz="8" w:space="0" w:color="000000"/>
            </w:tcBorders>
            <w:shd w:fill="auto" w:val="clear"/>
            <w:tcMar>
              <w:bottom w:w="80" w:type="dxa"/>
            </w:tcMar>
            <w:vAlign w:val="center"/>
          </w:tcPr>
          <w:p>
            <w:pPr>
              <w:pStyle w:val="TableContents"/>
              <w:spacing w:before="0" w:after="283"/>
              <w:jc w:val="right"/>
              <w:rPr/>
            </w:pPr>
            <w:r>
              <w:rPr/>
              <w:t>–</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c>
          <w:tcPr>
            <w:tcW w:w="1459" w:type="dxa"/>
            <w:gridSpan w:val="4"/>
            <w:tcBorders/>
            <w:shd w:fill="auto" w:val="clear"/>
            <w:vAlign w:val="center"/>
          </w:tcPr>
          <w:p>
            <w:pPr>
              <w:pStyle w:val="TableContents"/>
              <w:spacing w:before="0" w:after="283"/>
              <w:rPr>
                <w:sz w:val="4"/>
                <w:szCs w:val="4"/>
              </w:rPr>
            </w:pPr>
            <w:r>
              <w:rPr>
                <w:sz w:val="4"/>
                <w:szCs w:val="4"/>
              </w:rPr>
            </w:r>
          </w:p>
        </w:tc>
      </w:tr>
      <w:tr>
        <w:trPr/>
        <w:tc>
          <w:tcPr>
            <w:tcW w:w="1655"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Craig M. LaTorre</w:t>
            </w:r>
          </w:p>
        </w:tc>
        <w:tc>
          <w:tcPr>
            <w:tcW w:w="12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rPr/>
            </w:pPr>
            <w:r>
              <w:rPr/>
              <w:t>Pension Plan</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1494" w:type="dxa"/>
            <w:tcBorders/>
            <w:shd w:fill="auto" w:val="clear"/>
            <w:vAlign w:val="center"/>
          </w:tcPr>
          <w:p>
            <w:pPr>
              <w:pStyle w:val="TableContents"/>
              <w:spacing w:before="0" w:after="283"/>
              <w:jc w:val="right"/>
              <w:rPr/>
            </w:pPr>
            <w:r>
              <w:rPr/>
              <w:t>4.5      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638" w:type="dxa"/>
            <w:tcBorders/>
            <w:shd w:fill="auto" w:val="clear"/>
            <w:vAlign w:val="center"/>
          </w:tcPr>
          <w:p>
            <w:pPr>
              <w:pStyle w:val="TableContents"/>
              <w:spacing w:before="0" w:after="283"/>
              <w:jc w:val="right"/>
              <w:rPr/>
            </w:pPr>
            <w:r>
              <w:rPr/>
              <w:t>  </w:t>
            </w:r>
            <w:r>
              <w:rPr/>
              <w:t>151,034      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55" w:type="dxa"/>
            <w:vMerge w:val="continue"/>
            <w:tcBorders>
              <w:bottom w:val="dotted" w:sz="8" w:space="0" w:color="000000"/>
            </w:tcBorders>
            <w:shd w:fill="auto" w:val="clear"/>
            <w:tcMar>
              <w:bottom w:w="80" w:type="dxa"/>
            </w:tcMar>
            <w:vAlign w:val="center"/>
          </w:tcPr>
          <w:p>
            <w:pPr>
              <w:pStyle w:val="Normal"/>
              <w:rPr/>
            </w:pPr>
            <w:r>
              <w:rPr/>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250" w:type="dxa"/>
            <w:tcBorders>
              <w:bottom w:val="dotted" w:sz="8" w:space="0" w:color="000000"/>
            </w:tcBorders>
            <w:shd w:fill="auto" w:val="clear"/>
            <w:tcMar>
              <w:bottom w:w="80" w:type="dxa"/>
            </w:tcMar>
            <w:vAlign w:val="center"/>
          </w:tcPr>
          <w:p>
            <w:pPr>
              <w:pStyle w:val="TableContents"/>
              <w:spacing w:before="0" w:after="283"/>
              <w:rPr/>
            </w:pPr>
            <w:r>
              <w:rPr/>
              <w:t>SERP</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86" w:type="dxa"/>
            <w:tcBorders>
              <w:bottom w:val="dotted" w:sz="8" w:space="0" w:color="000000"/>
            </w:tcBorders>
            <w:shd w:fill="auto" w:val="clear"/>
            <w:tcMar>
              <w:bottom w:w="80" w:type="dxa"/>
            </w:tcMar>
            <w:vAlign w:val="center"/>
          </w:tcPr>
          <w:p>
            <w:pPr>
              <w:pStyle w:val="TableContents"/>
              <w:spacing w:before="0" w:after="283"/>
              <w:rPr/>
            </w:pPr>
            <w:r>
              <w:rPr/>
              <w:t> </w:t>
            </w:r>
          </w:p>
        </w:tc>
        <w:tc>
          <w:tcPr>
            <w:tcW w:w="1494" w:type="dxa"/>
            <w:tcBorders>
              <w:bottom w:val="dotted" w:sz="8" w:space="0" w:color="000000"/>
            </w:tcBorders>
            <w:shd w:fill="auto" w:val="clear"/>
            <w:tcMar>
              <w:bottom w:w="80" w:type="dxa"/>
            </w:tcMar>
            <w:vAlign w:val="center"/>
          </w:tcPr>
          <w:p>
            <w:pPr>
              <w:pStyle w:val="TableContents"/>
              <w:spacing w:before="0" w:after="283"/>
              <w:jc w:val="right"/>
              <w:rPr/>
            </w:pPr>
            <w:r>
              <w:rPr/>
              <w:t>4.5      </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2" w:type="dxa"/>
            <w:tcBorders>
              <w:bottom w:val="dotted" w:sz="8" w:space="0" w:color="000000"/>
            </w:tcBorders>
            <w:shd w:fill="auto" w:val="clear"/>
            <w:tcMar>
              <w:bottom w:w="80" w:type="dxa"/>
            </w:tcMar>
            <w:vAlign w:val="center"/>
          </w:tcPr>
          <w:p>
            <w:pPr>
              <w:pStyle w:val="TableContents"/>
              <w:spacing w:before="0" w:after="283"/>
              <w:rPr/>
            </w:pPr>
            <w:r>
              <w:rPr/>
              <w:t> </w:t>
            </w:r>
          </w:p>
        </w:tc>
        <w:tc>
          <w:tcPr>
            <w:tcW w:w="1638" w:type="dxa"/>
            <w:tcBorders>
              <w:bottom w:val="dotted" w:sz="8" w:space="0" w:color="000000"/>
            </w:tcBorders>
            <w:shd w:fill="auto" w:val="clear"/>
            <w:tcMar>
              <w:bottom w:w="80" w:type="dxa"/>
            </w:tcMar>
            <w:vAlign w:val="center"/>
          </w:tcPr>
          <w:p>
            <w:pPr>
              <w:pStyle w:val="TableContents"/>
              <w:spacing w:before="0" w:after="283"/>
              <w:jc w:val="right"/>
              <w:rPr/>
            </w:pPr>
            <w:r>
              <w:rPr/>
              <w:t>  </w:t>
            </w:r>
            <w:r>
              <w:rPr/>
              <w:t>597,501      </w:t>
            </w:r>
          </w:p>
        </w:tc>
        <w:tc>
          <w:tcPr>
            <w:tcW w:w="60" w:type="dxa"/>
            <w:tcBorders>
              <w:bottom w:val="dotted" w:sz="8" w:space="0" w:color="000000"/>
            </w:tcBorders>
            <w:shd w:fill="auto" w:val="clear"/>
            <w:tcMar>
              <w:bottom w:w="8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379" w:type="dxa"/>
            <w:tcBorders>
              <w:bottom w:val="dotted" w:sz="8" w:space="0" w:color="000000"/>
            </w:tcBorders>
            <w:shd w:fill="auto" w:val="clear"/>
            <w:tcMar>
              <w:bottom w:w="80" w:type="dxa"/>
            </w:tcMar>
            <w:vAlign w:val="center"/>
          </w:tcPr>
          <w:p>
            <w:pPr>
              <w:pStyle w:val="TableContents"/>
              <w:spacing w:before="0" w:after="283"/>
              <w:rPr/>
            </w:pPr>
            <w:r>
              <w:rPr/>
              <w:t> </w:t>
            </w:r>
          </w:p>
        </w:tc>
        <w:tc>
          <w:tcPr>
            <w:tcW w:w="885" w:type="dxa"/>
            <w:tcBorders>
              <w:bottom w:val="dotted" w:sz="8" w:space="0" w:color="000000"/>
            </w:tcBorders>
            <w:shd w:fill="auto" w:val="clear"/>
            <w:tcMar>
              <w:bottom w:w="80" w:type="dxa"/>
            </w:tcMar>
            <w:vAlign w:val="center"/>
          </w:tcPr>
          <w:p>
            <w:pPr>
              <w:pStyle w:val="TableContents"/>
              <w:spacing w:before="0" w:after="283"/>
              <w:jc w:val="right"/>
              <w:rPr/>
            </w:pPr>
            <w:r>
              <w:rPr/>
              <w:t>–</w:t>
            </w:r>
          </w:p>
        </w:tc>
        <w:tc>
          <w:tcPr>
            <w:tcW w:w="75"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c>
          <w:tcPr>
            <w:tcW w:w="1459" w:type="dxa"/>
            <w:gridSpan w:val="4"/>
            <w:tcBorders/>
            <w:shd w:fill="auto" w:val="clear"/>
            <w:vAlign w:val="center"/>
          </w:tcPr>
          <w:p>
            <w:pPr>
              <w:pStyle w:val="TableContents"/>
              <w:spacing w:before="0" w:after="283"/>
              <w:rPr>
                <w:sz w:val="4"/>
                <w:szCs w:val="4"/>
              </w:rPr>
            </w:pPr>
            <w:r>
              <w:rPr>
                <w:sz w:val="4"/>
                <w:szCs w:val="4"/>
              </w:rPr>
            </w:r>
          </w:p>
        </w:tc>
      </w:tr>
      <w:tr>
        <w:trPr/>
        <w:tc>
          <w:tcPr>
            <w:tcW w:w="1655" w:type="dxa"/>
            <w:vMerge w:val="restart"/>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John P. Mohr</w:t>
            </w:r>
          </w:p>
        </w:tc>
        <w:tc>
          <w:tcPr>
            <w:tcW w:w="12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rPr/>
            </w:pPr>
            <w:r>
              <w:rPr/>
              <w:t>Pension Plan</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1494" w:type="dxa"/>
            <w:tcBorders/>
            <w:shd w:fill="auto" w:val="clear"/>
            <w:vAlign w:val="center"/>
          </w:tcPr>
          <w:p>
            <w:pPr>
              <w:pStyle w:val="TableContents"/>
              <w:spacing w:before="0" w:after="283"/>
              <w:jc w:val="right"/>
              <w:rPr/>
            </w:pPr>
            <w:r>
              <w:rPr/>
              <w:t>7.167      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638" w:type="dxa"/>
            <w:tcBorders/>
            <w:shd w:fill="auto" w:val="clear"/>
            <w:vAlign w:val="center"/>
          </w:tcPr>
          <w:p>
            <w:pPr>
              <w:pStyle w:val="TableContents"/>
              <w:spacing w:before="0" w:after="283"/>
              <w:jc w:val="right"/>
              <w:rPr/>
            </w:pPr>
            <w:r>
              <w:rPr/>
              <w:t>  </w:t>
            </w:r>
            <w:r>
              <w:rPr/>
              <w:t>277,159      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55" w:type="dxa"/>
            <w:vMerge w:val="continue"/>
            <w:tcBorders>
              <w:bottom w:val="single" w:sz="8" w:space="0" w:color="000000"/>
            </w:tcBorders>
            <w:shd w:fill="auto" w:val="clear"/>
            <w:tcMar>
              <w:bottom w:w="80" w:type="dxa"/>
            </w:tcMar>
            <w:vAlign w:val="center"/>
          </w:tcPr>
          <w:p>
            <w:pPr>
              <w:pStyle w:val="Normal"/>
              <w:rPr/>
            </w:pPr>
            <w:r>
              <w:rPr/>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50" w:type="dxa"/>
            <w:tcBorders>
              <w:bottom w:val="single" w:sz="8" w:space="0" w:color="000000"/>
            </w:tcBorders>
            <w:shd w:fill="auto" w:val="clear"/>
            <w:tcMar>
              <w:bottom w:w="80" w:type="dxa"/>
            </w:tcMar>
            <w:vAlign w:val="center"/>
          </w:tcPr>
          <w:p>
            <w:pPr>
              <w:pStyle w:val="TableContents"/>
              <w:spacing w:before="0" w:after="283"/>
              <w:rPr/>
            </w:pPr>
            <w:r>
              <w:rPr/>
              <w:t>SERP</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6" w:type="dxa"/>
            <w:tcBorders>
              <w:bottom w:val="single" w:sz="8" w:space="0" w:color="000000"/>
            </w:tcBorders>
            <w:shd w:fill="auto" w:val="clear"/>
            <w:tcMar>
              <w:bottom w:w="80" w:type="dxa"/>
            </w:tcMar>
            <w:vAlign w:val="center"/>
          </w:tcPr>
          <w:p>
            <w:pPr>
              <w:pStyle w:val="TableContents"/>
              <w:spacing w:before="0" w:after="283"/>
              <w:rPr/>
            </w:pPr>
            <w:r>
              <w:rPr/>
              <w:t> </w:t>
            </w:r>
          </w:p>
        </w:tc>
        <w:tc>
          <w:tcPr>
            <w:tcW w:w="1494" w:type="dxa"/>
            <w:tcBorders>
              <w:bottom w:val="single" w:sz="8" w:space="0" w:color="000000"/>
            </w:tcBorders>
            <w:shd w:fill="auto" w:val="clear"/>
            <w:tcMar>
              <w:bottom w:w="80" w:type="dxa"/>
            </w:tcMar>
            <w:vAlign w:val="center"/>
          </w:tcPr>
          <w:p>
            <w:pPr>
              <w:pStyle w:val="TableContents"/>
              <w:spacing w:before="0" w:after="283"/>
              <w:jc w:val="right"/>
              <w:rPr/>
            </w:pPr>
            <w:r>
              <w:rPr/>
              <w:t>7.167      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2" w:type="dxa"/>
            <w:tcBorders>
              <w:bottom w:val="single" w:sz="8" w:space="0" w:color="000000"/>
            </w:tcBorders>
            <w:shd w:fill="auto" w:val="clear"/>
            <w:tcMar>
              <w:bottom w:w="80" w:type="dxa"/>
            </w:tcMar>
            <w:vAlign w:val="center"/>
          </w:tcPr>
          <w:p>
            <w:pPr>
              <w:pStyle w:val="TableContents"/>
              <w:spacing w:before="0" w:after="283"/>
              <w:rPr/>
            </w:pPr>
            <w:r>
              <w:rPr/>
              <w:t> </w:t>
            </w:r>
          </w:p>
        </w:tc>
        <w:tc>
          <w:tcPr>
            <w:tcW w:w="1638" w:type="dxa"/>
            <w:tcBorders>
              <w:bottom w:val="single" w:sz="8" w:space="0" w:color="000000"/>
            </w:tcBorders>
            <w:shd w:fill="auto" w:val="clear"/>
            <w:tcMar>
              <w:bottom w:w="80" w:type="dxa"/>
            </w:tcMar>
            <w:vAlign w:val="center"/>
          </w:tcPr>
          <w:p>
            <w:pPr>
              <w:pStyle w:val="TableContents"/>
              <w:spacing w:before="0" w:after="283"/>
              <w:jc w:val="right"/>
              <w:rPr/>
            </w:pPr>
            <w:r>
              <w:rPr/>
              <w:t>  </w:t>
            </w:r>
            <w:r>
              <w:rPr/>
              <w:t>804,832      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79" w:type="dxa"/>
            <w:tcBorders>
              <w:bottom w:val="single" w:sz="8" w:space="0" w:color="000000"/>
            </w:tcBorders>
            <w:shd w:fill="auto" w:val="clear"/>
            <w:tcMar>
              <w:bottom w:w="80" w:type="dxa"/>
            </w:tcMar>
            <w:vAlign w:val="center"/>
          </w:tcPr>
          <w:p>
            <w:pPr>
              <w:pStyle w:val="TableContents"/>
              <w:spacing w:before="0" w:after="283"/>
              <w:rPr/>
            </w:pPr>
            <w:r>
              <w:rPr/>
              <w:t> </w:t>
            </w:r>
          </w:p>
        </w:tc>
        <w:tc>
          <w:tcPr>
            <w:tcW w:w="885"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1</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Amounts in column (d) reflect the valuation method and use the assumptions that are included in Notes A and K to Martin Marietta’s audited financial statements for the fiscal year ended December 31, 2022, included in Martin Marietta’s Annual Report on Form 10-K filed with the SEC on February 24, 2023. </w:t>
            </w:r>
          </w:p>
        </w:tc>
      </w:tr>
    </w:tbl>
    <w:p>
      <w:pPr>
        <w:pStyle w:val="TextBody"/>
        <w:spacing w:before="240" w:after="0"/>
        <w:jc w:val="left"/>
        <w:rPr>
          <w:rFonts w:ascii="ARIAL" w:hAnsi="ARIAL"/>
          <w:sz w:val="20"/>
        </w:rPr>
      </w:pPr>
      <w:r>
        <w:rPr>
          <w:rFonts w:ascii="ARIAL" w:hAnsi="ARIAL"/>
          <w:sz w:val="20"/>
        </w:rPr>
        <w:t xml:space="preserve">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limitations, including a limitation on the amount of annual compensation for purposes of calculating eligible remuneration for a participant under a qualified retirement plan ($305,000 in 2022). Martin Marietta’s SERP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the named executive officers, Mr. Nye, Mr. Nickolas, Ms. Bar and Mr. Mohr are each eligible for early retirement, which allows for payment to employees who are age 55 or older with at least five years of service at a reduced benefit based on the number of years of service and the number of years prior to age 62 at which the benefits began. Mr. LaTorre is not yet eligible for early retirement, but would be eligible for payments after 5 years of service at a reduced benefit based on the number of years of service and the number of years prior to age 65 at which the benefits began. The present value of the Pension Plan and SERP benefit, respectively, for Mr. Nye, Mr. Nickolas, Ms. Bar, Mr. LaTorre, and Mr. Mohr, if they had terminated on December 31, 2022 and began collecting benefits at age 55 or current age if older would be as follows: Mr. Nye, $750,158 and $16,872,398, respectively; Mr. Nickolas, $103,456 and $562,049, respectively; Ms. Bar, $1,366,632 and $8,623,189, respectively; Mr. LaTorre, $0 and $0, respectively, since he has less than five years of service with Martin Marietta and therefore is not vested in the plans; and Mr. Mohr, $298,827 and $900,031, respectively. The amounts listed in the foregoing table are not subject to any deduction for Social Security benefits or other offset amounts.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78</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31"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15" descr=""/>
                          <pic:cNvPicPr>
                            <a:picLocks noChangeAspect="1" noChangeArrowheads="1"/>
                          </pic:cNvPicPr>
                        </pic:nvPicPr>
                        <pic:blipFill>
                          <a:blip r:embed="rId21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POTENTIAL PAYMENTS UPON TERMINATION OR CHANGE OF CONTROL  ◆  </w:t>
      </w:r>
      <w:r>
        <w:rPr>
          <w:rFonts w:ascii="ARIAL" w:hAnsi="ARIAL"/>
          <w:color w:val="007CBA"/>
          <w:sz w:val="16"/>
        </w:rPr>
        <w:t>EXECUTIVE COMPENSATION</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color w:val="71BE9A"/>
          <w:sz w:val="26"/>
        </w:rPr>
      </w:pPr>
      <w:bookmarkStart w:id="73" w:name="toc390557_66"/>
      <w:bookmarkEnd w:id="73"/>
      <w:r>
        <w:rPr>
          <w:rFonts w:ascii="ARIAL" w:hAnsi="ARIAL"/>
          <w:b/>
          <w:color w:val="71BE9A"/>
          <w:sz w:val="26"/>
        </w:rPr>
        <w:t xml:space="preserve">Potential Payments Upon Termination or Change of Control </w:t>
      </w:r>
    </w:p>
    <w:p>
      <w:pPr>
        <w:pStyle w:val="TextBody"/>
        <w:spacing w:before="120" w:after="0"/>
        <w:jc w:val="left"/>
        <w:rPr>
          <w:rFonts w:ascii="ARIAL" w:hAnsi="ARIAL"/>
          <w:sz w:val="20"/>
        </w:rPr>
      </w:pPr>
      <w:r>
        <w:rPr>
          <w:rFonts w:ascii="ARIAL" w:hAnsi="ARIAL"/>
          <w:sz w:val="20"/>
        </w:rPr>
        <w:t xml:space="preserve">The discussion and tables below reflect the amount of potential payments and benefits to each of the named executive officers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2022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 </w:t>
      </w:r>
    </w:p>
    <w:p>
      <w:pPr>
        <w:pStyle w:val="TextBody"/>
        <w:spacing w:before="240" w:after="0"/>
        <w:jc w:val="left"/>
        <w:rPr>
          <w:rFonts w:ascii="ARIAL" w:hAnsi="ARIAL"/>
          <w:sz w:val="20"/>
        </w:rPr>
      </w:pPr>
      <w:r>
        <w:rPr>
          <w:rFonts w:ascii="ARIAL" w:hAnsi="ARIAL"/>
          <w:b/>
          <w:color w:val="007CBA"/>
          <w:sz w:val="20"/>
        </w:rPr>
        <w:t>Payments Upon Any Termination.</w:t>
      </w:r>
      <w:r>
        <w:rPr>
          <w:rFonts w:ascii="ARIAL" w:hAnsi="ARIAL"/>
          <w:sz w:val="20"/>
        </w:rPr>
        <w:t xml:space="preserve"> Regardless of the manner in which the employment of a named executive officer terminates, he or she is entitled to receive the amounts earned during the term of employment, including cash compensation earned during the fiscal year, amounts contributed by the employee and Martin Marietta’s matching contributions to the Savings and Investment Plan, unused earned vacation pay and amounts accrued and vested through Martin Marietta’s Pension Plan and SERP. </w:t>
      </w:r>
    </w:p>
    <w:p>
      <w:pPr>
        <w:pStyle w:val="TextBody"/>
        <w:spacing w:before="240" w:after="0"/>
        <w:jc w:val="left"/>
        <w:rPr>
          <w:rFonts w:ascii="ARIAL" w:hAnsi="ARIAL"/>
          <w:sz w:val="20"/>
        </w:rPr>
      </w:pPr>
      <w:r>
        <w:rPr>
          <w:rFonts w:ascii="ARIAL" w:hAnsi="ARIAL"/>
          <w:b/>
          <w:color w:val="007CBA"/>
          <w:sz w:val="20"/>
        </w:rPr>
        <w:t>Payments Upon Voluntary Termination.</w:t>
      </w:r>
      <w:r>
        <w:rPr>
          <w:rFonts w:ascii="ARIAL" w:hAnsi="ARIAL"/>
          <w:sz w:val="20"/>
        </w:rPr>
        <w:t xml:space="preserve"> In addition to the amounts described under the heading Payments Upon Any Termination, upon a voluntary termination of employment, the named executive officer would be entitled to receive the lower of the amount of cash contributed to the Incentive Stock Plan or the current market value of the common stock units credited to the employee measured by the NYSE closing price of Martin Marietta’s common stock on the date of termination. </w:t>
      </w:r>
    </w:p>
    <w:p>
      <w:pPr>
        <w:pStyle w:val="TextBody"/>
        <w:spacing w:before="240" w:after="0"/>
        <w:jc w:val="left"/>
        <w:rPr>
          <w:rFonts w:ascii="ARIAL" w:hAnsi="ARIAL"/>
          <w:sz w:val="20"/>
        </w:rPr>
      </w:pPr>
      <w:r>
        <w:rPr>
          <w:rFonts w:ascii="ARIAL" w:hAnsi="ARIAL"/>
          <w:b/>
          <w:color w:val="007CBA"/>
          <w:sz w:val="20"/>
        </w:rPr>
        <w:t>Payments Upon Involuntary Not-For-Cause Termination.</w:t>
      </w:r>
      <w:r>
        <w:rPr>
          <w:rFonts w:ascii="ARIAL" w:hAnsi="ARIAL"/>
          <w:sz w:val="20"/>
        </w:rPr>
        <w:t xml:space="preserve"> In addition to the amounts described under the heading Payments Upon Any Termination, upon an involuntary termination of employment not for cause, the named executive officer would be entitled to receive a prorated share of the common stock units credited to him or her under the Incentive Stock Plan paid out as shares of common stock and the remaining cash contribution invested by the employee in the plan. </w:t>
      </w:r>
    </w:p>
    <w:p>
      <w:pPr>
        <w:pStyle w:val="TextBody"/>
        <w:spacing w:before="240" w:after="0"/>
        <w:jc w:val="left"/>
        <w:rPr>
          <w:rFonts w:ascii="ARIAL" w:hAnsi="ARIAL"/>
          <w:sz w:val="20"/>
        </w:rPr>
      </w:pPr>
      <w:r>
        <w:rPr>
          <w:rFonts w:ascii="ARIAL" w:hAnsi="ARIAL"/>
          <w:b/>
          <w:color w:val="007CBA"/>
          <w:sz w:val="20"/>
        </w:rPr>
        <w:t>Payments Upon Involuntary For-Cause Termination.</w:t>
      </w:r>
      <w:r>
        <w:rPr>
          <w:rFonts w:ascii="ARIAL" w:hAnsi="ARIAL"/>
          <w:sz w:val="20"/>
        </w:rPr>
        <w:t xml:space="preserve"> In the event of involuntary termination for cause, which is defined in the Employment Protection Agreement and the Stock Plan, the named executive officer would be entitled to receive the payments and benefits described under the heading Payments Upon Any Termination. </w:t>
      </w:r>
    </w:p>
    <w:p>
      <w:pPr>
        <w:pStyle w:val="TextBody"/>
        <w:spacing w:before="240" w:after="0"/>
        <w:jc w:val="left"/>
        <w:rPr>
          <w:rFonts w:ascii="ARIAL" w:hAnsi="ARIAL"/>
          <w:sz w:val="20"/>
        </w:rPr>
      </w:pPr>
      <w:r>
        <w:rPr>
          <w:rFonts w:ascii="ARIAL" w:hAnsi="ARIAL"/>
          <w:b/>
          <w:color w:val="007CBA"/>
          <w:sz w:val="20"/>
        </w:rPr>
        <w:t>Payments Upon Retirement.</w:t>
      </w:r>
      <w:r>
        <w:rPr>
          <w:rFonts w:ascii="ARIAL" w:hAnsi="ARIAL"/>
          <w:sz w:val="20"/>
        </w:rPr>
        <w:t xml:space="preserve"> In the event of the retirement at age 62 or above of a named executive officer, in addition to the items described under the heading Payments Upon Any Termination, the executive will receive a portion of the cash incentive bonus based upon performance and payable under the Executive Cash Incentive Plan that correlates to the percentage of the year in which the employee worked for the Company; will continue to hold all outstanding options unaffected by the retirement and retain such options for the remainder of the outstanding term; will continue to hold all awards of RSUs and PSUs for the remainder of the outstanding term unaffected by the retirement; will vest in all outstanding awards of common stock units under the Incentive Stock Plan; in the case of Ms. Bar, will be eligible to receive health and welfare benefits as described under the heading Retiree Medical on page 77; and will continue to receive life insurance coverage until his or her death. </w:t>
      </w:r>
    </w:p>
    <w:p>
      <w:pPr>
        <w:pStyle w:val="TextBody"/>
        <w:spacing w:before="240" w:after="0"/>
        <w:jc w:val="left"/>
        <w:rPr>
          <w:rFonts w:ascii="ARIAL" w:hAnsi="ARIAL"/>
          <w:sz w:val="20"/>
        </w:rPr>
      </w:pPr>
      <w:r>
        <w:rPr>
          <w:rFonts w:ascii="ARIAL" w:hAnsi="ARIAL"/>
          <w:b/>
          <w:color w:val="007CBA"/>
          <w:sz w:val="20"/>
        </w:rPr>
        <w:t>Payments Made Upon Early Retirement.</w:t>
      </w:r>
      <w:r>
        <w:rPr>
          <w:rFonts w:ascii="ARIAL" w:hAnsi="ARIAL"/>
          <w:sz w:val="20"/>
        </w:rPr>
        <w:t xml:space="preserve"> In the event of retirement prior to reaching age 62 but on or after reaching age 55, the named executive officer will receive benefits as described under the heading Payments Upon Voluntary Termination. In addition, the named executive officer will receive reduced benefits of the type described under Pension Benefits on page 78 and may be eligible for benefits described under the heading Retiree Medical beginning on page 77 at a higher cost. </w:t>
      </w:r>
    </w:p>
    <w:p>
      <w:pPr>
        <w:pStyle w:val="TextBody"/>
        <w:spacing w:before="240" w:after="0"/>
        <w:jc w:val="left"/>
        <w:rPr>
          <w:rFonts w:ascii="ARIAL" w:hAnsi="ARIAL"/>
          <w:sz w:val="20"/>
        </w:rPr>
      </w:pPr>
      <w:r>
        <w:rPr>
          <w:rFonts w:ascii="ARIAL" w:hAnsi="ARIAL"/>
          <w:b/>
          <w:color w:val="007CBA"/>
          <w:sz w:val="20"/>
        </w:rPr>
        <w:t>Payments Upon Death or Disability.</w:t>
      </w:r>
      <w:r>
        <w:rPr>
          <w:rFonts w:ascii="ARIAL" w:hAnsi="ARIAL"/>
          <w:sz w:val="20"/>
        </w:rPr>
        <w:t xml:space="preserve"> In the event of the death or disability of a named executive officer, in addition to the payments and benefits under the heading Payments Upon Any Termination, the named executive officer or his or her estate will receive benefits under Martin Marietta’s long-term disability plan or life insurance plan, as applicable, and a death benefit payment, as applicable, equal to the then-current base salary of such employee paid under the Pension Plan plus one month base salary. In addition, in the event of death, all options will vest and the executor of their estate will have one year to exercise the options. In the event of disability, the executive will receive a portion of the cash incentive </w:t>
      </w:r>
    </w:p>
    <w:p>
      <w:pPr>
        <w:pStyle w:val="TextBody"/>
        <w:spacing w:before="0" w:after="0"/>
        <w:jc w:val="left"/>
        <w:rPr>
          <w:rFonts w:ascii="ARIAL" w:hAnsi="ARIAL"/>
          <w:sz w:val="20"/>
        </w:rPr>
      </w:pPr>
      <w:r>
        <w:rPr>
          <w:rFonts w:ascii="ARIAL" w:hAnsi="ARIAL"/>
          <w:sz w:val="20"/>
        </w:rPr>
        <w:t xml:space="preserve">compensation based upon performance and payable under the Executive Cash Incentive Plan that correlates to the percentage of the year in which the employee worked for the Company; will continue to hold all outstanding options unaffected by the disability and will retain such options for the remainder of the outstanding term; will continue to hold all awards of PSUs and RSUs for the remainder of the outstanding term unaffected by the disability; and will vest in all outstanding awards of common stock units under the Incentive Stock Plan.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32"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16" descr=""/>
                          <pic:cNvPicPr>
                            <a:picLocks noChangeAspect="1" noChangeArrowheads="1"/>
                          </pic:cNvPicPr>
                        </pic:nvPicPr>
                        <pic:blipFill>
                          <a:blip r:embed="rId21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79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EXECUTIVE COMPENSATION  ◆</w:t>
      </w:r>
      <w:r>
        <w:rPr>
          <w:rFonts w:ascii="ARIAL" w:hAnsi="ARIAL"/>
          <w:sz w:val="16"/>
        </w:rPr>
        <w:t xml:space="preserve">  POTENTIAL PAYMENTS UPON TERMINATION OR CHANGE OF CONTROL </w:t>
      </w:r>
    </w:p>
    <w:p>
      <w:pPr>
        <w:pStyle w:val="TextBody"/>
        <w:spacing w:before="0" w:after="0"/>
        <w:jc w:val="left"/>
        <w:rPr/>
      </w:pPr>
      <w:r>
        <w:rPr/>
        <w:t> </w:t>
      </w:r>
    </w:p>
    <w:p>
      <w:pPr>
        <w:pStyle w:val="TextBody"/>
        <w:spacing w:before="0" w:after="0"/>
        <w:jc w:val="left"/>
        <w:rPr>
          <w:rFonts w:ascii="ARIAL" w:hAnsi="ARIAL"/>
          <w:sz w:val="20"/>
        </w:rPr>
      </w:pPr>
      <w:r>
        <w:rPr>
          <w:rFonts w:ascii="ARIAL" w:hAnsi="ARIAL"/>
          <w:b/>
          <w:color w:val="007CBA"/>
          <w:sz w:val="20"/>
        </w:rPr>
        <w:t>Payments Upon or in Connection With a Change of Control.</w:t>
      </w:r>
      <w:r>
        <w:rPr>
          <w:rFonts w:ascii="ARIAL" w:hAnsi="ARIAL"/>
          <w:sz w:val="20"/>
        </w:rPr>
        <w:t xml:space="preserve"> Martin Marietta has entered into Employment Protection Agreements, as amended from time to time, with each of the named executive officers. The purpose of these agreements is to provide Martin Marietta’s key executives with payments and benefits upon certain types of terminations within two years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 outstanding securities, (ii) 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 </w:t>
      </w:r>
    </w:p>
    <w:p>
      <w:pPr>
        <w:pStyle w:val="TextBody"/>
        <w:spacing w:before="240" w:after="0"/>
        <w:jc w:val="left"/>
        <w:rPr>
          <w:rFonts w:ascii="ARIAL" w:hAnsi="ARIAL"/>
          <w:sz w:val="20"/>
        </w:rPr>
      </w:pPr>
      <w:r>
        <w:rPr>
          <w:rFonts w:ascii="ARIAL" w:hAnsi="ARIAL"/>
          <w:sz w:val="20"/>
        </w:rPr>
        <w:t xml:space="preserve">The agreements provide that if, within the two-year period following a Change of Control, an executive is terminated without “Cause” (as defined in the agreements) or terminates his or her employment with “Good Reason” (as defined in the agreements), Martin Marietta is obligated to pay the executive, in a lump sum, an amount equal to three times the sum of the executive’s base salary, annual bonus, and Martin Marietta’s match to the defined contribution plan; the payment of a pro-rata annual target bonus in the year of termination as determined under the Executive Cash Incentive Plan (for Mr. Nye such target bonus is 140% for purposes of the Employment Protection Agreement) and to provide continuation of health, medical and other insurance benefits for a period of three years following termination. The rationale for selecting these triggers is to encourage the named executive officers to remain focused on Martin Marietta, its performance and matters that are in the best interests of its shareholders rather than be distracted by the personal impact to their employment that the Change of Control may have.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Executives also are credited with an additional three years of service under the Pension Plan and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The agreements also have confidentiality requirements to ensure that the executives do not disclose any confidential information relating to Martin Marietta. </w:t>
      </w:r>
    </w:p>
    <w:p>
      <w:pPr>
        <w:pStyle w:val="TextBody"/>
        <w:spacing w:before="240" w:after="0"/>
        <w:jc w:val="left"/>
        <w:rPr>
          <w:rFonts w:ascii="ARIAL" w:hAnsi="ARIAL"/>
          <w:sz w:val="20"/>
        </w:rPr>
      </w:pPr>
      <w:r>
        <w:rPr>
          <w:rFonts w:ascii="ARIAL" w:hAnsi="ARIAL"/>
          <w:sz w:val="20"/>
        </w:rPr>
        <w:t xml:space="preserve">The agreements were amended in December 2018 in response to the 2018 Say On Pay vote that was supported by 78.9% of the shareholders that voted. The amendments eliminated (1) the “gross up” payments that compensate the executives for any golden parachute excise taxes imposed under the Internal Revenue Code; (2) the “walk-right” if the executive voluntarily terminates his or her employment for any reason during the thirty-day period following the second anniversary of the Change of Control; and (3) the inclusion of the value of perquisites in the severance payment provided for in the agreements. </w:t>
      </w:r>
    </w:p>
    <w:p>
      <w:pPr>
        <w:pStyle w:val="TextBody"/>
        <w:spacing w:before="240" w:after="0"/>
        <w:jc w:val="left"/>
        <w:rPr>
          <w:rFonts w:ascii="ARIAL" w:hAnsi="ARIAL"/>
          <w:sz w:val="20"/>
        </w:rPr>
      </w:pPr>
      <w:r>
        <w:rPr>
          <w:rFonts w:ascii="ARIAL" w:hAnsi="ARIAL"/>
          <w:sz w:val="20"/>
        </w:rPr>
        <w:t xml:space="preserve">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could result in a Change of Control, then under no circumstances will the agreements terminate prior to the second anniversary of the Change of Control. </w:t>
      </w:r>
    </w:p>
    <w:p>
      <w:pPr>
        <w:pStyle w:val="TextBody"/>
        <w:spacing w:before="240" w:after="0"/>
        <w:jc w:val="left"/>
        <w:rPr>
          <w:rFonts w:ascii="ARIAL" w:hAnsi="ARIAL"/>
          <w:sz w:val="20"/>
        </w:rPr>
      </w:pPr>
      <w:r>
        <w:rPr>
          <w:rFonts w:ascii="ARIAL" w:hAnsi="ARIAL"/>
          <w:sz w:val="20"/>
        </w:rPr>
        <w:t xml:space="preserve">In addition, the Stock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 For purposes of such vesting, any performance criteria will be deemed achieved at the greater of target performance and actual performance, as measured through the date of the Change of Control. In December 2018, in response to the 2018 Say On Pay vote, the Company’s form of RSU award agreement and PSU award agreement were </w:t>
      </w:r>
    </w:p>
    <w:p>
      <w:pPr>
        <w:pStyle w:val="TextBody"/>
        <w:spacing w:before="0" w:after="0"/>
        <w:jc w:val="left"/>
        <w:rPr>
          <w:rFonts w:ascii="ARIAL" w:hAnsi="ARIAL"/>
          <w:sz w:val="20"/>
        </w:rPr>
      </w:pPr>
      <w:r>
        <w:rPr>
          <w:rFonts w:ascii="ARIAL" w:hAnsi="ARIAL"/>
          <w:sz w:val="20"/>
        </w:rPr>
        <w:t xml:space="preserve">changed such that future grants of RSUs and PSUs will require termination of the executive’s employment in connection with a Change of Control in order for accelerated vesting to occur.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80</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33"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7" descr=""/>
                          <pic:cNvPicPr>
                            <a:picLocks noChangeAspect="1" noChangeArrowheads="1"/>
                          </pic:cNvPicPr>
                        </pic:nvPicPr>
                        <pic:blipFill>
                          <a:blip r:embed="rId21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POTENTIAL PAYMENTS UPON TERMINATION OR CHANGE OF CONTROL  ◆  </w:t>
      </w:r>
      <w:r>
        <w:rPr>
          <w:rFonts w:ascii="ARIAL" w:hAnsi="ARIAL"/>
          <w:color w:val="007CBA"/>
          <w:sz w:val="16"/>
        </w:rPr>
        <w:t>EXECUTIVE COMPENSATION</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b/>
          <w:color w:val="007CBA"/>
          <w:sz w:val="20"/>
        </w:rPr>
        <w:t>Value of Payments Upon Termination.</w:t>
      </w:r>
      <w:r>
        <w:rPr>
          <w:rFonts w:ascii="ARIAL" w:hAnsi="ARIAL"/>
          <w:sz w:val="20"/>
        </w:rPr>
        <w:t xml:space="preserve"> The following table shows the potential incremental value of payments to each of our named executive officers upon termination, including in the event of a Change of Control of Martin Marietta, assuming a December 31, 2022 termination date and, where applicable, using the NYSE closing price per share of our common stock of $337.97 on December 30, 2022 (the last trading day of 2022). </w:t>
      </w:r>
    </w:p>
    <w:p>
      <w:pPr>
        <w:pStyle w:val="TextBody"/>
        <w:spacing w:before="240" w:after="0"/>
        <w:jc w:val="center"/>
        <w:rPr>
          <w:rFonts w:ascii="ARIAL" w:hAnsi="ARIAL"/>
          <w:b/>
          <w:sz w:val="20"/>
        </w:rPr>
      </w:pPr>
      <w:r>
        <w:rPr>
          <w:rFonts w:ascii="ARIAL" w:hAnsi="ARIAL"/>
          <w:b/>
          <w:sz w:val="20"/>
        </w:rPr>
        <w:t xml:space="preserve">Potential Incremental Value of Payments Upon Termination or Change of Control at December 31,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64"/>
        <w:gridCol w:w="60"/>
        <w:gridCol w:w="1855"/>
        <w:gridCol w:w="60"/>
        <w:gridCol w:w="60"/>
        <w:gridCol w:w="1100"/>
        <w:gridCol w:w="60"/>
        <w:gridCol w:w="60"/>
        <w:gridCol w:w="102"/>
        <w:gridCol w:w="1373"/>
        <w:gridCol w:w="60"/>
        <w:gridCol w:w="60"/>
        <w:gridCol w:w="60"/>
        <w:gridCol w:w="1100"/>
        <w:gridCol w:w="60"/>
        <w:gridCol w:w="60"/>
        <w:gridCol w:w="60"/>
        <w:gridCol w:w="1100"/>
        <w:gridCol w:w="60"/>
        <w:gridCol w:w="60"/>
        <w:gridCol w:w="101"/>
        <w:gridCol w:w="1854"/>
        <w:gridCol w:w="76"/>
      </w:tblGrid>
      <w:tr>
        <w:trPr/>
        <w:tc>
          <w:tcPr>
            <w:tcW w:w="7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64" w:type="dxa"/>
            <w:tcBorders/>
            <w:shd w:fill="DBDBDB" w:val="clear"/>
            <w:vAlign w:val="center"/>
          </w:tcPr>
          <w:p>
            <w:pPr>
              <w:pStyle w:val="TableContents"/>
              <w:spacing w:before="0" w:after="283"/>
              <w:rPr>
                <w:sz w:val="4"/>
                <w:szCs w:val="4"/>
              </w:rPr>
            </w:pPr>
            <w:r>
              <w:rPr>
                <w:sz w:val="4"/>
                <w:szCs w:val="4"/>
              </w:rPr>
            </w:r>
          </w:p>
        </w:tc>
        <w:tc>
          <w:tcPr>
            <w:tcW w:w="1915" w:type="dxa"/>
            <w:gridSpan w:val="2"/>
            <w:tcBorders/>
            <w:shd w:fill="DBDBDB" w:val="clear"/>
            <w:vAlign w:val="center"/>
          </w:tcPr>
          <w:p>
            <w:pPr>
              <w:pStyle w:val="TableContents"/>
              <w:spacing w:before="0" w:after="283"/>
              <w:rPr>
                <w:sz w:val="4"/>
                <w:szCs w:val="4"/>
              </w:rPr>
            </w:pPr>
            <w:r>
              <w:rPr>
                <w:sz w:val="4"/>
                <w:szCs w:val="4"/>
              </w:rPr>
            </w:r>
          </w:p>
        </w:tc>
        <w:tc>
          <w:tcPr>
            <w:tcW w:w="1280" w:type="dxa"/>
            <w:gridSpan w:val="4"/>
            <w:tcBorders/>
            <w:shd w:fill="DBDBDB" w:val="clear"/>
            <w:vAlign w:val="center"/>
          </w:tcPr>
          <w:p>
            <w:pPr>
              <w:pStyle w:val="TableContents"/>
              <w:spacing w:before="0" w:after="283"/>
              <w:rPr>
                <w:sz w:val="4"/>
                <w:szCs w:val="4"/>
              </w:rPr>
            </w:pPr>
            <w:r>
              <w:rPr>
                <w:sz w:val="4"/>
                <w:szCs w:val="4"/>
              </w:rPr>
            </w:r>
          </w:p>
        </w:tc>
        <w:tc>
          <w:tcPr>
            <w:tcW w:w="1595" w:type="dxa"/>
            <w:gridSpan w:val="4"/>
            <w:tcBorders/>
            <w:shd w:fill="DBDBDB" w:val="clear"/>
            <w:vAlign w:val="center"/>
          </w:tcPr>
          <w:p>
            <w:pPr>
              <w:pStyle w:val="TableContents"/>
              <w:spacing w:before="0" w:after="283"/>
              <w:rPr>
                <w:sz w:val="4"/>
                <w:szCs w:val="4"/>
              </w:rPr>
            </w:pPr>
            <w:r>
              <w:rPr>
                <w:sz w:val="4"/>
                <w:szCs w:val="4"/>
              </w:rPr>
            </w:r>
          </w:p>
        </w:tc>
        <w:tc>
          <w:tcPr>
            <w:tcW w:w="1280" w:type="dxa"/>
            <w:gridSpan w:val="4"/>
            <w:tcBorders/>
            <w:shd w:fill="DBDBDB" w:val="clear"/>
            <w:vAlign w:val="center"/>
          </w:tcPr>
          <w:p>
            <w:pPr>
              <w:pStyle w:val="TableContents"/>
              <w:spacing w:before="0" w:after="283"/>
              <w:rPr>
                <w:sz w:val="4"/>
                <w:szCs w:val="4"/>
              </w:rPr>
            </w:pPr>
            <w:r>
              <w:rPr>
                <w:sz w:val="4"/>
                <w:szCs w:val="4"/>
              </w:rPr>
            </w:r>
          </w:p>
        </w:tc>
        <w:tc>
          <w:tcPr>
            <w:tcW w:w="1280" w:type="dxa"/>
            <w:gridSpan w:val="4"/>
            <w:tcBorders/>
            <w:shd w:fill="DBDBDB" w:val="clear"/>
            <w:vAlign w:val="center"/>
          </w:tcPr>
          <w:p>
            <w:pPr>
              <w:pStyle w:val="TableContents"/>
              <w:spacing w:before="0" w:after="283"/>
              <w:rPr>
                <w:sz w:val="4"/>
                <w:szCs w:val="4"/>
              </w:rPr>
            </w:pPr>
            <w:r>
              <w:rPr>
                <w:sz w:val="4"/>
                <w:szCs w:val="4"/>
              </w:rPr>
            </w:r>
          </w:p>
        </w:tc>
        <w:tc>
          <w:tcPr>
            <w:tcW w:w="2091" w:type="dxa"/>
            <w:gridSpan w:val="4"/>
            <w:tcBorders/>
            <w:shd w:fill="DBDBDB" w:val="clear"/>
            <w:vAlign w:val="center"/>
          </w:tcPr>
          <w:p>
            <w:pPr>
              <w:pStyle w:val="TableContents"/>
              <w:spacing w:before="0" w:after="283"/>
              <w:rPr>
                <w:sz w:val="4"/>
                <w:szCs w:val="4"/>
              </w:rPr>
            </w:pPr>
            <w:r>
              <w:rPr>
                <w:sz w:val="4"/>
                <w:szCs w:val="4"/>
              </w:rPr>
            </w:r>
          </w:p>
        </w:tc>
      </w:tr>
      <w:tr>
        <w:trPr/>
        <w:tc>
          <w:tcPr>
            <w:tcW w:w="764" w:type="dxa"/>
            <w:tcBorders/>
            <w:shd w:fill="DBDBDB" w:val="clear"/>
            <w:vAlign w:val="center"/>
          </w:tcPr>
          <w:p>
            <w:pPr>
              <w:pStyle w:val="TableContents"/>
              <w:spacing w:before="0" w:after="0"/>
              <w:rPr>
                <w:rFonts w:ascii="ARIAL" w:hAnsi="ARIAL"/>
                <w:b/>
                <w:sz w:val="14"/>
              </w:rPr>
            </w:pPr>
            <w:r>
              <w:rPr>
                <w:rFonts w:ascii="ARIAL" w:hAnsi="ARIAL"/>
                <w:b/>
                <w:sz w:val="14"/>
              </w:rPr>
              <w:t>Name</w:t>
            </w:r>
          </w:p>
        </w:tc>
        <w:tc>
          <w:tcPr>
            <w:tcW w:w="60" w:type="dxa"/>
            <w:tcBorders/>
            <w:shd w:fill="DBDBDB" w:val="clear"/>
            <w:vAlign w:val="center"/>
          </w:tcPr>
          <w:p>
            <w:pPr>
              <w:pStyle w:val="TableContents"/>
              <w:spacing w:before="0" w:after="283"/>
              <w:rPr/>
            </w:pPr>
            <w:r>
              <w:rPr/>
              <w:t> </w:t>
            </w:r>
          </w:p>
        </w:tc>
        <w:tc>
          <w:tcPr>
            <w:tcW w:w="1855" w:type="dxa"/>
            <w:tcBorders/>
            <w:shd w:fill="DBDBDB" w:val="clear"/>
            <w:vAlign w:val="center"/>
          </w:tcPr>
          <w:p>
            <w:pPr>
              <w:pStyle w:val="TableContents"/>
              <w:spacing w:before="0" w:after="283"/>
              <w:rPr>
                <w:b/>
              </w:rPr>
            </w:pPr>
            <w:r>
              <w:rPr>
                <w:b/>
              </w:rPr>
              <w:t>Benefit or Payment1</w:t>
            </w:r>
          </w:p>
        </w:tc>
        <w:tc>
          <w:tcPr>
            <w:tcW w:w="60" w:type="dxa"/>
            <w:tcBorders/>
            <w:shd w:fill="DBDBDB" w:val="clear"/>
            <w:vAlign w:val="center"/>
          </w:tcPr>
          <w:p>
            <w:pPr>
              <w:pStyle w:val="TableContents"/>
              <w:spacing w:before="0" w:after="283"/>
              <w:rPr/>
            </w:pPr>
            <w:r>
              <w:rPr/>
              <w:t> </w:t>
            </w:r>
          </w:p>
        </w:tc>
        <w:tc>
          <w:tcPr>
            <w:tcW w:w="1160" w:type="dxa"/>
            <w:gridSpan w:val="2"/>
            <w:tcBorders/>
            <w:shd w:fill="DBDBDB" w:val="clear"/>
            <w:vAlign w:val="center"/>
          </w:tcPr>
          <w:p>
            <w:pPr>
              <w:pStyle w:val="TableContents"/>
              <w:spacing w:before="0" w:after="283"/>
              <w:jc w:val="center"/>
              <w:rPr>
                <w:b/>
              </w:rPr>
            </w:pPr>
            <w:r>
              <w:rPr>
                <w:b/>
              </w:rPr>
              <w:t>Retirement</w:t>
              <w:br/>
              <w:t>($)</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475" w:type="dxa"/>
            <w:gridSpan w:val="2"/>
            <w:tcBorders/>
            <w:shd w:fill="DBDBDB" w:val="clear"/>
            <w:vAlign w:val="center"/>
          </w:tcPr>
          <w:p>
            <w:pPr>
              <w:pStyle w:val="TableContents"/>
              <w:spacing w:before="0" w:after="283"/>
              <w:jc w:val="center"/>
              <w:rPr>
                <w:b/>
              </w:rPr>
            </w:pPr>
            <w:r>
              <w:rPr>
                <w:b/>
              </w:rPr>
              <w:t>Involuntary</w:t>
              <w:br/>
              <w:t>Not-for-Cause</w:t>
              <w:br/>
              <w:t>Termination</w:t>
              <w:br/>
              <w:t>($)</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160" w:type="dxa"/>
            <w:gridSpan w:val="2"/>
            <w:tcBorders/>
            <w:shd w:fill="DBDBDB" w:val="clear"/>
            <w:vAlign w:val="center"/>
          </w:tcPr>
          <w:p>
            <w:pPr>
              <w:pStyle w:val="TableContents"/>
              <w:spacing w:before="0" w:after="283"/>
              <w:jc w:val="center"/>
              <w:rPr>
                <w:b/>
              </w:rPr>
            </w:pPr>
            <w:r>
              <w:rPr>
                <w:b/>
              </w:rPr>
              <w:t>Disability</w:t>
              <w:br/>
              <w:t>($)</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160" w:type="dxa"/>
            <w:gridSpan w:val="2"/>
            <w:tcBorders/>
            <w:shd w:fill="DBDBDB" w:val="clear"/>
            <w:vAlign w:val="center"/>
          </w:tcPr>
          <w:p>
            <w:pPr>
              <w:pStyle w:val="TableContents"/>
              <w:spacing w:before="0" w:after="283"/>
              <w:jc w:val="center"/>
              <w:rPr>
                <w:b/>
              </w:rPr>
            </w:pPr>
            <w:r>
              <w:rPr>
                <w:b/>
              </w:rPr>
              <w:t>Death</w:t>
              <w:br/>
              <w:t>($)</w:t>
            </w:r>
          </w:p>
        </w:tc>
        <w:tc>
          <w:tcPr>
            <w:tcW w:w="6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955" w:type="dxa"/>
            <w:gridSpan w:val="2"/>
            <w:tcBorders/>
            <w:shd w:fill="DBDBDB" w:val="clear"/>
            <w:vAlign w:val="center"/>
          </w:tcPr>
          <w:p>
            <w:pPr>
              <w:pStyle w:val="TableContents"/>
              <w:spacing w:before="0" w:after="283"/>
              <w:jc w:val="center"/>
              <w:rPr>
                <w:b/>
              </w:rPr>
            </w:pPr>
            <w:r>
              <w:rPr>
                <w:b/>
              </w:rPr>
              <w:t>Change-of-Control</w:t>
            </w:r>
          </w:p>
        </w:tc>
        <w:tc>
          <w:tcPr>
            <w:tcW w:w="76" w:type="dxa"/>
            <w:tcBorders/>
            <w:shd w:fill="DBDBDB" w:val="clear"/>
            <w:vAlign w:val="center"/>
          </w:tcPr>
          <w:p>
            <w:pPr>
              <w:pStyle w:val="TableContents"/>
              <w:spacing w:before="0" w:after="283"/>
              <w:rPr/>
            </w:pPr>
            <w:r>
              <w:rPr/>
              <w:t> </w:t>
            </w:r>
          </w:p>
        </w:tc>
      </w:tr>
      <w:tr>
        <w:trPr/>
        <w:tc>
          <w:tcPr>
            <w:tcW w:w="764" w:type="dxa"/>
            <w:tcBorders/>
            <w:shd w:fill="auto" w:val="clear"/>
            <w:vAlign w:val="center"/>
          </w:tcPr>
          <w:p>
            <w:pPr>
              <w:pStyle w:val="TableContents"/>
              <w:spacing w:before="0" w:after="283"/>
              <w:rPr>
                <w:sz w:val="4"/>
                <w:szCs w:val="4"/>
              </w:rPr>
            </w:pPr>
            <w:r>
              <w:rPr>
                <w:sz w:val="4"/>
                <w:szCs w:val="4"/>
              </w:rPr>
            </w:r>
          </w:p>
        </w:tc>
        <w:tc>
          <w:tcPr>
            <w:tcW w:w="1915" w:type="dxa"/>
            <w:gridSpan w:val="2"/>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764" w:type="dxa"/>
            <w:vMerge w:val="restart"/>
            <w:tcBorders>
              <w:bottom w:val="dotted" w:sz="8" w:space="0" w:color="000000"/>
            </w:tcBorders>
            <w:shd w:fill="auto" w:val="clear"/>
            <w:tcMar>
              <w:bottom w:w="28" w:type="dxa"/>
            </w:tcMar>
            <w:vAlign w:val="center"/>
          </w:tcPr>
          <w:p>
            <w:pPr>
              <w:pStyle w:val="TableContents"/>
              <w:spacing w:before="0" w:after="0"/>
              <w:rPr>
                <w:rFonts w:ascii="ARIAL" w:hAnsi="ARIAL"/>
                <w:b/>
                <w:sz w:val="14"/>
              </w:rPr>
            </w:pPr>
            <w:r>
              <w:rPr>
                <w:rFonts w:ascii="ARIAL" w:hAnsi="ARIAL"/>
                <w:b/>
                <w:sz w:val="14"/>
              </w:rPr>
              <w:t>C. Howard Nye</w:t>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Cash Severance2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14,355,000</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Unvested RSUs3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6,150,653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6,150,653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6,150,653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6,150,653</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Unexercisable Stock Options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64" w:type="dxa"/>
            <w:vMerge w:val="continue"/>
            <w:tcBorders>
              <w:bottom w:val="dotted" w:sz="8" w:space="0" w:color="000000"/>
            </w:tcBorders>
            <w:shd w:fill="auto" w:val="clear"/>
            <w:tcMar>
              <w:bottom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Unvested Incentive Stock Plan Units4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3,545,643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373" w:type="dxa"/>
            <w:tcBorders/>
            <w:shd w:fill="auto" w:val="clear"/>
            <w:vAlign w:val="center"/>
          </w:tcPr>
          <w:p>
            <w:pPr>
              <w:pStyle w:val="TableContents"/>
              <w:spacing w:before="0" w:after="283"/>
              <w:jc w:val="right"/>
              <w:rPr/>
            </w:pPr>
            <w:r>
              <w:rPr/>
              <w:t>251,190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3,545,643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3,545,643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3,545,643</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PSUs5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11,247,279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11,247,279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11,247,279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11,247,279</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Retirement Plans6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18,000,272</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28"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855" w:type="dxa"/>
            <w:tcBorders>
              <w:bottom w:val="dotted" w:sz="8" w:space="0" w:color="000000"/>
            </w:tcBorders>
            <w:shd w:fill="auto" w:val="clear"/>
            <w:tcMar>
              <w:bottom w:w="100" w:type="dxa"/>
            </w:tcMar>
            <w:vAlign w:val="center"/>
          </w:tcPr>
          <w:p>
            <w:pPr>
              <w:pStyle w:val="TableContents"/>
              <w:spacing w:before="0" w:after="283"/>
              <w:rPr/>
            </w:pPr>
            <w:r>
              <w:rPr/>
              <w:t>Health and Welfare Benefits7</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2" w:type="dxa"/>
            <w:tcBorders>
              <w:bottom w:val="dotted" w:sz="8" w:space="0" w:color="000000"/>
            </w:tcBorders>
            <w:shd w:fill="auto" w:val="clear"/>
            <w:tcMar>
              <w:bottom w:w="28" w:type="dxa"/>
            </w:tcMar>
            <w:vAlign w:val="center"/>
          </w:tcPr>
          <w:p>
            <w:pPr>
              <w:pStyle w:val="TableContents"/>
              <w:spacing w:before="0" w:after="283"/>
              <w:rPr/>
            </w:pPr>
            <w:r>
              <w:rPr/>
              <w:t> </w:t>
            </w:r>
          </w:p>
        </w:tc>
        <w:tc>
          <w:tcPr>
            <w:tcW w:w="137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1" w:type="dxa"/>
            <w:tcBorders>
              <w:bottom w:val="dotted" w:sz="8" w:space="0" w:color="000000"/>
            </w:tcBorders>
            <w:shd w:fill="auto" w:val="clear"/>
            <w:tcMar>
              <w:bottom w:w="100" w:type="dxa"/>
            </w:tcMar>
            <w:vAlign w:val="center"/>
          </w:tcPr>
          <w:p>
            <w:pPr>
              <w:pStyle w:val="TableContents"/>
              <w:spacing w:before="0" w:after="283"/>
              <w:rPr/>
            </w:pPr>
            <w:r>
              <w:rPr/>
              <w:t> </w:t>
            </w:r>
          </w:p>
        </w:tc>
        <w:tc>
          <w:tcPr>
            <w:tcW w:w="1854" w:type="dxa"/>
            <w:tcBorders>
              <w:bottom w:val="dotted" w:sz="8" w:space="0" w:color="000000"/>
            </w:tcBorders>
            <w:shd w:fill="auto" w:val="clear"/>
            <w:tcMar>
              <w:bottom w:w="100" w:type="dxa"/>
            </w:tcMar>
            <w:vAlign w:val="center"/>
          </w:tcPr>
          <w:p>
            <w:pPr>
              <w:pStyle w:val="TableContents"/>
              <w:spacing w:before="0" w:after="283"/>
              <w:jc w:val="right"/>
              <w:rPr/>
            </w:pPr>
            <w:r>
              <w:rPr/>
              <w:t>67,667</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4" w:type="dxa"/>
            <w:tcBorders/>
            <w:shd w:fill="auto" w:val="clear"/>
            <w:vAlign w:val="center"/>
          </w:tcPr>
          <w:p>
            <w:pPr>
              <w:pStyle w:val="TableContents"/>
              <w:spacing w:before="0" w:after="283"/>
              <w:rPr>
                <w:sz w:val="4"/>
                <w:szCs w:val="4"/>
              </w:rPr>
            </w:pPr>
            <w:r>
              <w:rPr>
                <w:sz w:val="4"/>
                <w:szCs w:val="4"/>
              </w:rPr>
            </w:r>
          </w:p>
        </w:tc>
        <w:tc>
          <w:tcPr>
            <w:tcW w:w="1915" w:type="dxa"/>
            <w:gridSpan w:val="2"/>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764"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James A. J. Nickolas</w:t>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Cash Severance2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4,610,895</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Unvested RSUs3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1,050,327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1,050,327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1,050,327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1,050,327</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Unexercisable Stock Options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Unvested Incentive Stock Plan Units4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206,838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373" w:type="dxa"/>
            <w:tcBorders/>
            <w:shd w:fill="auto" w:val="clear"/>
            <w:vAlign w:val="center"/>
          </w:tcPr>
          <w:p>
            <w:pPr>
              <w:pStyle w:val="TableContents"/>
              <w:spacing w:before="0" w:after="283"/>
              <w:jc w:val="right"/>
              <w:rPr/>
            </w:pPr>
            <w:r>
              <w:rPr/>
              <w:t>15,706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206,838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206,838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206,838</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PSUs5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1,867,433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1,867,433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1,867,433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1,867,433</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Retirement Plans6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1,126,056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4,244,186</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855" w:type="dxa"/>
            <w:tcBorders>
              <w:bottom w:val="dotted" w:sz="8" w:space="0" w:color="000000"/>
            </w:tcBorders>
            <w:shd w:fill="auto" w:val="clear"/>
            <w:tcMar>
              <w:bottom w:w="80" w:type="dxa"/>
            </w:tcMar>
            <w:vAlign w:val="center"/>
          </w:tcPr>
          <w:p>
            <w:pPr>
              <w:pStyle w:val="TableContents"/>
              <w:spacing w:before="0" w:after="283"/>
              <w:rPr/>
            </w:pPr>
            <w:r>
              <w:rPr/>
              <w:t>Health and Welfare Benefits7</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2" w:type="dxa"/>
            <w:tcBorders>
              <w:bottom w:val="dotted" w:sz="8" w:space="0" w:color="000000"/>
            </w:tcBorders>
            <w:shd w:fill="auto" w:val="clear"/>
            <w:tcMar>
              <w:bottom w:w="28" w:type="dxa"/>
            </w:tcMar>
            <w:vAlign w:val="center"/>
          </w:tcPr>
          <w:p>
            <w:pPr>
              <w:pStyle w:val="TableContents"/>
              <w:spacing w:before="0" w:after="283"/>
              <w:rPr/>
            </w:pPr>
            <w:r>
              <w:rPr/>
              <w:t> </w:t>
            </w:r>
          </w:p>
        </w:tc>
        <w:tc>
          <w:tcPr>
            <w:tcW w:w="137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1" w:type="dxa"/>
            <w:tcBorders>
              <w:bottom w:val="dotted" w:sz="8" w:space="0" w:color="000000"/>
            </w:tcBorders>
            <w:shd w:fill="auto" w:val="clear"/>
            <w:tcMar>
              <w:bottom w:w="80" w:type="dxa"/>
            </w:tcMar>
            <w:vAlign w:val="center"/>
          </w:tcPr>
          <w:p>
            <w:pPr>
              <w:pStyle w:val="TableContents"/>
              <w:spacing w:before="0" w:after="283"/>
              <w:rPr/>
            </w:pPr>
            <w:r>
              <w:rPr/>
              <w:t> </w:t>
            </w:r>
          </w:p>
        </w:tc>
        <w:tc>
          <w:tcPr>
            <w:tcW w:w="1854" w:type="dxa"/>
            <w:tcBorders>
              <w:bottom w:val="dotted" w:sz="8" w:space="0" w:color="000000"/>
            </w:tcBorders>
            <w:shd w:fill="auto" w:val="clear"/>
            <w:tcMar>
              <w:bottom w:w="80" w:type="dxa"/>
            </w:tcMar>
            <w:vAlign w:val="center"/>
          </w:tcPr>
          <w:p>
            <w:pPr>
              <w:pStyle w:val="TableContents"/>
              <w:spacing w:before="0" w:after="283"/>
              <w:jc w:val="right"/>
              <w:rPr/>
            </w:pPr>
            <w:r>
              <w:rPr/>
              <w:t>64,024</w:t>
            </w:r>
          </w:p>
        </w:tc>
        <w:tc>
          <w:tcPr>
            <w:tcW w:w="76"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764" w:type="dxa"/>
            <w:tcBorders/>
            <w:shd w:fill="auto" w:val="clear"/>
            <w:vAlign w:val="center"/>
          </w:tcPr>
          <w:p>
            <w:pPr>
              <w:pStyle w:val="TableContents"/>
              <w:spacing w:before="0" w:after="283"/>
              <w:rPr>
                <w:sz w:val="4"/>
                <w:szCs w:val="4"/>
              </w:rPr>
            </w:pPr>
            <w:r>
              <w:rPr>
                <w:sz w:val="4"/>
                <w:szCs w:val="4"/>
              </w:rPr>
            </w:r>
          </w:p>
        </w:tc>
        <w:tc>
          <w:tcPr>
            <w:tcW w:w="1915" w:type="dxa"/>
            <w:gridSpan w:val="2"/>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764"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Roselyn R. Bar</w:t>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Cash Severance2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5,249,550</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Unvested RSUs3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1,080,955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1,080,955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1,080,955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1,080,955</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Unexercisable Stock Options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Unvested Incentive Stock Plan Units4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671,208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373" w:type="dxa"/>
            <w:tcBorders/>
            <w:shd w:fill="auto" w:val="clear"/>
            <w:vAlign w:val="center"/>
          </w:tcPr>
          <w:p>
            <w:pPr>
              <w:pStyle w:val="TableContents"/>
              <w:spacing w:before="0" w:after="283"/>
              <w:jc w:val="right"/>
              <w:rPr/>
            </w:pPr>
            <w:r>
              <w:rPr/>
              <w:t>47,334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671,208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671,208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671,208</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PSUs5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1,929,856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1,929,856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1,929,856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1,929,856</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Retirement Plans6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5,498,933</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855" w:type="dxa"/>
            <w:tcBorders>
              <w:bottom w:val="dotted" w:sz="8" w:space="0" w:color="000000"/>
            </w:tcBorders>
            <w:shd w:fill="auto" w:val="clear"/>
            <w:tcMar>
              <w:bottom w:w="80" w:type="dxa"/>
            </w:tcMar>
            <w:vAlign w:val="center"/>
          </w:tcPr>
          <w:p>
            <w:pPr>
              <w:pStyle w:val="TableContents"/>
              <w:spacing w:before="0" w:after="283"/>
              <w:rPr/>
            </w:pPr>
            <w:r>
              <w:rPr/>
              <w:t>Health and Welfare Benefits7</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2" w:type="dxa"/>
            <w:tcBorders>
              <w:bottom w:val="dotted" w:sz="8" w:space="0" w:color="000000"/>
            </w:tcBorders>
            <w:shd w:fill="auto" w:val="clear"/>
            <w:tcMar>
              <w:bottom w:w="28" w:type="dxa"/>
            </w:tcMar>
            <w:vAlign w:val="center"/>
          </w:tcPr>
          <w:p>
            <w:pPr>
              <w:pStyle w:val="TableContents"/>
              <w:spacing w:before="0" w:after="283"/>
              <w:rPr/>
            </w:pPr>
            <w:r>
              <w:rPr/>
              <w:t> </w:t>
            </w:r>
          </w:p>
        </w:tc>
        <w:tc>
          <w:tcPr>
            <w:tcW w:w="137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1" w:type="dxa"/>
            <w:tcBorders>
              <w:bottom w:val="dotted" w:sz="8" w:space="0" w:color="000000"/>
            </w:tcBorders>
            <w:shd w:fill="auto" w:val="clear"/>
            <w:tcMar>
              <w:bottom w:w="80" w:type="dxa"/>
            </w:tcMar>
            <w:vAlign w:val="center"/>
          </w:tcPr>
          <w:p>
            <w:pPr>
              <w:pStyle w:val="TableContents"/>
              <w:spacing w:before="0" w:after="283"/>
              <w:rPr/>
            </w:pPr>
            <w:r>
              <w:rPr/>
              <w:t> </w:t>
            </w:r>
          </w:p>
        </w:tc>
        <w:tc>
          <w:tcPr>
            <w:tcW w:w="1854" w:type="dxa"/>
            <w:tcBorders>
              <w:bottom w:val="dotted" w:sz="8" w:space="0" w:color="000000"/>
            </w:tcBorders>
            <w:shd w:fill="auto" w:val="clear"/>
            <w:tcMar>
              <w:bottom w:w="80" w:type="dxa"/>
            </w:tcMar>
            <w:vAlign w:val="center"/>
          </w:tcPr>
          <w:p>
            <w:pPr>
              <w:pStyle w:val="TableContents"/>
              <w:spacing w:before="0" w:after="283"/>
              <w:jc w:val="right"/>
              <w:rPr/>
            </w:pPr>
            <w:r>
              <w:rPr/>
              <w:t>38,140</w:t>
            </w:r>
          </w:p>
        </w:tc>
        <w:tc>
          <w:tcPr>
            <w:tcW w:w="76"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764" w:type="dxa"/>
            <w:tcBorders/>
            <w:shd w:fill="auto" w:val="clear"/>
            <w:vAlign w:val="center"/>
          </w:tcPr>
          <w:p>
            <w:pPr>
              <w:pStyle w:val="TableContents"/>
              <w:spacing w:before="0" w:after="283"/>
              <w:rPr>
                <w:sz w:val="4"/>
                <w:szCs w:val="4"/>
              </w:rPr>
            </w:pPr>
            <w:r>
              <w:rPr>
                <w:sz w:val="4"/>
                <w:szCs w:val="4"/>
              </w:rPr>
            </w:r>
          </w:p>
        </w:tc>
        <w:tc>
          <w:tcPr>
            <w:tcW w:w="1915" w:type="dxa"/>
            <w:gridSpan w:val="2"/>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764" w:type="dxa"/>
            <w:vMerge w:val="restart"/>
            <w:tcBorders>
              <w:bottom w:val="dotted" w:sz="8"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Craig M. LaTorre</w:t>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Cash Severance2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3,762,900</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Unvested RSUs3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1,453,175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1,453,175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1,453,175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1,453,175</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Unexercisable Stock Options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Unvested Incentive Stock Plan Units4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337,294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373" w:type="dxa"/>
            <w:tcBorders/>
            <w:shd w:fill="auto" w:val="clear"/>
            <w:vAlign w:val="center"/>
          </w:tcPr>
          <w:p>
            <w:pPr>
              <w:pStyle w:val="TableContents"/>
              <w:spacing w:before="0" w:after="283"/>
              <w:jc w:val="right"/>
              <w:rPr/>
            </w:pPr>
            <w:r>
              <w:rPr/>
              <w:t>23,662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337,294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337,294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337,294</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PSUs5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1,394,036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1,394,036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1,394,036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1,394,036</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Retirement Plans6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1,277,178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2,918,572</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dotted" w:sz="8" w:space="0" w:color="000000"/>
            </w:tcBorders>
            <w:shd w:fill="auto" w:val="clear"/>
            <w:tcMar>
              <w:bottom w:w="80" w:type="dxa"/>
            </w:tcMar>
            <w:vAlign w:val="center"/>
          </w:tcPr>
          <w:p>
            <w:pPr>
              <w:pStyle w:val="Normal"/>
              <w:rPr/>
            </w:pPr>
            <w:r>
              <w:rPr/>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855" w:type="dxa"/>
            <w:tcBorders>
              <w:bottom w:val="dotted" w:sz="8" w:space="0" w:color="000000"/>
            </w:tcBorders>
            <w:shd w:fill="auto" w:val="clear"/>
            <w:tcMar>
              <w:bottom w:w="80" w:type="dxa"/>
            </w:tcMar>
            <w:vAlign w:val="center"/>
          </w:tcPr>
          <w:p>
            <w:pPr>
              <w:pStyle w:val="TableContents"/>
              <w:spacing w:before="0" w:after="283"/>
              <w:rPr/>
            </w:pPr>
            <w:r>
              <w:rPr/>
              <w:t>Health and Welfare Benefits7</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2" w:type="dxa"/>
            <w:tcBorders>
              <w:bottom w:val="dotted" w:sz="8" w:space="0" w:color="000000"/>
            </w:tcBorders>
            <w:shd w:fill="auto" w:val="clear"/>
            <w:tcMar>
              <w:bottom w:w="28" w:type="dxa"/>
            </w:tcMar>
            <w:vAlign w:val="center"/>
          </w:tcPr>
          <w:p>
            <w:pPr>
              <w:pStyle w:val="TableContents"/>
              <w:spacing w:before="0" w:after="283"/>
              <w:rPr/>
            </w:pPr>
            <w:r>
              <w:rPr/>
              <w:t> </w:t>
            </w:r>
          </w:p>
        </w:tc>
        <w:tc>
          <w:tcPr>
            <w:tcW w:w="1373"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10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01" w:type="dxa"/>
            <w:tcBorders>
              <w:bottom w:val="dotted" w:sz="8" w:space="0" w:color="000000"/>
            </w:tcBorders>
            <w:shd w:fill="auto" w:val="clear"/>
            <w:tcMar>
              <w:bottom w:w="80" w:type="dxa"/>
            </w:tcMar>
            <w:vAlign w:val="center"/>
          </w:tcPr>
          <w:p>
            <w:pPr>
              <w:pStyle w:val="TableContents"/>
              <w:spacing w:before="0" w:after="283"/>
              <w:rPr/>
            </w:pPr>
            <w:r>
              <w:rPr/>
              <w:t> </w:t>
            </w:r>
          </w:p>
        </w:tc>
        <w:tc>
          <w:tcPr>
            <w:tcW w:w="1854" w:type="dxa"/>
            <w:tcBorders>
              <w:bottom w:val="dotted" w:sz="8" w:space="0" w:color="000000"/>
            </w:tcBorders>
            <w:shd w:fill="auto" w:val="clear"/>
            <w:tcMar>
              <w:bottom w:w="80" w:type="dxa"/>
            </w:tcMar>
            <w:vAlign w:val="center"/>
          </w:tcPr>
          <w:p>
            <w:pPr>
              <w:pStyle w:val="TableContents"/>
              <w:spacing w:before="0" w:after="283"/>
              <w:jc w:val="right"/>
              <w:rPr/>
            </w:pPr>
            <w:r>
              <w:rPr/>
              <w:t>76,385</w:t>
            </w:r>
          </w:p>
        </w:tc>
        <w:tc>
          <w:tcPr>
            <w:tcW w:w="76" w:type="dxa"/>
            <w:tcBorders>
              <w:bottom w:val="dotted" w:sz="8" w:space="0" w:color="000000"/>
            </w:tcBorders>
            <w:shd w:fill="auto" w:val="clear"/>
            <w:tcMar>
              <w:bottom w:w="80" w:type="dxa"/>
            </w:tcMar>
            <w:vAlign w:val="center"/>
          </w:tcPr>
          <w:p>
            <w:pPr>
              <w:pStyle w:val="TableContents"/>
              <w:spacing w:before="0" w:after="283"/>
              <w:rPr/>
            </w:pPr>
            <w:r>
              <w:rPr/>
              <w:t> </w:t>
            </w:r>
          </w:p>
        </w:tc>
      </w:tr>
      <w:tr>
        <w:trPr/>
        <w:tc>
          <w:tcPr>
            <w:tcW w:w="764" w:type="dxa"/>
            <w:tcBorders/>
            <w:shd w:fill="auto" w:val="clear"/>
            <w:vAlign w:val="center"/>
          </w:tcPr>
          <w:p>
            <w:pPr>
              <w:pStyle w:val="TableContents"/>
              <w:spacing w:before="0" w:after="283"/>
              <w:rPr>
                <w:sz w:val="4"/>
                <w:szCs w:val="4"/>
              </w:rPr>
            </w:pPr>
            <w:r>
              <w:rPr>
                <w:sz w:val="4"/>
                <w:szCs w:val="4"/>
              </w:rPr>
            </w:r>
          </w:p>
        </w:tc>
        <w:tc>
          <w:tcPr>
            <w:tcW w:w="1915" w:type="dxa"/>
            <w:gridSpan w:val="2"/>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764" w:type="dxa"/>
            <w:vMerge w:val="restart"/>
            <w:tcBorders>
              <w:bottom w:val="single" w:sz="6" w:space="0" w:color="000000"/>
            </w:tcBorders>
            <w:shd w:fill="auto" w:val="clear"/>
            <w:tcMar>
              <w:bottom w:w="80" w:type="dxa"/>
            </w:tcMar>
            <w:vAlign w:val="center"/>
          </w:tcPr>
          <w:p>
            <w:pPr>
              <w:pStyle w:val="TableContents"/>
              <w:spacing w:before="0" w:after="0"/>
              <w:rPr>
                <w:rFonts w:ascii="ARIAL" w:hAnsi="ARIAL"/>
                <w:b/>
                <w:sz w:val="14"/>
              </w:rPr>
            </w:pPr>
            <w:r>
              <w:rPr>
                <w:rFonts w:ascii="ARIAL" w:hAnsi="ARIAL"/>
                <w:b/>
                <w:sz w:val="14"/>
              </w:rPr>
              <w:t>John P. Mohr</w:t>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Cash Severance2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2,955,510</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single" w:sz="6"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Unvested RSUs3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1,913,021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1,913,021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1,913,021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1,913,021</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single" w:sz="6"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Unexercisable Stock Options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64" w:type="dxa"/>
            <w:vMerge w:val="continue"/>
            <w:tcBorders>
              <w:bottom w:val="single" w:sz="6"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Unvested Incentive Stock Plan Units4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138,906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373" w:type="dxa"/>
            <w:tcBorders/>
            <w:shd w:fill="auto" w:val="clear"/>
            <w:vAlign w:val="center"/>
          </w:tcPr>
          <w:p>
            <w:pPr>
              <w:pStyle w:val="TableContents"/>
              <w:spacing w:before="0" w:after="283"/>
              <w:jc w:val="right"/>
              <w:rPr/>
            </w:pPr>
            <w:r>
              <w:rPr/>
              <w:t>10,549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138,906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138,906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138,906</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single" w:sz="6"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PSUs5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959,417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959,417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959,417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959,417</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single" w:sz="6"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855" w:type="dxa"/>
            <w:tcBorders/>
            <w:shd w:fill="auto" w:val="clear"/>
            <w:vAlign w:val="center"/>
          </w:tcPr>
          <w:p>
            <w:pPr>
              <w:pStyle w:val="TableContents"/>
              <w:spacing w:before="0" w:after="283"/>
              <w:rPr/>
            </w:pPr>
            <w:r>
              <w:rPr/>
              <w:t>Retirement Plans6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207,775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854" w:type="dxa"/>
            <w:tcBorders/>
            <w:shd w:fill="auto" w:val="clear"/>
            <w:vAlign w:val="center"/>
          </w:tcPr>
          <w:p>
            <w:pPr>
              <w:pStyle w:val="TableContents"/>
              <w:spacing w:before="0" w:after="283"/>
              <w:jc w:val="right"/>
              <w:rPr/>
            </w:pPr>
            <w:r>
              <w:rPr/>
              <w:t>2,320,260</w:t>
            </w:r>
          </w:p>
        </w:tc>
        <w:tc>
          <w:tcPr>
            <w:tcW w:w="76" w:type="dxa"/>
            <w:tcBorders/>
            <w:shd w:fill="auto" w:val="clear"/>
            <w:vAlign w:val="center"/>
          </w:tcPr>
          <w:p>
            <w:pPr>
              <w:pStyle w:val="TableContents"/>
              <w:spacing w:before="0" w:after="283"/>
              <w:rPr/>
            </w:pPr>
            <w:r>
              <w:rPr/>
              <w:t> </w:t>
            </w:r>
          </w:p>
        </w:tc>
      </w:tr>
      <w:tr>
        <w:trPr/>
        <w:tc>
          <w:tcPr>
            <w:tcW w:w="764" w:type="dxa"/>
            <w:vMerge w:val="continue"/>
            <w:tcBorders>
              <w:bottom w:val="single" w:sz="6" w:space="0" w:color="000000"/>
            </w:tcBorders>
            <w:shd w:fill="auto" w:val="clear"/>
            <w:tcMar>
              <w:bottom w:w="80" w:type="dxa"/>
            </w:tcMar>
            <w:vAlign w:val="center"/>
          </w:tcPr>
          <w:p>
            <w:pPr>
              <w:pStyle w:val="Normal"/>
              <w:rPr/>
            </w:pPr>
            <w:r>
              <w:rPr/>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855" w:type="dxa"/>
            <w:tcBorders>
              <w:bottom w:val="single" w:sz="6" w:space="0" w:color="000000"/>
            </w:tcBorders>
            <w:shd w:fill="auto" w:val="clear"/>
            <w:tcMar>
              <w:bottom w:w="80" w:type="dxa"/>
            </w:tcMar>
            <w:vAlign w:val="center"/>
          </w:tcPr>
          <w:p>
            <w:pPr>
              <w:pStyle w:val="TableContents"/>
              <w:spacing w:before="0" w:after="283"/>
              <w:rPr/>
            </w:pPr>
            <w:r>
              <w:rPr/>
              <w:t>Health and Welfare Benefits7</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0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02" w:type="dxa"/>
            <w:tcBorders>
              <w:bottom w:val="single" w:sz="6" w:space="0" w:color="000000"/>
            </w:tcBorders>
            <w:shd w:fill="auto" w:val="clear"/>
            <w:tcMar>
              <w:bottom w:w="28" w:type="dxa"/>
            </w:tcMar>
            <w:vAlign w:val="center"/>
          </w:tcPr>
          <w:p>
            <w:pPr>
              <w:pStyle w:val="TableContents"/>
              <w:spacing w:before="0" w:after="283"/>
              <w:rPr/>
            </w:pPr>
            <w:r>
              <w:rPr/>
              <w:t> </w:t>
            </w:r>
          </w:p>
        </w:tc>
        <w:tc>
          <w:tcPr>
            <w:tcW w:w="1373"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0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0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01" w:type="dxa"/>
            <w:tcBorders>
              <w:bottom w:val="single" w:sz="6" w:space="0" w:color="000000"/>
            </w:tcBorders>
            <w:shd w:fill="auto" w:val="clear"/>
            <w:tcMar>
              <w:bottom w:w="80" w:type="dxa"/>
            </w:tcMar>
            <w:vAlign w:val="center"/>
          </w:tcPr>
          <w:p>
            <w:pPr>
              <w:pStyle w:val="TableContents"/>
              <w:spacing w:before="0" w:after="283"/>
              <w:rPr/>
            </w:pPr>
            <w:r>
              <w:rPr/>
              <w:t> </w:t>
            </w:r>
          </w:p>
        </w:tc>
        <w:tc>
          <w:tcPr>
            <w:tcW w:w="1854" w:type="dxa"/>
            <w:tcBorders>
              <w:bottom w:val="single" w:sz="6" w:space="0" w:color="000000"/>
            </w:tcBorders>
            <w:shd w:fill="auto" w:val="clear"/>
            <w:tcMar>
              <w:bottom w:w="80" w:type="dxa"/>
            </w:tcMar>
            <w:vAlign w:val="center"/>
          </w:tcPr>
          <w:p>
            <w:pPr>
              <w:pStyle w:val="TableContents"/>
              <w:spacing w:before="0" w:after="283"/>
              <w:jc w:val="right"/>
              <w:rPr/>
            </w:pPr>
            <w:r>
              <w:rPr/>
              <w:t>21,990</w:t>
            </w:r>
          </w:p>
        </w:tc>
        <w:tc>
          <w:tcPr>
            <w:tcW w:w="76" w:type="dxa"/>
            <w:tcBorders>
              <w:bottom w:val="single" w:sz="6"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1</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2022. </w:t>
            </w:r>
          </w:p>
        </w:tc>
      </w:tr>
    </w:tbl>
    <w:tbl>
      <w:tblPr>
        <w:tblW w:w="3175" w:type="dxa"/>
        <w:jc w:val="left"/>
        <w:tblInd w:w="0" w:type="dxa"/>
        <w:tblCellMar>
          <w:top w:w="0" w:type="dxa"/>
          <w:left w:w="0" w:type="dxa"/>
          <w:bottom w:w="0" w:type="dxa"/>
          <w:right w:w="0" w:type="dxa"/>
        </w:tblCellMar>
      </w:tblPr>
      <w:tblGrid>
        <w:gridCol w:w="155"/>
        <w:gridCol w:w="3020"/>
      </w:tblGrid>
      <w:tr>
        <w:trPr/>
        <w:tc>
          <w:tcPr>
            <w:tcW w:w="155" w:type="dxa"/>
            <w:tcBorders/>
            <w:shd w:fill="auto" w:val="clear"/>
            <w:vAlign w:val="center"/>
          </w:tcPr>
          <w:p>
            <w:pPr>
              <w:pStyle w:val="TableContents"/>
              <w:spacing w:before="0" w:after="283"/>
              <w:jc w:val="left"/>
              <w:rPr/>
            </w:pPr>
            <w:r>
              <w:rPr/>
              <w:t>2</w:t>
            </w:r>
          </w:p>
        </w:tc>
        <w:tc>
          <w:tcPr>
            <w:tcW w:w="3020" w:type="dxa"/>
            <w:tcBorders/>
            <w:shd w:fill="auto" w:val="clear"/>
            <w:vAlign w:val="center"/>
          </w:tcPr>
          <w:p>
            <w:pPr>
              <w:pStyle w:val="TableContents"/>
              <w:spacing w:before="0" w:after="0"/>
              <w:jc w:val="left"/>
              <w:rPr>
                <w:rFonts w:ascii="ARIAL" w:hAnsi="ARIAL"/>
                <w:sz w:val="14"/>
              </w:rPr>
            </w:pPr>
            <w:r>
              <w:rPr>
                <w:rFonts w:ascii="ARIAL" w:hAnsi="ARIAL"/>
                <w:sz w:val="14"/>
              </w:rPr>
              <w:t xml:space="preserve">Assumes all earned base salary has been paid. </w:t>
            </w:r>
          </w:p>
        </w:tc>
      </w:tr>
    </w:tbl>
    <w:tbl>
      <w:tblPr>
        <w:tblW w:w="4555" w:type="dxa"/>
        <w:jc w:val="left"/>
        <w:tblInd w:w="0" w:type="dxa"/>
        <w:tblCellMar>
          <w:top w:w="0" w:type="dxa"/>
          <w:left w:w="0" w:type="dxa"/>
          <w:bottom w:w="0" w:type="dxa"/>
          <w:right w:w="0" w:type="dxa"/>
        </w:tblCellMar>
      </w:tblPr>
      <w:tblGrid>
        <w:gridCol w:w="155"/>
        <w:gridCol w:w="4400"/>
      </w:tblGrid>
      <w:tr>
        <w:trPr/>
        <w:tc>
          <w:tcPr>
            <w:tcW w:w="155" w:type="dxa"/>
            <w:tcBorders/>
            <w:shd w:fill="auto" w:val="clear"/>
            <w:vAlign w:val="center"/>
          </w:tcPr>
          <w:p>
            <w:pPr>
              <w:pStyle w:val="TableContents"/>
              <w:spacing w:before="0" w:after="283"/>
              <w:jc w:val="left"/>
              <w:rPr/>
            </w:pPr>
            <w:r>
              <w:rPr/>
              <w:t>3</w:t>
            </w:r>
          </w:p>
        </w:tc>
        <w:tc>
          <w:tcPr>
            <w:tcW w:w="4400" w:type="dxa"/>
            <w:tcBorders/>
            <w:shd w:fill="auto" w:val="clear"/>
            <w:vAlign w:val="center"/>
          </w:tcPr>
          <w:p>
            <w:pPr>
              <w:pStyle w:val="TableContents"/>
              <w:spacing w:before="0" w:after="0"/>
              <w:jc w:val="left"/>
              <w:rPr>
                <w:rFonts w:ascii="ARIAL" w:hAnsi="ARIAL"/>
                <w:sz w:val="14"/>
              </w:rPr>
            </w:pPr>
            <w:r>
              <w:rPr>
                <w:rFonts w:ascii="ARIAL" w:hAnsi="ARIAL"/>
                <w:sz w:val="14"/>
              </w:rPr>
              <w:t xml:space="preserve">Reflects the estimated lump-sum intrinsic value of all unvested RSUs.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4</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Reflects the difference between the value of the unvested Incentive Stock Plan share units at year-end and the amount of cash invested by the executive officer in the share units. </w:t>
            </w:r>
          </w:p>
        </w:tc>
      </w:tr>
    </w:tbl>
    <w:tbl>
      <w:tblPr>
        <w:tblW w:w="4555" w:type="dxa"/>
        <w:jc w:val="left"/>
        <w:tblInd w:w="0" w:type="dxa"/>
        <w:tblCellMar>
          <w:top w:w="0" w:type="dxa"/>
          <w:left w:w="0" w:type="dxa"/>
          <w:bottom w:w="0" w:type="dxa"/>
          <w:right w:w="0" w:type="dxa"/>
        </w:tblCellMar>
      </w:tblPr>
      <w:tblGrid>
        <w:gridCol w:w="155"/>
        <w:gridCol w:w="4400"/>
      </w:tblGrid>
      <w:tr>
        <w:trPr/>
        <w:tc>
          <w:tcPr>
            <w:tcW w:w="155" w:type="dxa"/>
            <w:tcBorders/>
            <w:shd w:fill="auto" w:val="clear"/>
            <w:vAlign w:val="center"/>
          </w:tcPr>
          <w:p>
            <w:pPr>
              <w:pStyle w:val="TableContents"/>
              <w:spacing w:before="0" w:after="283"/>
              <w:jc w:val="left"/>
              <w:rPr/>
            </w:pPr>
            <w:r>
              <w:rPr/>
              <w:t>5</w:t>
            </w:r>
          </w:p>
        </w:tc>
        <w:tc>
          <w:tcPr>
            <w:tcW w:w="4400" w:type="dxa"/>
            <w:tcBorders/>
            <w:shd w:fill="auto" w:val="clear"/>
            <w:vAlign w:val="center"/>
          </w:tcPr>
          <w:p>
            <w:pPr>
              <w:pStyle w:val="TableContents"/>
              <w:spacing w:before="0" w:after="0"/>
              <w:jc w:val="left"/>
              <w:rPr>
                <w:rFonts w:ascii="ARIAL" w:hAnsi="ARIAL"/>
                <w:sz w:val="14"/>
              </w:rPr>
            </w:pPr>
            <w:r>
              <w:rPr>
                <w:rFonts w:ascii="ARIAL" w:hAnsi="ARIAL"/>
                <w:sz w:val="14"/>
              </w:rPr>
              <w:t xml:space="preserve">Reflects the estimated lump-sum intrinsic value of all unvested PSUs. </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34"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8" descr=""/>
                          <pic:cNvPicPr>
                            <a:picLocks noChangeAspect="1" noChangeArrowheads="1"/>
                          </pic:cNvPicPr>
                        </pic:nvPicPr>
                        <pic:blipFill>
                          <a:blip r:embed="rId21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81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CEO PAY RATIO DISCLOSURE  ◆</w:t>
      </w:r>
      <w:r>
        <w:rPr>
          <w:rFonts w:ascii="ARIAL" w:hAnsi="ARIAL"/>
          <w:sz w:val="16"/>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6</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pages 78-79. Change of Control values include the incremental value of the benefit (including three times Martin Marietta’s match to the defined contribution plan) payable upon a qualifying termination of employment following a Change of Control.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7</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Reflects the estimated incremental lump-sum present value of all future premiums that would be paid on behalf of the named executive officer under Martin Marietta’s health and welfare plans, including long-term disability and life insurance plans. </w:t>
            </w:r>
          </w:p>
        </w:tc>
      </w:tr>
    </w:tbl>
    <w:p>
      <w:pPr>
        <w:pStyle w:val="TextBody"/>
        <w:spacing w:before="360" w:after="0"/>
        <w:jc w:val="left"/>
        <w:rPr>
          <w:rFonts w:ascii="ARIAL" w:hAnsi="ARIAL"/>
          <w:b/>
          <w:color w:val="007CBA"/>
          <w:sz w:val="42"/>
        </w:rPr>
      </w:pPr>
      <w:bookmarkStart w:id="74" w:name="toc390557_66a"/>
      <w:bookmarkEnd w:id="74"/>
      <w:r>
        <w:rPr>
          <w:rFonts w:ascii="ARIAL" w:hAnsi="ARIAL"/>
          <w:b/>
          <w:color w:val="007CBA"/>
          <w:sz w:val="42"/>
        </w:rPr>
        <w:t xml:space="preserve">Required Pay Disclosures </w:t>
      </w:r>
    </w:p>
    <w:p>
      <w:pPr>
        <w:pStyle w:val="TextBody"/>
        <w:spacing w:before="240" w:after="0"/>
        <w:jc w:val="left"/>
        <w:rPr>
          <w:rFonts w:ascii="ARIAL" w:hAnsi="ARIAL"/>
          <w:b/>
          <w:color w:val="71BE9A"/>
          <w:sz w:val="26"/>
        </w:rPr>
      </w:pPr>
      <w:bookmarkStart w:id="75" w:name="toc390557_67"/>
      <w:bookmarkEnd w:id="75"/>
      <w:r>
        <w:rPr>
          <w:rFonts w:ascii="ARIAL" w:hAnsi="ARIAL"/>
          <w:b/>
          <w:color w:val="71BE9A"/>
          <w:sz w:val="26"/>
        </w:rPr>
        <w:t xml:space="preserve">CEO Pay Ratio Disclosure </w:t>
      </w:r>
    </w:p>
    <w:p>
      <w:pPr>
        <w:pStyle w:val="TextBody"/>
        <w:spacing w:before="120" w:after="0"/>
        <w:jc w:val="left"/>
        <w:rPr>
          <w:rFonts w:ascii="ARIAL" w:hAnsi="ARIAL"/>
          <w:sz w:val="20"/>
        </w:rPr>
      </w:pPr>
      <w:r>
        <w:rPr>
          <w:rFonts w:ascii="ARIAL" w:hAnsi="ARIAL"/>
          <w:sz w:val="20"/>
        </w:rPr>
        <w:t xml:space="preserve">The Company is required to disclose in its Proxy Statement the annual total compensation of the median-compensated employee of, generally, all Company employees (excluding the CEO), the annual total compensation of its CEO, and the ratio of the CEO compensation to the median employee’s compensation. </w:t>
      </w:r>
    </w:p>
    <w:p>
      <w:pPr>
        <w:pStyle w:val="TextBody"/>
        <w:spacing w:before="240" w:after="0"/>
        <w:jc w:val="left"/>
        <w:rPr>
          <w:rFonts w:ascii="ARIAL" w:hAnsi="ARIAL"/>
          <w:sz w:val="20"/>
        </w:rPr>
      </w:pPr>
      <w:r>
        <w:rPr>
          <w:rFonts w:ascii="ARIAL" w:hAnsi="ARIAL"/>
          <w:sz w:val="20"/>
        </w:rPr>
        <w:t xml:space="preserve">In 2022, the Company employed approximately 9,400 employees that were located primarily in the United States with a limited number of employees in Canada and The Bahamas. </w:t>
      </w:r>
    </w:p>
    <w:p>
      <w:pPr>
        <w:pStyle w:val="TextBody"/>
        <w:spacing w:before="240" w:after="0"/>
        <w:jc w:val="left"/>
        <w:rPr>
          <w:rFonts w:ascii="ARIAL" w:hAnsi="ARIAL"/>
          <w:sz w:val="20"/>
        </w:rPr>
      </w:pPr>
      <w:r>
        <w:rPr>
          <w:rFonts w:ascii="ARIAL" w:hAnsi="ARIAL"/>
          <w:sz w:val="20"/>
        </w:rPr>
        <w:t xml:space="preserve">The methodology described in this section was used to identify the median employee in 2022. The methodology described in this section was used to identify the median employee in 2022. The median employee compensation was identified using a consistently applied compensation measure, encompassing base salary, overtime, and incentive compensation with a performance period of one year or less (such as annual incentives and sales or other bonuses). As allowed under the SEC rules, base pay was annualized for employees hired during the year to reflect a full year of service and the de minimis exemption was applied to excluded approximately 205 employees located in Canada and The Bahamas. </w:t>
      </w:r>
    </w:p>
    <w:p>
      <w:pPr>
        <w:pStyle w:val="TextBody"/>
        <w:spacing w:before="240" w:after="0"/>
        <w:jc w:val="left"/>
        <w:rPr>
          <w:rFonts w:ascii="ARIAL" w:hAnsi="ARIAL"/>
          <w:sz w:val="20"/>
        </w:rPr>
      </w:pPr>
      <w:r>
        <w:rPr>
          <w:rFonts w:ascii="ARIAL" w:hAnsi="ARIAL"/>
          <w:sz w:val="20"/>
        </w:rPr>
        <w:t xml:space="preserve">We determined the required ratio by: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calculating the compensation based on a consistently applied measure as described above of all employees except the CEO, and then sorting those employees from highest to lowest;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determining the median employee from that list, including evaluating employees situated slightly above and below the calculated median to ensure the selected employee reflects our population as a whole;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calculating the total annual compensation of our CEO and of the median employee using the same methodology required for the Summary Compensation Table. </w:t>
            </w:r>
          </w:p>
        </w:tc>
      </w:tr>
    </w:tbl>
    <w:p>
      <w:pPr>
        <w:pStyle w:val="TextBody"/>
        <w:spacing w:before="240" w:after="0"/>
        <w:jc w:val="left"/>
        <w:rPr>
          <w:rFonts w:ascii="ARIAL" w:hAnsi="ARIAL"/>
          <w:sz w:val="20"/>
        </w:rPr>
      </w:pPr>
      <w:r>
        <w:rPr>
          <w:rFonts w:ascii="ARIAL" w:hAnsi="ARIAL"/>
          <w:sz w:val="20"/>
        </w:rPr>
        <w:t xml:space="preserve">The total annual compensation for our CEO for fiscal year 2022 was $12,784,251. The total annual compensation in 2022 for the median employee (other than our CEO) was $79,848. The resulting ratio of CEO pay to the pay of our median employee for fiscal year 2022 is 155 to one. </w:t>
      </w:r>
    </w:p>
    <w:p>
      <w:pPr>
        <w:pStyle w:val="TextBody"/>
        <w:spacing w:before="240" w:after="0"/>
        <w:jc w:val="left"/>
        <w:rPr>
          <w:rFonts w:ascii="ARIAL" w:hAnsi="ARIAL"/>
          <w:sz w:val="20"/>
        </w:rPr>
      </w:pPr>
      <w:r>
        <w:rPr>
          <w:rFonts w:ascii="ARIAL" w:hAnsi="ARIAL"/>
          <w:sz w:val="20"/>
        </w:rPr>
        <w:t xml:space="preserve">This pay ratio is a reasonable estimate calculated in a manner consistent with SEC rules based on our payroll and employment records and the methodology described above. Because the SEC rules for identifying the median-compensated employee and calculating the pay ratio based on that employee’s annual total compensation allow companies to adopt a variety of methodologies, to apply certain exclusions, and to make reasonable estimates and assumptions that reflect their compensation practices, the amount of compensation of the median-compensated employee and the pay ratio reported by other companies may not be comparable to our estimates reported above, as other companies may have different employment and compensation practices and may utilize different methodologies, exclusions, estimates and assumptions in calculating their own pay ratios.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82</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35"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9" descr=""/>
                          <pic:cNvPicPr>
                            <a:picLocks noChangeAspect="1" noChangeArrowheads="1"/>
                          </pic:cNvPicPr>
                        </pic:nvPicPr>
                        <pic:blipFill>
                          <a:blip r:embed="rId22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color w:val="007CBA"/>
          <w:spacing w:val="0"/>
        </w:rPr>
      </w:pPr>
      <w:r>
        <w:rPr>
          <w:color w:val="007CBA"/>
          <w:spacing w:val="0"/>
        </w:rPr>
        <w:t>◆</w:t>
      </w:r>
    </w:p>
    <w:p>
      <w:pPr>
        <w:pStyle w:val="TextBody"/>
        <w:spacing w:before="0" w:after="0"/>
        <w:jc w:val="right"/>
        <w:rPr>
          <w:color w:val="007CBA"/>
          <w:spacing w:val="0"/>
        </w:rPr>
      </w:pPr>
      <w:r>
        <w:rPr>
          <w:color w:val="007CBA"/>
          <w:spacing w:val="0"/>
        </w:rPr>
        <w:t>  </w:t>
      </w:r>
      <w:r>
        <w:rPr>
          <w:rFonts w:ascii="ARIAL" w:hAnsi="ARIAL"/>
          <w:color w:val="007CBA"/>
          <w:spacing w:val="0"/>
          <w:sz w:val="16"/>
        </w:rPr>
        <w:t>PAY VERSUS PERFORMANCE</w:t>
      </w:r>
    </w:p>
    <w:p>
      <w:pPr>
        <w:pStyle w:val="TextBody"/>
        <w:spacing w:before="0" w:after="0"/>
        <w:jc w:val="left"/>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 w:hAnsi="ARIAL"/>
          <w:b/>
          <w:color w:val="71BE9A"/>
          <w:spacing w:val="0"/>
          <w:sz w:val="26"/>
        </w:rPr>
      </w:pPr>
      <w:r>
        <w:rPr>
          <w:rFonts w:ascii="ARIAL" w:hAnsi="ARIAL"/>
          <w:b/>
          <w:color w:val="71BE9A"/>
          <w:spacing w:val="0"/>
          <w:sz w:val="26"/>
        </w:rPr>
        <w:t xml:space="preserve">Pay Versus Performance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ARIAL" w:hAnsi="ARIAL"/>
          <w:sz w:val="20"/>
        </w:rPr>
      </w:pPr>
      <w:r>
        <w:rPr>
          <w:rFonts w:ascii="ARIAL" w:hAnsi="ARIAL"/>
          <w:sz w:val="20"/>
        </w:rPr>
        <w:t xml:space="preserve">The Company is required to disclose in its Proxy Statement information that shows the relationship between “Compensation </w:t>
      </w:r>
    </w:p>
    <w:p>
      <w:pPr>
        <w:pStyle w:val="TextBody"/>
        <w:spacing w:before="240" w:after="0"/>
        <w:jc w:val="left"/>
        <w:rPr>
          <w:rFonts w:ascii="ARIAL" w:hAnsi="ARIAL"/>
          <w:spacing w:val="0"/>
          <w:sz w:val="20"/>
        </w:rPr>
      </w:pPr>
      <w:r>
        <w:rPr>
          <w:rFonts w:ascii="ARIAL" w:hAnsi="ARIAL"/>
          <w:spacing w:val="0"/>
          <w:sz w:val="20"/>
        </w:rPr>
        <w:t>A</w:t>
      </w:r>
    </w:p>
    <w:p>
      <w:pPr>
        <w:pStyle w:val="TextBody"/>
        <w:spacing w:before="240" w:after="0"/>
        <w:jc w:val="left"/>
        <w:rPr>
          <w:rFonts w:ascii="ARIAL" w:hAnsi="ARIAL"/>
          <w:sz w:val="20"/>
        </w:rPr>
      </w:pPr>
      <w:r>
        <w:rPr>
          <w:rFonts w:ascii="ARIAL" w:hAnsi="ARIAL"/>
          <w:sz w:val="20"/>
        </w:rPr>
        <w:t xml:space="preserve">ctually Paid” as defined in Item 402(v) of Regulation </w:t>
      </w:r>
    </w:p>
    <w:p>
      <w:pPr>
        <w:pStyle w:val="TextBody"/>
        <w:spacing w:before="240" w:after="0"/>
        <w:jc w:val="left"/>
        <w:rPr>
          <w:rFonts w:ascii="ARIAL" w:hAnsi="ARIAL"/>
          <w:spacing w:val="0"/>
          <w:sz w:val="20"/>
        </w:rPr>
      </w:pPr>
      <w:r>
        <w:rPr>
          <w:rFonts w:ascii="ARIAL" w:hAnsi="ARIAL"/>
          <w:spacing w:val="0"/>
          <w:sz w:val="20"/>
        </w:rPr>
        <w:t>S-K</w:t>
      </w:r>
    </w:p>
    <w:p>
      <w:pPr>
        <w:pStyle w:val="TextBody"/>
        <w:spacing w:before="240" w:after="0"/>
        <w:jc w:val="left"/>
        <w:rPr>
          <w:rFonts w:ascii="ARIAL" w:hAnsi="ARIAL"/>
          <w:sz w:val="20"/>
        </w:rPr>
      </w:pPr>
      <w:r>
        <w:rPr>
          <w:rFonts w:ascii="ARIAL" w:hAnsi="ARIAL"/>
          <w:sz w:val="20"/>
        </w:rPr>
        <w:t xml:space="preserve">and the financial performance of the Company. The Management Development and Compensation Committee did not consider the Pay Versus Performance disclosure when making its executive pay or incentive compensation decisions for any of the years shown. For a discussion of how the Management Development and Compensation Committee seeks to align pay with performance when making compensation decisions, please review the Compensation Discussion and Analysis beginning on page 41. The table and notes below provide this disclosure for the fiscal years ending December 31, 2022, 2021 and 2020. </w:t>
      </w:r>
    </w:p>
    <w:p>
      <w:pPr>
        <w:pStyle w:val="TextBody"/>
        <w:spacing w:before="0" w:after="0"/>
        <w:jc w:val="left"/>
        <w:rPr/>
      </w:pPr>
      <w:r>
        <w:rPr/>
        <w:t> </w:t>
      </w:r>
    </w:p>
    <w:tbl>
      <w:tblPr>
        <w:tblW w:w="10855" w:type="dxa"/>
        <w:jc w:val="left"/>
        <w:tblInd w:w="0" w:type="dxa"/>
        <w:tblCellMar>
          <w:top w:w="0" w:type="dxa"/>
          <w:left w:w="0" w:type="dxa"/>
          <w:bottom w:w="0" w:type="dxa"/>
          <w:right w:w="0" w:type="dxa"/>
        </w:tblCellMar>
      </w:tblPr>
      <w:tblGrid>
        <w:gridCol w:w="440"/>
        <w:gridCol w:w="60"/>
        <w:gridCol w:w="60"/>
        <w:gridCol w:w="60"/>
        <w:gridCol w:w="1100"/>
        <w:gridCol w:w="60"/>
        <w:gridCol w:w="60"/>
        <w:gridCol w:w="60"/>
        <w:gridCol w:w="60"/>
        <w:gridCol w:w="1100"/>
        <w:gridCol w:w="95"/>
        <w:gridCol w:w="60"/>
        <w:gridCol w:w="61"/>
        <w:gridCol w:w="61"/>
        <w:gridCol w:w="1005"/>
        <w:gridCol w:w="63"/>
        <w:gridCol w:w="60"/>
        <w:gridCol w:w="60"/>
        <w:gridCol w:w="60"/>
        <w:gridCol w:w="980"/>
        <w:gridCol w:w="95"/>
        <w:gridCol w:w="60"/>
        <w:gridCol w:w="68"/>
        <w:gridCol w:w="68"/>
        <w:gridCol w:w="774"/>
        <w:gridCol w:w="70"/>
        <w:gridCol w:w="60"/>
        <w:gridCol w:w="68"/>
        <w:gridCol w:w="68"/>
        <w:gridCol w:w="774"/>
        <w:gridCol w:w="70"/>
        <w:gridCol w:w="60"/>
        <w:gridCol w:w="60"/>
        <w:gridCol w:w="60"/>
        <w:gridCol w:w="1220"/>
        <w:gridCol w:w="60"/>
        <w:gridCol w:w="60"/>
        <w:gridCol w:w="60"/>
        <w:gridCol w:w="60"/>
        <w:gridCol w:w="1400"/>
        <w:gridCol w:w="75"/>
      </w:tblGrid>
      <w:tr>
        <w:trPr/>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40" w:type="dxa"/>
            <w:tcBorders/>
            <w:shd w:fill="DBDBDB" w:val="clear"/>
            <w:vAlign w:val="center"/>
          </w:tcPr>
          <w:p>
            <w:pPr>
              <w:pStyle w:val="TableContents"/>
              <w:spacing w:before="0" w:after="283"/>
              <w:rPr>
                <w:sz w:val="4"/>
                <w:szCs w:val="4"/>
              </w:rPr>
            </w:pPr>
            <w:r>
              <w:rPr>
                <w:sz w:val="4"/>
                <w:szCs w:val="4"/>
              </w:rPr>
            </w:r>
          </w:p>
        </w:tc>
        <w:tc>
          <w:tcPr>
            <w:tcW w:w="1340" w:type="dxa"/>
            <w:gridSpan w:val="5"/>
            <w:tcBorders/>
            <w:shd w:fill="DBDBDB" w:val="clear"/>
            <w:vAlign w:val="center"/>
          </w:tcPr>
          <w:p>
            <w:pPr>
              <w:pStyle w:val="TableContents"/>
              <w:spacing w:before="0" w:after="283"/>
              <w:rPr>
                <w:sz w:val="4"/>
                <w:szCs w:val="4"/>
              </w:rPr>
            </w:pPr>
            <w:r>
              <w:rPr>
                <w:sz w:val="4"/>
                <w:szCs w:val="4"/>
              </w:rPr>
            </w:r>
          </w:p>
        </w:tc>
        <w:tc>
          <w:tcPr>
            <w:tcW w:w="1375" w:type="dxa"/>
            <w:gridSpan w:val="5"/>
            <w:tcBorders/>
            <w:shd w:fill="DBDBDB" w:val="clear"/>
            <w:vAlign w:val="center"/>
          </w:tcPr>
          <w:p>
            <w:pPr>
              <w:pStyle w:val="TableContents"/>
              <w:spacing w:before="0" w:after="283"/>
              <w:rPr>
                <w:sz w:val="4"/>
                <w:szCs w:val="4"/>
              </w:rPr>
            </w:pPr>
            <w:r>
              <w:rPr>
                <w:sz w:val="4"/>
                <w:szCs w:val="4"/>
              </w:rPr>
            </w:r>
          </w:p>
        </w:tc>
        <w:tc>
          <w:tcPr>
            <w:tcW w:w="1250" w:type="dxa"/>
            <w:gridSpan w:val="5"/>
            <w:tcBorders/>
            <w:shd w:fill="DBDBDB" w:val="clear"/>
            <w:vAlign w:val="center"/>
          </w:tcPr>
          <w:p>
            <w:pPr>
              <w:pStyle w:val="TableContents"/>
              <w:spacing w:before="0" w:after="283"/>
              <w:rPr>
                <w:sz w:val="4"/>
                <w:szCs w:val="4"/>
              </w:rPr>
            </w:pPr>
            <w:r>
              <w:rPr>
                <w:sz w:val="4"/>
                <w:szCs w:val="4"/>
              </w:rPr>
            </w:r>
          </w:p>
        </w:tc>
        <w:tc>
          <w:tcPr>
            <w:tcW w:w="1255" w:type="dxa"/>
            <w:gridSpan w:val="5"/>
            <w:tcBorders/>
            <w:shd w:fill="DBDBDB" w:val="clear"/>
            <w:vAlign w:val="center"/>
          </w:tcPr>
          <w:p>
            <w:pPr>
              <w:pStyle w:val="TableContents"/>
              <w:spacing w:before="0" w:after="283"/>
              <w:rPr>
                <w:sz w:val="4"/>
                <w:szCs w:val="4"/>
              </w:rPr>
            </w:pPr>
            <w:r>
              <w:rPr>
                <w:sz w:val="4"/>
                <w:szCs w:val="4"/>
              </w:rPr>
            </w:r>
          </w:p>
        </w:tc>
        <w:tc>
          <w:tcPr>
            <w:tcW w:w="2080" w:type="dxa"/>
            <w:gridSpan w:val="10"/>
            <w:tcBorders/>
            <w:shd w:fill="DBDBDB" w:val="clear"/>
            <w:vAlign w:val="center"/>
          </w:tcPr>
          <w:p>
            <w:pPr>
              <w:pStyle w:val="TableContents"/>
              <w:spacing w:before="0" w:after="283"/>
              <w:rPr>
                <w:sz w:val="4"/>
                <w:szCs w:val="4"/>
              </w:rPr>
            </w:pPr>
            <w:r>
              <w:rPr>
                <w:sz w:val="4"/>
                <w:szCs w:val="4"/>
              </w:rPr>
            </w:r>
          </w:p>
        </w:tc>
        <w:tc>
          <w:tcPr>
            <w:tcW w:w="1460" w:type="dxa"/>
            <w:gridSpan w:val="5"/>
            <w:tcBorders/>
            <w:shd w:fill="DBDBDB" w:val="clear"/>
            <w:vAlign w:val="center"/>
          </w:tcPr>
          <w:p>
            <w:pPr>
              <w:pStyle w:val="TableContents"/>
              <w:spacing w:before="0" w:after="283"/>
              <w:rPr>
                <w:sz w:val="4"/>
                <w:szCs w:val="4"/>
              </w:rPr>
            </w:pPr>
            <w:r>
              <w:rPr>
                <w:sz w:val="4"/>
                <w:szCs w:val="4"/>
              </w:rPr>
            </w:r>
          </w:p>
        </w:tc>
        <w:tc>
          <w:tcPr>
            <w:tcW w:w="1655" w:type="dxa"/>
            <w:gridSpan w:val="5"/>
            <w:tcBorders/>
            <w:shd w:fill="DBDBDB" w:val="clear"/>
            <w:vAlign w:val="center"/>
          </w:tcPr>
          <w:p>
            <w:pPr>
              <w:pStyle w:val="TableContents"/>
              <w:spacing w:before="0" w:after="283"/>
              <w:rPr>
                <w:sz w:val="4"/>
                <w:szCs w:val="4"/>
              </w:rPr>
            </w:pPr>
            <w:r>
              <w:rPr>
                <w:sz w:val="4"/>
                <w:szCs w:val="4"/>
              </w:rPr>
            </w:r>
          </w:p>
        </w:tc>
      </w:tr>
      <w:tr>
        <w:trPr/>
        <w:tc>
          <w:tcPr>
            <w:tcW w:w="44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280" w:type="dxa"/>
            <w:gridSpan w:val="4"/>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315" w:type="dxa"/>
            <w:gridSpan w:val="4"/>
            <w:tcBorders/>
            <w:shd w:fill="DBDBDB" w:val="clear"/>
            <w:vAlign w:val="center"/>
          </w:tcPr>
          <w:p>
            <w:pPr>
              <w:pStyle w:val="TableContents"/>
              <w:spacing w:before="0" w:after="283"/>
              <w:rPr/>
            </w:pPr>
            <w:r>
              <w:rPr/>
              <w:t> </w:t>
            </w:r>
          </w:p>
        </w:tc>
        <w:tc>
          <w:tcPr>
            <w:tcW w:w="60" w:type="dxa"/>
            <w:vMerge w:val="restart"/>
            <w:tcBorders/>
            <w:shd w:fill="DBDBDB" w:val="clear"/>
            <w:vAlign w:val="center"/>
          </w:tcPr>
          <w:p>
            <w:pPr>
              <w:pStyle w:val="TableContents"/>
              <w:spacing w:before="0" w:after="283"/>
              <w:rPr/>
            </w:pPr>
            <w:r>
              <w:rPr/>
              <w:t> </w:t>
            </w:r>
          </w:p>
        </w:tc>
        <w:tc>
          <w:tcPr>
            <w:tcW w:w="1190" w:type="dxa"/>
            <w:gridSpan w:val="4"/>
            <w:vMerge w:val="restart"/>
            <w:tcBorders/>
            <w:shd w:fill="DBDBDB" w:val="clear"/>
            <w:vAlign w:val="center"/>
          </w:tcPr>
          <w:p>
            <w:pPr>
              <w:pStyle w:val="TableContents"/>
              <w:spacing w:before="0" w:after="0"/>
              <w:jc w:val="center"/>
              <w:rPr>
                <w:rFonts w:ascii="ARIAL" w:hAnsi="ARIAL"/>
                <w:b/>
                <w:sz w:val="16"/>
              </w:rPr>
            </w:pPr>
            <w:r>
              <w:rPr>
                <w:rFonts w:ascii="ARIAL" w:hAnsi="ARIAL"/>
                <w:b/>
                <w:sz w:val="16"/>
              </w:rPr>
              <w:t>Average</w:t>
              <w:br/>
              <w:t>Summary</w:t>
              <w:br/>
              <w:t>Compensation</w:t>
              <w:br/>
              <w:t>Table Total</w:t>
              <w:br/>
              <w:t xml:space="preserve">for </w:t>
            </w:r>
          </w:p>
          <w:p>
            <w:pPr>
              <w:pStyle w:val="TableContents"/>
              <w:spacing w:before="0" w:after="0"/>
              <w:jc w:val="center"/>
              <w:rPr>
                <w:rFonts w:ascii="ARIAL" w:hAnsi="ARIAL"/>
                <w:b/>
                <w:spacing w:val="0"/>
                <w:sz w:val="16"/>
              </w:rPr>
            </w:pPr>
            <w:r>
              <w:rPr>
                <w:rFonts w:ascii="ARIAL" w:hAnsi="ARIAL"/>
                <w:b/>
                <w:spacing w:val="0"/>
                <w:sz w:val="16"/>
              </w:rPr>
              <w:t>Non-PEO</w:t>
            </w:r>
          </w:p>
          <w:p>
            <w:pPr>
              <w:pStyle w:val="TableContents"/>
              <w:spacing w:before="0" w:after="0"/>
              <w:jc w:val="center"/>
              <w:rPr>
                <w:rFonts w:ascii="ARIAL" w:hAnsi="ARIAL"/>
                <w:b/>
                <w:sz w:val="16"/>
              </w:rPr>
            </w:pPr>
            <w:r>
              <w:rPr>
                <w:rFonts w:ascii="ARIAL" w:hAnsi="ARIAL"/>
                <w:b/>
                <w:sz w:val="16"/>
              </w:rPr>
              <w:br/>
              <w:t>Named</w:t>
              <w:br/>
              <w:t>Executive</w:t>
              <w:br/>
              <w:t>Officers</w:t>
            </w:r>
          </w:p>
          <w:p>
            <w:pPr>
              <w:pStyle w:val="TableContents"/>
              <w:spacing w:before="0" w:after="20"/>
              <w:jc w:val="center"/>
              <w:rPr>
                <w:rFonts w:ascii="ARIAL" w:hAnsi="ARIAL"/>
                <w:b/>
                <w:sz w:val="16"/>
              </w:rPr>
            </w:pPr>
            <w:r>
              <w:rPr>
                <w:rFonts w:ascii="ARIAL" w:hAnsi="ARIAL"/>
                <w:b/>
                <w:sz w:val="16"/>
              </w:rPr>
              <w:t>($)</w:t>
            </w:r>
          </w:p>
        </w:tc>
        <w:tc>
          <w:tcPr>
            <w:tcW w:w="60" w:type="dxa"/>
            <w:vMerge w:val="restart"/>
            <w:tcBorders/>
            <w:shd w:fill="DBDBDB" w:val="clear"/>
            <w:vAlign w:val="center"/>
          </w:tcPr>
          <w:p>
            <w:pPr>
              <w:pStyle w:val="TableContents"/>
              <w:spacing w:before="0" w:after="283"/>
              <w:rPr/>
            </w:pPr>
            <w:r>
              <w:rPr/>
              <w:t> </w:t>
            </w:r>
          </w:p>
        </w:tc>
        <w:tc>
          <w:tcPr>
            <w:tcW w:w="1195" w:type="dxa"/>
            <w:gridSpan w:val="4"/>
            <w:vMerge w:val="restart"/>
            <w:tcBorders/>
            <w:shd w:fill="DBDBDB" w:val="clear"/>
            <w:vAlign w:val="center"/>
          </w:tcPr>
          <w:p>
            <w:pPr>
              <w:pStyle w:val="TableContents"/>
              <w:spacing w:before="0" w:after="0"/>
              <w:jc w:val="center"/>
              <w:rPr>
                <w:rFonts w:ascii="ARIAL" w:hAnsi="ARIAL"/>
                <w:b/>
                <w:sz w:val="16"/>
              </w:rPr>
            </w:pPr>
            <w:r>
              <w:rPr>
                <w:rFonts w:ascii="ARIAL" w:hAnsi="ARIAL"/>
                <w:b/>
                <w:sz w:val="16"/>
              </w:rPr>
              <w:t>Average</w:t>
              <w:br/>
              <w:t>Compensation</w:t>
              <w:br/>
              <w:t>Actually Paid</w:t>
              <w:br/>
              <w:t xml:space="preserve">to </w:t>
            </w:r>
          </w:p>
          <w:p>
            <w:pPr>
              <w:pStyle w:val="TableContents"/>
              <w:spacing w:before="0" w:after="0"/>
              <w:jc w:val="center"/>
              <w:rPr>
                <w:rFonts w:ascii="ARIAL" w:hAnsi="ARIAL"/>
                <w:b/>
                <w:spacing w:val="0"/>
                <w:sz w:val="16"/>
              </w:rPr>
            </w:pPr>
            <w:r>
              <w:rPr>
                <w:rFonts w:ascii="ARIAL" w:hAnsi="ARIAL"/>
                <w:b/>
                <w:spacing w:val="0"/>
                <w:sz w:val="16"/>
              </w:rPr>
              <w:t>Non-PEO</w:t>
            </w:r>
          </w:p>
          <w:p>
            <w:pPr>
              <w:pStyle w:val="TableContents"/>
              <w:spacing w:before="0" w:after="0"/>
              <w:jc w:val="center"/>
              <w:rPr>
                <w:rFonts w:ascii="ARIAL" w:hAnsi="ARIAL"/>
                <w:b/>
                <w:sz w:val="16"/>
              </w:rPr>
            </w:pPr>
            <w:r>
              <w:rPr>
                <w:rFonts w:ascii="ARIAL" w:hAnsi="ARIAL"/>
                <w:b/>
                <w:sz w:val="16"/>
              </w:rPr>
              <w:br/>
              <w:t>Named</w:t>
              <w:br/>
              <w:t>Executive</w:t>
              <w:br/>
              <w:t>Officers</w:t>
            </w:r>
          </w:p>
          <w:p>
            <w:pPr>
              <w:pStyle w:val="TableContents"/>
              <w:spacing w:before="0" w:after="20"/>
              <w:jc w:val="center"/>
              <w:rPr>
                <w:rFonts w:ascii="ARIAL" w:hAnsi="ARIAL"/>
                <w:b/>
                <w:sz w:val="16"/>
              </w:rPr>
            </w:pPr>
            <w:r>
              <w:rPr>
                <w:rFonts w:ascii="ARIAL" w:hAnsi="ARIAL"/>
                <w:b/>
                <w:sz w:val="16"/>
              </w:rPr>
              <w:t>($)</w:t>
            </w:r>
          </w:p>
        </w:tc>
        <w:tc>
          <w:tcPr>
            <w:tcW w:w="60" w:type="dxa"/>
            <w:tcBorders/>
            <w:shd w:fill="DBDBDB" w:val="clear"/>
            <w:vAlign w:val="center"/>
          </w:tcPr>
          <w:p>
            <w:pPr>
              <w:pStyle w:val="TableContents"/>
              <w:spacing w:before="0" w:after="283"/>
              <w:rPr/>
            </w:pPr>
            <w:r>
              <w:rPr/>
              <w:t> </w:t>
            </w:r>
          </w:p>
        </w:tc>
        <w:tc>
          <w:tcPr>
            <w:tcW w:w="2020" w:type="dxa"/>
            <w:gridSpan w:val="9"/>
            <w:tcBorders>
              <w:bottom w:val="single" w:sz="8" w:space="0" w:color="000000"/>
            </w:tcBorders>
            <w:shd w:fill="DBDBDB" w:val="clear"/>
            <w:tcMar>
              <w:bottom w:w="40" w:type="dxa"/>
            </w:tcMar>
            <w:vAlign w:val="center"/>
          </w:tcPr>
          <w:p>
            <w:pPr>
              <w:pStyle w:val="TableContents"/>
              <w:spacing w:before="0" w:after="0"/>
              <w:rPr/>
            </w:pPr>
            <w:r>
              <w:rPr/>
              <w:t> </w:t>
            </w:r>
          </w:p>
          <w:p>
            <w:pPr>
              <w:pStyle w:val="TableContents"/>
              <w:spacing w:before="0" w:after="20"/>
              <w:jc w:val="center"/>
              <w:rPr>
                <w:rFonts w:ascii="ARIAL" w:hAnsi="ARIAL"/>
                <w:b/>
                <w:sz w:val="16"/>
              </w:rPr>
            </w:pPr>
            <w:r>
              <w:rPr>
                <w:rFonts w:ascii="ARIAL" w:hAnsi="ARIAL"/>
                <w:b/>
                <w:sz w:val="16"/>
              </w:rPr>
              <w:t>Value of Initial Fixed $100</w:t>
              <w:br/>
              <w:t>Investment Based on:</w:t>
            </w:r>
          </w:p>
        </w:tc>
        <w:tc>
          <w:tcPr>
            <w:tcW w:w="60" w:type="dxa"/>
            <w:tcBorders/>
            <w:shd w:fill="DBDBDB" w:val="clear"/>
            <w:vAlign w:val="center"/>
          </w:tcPr>
          <w:p>
            <w:pPr>
              <w:pStyle w:val="TableContents"/>
              <w:spacing w:before="0" w:after="283"/>
              <w:rPr/>
            </w:pPr>
            <w:r>
              <w:rPr/>
              <w:t> </w:t>
            </w:r>
          </w:p>
        </w:tc>
        <w:tc>
          <w:tcPr>
            <w:tcW w:w="1400" w:type="dxa"/>
            <w:gridSpan w:val="4"/>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1595" w:type="dxa"/>
            <w:gridSpan w:val="4"/>
            <w:tcBorders/>
            <w:shd w:fill="DBDBDB" w:val="clear"/>
            <w:vAlign w:val="center"/>
          </w:tcPr>
          <w:p>
            <w:pPr>
              <w:pStyle w:val="TableContents"/>
              <w:spacing w:before="0" w:after="283"/>
              <w:rPr/>
            </w:pPr>
            <w:r>
              <w:rPr/>
              <w:t> </w:t>
            </w:r>
          </w:p>
        </w:tc>
      </w:tr>
      <w:tr>
        <w:trPr/>
        <w:tc>
          <w:tcPr>
            <w:tcW w:w="440" w:type="dxa"/>
            <w:tcBorders/>
            <w:shd w:fill="DBDBDB" w:val="clear"/>
            <w:vAlign w:val="center"/>
          </w:tcPr>
          <w:p>
            <w:pPr>
              <w:pStyle w:val="TableContents"/>
              <w:spacing w:before="0" w:after="0"/>
              <w:rPr>
                <w:rFonts w:ascii="ARIAL" w:hAnsi="ARIAL"/>
                <w:b/>
                <w:sz w:val="18"/>
              </w:rPr>
            </w:pPr>
            <w:r>
              <w:rPr>
                <w:rFonts w:ascii="ARIAL" w:hAnsi="ARIAL"/>
                <w:b/>
                <w:sz w:val="18"/>
              </w:rPr>
              <w:t>Year</w:t>
            </w:r>
          </w:p>
          <w:p>
            <w:pPr>
              <w:pStyle w:val="TableContents"/>
              <w:spacing w:before="0" w:after="0"/>
              <w:rPr>
                <w:rFonts w:ascii="ARIAL" w:hAnsi="ARIAL"/>
                <w:b/>
                <w:sz w:val="11"/>
              </w:rPr>
            </w:pPr>
            <w:r>
              <w:rPr>
                <w:rFonts w:ascii="ARIAL" w:hAnsi="ARIAL"/>
                <w:b/>
                <w:sz w:val="11"/>
              </w:rPr>
              <w:t>(1)</w:t>
            </w:r>
          </w:p>
        </w:tc>
        <w:tc>
          <w:tcPr>
            <w:tcW w:w="60" w:type="dxa"/>
            <w:tcBorders/>
            <w:shd w:fill="DBDBDB" w:val="clear"/>
            <w:vAlign w:val="center"/>
          </w:tcPr>
          <w:p>
            <w:pPr>
              <w:pStyle w:val="TableContents"/>
              <w:spacing w:before="0" w:after="283"/>
              <w:rPr/>
            </w:pPr>
            <w:r>
              <w:rPr/>
              <w:t> </w:t>
            </w:r>
          </w:p>
        </w:tc>
        <w:tc>
          <w:tcPr>
            <w:tcW w:w="1280" w:type="dxa"/>
            <w:gridSpan w:val="4"/>
            <w:tcBorders/>
            <w:shd w:fill="DBDBDB" w:val="clear"/>
            <w:vAlign w:val="center"/>
          </w:tcPr>
          <w:p>
            <w:pPr>
              <w:pStyle w:val="TableContents"/>
              <w:spacing w:before="0" w:after="0"/>
              <w:jc w:val="center"/>
              <w:rPr>
                <w:rFonts w:ascii="ARIAL" w:hAnsi="ARIAL"/>
                <w:b/>
                <w:sz w:val="16"/>
              </w:rPr>
            </w:pPr>
            <w:r>
              <w:rPr>
                <w:rFonts w:ascii="ARIAL" w:hAnsi="ARIAL"/>
                <w:b/>
                <w:sz w:val="16"/>
              </w:rPr>
              <w:t>Summary</w:t>
              <w:br/>
              <w:t>Compensation</w:t>
              <w:br/>
              <w:t>Table Total</w:t>
              <w:br/>
              <w:t>for PEO</w:t>
            </w:r>
          </w:p>
          <w:p>
            <w:pPr>
              <w:pStyle w:val="TableContents"/>
              <w:spacing w:before="0" w:after="20"/>
              <w:jc w:val="center"/>
              <w:rPr>
                <w:rFonts w:ascii="ARIAL" w:hAnsi="ARIAL"/>
                <w:b/>
                <w:sz w:val="16"/>
              </w:rPr>
            </w:pPr>
            <w:r>
              <w:rPr>
                <w:rFonts w:ascii="ARIAL" w:hAnsi="ARIAL"/>
                <w:b/>
                <w:sz w:val="16"/>
              </w:rPr>
              <w:t>($)</w:t>
            </w:r>
          </w:p>
        </w:tc>
        <w:tc>
          <w:tcPr>
            <w:tcW w:w="60" w:type="dxa"/>
            <w:tcBorders/>
            <w:shd w:fill="DBDBDB" w:val="clear"/>
            <w:vAlign w:val="center"/>
          </w:tcPr>
          <w:p>
            <w:pPr>
              <w:pStyle w:val="TableContents"/>
              <w:spacing w:before="0" w:after="283"/>
              <w:rPr/>
            </w:pPr>
            <w:r>
              <w:rPr/>
              <w:t> </w:t>
            </w:r>
          </w:p>
        </w:tc>
        <w:tc>
          <w:tcPr>
            <w:tcW w:w="1315" w:type="dxa"/>
            <w:gridSpan w:val="4"/>
            <w:tcBorders/>
            <w:shd w:fill="DBDBDB" w:val="clear"/>
            <w:vAlign w:val="center"/>
          </w:tcPr>
          <w:p>
            <w:pPr>
              <w:pStyle w:val="TableContents"/>
              <w:spacing w:before="0" w:after="0"/>
              <w:jc w:val="center"/>
              <w:rPr>
                <w:rFonts w:ascii="ARIAL" w:hAnsi="ARIAL"/>
                <w:b/>
                <w:sz w:val="16"/>
              </w:rPr>
            </w:pPr>
            <w:r>
              <w:rPr>
                <w:rFonts w:ascii="ARIAL" w:hAnsi="ARIAL"/>
                <w:b/>
                <w:sz w:val="16"/>
              </w:rPr>
              <w:t>Compensation</w:t>
              <w:br/>
              <w:t>Actually Paid</w:t>
              <w:br/>
              <w:t>to PEO</w:t>
            </w:r>
          </w:p>
          <w:p>
            <w:pPr>
              <w:pStyle w:val="TableContents"/>
              <w:spacing w:before="0" w:after="0"/>
              <w:jc w:val="center"/>
              <w:rPr>
                <w:rFonts w:ascii="ARIAL" w:hAnsi="ARIAL"/>
                <w:b/>
                <w:sz w:val="9"/>
              </w:rPr>
            </w:pPr>
            <w:r>
              <w:rPr>
                <w:rFonts w:ascii="ARIAL" w:hAnsi="ARIAL"/>
                <w:b/>
                <w:sz w:val="9"/>
              </w:rPr>
              <w:t xml:space="preserve">(2),(3) </w:t>
            </w:r>
          </w:p>
          <w:p>
            <w:pPr>
              <w:pStyle w:val="TableContents"/>
              <w:spacing w:before="0" w:after="20"/>
              <w:jc w:val="center"/>
              <w:rPr>
                <w:rFonts w:ascii="ARIAL" w:hAnsi="ARIAL"/>
                <w:b/>
                <w:sz w:val="16"/>
              </w:rPr>
            </w:pPr>
            <w:r>
              <w:rPr>
                <w:rFonts w:ascii="ARIAL" w:hAnsi="ARIAL"/>
                <w:b/>
                <w:sz w:val="16"/>
              </w:rPr>
              <w:t>($)</w:t>
            </w:r>
          </w:p>
        </w:tc>
        <w:tc>
          <w:tcPr>
            <w:tcW w:w="60" w:type="dxa"/>
            <w:vMerge w:val="continue"/>
            <w:tcBorders/>
            <w:shd w:fill="DBDBDB" w:val="clear"/>
            <w:vAlign w:val="center"/>
          </w:tcPr>
          <w:p>
            <w:pPr>
              <w:pStyle w:val="Normal"/>
              <w:rPr/>
            </w:pPr>
            <w:r>
              <w:rPr/>
            </w:r>
          </w:p>
        </w:tc>
        <w:tc>
          <w:tcPr>
            <w:tcW w:w="1190" w:type="dxa"/>
            <w:gridSpan w:val="4"/>
            <w:vMerge w:val="continue"/>
            <w:tcBorders/>
            <w:shd w:fill="DBDBDB" w:val="clear"/>
            <w:vAlign w:val="center"/>
          </w:tcPr>
          <w:p>
            <w:pPr>
              <w:pStyle w:val="Normal"/>
              <w:rPr/>
            </w:pPr>
            <w:r>
              <w:rPr/>
            </w:r>
          </w:p>
        </w:tc>
        <w:tc>
          <w:tcPr>
            <w:tcW w:w="60" w:type="dxa"/>
            <w:vMerge w:val="continue"/>
            <w:tcBorders/>
            <w:shd w:fill="DBDBDB" w:val="clear"/>
            <w:vAlign w:val="center"/>
          </w:tcPr>
          <w:p>
            <w:pPr>
              <w:pStyle w:val="Normal"/>
              <w:rPr/>
            </w:pPr>
            <w:r>
              <w:rPr/>
            </w:r>
          </w:p>
        </w:tc>
        <w:tc>
          <w:tcPr>
            <w:tcW w:w="1195" w:type="dxa"/>
            <w:gridSpan w:val="4"/>
            <w:vMerge w:val="continue"/>
            <w:tcBorders/>
            <w:shd w:fill="DBDBDB" w:val="clear"/>
            <w:vAlign w:val="center"/>
          </w:tcPr>
          <w:p>
            <w:pPr>
              <w:pStyle w:val="Normal"/>
              <w:rPr/>
            </w:pPr>
            <w:r>
              <w:rPr/>
            </w:r>
          </w:p>
        </w:tc>
        <w:tc>
          <w:tcPr>
            <w:tcW w:w="60" w:type="dxa"/>
            <w:tcBorders/>
            <w:shd w:fill="DBDBDB" w:val="clear"/>
            <w:vAlign w:val="center"/>
          </w:tcPr>
          <w:p>
            <w:pPr>
              <w:pStyle w:val="TableContents"/>
              <w:spacing w:before="0" w:after="283"/>
              <w:rPr/>
            </w:pPr>
            <w:r>
              <w:rPr/>
              <w:t> </w:t>
            </w:r>
          </w:p>
        </w:tc>
        <w:tc>
          <w:tcPr>
            <w:tcW w:w="980" w:type="dxa"/>
            <w:gridSpan w:val="4"/>
            <w:tcBorders/>
            <w:shd w:fill="DBDBDB" w:val="clear"/>
            <w:vAlign w:val="center"/>
          </w:tcPr>
          <w:p>
            <w:pPr>
              <w:pStyle w:val="TableContents"/>
              <w:spacing w:before="0" w:after="0"/>
              <w:jc w:val="center"/>
              <w:rPr>
                <w:rFonts w:ascii="ARIAL" w:hAnsi="ARIAL"/>
                <w:b/>
                <w:sz w:val="16"/>
              </w:rPr>
            </w:pPr>
            <w:r>
              <w:rPr>
                <w:rFonts w:ascii="ARIAL" w:hAnsi="ARIAL"/>
                <w:b/>
                <w:sz w:val="16"/>
              </w:rPr>
              <w:t>Total</w:t>
              <w:br/>
              <w:t>Shareholder</w:t>
              <w:br/>
              <w:t>Return</w:t>
            </w:r>
          </w:p>
          <w:p>
            <w:pPr>
              <w:pStyle w:val="TableContents"/>
              <w:spacing w:before="0" w:after="0"/>
              <w:jc w:val="center"/>
              <w:rPr>
                <w:rFonts w:ascii="ARIAL" w:hAnsi="ARIAL"/>
                <w:b/>
                <w:sz w:val="9"/>
              </w:rPr>
            </w:pPr>
            <w:r>
              <w:rPr>
                <w:rFonts w:ascii="ARIAL" w:hAnsi="ARIAL"/>
                <w:b/>
                <w:sz w:val="9"/>
              </w:rPr>
              <w:t>(7)</w:t>
            </w:r>
          </w:p>
          <w:p>
            <w:pPr>
              <w:pStyle w:val="TableContents"/>
              <w:spacing w:before="0" w:after="20"/>
              <w:jc w:val="center"/>
              <w:rPr>
                <w:rFonts w:ascii="ARIAL" w:hAnsi="ARIAL"/>
                <w:b/>
                <w:sz w:val="16"/>
              </w:rPr>
            </w:pPr>
            <w:r>
              <w:rPr>
                <w:rFonts w:ascii="ARIAL" w:hAnsi="ARIAL"/>
                <w:b/>
                <w:sz w:val="16"/>
              </w:rPr>
              <w:t>($)</w:t>
            </w:r>
          </w:p>
        </w:tc>
        <w:tc>
          <w:tcPr>
            <w:tcW w:w="60" w:type="dxa"/>
            <w:tcBorders/>
            <w:shd w:fill="DBDBDB" w:val="clear"/>
            <w:vAlign w:val="center"/>
          </w:tcPr>
          <w:p>
            <w:pPr>
              <w:pStyle w:val="TableContents"/>
              <w:spacing w:before="0" w:after="283"/>
              <w:rPr/>
            </w:pPr>
            <w:r>
              <w:rPr/>
              <w:t> </w:t>
            </w:r>
          </w:p>
        </w:tc>
        <w:tc>
          <w:tcPr>
            <w:tcW w:w="980" w:type="dxa"/>
            <w:gridSpan w:val="4"/>
            <w:tcBorders/>
            <w:shd w:fill="DBDBDB" w:val="clear"/>
            <w:vAlign w:val="center"/>
          </w:tcPr>
          <w:p>
            <w:pPr>
              <w:pStyle w:val="TableContents"/>
              <w:spacing w:before="0" w:after="0"/>
              <w:jc w:val="center"/>
              <w:rPr>
                <w:rFonts w:ascii="ARIAL" w:hAnsi="ARIAL"/>
                <w:b/>
                <w:sz w:val="16"/>
              </w:rPr>
            </w:pPr>
            <w:r>
              <w:rPr>
                <w:rFonts w:ascii="ARIAL" w:hAnsi="ARIAL"/>
                <w:b/>
                <w:sz w:val="16"/>
              </w:rPr>
              <w:t>Peer Group</w:t>
              <w:br/>
              <w:t>Total</w:t>
              <w:br/>
              <w:t>Shareholder</w:t>
              <w:br/>
              <w:t>Return</w:t>
            </w:r>
          </w:p>
          <w:p>
            <w:pPr>
              <w:pStyle w:val="TableContents"/>
              <w:spacing w:before="0" w:after="0"/>
              <w:jc w:val="center"/>
              <w:rPr>
                <w:rFonts w:ascii="ARIAL" w:hAnsi="ARIAL"/>
                <w:b/>
                <w:sz w:val="9"/>
              </w:rPr>
            </w:pPr>
            <w:r>
              <w:rPr>
                <w:rFonts w:ascii="ARIAL" w:hAnsi="ARIAL"/>
                <w:b/>
                <w:sz w:val="9"/>
              </w:rPr>
              <w:t>(7)</w:t>
            </w:r>
          </w:p>
          <w:p>
            <w:pPr>
              <w:pStyle w:val="TableContents"/>
              <w:spacing w:before="0" w:after="20"/>
              <w:jc w:val="center"/>
              <w:rPr>
                <w:rFonts w:ascii="ARIAL" w:hAnsi="ARIAL"/>
                <w:b/>
                <w:sz w:val="16"/>
              </w:rPr>
            </w:pPr>
            <w:r>
              <w:rPr>
                <w:rFonts w:ascii="ARIAL" w:hAnsi="ARIAL"/>
                <w:b/>
                <w:sz w:val="16"/>
              </w:rPr>
              <w:t>($)</w:t>
            </w:r>
          </w:p>
        </w:tc>
        <w:tc>
          <w:tcPr>
            <w:tcW w:w="60" w:type="dxa"/>
            <w:tcBorders/>
            <w:shd w:fill="DBDBDB" w:val="clear"/>
            <w:vAlign w:val="center"/>
          </w:tcPr>
          <w:p>
            <w:pPr>
              <w:pStyle w:val="TableContents"/>
              <w:spacing w:before="0" w:after="283"/>
              <w:rPr/>
            </w:pPr>
            <w:r>
              <w:rPr/>
              <w:t> </w:t>
            </w:r>
          </w:p>
        </w:tc>
        <w:tc>
          <w:tcPr>
            <w:tcW w:w="1400" w:type="dxa"/>
            <w:gridSpan w:val="4"/>
            <w:tcBorders/>
            <w:shd w:fill="DBDBDB" w:val="clear"/>
            <w:vAlign w:val="center"/>
          </w:tcPr>
          <w:p>
            <w:pPr>
              <w:pStyle w:val="TableContents"/>
              <w:spacing w:before="0" w:after="0"/>
              <w:jc w:val="center"/>
              <w:rPr>
                <w:b/>
                <w:spacing w:val="0"/>
              </w:rPr>
            </w:pPr>
            <w:r>
              <w:rPr>
                <w:b/>
                <w:spacing w:val="0"/>
              </w:rPr>
              <w:t>Net</w:t>
              <w:br/>
              <w:t>Income</w:t>
              <w:br/>
              <w:t>($)</w:t>
            </w:r>
          </w:p>
        </w:tc>
        <w:tc>
          <w:tcPr>
            <w:tcW w:w="60" w:type="dxa"/>
            <w:tcBorders/>
            <w:shd w:fill="DBDBDB" w:val="clear"/>
            <w:vAlign w:val="center"/>
          </w:tcPr>
          <w:p>
            <w:pPr>
              <w:pStyle w:val="TableContents"/>
              <w:spacing w:before="0" w:after="283"/>
              <w:rPr/>
            </w:pPr>
            <w:r>
              <w:rPr/>
              <w:t> </w:t>
            </w:r>
          </w:p>
        </w:tc>
        <w:tc>
          <w:tcPr>
            <w:tcW w:w="1595" w:type="dxa"/>
            <w:gridSpan w:val="4"/>
            <w:tcBorders/>
            <w:shd w:fill="DBDBDB" w:val="clear"/>
            <w:vAlign w:val="center"/>
          </w:tcPr>
          <w:p>
            <w:pPr>
              <w:pStyle w:val="TableContents"/>
              <w:spacing w:before="0" w:after="0"/>
              <w:jc w:val="center"/>
              <w:rPr>
                <w:rFonts w:ascii="ARIAL" w:hAnsi="ARIAL"/>
                <w:b/>
                <w:sz w:val="16"/>
              </w:rPr>
            </w:pPr>
            <w:r>
              <w:rPr>
                <w:rFonts w:ascii="ARIAL" w:hAnsi="ARIAL"/>
                <w:b/>
                <w:sz w:val="16"/>
              </w:rPr>
              <w:t>Company</w:t>
              <w:br/>
              <w:t>Selected</w:t>
              <w:br/>
              <w:t>Measure</w:t>
              <w:br/>
              <w:t>(Adjusted</w:t>
              <w:br/>
              <w:t>EBITDA)</w:t>
            </w:r>
          </w:p>
          <w:p>
            <w:pPr>
              <w:pStyle w:val="TableContents"/>
              <w:spacing w:before="0" w:after="0"/>
              <w:jc w:val="center"/>
              <w:rPr>
                <w:rFonts w:ascii="ARIAL" w:hAnsi="ARIAL"/>
                <w:b/>
                <w:sz w:val="9"/>
              </w:rPr>
            </w:pPr>
            <w:r>
              <w:rPr>
                <w:rFonts w:ascii="ARIAL" w:hAnsi="ARIAL"/>
                <w:b/>
                <w:sz w:val="9"/>
              </w:rPr>
              <w:t>(8)</w:t>
            </w:r>
          </w:p>
          <w:p>
            <w:pPr>
              <w:pStyle w:val="TableContents"/>
              <w:spacing w:before="0" w:after="20"/>
              <w:jc w:val="center"/>
              <w:rPr>
                <w:rFonts w:ascii="ARIAL" w:hAnsi="ARIAL"/>
                <w:b/>
                <w:sz w:val="16"/>
              </w:rPr>
            </w:pPr>
            <w:r>
              <w:rPr>
                <w:rFonts w:ascii="ARIAL" w:hAnsi="ARIAL"/>
                <w:b/>
                <w:sz w:val="16"/>
              </w:rPr>
              <w:t>($)</w:t>
            </w:r>
          </w:p>
        </w:tc>
      </w:tr>
      <w:tr>
        <w:trPr/>
        <w:tc>
          <w:tcPr>
            <w:tcW w:w="440" w:type="dxa"/>
            <w:tcBorders/>
            <w:shd w:fill="auto" w:val="clear"/>
            <w:vAlign w:val="center"/>
          </w:tcPr>
          <w:p>
            <w:pPr>
              <w:pStyle w:val="TableContents"/>
              <w:spacing w:before="0" w:after="283"/>
              <w:rPr/>
            </w:pPr>
            <w:r>
              <w:rPr/>
              <w:t> </w:t>
            </w:r>
          </w:p>
        </w:tc>
        <w:tc>
          <w:tcPr>
            <w:tcW w:w="1340" w:type="dxa"/>
            <w:gridSpan w:val="5"/>
            <w:tcBorders/>
            <w:shd w:fill="auto" w:val="clear"/>
            <w:vAlign w:val="center"/>
          </w:tcPr>
          <w:p>
            <w:pPr>
              <w:pStyle w:val="TableContents"/>
              <w:spacing w:before="0" w:after="283"/>
              <w:rPr/>
            </w:pPr>
            <w:r>
              <w:rPr/>
              <w:t> </w:t>
            </w:r>
          </w:p>
        </w:tc>
        <w:tc>
          <w:tcPr>
            <w:tcW w:w="1375" w:type="dxa"/>
            <w:gridSpan w:val="5"/>
            <w:tcBorders/>
            <w:shd w:fill="auto" w:val="clear"/>
            <w:vAlign w:val="center"/>
          </w:tcPr>
          <w:p>
            <w:pPr>
              <w:pStyle w:val="TableContents"/>
              <w:spacing w:before="0" w:after="283"/>
              <w:rPr/>
            </w:pPr>
            <w:r>
              <w:rPr/>
              <w:t> </w:t>
            </w:r>
          </w:p>
        </w:tc>
        <w:tc>
          <w:tcPr>
            <w:tcW w:w="1250" w:type="dxa"/>
            <w:gridSpan w:val="5"/>
            <w:tcBorders/>
            <w:shd w:fill="auto" w:val="clear"/>
            <w:vAlign w:val="center"/>
          </w:tcPr>
          <w:p>
            <w:pPr>
              <w:pStyle w:val="TableContents"/>
              <w:spacing w:before="0" w:after="283"/>
              <w:rPr/>
            </w:pPr>
            <w:r>
              <w:rPr/>
              <w:t> </w:t>
            </w:r>
          </w:p>
        </w:tc>
        <w:tc>
          <w:tcPr>
            <w:tcW w:w="1255" w:type="dxa"/>
            <w:gridSpan w:val="5"/>
            <w:tcBorders/>
            <w:shd w:fill="auto" w:val="clear"/>
            <w:vAlign w:val="center"/>
          </w:tcPr>
          <w:p>
            <w:pPr>
              <w:pStyle w:val="TableContents"/>
              <w:spacing w:before="0" w:after="283"/>
              <w:rPr/>
            </w:pPr>
            <w:r>
              <w:rPr/>
              <w:t> </w:t>
            </w:r>
          </w:p>
        </w:tc>
        <w:tc>
          <w:tcPr>
            <w:tcW w:w="1040" w:type="dxa"/>
            <w:gridSpan w:val="5"/>
            <w:tcBorders/>
            <w:shd w:fill="auto" w:val="clear"/>
            <w:vAlign w:val="center"/>
          </w:tcPr>
          <w:p>
            <w:pPr>
              <w:pStyle w:val="TableContents"/>
              <w:spacing w:before="0" w:after="283"/>
              <w:rPr/>
            </w:pPr>
            <w:r>
              <w:rPr/>
              <w:t> </w:t>
            </w:r>
          </w:p>
        </w:tc>
        <w:tc>
          <w:tcPr>
            <w:tcW w:w="1040" w:type="dxa"/>
            <w:gridSpan w:val="5"/>
            <w:tcBorders/>
            <w:shd w:fill="auto" w:val="clear"/>
            <w:vAlign w:val="center"/>
          </w:tcPr>
          <w:p>
            <w:pPr>
              <w:pStyle w:val="TableContents"/>
              <w:spacing w:before="0" w:after="283"/>
              <w:rPr/>
            </w:pPr>
            <w:r>
              <w:rPr/>
              <w:t> </w:t>
            </w:r>
          </w:p>
        </w:tc>
        <w:tc>
          <w:tcPr>
            <w:tcW w:w="1460" w:type="dxa"/>
            <w:gridSpan w:val="5"/>
            <w:tcBorders/>
            <w:shd w:fill="auto" w:val="clear"/>
            <w:vAlign w:val="center"/>
          </w:tcPr>
          <w:p>
            <w:pPr>
              <w:pStyle w:val="TableContents"/>
              <w:spacing w:before="0" w:after="283"/>
              <w:rPr/>
            </w:pPr>
            <w:r>
              <w:rPr/>
              <w:t> </w:t>
            </w:r>
          </w:p>
        </w:tc>
        <w:tc>
          <w:tcPr>
            <w:tcW w:w="1655" w:type="dxa"/>
            <w:gridSpan w:val="5"/>
            <w:tcBorders/>
            <w:shd w:fill="auto" w:val="clear"/>
            <w:vAlign w:val="center"/>
          </w:tcPr>
          <w:p>
            <w:pPr>
              <w:pStyle w:val="TableContents"/>
              <w:spacing w:before="0" w:after="283"/>
              <w:rPr/>
            </w:pPr>
            <w:r>
              <w:rPr/>
              <w:t> </w:t>
            </w:r>
          </w:p>
        </w:tc>
      </w:tr>
      <w:tr>
        <w:trPr/>
        <w:tc>
          <w:tcPr>
            <w:tcW w:w="440" w:type="dxa"/>
            <w:tcBorders>
              <w:bottom w:val="dotted" w:sz="8" w:space="0" w:color="000000"/>
            </w:tcBorders>
            <w:shd w:fill="auto" w:val="clear"/>
            <w:tcMar>
              <w:bottom w:w="100" w:type="dxa"/>
            </w:tcMar>
            <w:vAlign w:val="center"/>
          </w:tcPr>
          <w:p>
            <w:pPr>
              <w:pStyle w:val="TableContents"/>
              <w:spacing w:before="0" w:after="0"/>
              <w:rPr>
                <w:rFonts w:ascii="ARIAL" w:hAnsi="ARIAL"/>
                <w:b/>
                <w:sz w:val="16"/>
              </w:rPr>
            </w:pPr>
            <w:r>
              <w:rPr>
                <w:rFonts w:ascii="ARIAL" w:hAnsi="ARIAL"/>
                <w:b/>
                <w:sz w:val="16"/>
              </w:rPr>
              <w:t>2022</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12,784,251</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6,452,731</w:t>
            </w:r>
          </w:p>
        </w:tc>
        <w:tc>
          <w:tcPr>
            <w:tcW w:w="95" w:type="dxa"/>
            <w:tcBorders>
              <w:bottom w:val="dotted" w:sz="8" w:space="0" w:color="000000"/>
            </w:tcBorders>
            <w:shd w:fill="auto" w:val="clear"/>
            <w:tcMar>
              <w:bottom w:w="100" w:type="dxa"/>
            </w:tcMar>
            <w:vAlign w:val="center"/>
          </w:tcPr>
          <w:p>
            <w:pPr>
              <w:pStyle w:val="TableContents"/>
              <w:spacing w:before="0" w:after="0"/>
              <w:rPr>
                <w:sz w:val="9"/>
              </w:rPr>
            </w:pPr>
            <w:r>
              <w:rPr>
                <w:sz w:val="9"/>
              </w:rPr>
              <w:t>(4)</w:t>
            </w:r>
          </w:p>
          <w:p>
            <w:pPr>
              <w:pStyle w:val="TableContents"/>
              <w:spacing w:before="0" w:after="0"/>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1" w:type="dxa"/>
            <w:tcBorders>
              <w:bottom w:val="dotted" w:sz="8" w:space="0" w:color="000000"/>
            </w:tcBorders>
            <w:shd w:fill="auto" w:val="clear"/>
            <w:tcMar>
              <w:bottom w:w="28" w:type="dxa"/>
            </w:tcMar>
            <w:vAlign w:val="center"/>
          </w:tcPr>
          <w:p>
            <w:pPr>
              <w:pStyle w:val="TableContents"/>
              <w:spacing w:before="0" w:after="283"/>
              <w:rPr/>
            </w:pPr>
            <w:r>
              <w:rPr/>
              <w:t> </w:t>
            </w:r>
          </w:p>
        </w:tc>
        <w:tc>
          <w:tcPr>
            <w:tcW w:w="61" w:type="dxa"/>
            <w:tcBorders>
              <w:bottom w:val="dotted" w:sz="8" w:space="0" w:color="000000"/>
            </w:tcBorders>
            <w:shd w:fill="auto" w:val="clear"/>
            <w:tcMar>
              <w:bottom w:w="100" w:type="dxa"/>
            </w:tcMar>
            <w:vAlign w:val="center"/>
          </w:tcPr>
          <w:p>
            <w:pPr>
              <w:pStyle w:val="TableContents"/>
              <w:spacing w:before="0" w:after="283"/>
              <w:rPr/>
            </w:pPr>
            <w:r>
              <w:rPr/>
              <w:t> </w:t>
            </w:r>
          </w:p>
        </w:tc>
        <w:tc>
          <w:tcPr>
            <w:tcW w:w="1005" w:type="dxa"/>
            <w:tcBorders>
              <w:bottom w:val="dotted" w:sz="8" w:space="0" w:color="000000"/>
            </w:tcBorders>
            <w:shd w:fill="auto" w:val="clear"/>
            <w:tcMar>
              <w:bottom w:w="100" w:type="dxa"/>
            </w:tcMar>
            <w:vAlign w:val="center"/>
          </w:tcPr>
          <w:p>
            <w:pPr>
              <w:pStyle w:val="TableContents"/>
              <w:spacing w:before="0" w:after="283"/>
              <w:jc w:val="right"/>
              <w:rPr/>
            </w:pPr>
            <w:r>
              <w:rPr/>
              <w:t>2,438,871</w:t>
            </w:r>
          </w:p>
        </w:tc>
        <w:tc>
          <w:tcPr>
            <w:tcW w:w="63"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1,415,556</w:t>
            </w:r>
          </w:p>
        </w:tc>
        <w:tc>
          <w:tcPr>
            <w:tcW w:w="95" w:type="dxa"/>
            <w:tcBorders>
              <w:bottom w:val="dotted" w:sz="8" w:space="0" w:color="000000"/>
            </w:tcBorders>
            <w:shd w:fill="auto" w:val="clear"/>
            <w:tcMar>
              <w:bottom w:w="100" w:type="dxa"/>
            </w:tcMar>
            <w:vAlign w:val="center"/>
          </w:tcPr>
          <w:p>
            <w:pPr>
              <w:pStyle w:val="TableContents"/>
              <w:spacing w:before="0" w:after="0"/>
              <w:rPr>
                <w:sz w:val="9"/>
              </w:rPr>
            </w:pPr>
            <w:r>
              <w:rPr>
                <w:sz w:val="9"/>
              </w:rPr>
              <w:t>(4)</w:t>
            </w:r>
          </w:p>
          <w:p>
            <w:pPr>
              <w:pStyle w:val="TableContents"/>
              <w:spacing w:before="0" w:after="0"/>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774" w:type="dxa"/>
            <w:tcBorders>
              <w:bottom w:val="dotted" w:sz="8" w:space="0" w:color="000000"/>
            </w:tcBorders>
            <w:shd w:fill="auto" w:val="clear"/>
            <w:tcMar>
              <w:bottom w:w="100" w:type="dxa"/>
            </w:tcMar>
            <w:vAlign w:val="center"/>
          </w:tcPr>
          <w:p>
            <w:pPr>
              <w:pStyle w:val="TableContents"/>
              <w:spacing w:before="0" w:after="283"/>
              <w:jc w:val="right"/>
              <w:rPr/>
            </w:pPr>
            <w:r>
              <w:rPr/>
              <w:t>123.76</w:t>
            </w:r>
          </w:p>
        </w:tc>
        <w:tc>
          <w:tcPr>
            <w:tcW w:w="7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774" w:type="dxa"/>
            <w:tcBorders>
              <w:bottom w:val="dotted" w:sz="8" w:space="0" w:color="000000"/>
            </w:tcBorders>
            <w:shd w:fill="auto" w:val="clear"/>
            <w:tcMar>
              <w:bottom w:w="100" w:type="dxa"/>
            </w:tcMar>
            <w:vAlign w:val="center"/>
          </w:tcPr>
          <w:p>
            <w:pPr>
              <w:pStyle w:val="TableContents"/>
              <w:spacing w:before="0" w:after="283"/>
              <w:jc w:val="right"/>
              <w:rPr/>
            </w:pPr>
            <w:r>
              <w:rPr/>
              <w:t>133.61</w:t>
            </w:r>
          </w:p>
        </w:tc>
        <w:tc>
          <w:tcPr>
            <w:tcW w:w="7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20" w:type="dxa"/>
            <w:tcBorders>
              <w:bottom w:val="dotted" w:sz="8" w:space="0" w:color="000000"/>
            </w:tcBorders>
            <w:shd w:fill="auto" w:val="clear"/>
            <w:tcMar>
              <w:bottom w:w="100" w:type="dxa"/>
            </w:tcMar>
            <w:vAlign w:val="center"/>
          </w:tcPr>
          <w:p>
            <w:pPr>
              <w:pStyle w:val="TableContents"/>
              <w:spacing w:before="0" w:after="283"/>
              <w:jc w:val="right"/>
              <w:rPr/>
            </w:pPr>
            <w:r>
              <w:rPr/>
              <w:t>866,740,000</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400" w:type="dxa"/>
            <w:tcBorders>
              <w:bottom w:val="dotted" w:sz="8" w:space="0" w:color="000000"/>
            </w:tcBorders>
            <w:shd w:fill="auto" w:val="clear"/>
            <w:tcMar>
              <w:bottom w:w="100" w:type="dxa"/>
            </w:tcMar>
            <w:vAlign w:val="center"/>
          </w:tcPr>
          <w:p>
            <w:pPr>
              <w:pStyle w:val="TableContents"/>
              <w:spacing w:before="0" w:after="283"/>
              <w:jc w:val="right"/>
              <w:rPr/>
            </w:pPr>
            <w:r>
              <w:rPr/>
              <w:t>1,617,010,000</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440" w:type="dxa"/>
            <w:tcBorders/>
            <w:shd w:fill="auto" w:val="clear"/>
            <w:vAlign w:val="center"/>
          </w:tcPr>
          <w:p>
            <w:pPr>
              <w:pStyle w:val="TableContents"/>
              <w:spacing w:before="0" w:after="283"/>
              <w:rPr/>
            </w:pPr>
            <w:r>
              <w:rPr/>
              <w:t> </w:t>
            </w:r>
          </w:p>
        </w:tc>
        <w:tc>
          <w:tcPr>
            <w:tcW w:w="1340" w:type="dxa"/>
            <w:gridSpan w:val="5"/>
            <w:tcBorders/>
            <w:shd w:fill="auto" w:val="clear"/>
            <w:vAlign w:val="center"/>
          </w:tcPr>
          <w:p>
            <w:pPr>
              <w:pStyle w:val="TableContents"/>
              <w:spacing w:before="0" w:after="283"/>
              <w:rPr/>
            </w:pPr>
            <w:r>
              <w:rPr/>
              <w:t> </w:t>
            </w:r>
          </w:p>
        </w:tc>
        <w:tc>
          <w:tcPr>
            <w:tcW w:w="1375" w:type="dxa"/>
            <w:gridSpan w:val="5"/>
            <w:tcBorders/>
            <w:shd w:fill="auto" w:val="clear"/>
            <w:vAlign w:val="center"/>
          </w:tcPr>
          <w:p>
            <w:pPr>
              <w:pStyle w:val="TableContents"/>
              <w:spacing w:before="0" w:after="283"/>
              <w:rPr/>
            </w:pPr>
            <w:r>
              <w:rPr/>
              <w:t> </w:t>
            </w:r>
          </w:p>
        </w:tc>
        <w:tc>
          <w:tcPr>
            <w:tcW w:w="1250" w:type="dxa"/>
            <w:gridSpan w:val="5"/>
            <w:tcBorders/>
            <w:shd w:fill="auto" w:val="clear"/>
            <w:vAlign w:val="center"/>
          </w:tcPr>
          <w:p>
            <w:pPr>
              <w:pStyle w:val="TableContents"/>
              <w:spacing w:before="0" w:after="283"/>
              <w:rPr/>
            </w:pPr>
            <w:r>
              <w:rPr/>
              <w:t> </w:t>
            </w:r>
          </w:p>
        </w:tc>
        <w:tc>
          <w:tcPr>
            <w:tcW w:w="1255" w:type="dxa"/>
            <w:gridSpan w:val="5"/>
            <w:tcBorders/>
            <w:shd w:fill="auto" w:val="clear"/>
            <w:vAlign w:val="center"/>
          </w:tcPr>
          <w:p>
            <w:pPr>
              <w:pStyle w:val="TableContents"/>
              <w:spacing w:before="0" w:after="283"/>
              <w:rPr/>
            </w:pPr>
            <w:r>
              <w:rPr/>
              <w:t> </w:t>
            </w:r>
          </w:p>
        </w:tc>
        <w:tc>
          <w:tcPr>
            <w:tcW w:w="1040" w:type="dxa"/>
            <w:gridSpan w:val="5"/>
            <w:tcBorders/>
            <w:shd w:fill="auto" w:val="clear"/>
            <w:vAlign w:val="center"/>
          </w:tcPr>
          <w:p>
            <w:pPr>
              <w:pStyle w:val="TableContents"/>
              <w:spacing w:before="0" w:after="283"/>
              <w:rPr/>
            </w:pPr>
            <w:r>
              <w:rPr/>
              <w:t> </w:t>
            </w:r>
          </w:p>
        </w:tc>
        <w:tc>
          <w:tcPr>
            <w:tcW w:w="1040" w:type="dxa"/>
            <w:gridSpan w:val="5"/>
            <w:tcBorders/>
            <w:shd w:fill="auto" w:val="clear"/>
            <w:vAlign w:val="center"/>
          </w:tcPr>
          <w:p>
            <w:pPr>
              <w:pStyle w:val="TableContents"/>
              <w:spacing w:before="0" w:after="283"/>
              <w:rPr/>
            </w:pPr>
            <w:r>
              <w:rPr/>
              <w:t> </w:t>
            </w:r>
          </w:p>
        </w:tc>
        <w:tc>
          <w:tcPr>
            <w:tcW w:w="1460" w:type="dxa"/>
            <w:gridSpan w:val="5"/>
            <w:tcBorders/>
            <w:shd w:fill="auto" w:val="clear"/>
            <w:vAlign w:val="center"/>
          </w:tcPr>
          <w:p>
            <w:pPr>
              <w:pStyle w:val="TableContents"/>
              <w:spacing w:before="0" w:after="283"/>
              <w:rPr/>
            </w:pPr>
            <w:r>
              <w:rPr/>
              <w:t> </w:t>
            </w:r>
          </w:p>
        </w:tc>
        <w:tc>
          <w:tcPr>
            <w:tcW w:w="1655" w:type="dxa"/>
            <w:gridSpan w:val="5"/>
            <w:tcBorders/>
            <w:shd w:fill="auto" w:val="clear"/>
            <w:vAlign w:val="center"/>
          </w:tcPr>
          <w:p>
            <w:pPr>
              <w:pStyle w:val="TableContents"/>
              <w:spacing w:before="0" w:after="283"/>
              <w:rPr/>
            </w:pPr>
            <w:r>
              <w:rPr/>
              <w:t> </w:t>
            </w:r>
          </w:p>
        </w:tc>
      </w:tr>
      <w:tr>
        <w:trPr/>
        <w:tc>
          <w:tcPr>
            <w:tcW w:w="440" w:type="dxa"/>
            <w:tcBorders>
              <w:bottom w:val="dotted" w:sz="8" w:space="0" w:color="000000"/>
            </w:tcBorders>
            <w:shd w:fill="auto" w:val="clear"/>
            <w:tcMar>
              <w:bottom w:w="100" w:type="dxa"/>
            </w:tcMar>
            <w:vAlign w:val="center"/>
          </w:tcPr>
          <w:p>
            <w:pPr>
              <w:pStyle w:val="TableContents"/>
              <w:spacing w:before="0" w:after="0"/>
              <w:rPr>
                <w:rFonts w:ascii="ARIAL" w:hAnsi="ARIAL"/>
                <w:b/>
                <w:sz w:val="16"/>
              </w:rPr>
            </w:pPr>
            <w:r>
              <w:rPr>
                <w:rFonts w:ascii="ARIAL" w:hAnsi="ARIAL"/>
                <w:b/>
                <w:sz w:val="16"/>
              </w:rPr>
              <w:t>2021</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14,939,587</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39,031,817</w:t>
            </w:r>
          </w:p>
        </w:tc>
        <w:tc>
          <w:tcPr>
            <w:tcW w:w="95" w:type="dxa"/>
            <w:tcBorders>
              <w:bottom w:val="dotted" w:sz="8" w:space="0" w:color="000000"/>
            </w:tcBorders>
            <w:shd w:fill="auto" w:val="clear"/>
            <w:tcMar>
              <w:bottom w:w="100" w:type="dxa"/>
            </w:tcMar>
            <w:vAlign w:val="center"/>
          </w:tcPr>
          <w:p>
            <w:pPr>
              <w:pStyle w:val="TableContents"/>
              <w:spacing w:before="0" w:after="0"/>
              <w:rPr>
                <w:sz w:val="9"/>
              </w:rPr>
            </w:pPr>
            <w:r>
              <w:rPr>
                <w:sz w:val="9"/>
              </w:rPr>
              <w:t>(5)</w:t>
            </w:r>
          </w:p>
          <w:p>
            <w:pPr>
              <w:pStyle w:val="TableContents"/>
              <w:spacing w:before="0" w:after="0"/>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1" w:type="dxa"/>
            <w:tcBorders>
              <w:bottom w:val="dotted" w:sz="8" w:space="0" w:color="000000"/>
            </w:tcBorders>
            <w:shd w:fill="auto" w:val="clear"/>
            <w:tcMar>
              <w:bottom w:w="28" w:type="dxa"/>
            </w:tcMar>
            <w:vAlign w:val="center"/>
          </w:tcPr>
          <w:p>
            <w:pPr>
              <w:pStyle w:val="TableContents"/>
              <w:spacing w:before="0" w:after="283"/>
              <w:rPr/>
            </w:pPr>
            <w:r>
              <w:rPr/>
              <w:t> </w:t>
            </w:r>
          </w:p>
        </w:tc>
        <w:tc>
          <w:tcPr>
            <w:tcW w:w="61" w:type="dxa"/>
            <w:tcBorders>
              <w:bottom w:val="dotted" w:sz="8" w:space="0" w:color="000000"/>
            </w:tcBorders>
            <w:shd w:fill="auto" w:val="clear"/>
            <w:tcMar>
              <w:bottom w:w="100" w:type="dxa"/>
            </w:tcMar>
            <w:vAlign w:val="center"/>
          </w:tcPr>
          <w:p>
            <w:pPr>
              <w:pStyle w:val="TableContents"/>
              <w:spacing w:before="0" w:after="283"/>
              <w:rPr/>
            </w:pPr>
            <w:r>
              <w:rPr/>
              <w:t> </w:t>
            </w:r>
          </w:p>
        </w:tc>
        <w:tc>
          <w:tcPr>
            <w:tcW w:w="1005" w:type="dxa"/>
            <w:tcBorders>
              <w:bottom w:val="dotted" w:sz="8" w:space="0" w:color="000000"/>
            </w:tcBorders>
            <w:shd w:fill="auto" w:val="clear"/>
            <w:tcMar>
              <w:bottom w:w="100" w:type="dxa"/>
            </w:tcMar>
            <w:vAlign w:val="center"/>
          </w:tcPr>
          <w:p>
            <w:pPr>
              <w:pStyle w:val="TableContents"/>
              <w:spacing w:before="0" w:after="283"/>
              <w:jc w:val="right"/>
              <w:rPr/>
            </w:pPr>
            <w:r>
              <w:rPr/>
              <w:t>2,739,108</w:t>
            </w:r>
          </w:p>
        </w:tc>
        <w:tc>
          <w:tcPr>
            <w:tcW w:w="63"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980" w:type="dxa"/>
            <w:tcBorders>
              <w:bottom w:val="dotted" w:sz="8" w:space="0" w:color="000000"/>
            </w:tcBorders>
            <w:shd w:fill="auto" w:val="clear"/>
            <w:tcMar>
              <w:bottom w:w="100" w:type="dxa"/>
            </w:tcMar>
            <w:vAlign w:val="center"/>
          </w:tcPr>
          <w:p>
            <w:pPr>
              <w:pStyle w:val="TableContents"/>
              <w:spacing w:before="0" w:after="283"/>
              <w:jc w:val="right"/>
              <w:rPr/>
            </w:pPr>
            <w:r>
              <w:rPr/>
              <w:t>6,627,252</w:t>
            </w:r>
          </w:p>
        </w:tc>
        <w:tc>
          <w:tcPr>
            <w:tcW w:w="95" w:type="dxa"/>
            <w:tcBorders>
              <w:bottom w:val="dotted" w:sz="8" w:space="0" w:color="000000"/>
            </w:tcBorders>
            <w:shd w:fill="auto" w:val="clear"/>
            <w:tcMar>
              <w:bottom w:w="100" w:type="dxa"/>
            </w:tcMar>
            <w:vAlign w:val="center"/>
          </w:tcPr>
          <w:p>
            <w:pPr>
              <w:pStyle w:val="TableContents"/>
              <w:spacing w:before="0" w:after="0"/>
              <w:rPr>
                <w:sz w:val="9"/>
              </w:rPr>
            </w:pPr>
            <w:r>
              <w:rPr>
                <w:sz w:val="9"/>
              </w:rPr>
              <w:t>(5)</w:t>
            </w:r>
          </w:p>
          <w:p>
            <w:pPr>
              <w:pStyle w:val="TableContents"/>
              <w:spacing w:before="0" w:after="0"/>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774" w:type="dxa"/>
            <w:tcBorders>
              <w:bottom w:val="dotted" w:sz="8" w:space="0" w:color="000000"/>
            </w:tcBorders>
            <w:shd w:fill="auto" w:val="clear"/>
            <w:tcMar>
              <w:bottom w:w="100" w:type="dxa"/>
            </w:tcMar>
            <w:vAlign w:val="center"/>
          </w:tcPr>
          <w:p>
            <w:pPr>
              <w:pStyle w:val="TableContents"/>
              <w:spacing w:before="0" w:after="283"/>
              <w:jc w:val="right"/>
              <w:rPr/>
            </w:pPr>
            <w:r>
              <w:rPr/>
              <w:t>160.17</w:t>
            </w:r>
          </w:p>
        </w:tc>
        <w:tc>
          <w:tcPr>
            <w:tcW w:w="7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28" w:type="dxa"/>
            </w:tcMar>
            <w:vAlign w:val="center"/>
          </w:tcPr>
          <w:p>
            <w:pPr>
              <w:pStyle w:val="TableContents"/>
              <w:spacing w:before="0" w:after="283"/>
              <w:rPr/>
            </w:pPr>
            <w:r>
              <w:rPr/>
              <w:t> </w:t>
            </w:r>
          </w:p>
        </w:tc>
        <w:tc>
          <w:tcPr>
            <w:tcW w:w="68" w:type="dxa"/>
            <w:tcBorders>
              <w:bottom w:val="dotted" w:sz="8" w:space="0" w:color="000000"/>
            </w:tcBorders>
            <w:shd w:fill="auto" w:val="clear"/>
            <w:tcMar>
              <w:bottom w:w="100" w:type="dxa"/>
            </w:tcMar>
            <w:vAlign w:val="center"/>
          </w:tcPr>
          <w:p>
            <w:pPr>
              <w:pStyle w:val="TableContents"/>
              <w:spacing w:before="0" w:after="283"/>
              <w:rPr/>
            </w:pPr>
            <w:r>
              <w:rPr/>
              <w:t> </w:t>
            </w:r>
          </w:p>
        </w:tc>
        <w:tc>
          <w:tcPr>
            <w:tcW w:w="774" w:type="dxa"/>
            <w:tcBorders>
              <w:bottom w:val="dotted" w:sz="8" w:space="0" w:color="000000"/>
            </w:tcBorders>
            <w:shd w:fill="auto" w:val="clear"/>
            <w:tcMar>
              <w:bottom w:w="100" w:type="dxa"/>
            </w:tcMar>
            <w:vAlign w:val="center"/>
          </w:tcPr>
          <w:p>
            <w:pPr>
              <w:pStyle w:val="TableContents"/>
              <w:spacing w:before="0" w:after="283"/>
              <w:jc w:val="right"/>
              <w:rPr/>
            </w:pPr>
            <w:r>
              <w:rPr/>
              <w:t>159.52</w:t>
            </w:r>
          </w:p>
        </w:tc>
        <w:tc>
          <w:tcPr>
            <w:tcW w:w="7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20" w:type="dxa"/>
            <w:tcBorders>
              <w:bottom w:val="dotted" w:sz="8" w:space="0" w:color="000000"/>
            </w:tcBorders>
            <w:shd w:fill="auto" w:val="clear"/>
            <w:tcMar>
              <w:bottom w:w="100" w:type="dxa"/>
            </w:tcMar>
            <w:vAlign w:val="center"/>
          </w:tcPr>
          <w:p>
            <w:pPr>
              <w:pStyle w:val="TableContents"/>
              <w:spacing w:before="0" w:after="283"/>
              <w:jc w:val="right"/>
              <w:rPr/>
            </w:pPr>
            <w:r>
              <w:rPr/>
              <w:t>702,770,000</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400" w:type="dxa"/>
            <w:tcBorders>
              <w:bottom w:val="dotted" w:sz="8" w:space="0" w:color="000000"/>
            </w:tcBorders>
            <w:shd w:fill="auto" w:val="clear"/>
            <w:tcMar>
              <w:bottom w:w="100" w:type="dxa"/>
            </w:tcMar>
            <w:vAlign w:val="center"/>
          </w:tcPr>
          <w:p>
            <w:pPr>
              <w:pStyle w:val="TableContents"/>
              <w:spacing w:before="0" w:after="283"/>
              <w:jc w:val="right"/>
              <w:rPr/>
            </w:pPr>
            <w:r>
              <w:rPr/>
              <w:t>1,533,200,000</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440" w:type="dxa"/>
            <w:tcBorders/>
            <w:shd w:fill="auto" w:val="clear"/>
            <w:vAlign w:val="center"/>
          </w:tcPr>
          <w:p>
            <w:pPr>
              <w:pStyle w:val="TableContents"/>
              <w:spacing w:before="0" w:after="283"/>
              <w:rPr/>
            </w:pPr>
            <w:r>
              <w:rPr/>
              <w:t> </w:t>
            </w:r>
          </w:p>
        </w:tc>
        <w:tc>
          <w:tcPr>
            <w:tcW w:w="1340" w:type="dxa"/>
            <w:gridSpan w:val="5"/>
            <w:tcBorders/>
            <w:shd w:fill="auto" w:val="clear"/>
            <w:vAlign w:val="center"/>
          </w:tcPr>
          <w:p>
            <w:pPr>
              <w:pStyle w:val="TableContents"/>
              <w:spacing w:before="0" w:after="283"/>
              <w:rPr/>
            </w:pPr>
            <w:r>
              <w:rPr/>
              <w:t> </w:t>
            </w:r>
          </w:p>
        </w:tc>
        <w:tc>
          <w:tcPr>
            <w:tcW w:w="1375" w:type="dxa"/>
            <w:gridSpan w:val="5"/>
            <w:tcBorders/>
            <w:shd w:fill="auto" w:val="clear"/>
            <w:vAlign w:val="center"/>
          </w:tcPr>
          <w:p>
            <w:pPr>
              <w:pStyle w:val="TableContents"/>
              <w:spacing w:before="0" w:after="283"/>
              <w:rPr/>
            </w:pPr>
            <w:r>
              <w:rPr/>
              <w:t> </w:t>
            </w:r>
          </w:p>
        </w:tc>
        <w:tc>
          <w:tcPr>
            <w:tcW w:w="1250" w:type="dxa"/>
            <w:gridSpan w:val="5"/>
            <w:tcBorders/>
            <w:shd w:fill="auto" w:val="clear"/>
            <w:vAlign w:val="center"/>
          </w:tcPr>
          <w:p>
            <w:pPr>
              <w:pStyle w:val="TableContents"/>
              <w:spacing w:before="0" w:after="283"/>
              <w:rPr/>
            </w:pPr>
            <w:r>
              <w:rPr/>
              <w:t> </w:t>
            </w:r>
          </w:p>
        </w:tc>
        <w:tc>
          <w:tcPr>
            <w:tcW w:w="1255" w:type="dxa"/>
            <w:gridSpan w:val="5"/>
            <w:tcBorders/>
            <w:shd w:fill="auto" w:val="clear"/>
            <w:vAlign w:val="center"/>
          </w:tcPr>
          <w:p>
            <w:pPr>
              <w:pStyle w:val="TableContents"/>
              <w:spacing w:before="0" w:after="283"/>
              <w:rPr/>
            </w:pPr>
            <w:r>
              <w:rPr/>
              <w:t> </w:t>
            </w:r>
          </w:p>
        </w:tc>
        <w:tc>
          <w:tcPr>
            <w:tcW w:w="1040" w:type="dxa"/>
            <w:gridSpan w:val="5"/>
            <w:tcBorders/>
            <w:shd w:fill="auto" w:val="clear"/>
            <w:vAlign w:val="center"/>
          </w:tcPr>
          <w:p>
            <w:pPr>
              <w:pStyle w:val="TableContents"/>
              <w:spacing w:before="0" w:after="283"/>
              <w:rPr/>
            </w:pPr>
            <w:r>
              <w:rPr/>
              <w:t> </w:t>
            </w:r>
          </w:p>
        </w:tc>
        <w:tc>
          <w:tcPr>
            <w:tcW w:w="1040" w:type="dxa"/>
            <w:gridSpan w:val="5"/>
            <w:tcBorders/>
            <w:shd w:fill="auto" w:val="clear"/>
            <w:vAlign w:val="center"/>
          </w:tcPr>
          <w:p>
            <w:pPr>
              <w:pStyle w:val="TableContents"/>
              <w:spacing w:before="0" w:after="283"/>
              <w:rPr/>
            </w:pPr>
            <w:r>
              <w:rPr/>
              <w:t> </w:t>
            </w:r>
          </w:p>
        </w:tc>
        <w:tc>
          <w:tcPr>
            <w:tcW w:w="1460" w:type="dxa"/>
            <w:gridSpan w:val="5"/>
            <w:tcBorders/>
            <w:shd w:fill="auto" w:val="clear"/>
            <w:vAlign w:val="center"/>
          </w:tcPr>
          <w:p>
            <w:pPr>
              <w:pStyle w:val="TableContents"/>
              <w:spacing w:before="0" w:after="283"/>
              <w:rPr/>
            </w:pPr>
            <w:r>
              <w:rPr/>
              <w:t> </w:t>
            </w:r>
          </w:p>
        </w:tc>
        <w:tc>
          <w:tcPr>
            <w:tcW w:w="1655" w:type="dxa"/>
            <w:gridSpan w:val="5"/>
            <w:tcBorders/>
            <w:shd w:fill="auto" w:val="clear"/>
            <w:vAlign w:val="center"/>
          </w:tcPr>
          <w:p>
            <w:pPr>
              <w:pStyle w:val="TableContents"/>
              <w:spacing w:before="0" w:after="283"/>
              <w:rPr/>
            </w:pPr>
            <w:r>
              <w:rPr/>
              <w:t> </w:t>
            </w:r>
          </w:p>
        </w:tc>
      </w:tr>
      <w:tr>
        <w:trPr/>
        <w:tc>
          <w:tcPr>
            <w:tcW w:w="440" w:type="dxa"/>
            <w:tcBorders>
              <w:bottom w:val="single" w:sz="8" w:space="0" w:color="000000"/>
            </w:tcBorders>
            <w:shd w:fill="auto" w:val="clear"/>
            <w:tcMar>
              <w:bottom w:w="100" w:type="dxa"/>
            </w:tcMar>
            <w:vAlign w:val="center"/>
          </w:tcPr>
          <w:p>
            <w:pPr>
              <w:pStyle w:val="TableContents"/>
              <w:spacing w:before="0" w:after="0"/>
              <w:rPr>
                <w:rFonts w:ascii="ARIAL" w:hAnsi="ARIAL"/>
                <w:b/>
                <w:sz w:val="16"/>
              </w:rPr>
            </w:pPr>
            <w:r>
              <w:rPr>
                <w:rFonts w:ascii="ARIAL" w:hAnsi="ARIAL"/>
                <w:b/>
                <w:sz w:val="16"/>
              </w:rPr>
              <w:t>2020</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100" w:type="dxa"/>
            </w:tcMar>
            <w:vAlign w:val="center"/>
          </w:tcPr>
          <w:p>
            <w:pPr>
              <w:pStyle w:val="TableContents"/>
              <w:spacing w:before="0" w:after="283"/>
              <w:rPr/>
            </w:pPr>
            <w:r>
              <w:rPr/>
              <w:t> </w:t>
            </w:r>
          </w:p>
        </w:tc>
        <w:tc>
          <w:tcPr>
            <w:tcW w:w="1100" w:type="dxa"/>
            <w:tcBorders>
              <w:bottom w:val="single" w:sz="8" w:space="0" w:color="000000"/>
            </w:tcBorders>
            <w:shd w:fill="auto" w:val="clear"/>
            <w:tcMar>
              <w:bottom w:w="100" w:type="dxa"/>
            </w:tcMar>
            <w:vAlign w:val="center"/>
          </w:tcPr>
          <w:p>
            <w:pPr>
              <w:pStyle w:val="TableContents"/>
              <w:spacing w:before="0" w:after="283"/>
              <w:jc w:val="right"/>
              <w:rPr/>
            </w:pPr>
            <w:r>
              <w:rPr/>
              <w:t>12,818,588</w:t>
            </w:r>
          </w:p>
        </w:tc>
        <w:tc>
          <w:tcPr>
            <w:tcW w:w="60" w:type="dxa"/>
            <w:tcBorders>
              <w:bottom w:val="single" w:sz="8" w:space="0" w:color="000000"/>
            </w:tcBorders>
            <w:shd w:fill="auto" w:val="clear"/>
            <w:tcMar>
              <w:bottom w:w="10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100" w:type="dxa"/>
            </w:tcMar>
            <w:vAlign w:val="center"/>
          </w:tcPr>
          <w:p>
            <w:pPr>
              <w:pStyle w:val="TableContents"/>
              <w:spacing w:before="0" w:after="283"/>
              <w:rPr/>
            </w:pPr>
            <w:r>
              <w:rPr/>
              <w:t> </w:t>
            </w:r>
          </w:p>
        </w:tc>
        <w:tc>
          <w:tcPr>
            <w:tcW w:w="1100" w:type="dxa"/>
            <w:tcBorders>
              <w:bottom w:val="single" w:sz="8" w:space="0" w:color="000000"/>
            </w:tcBorders>
            <w:shd w:fill="auto" w:val="clear"/>
            <w:tcMar>
              <w:bottom w:w="100" w:type="dxa"/>
            </w:tcMar>
            <w:vAlign w:val="center"/>
          </w:tcPr>
          <w:p>
            <w:pPr>
              <w:pStyle w:val="TableContents"/>
              <w:spacing w:before="0" w:after="283"/>
              <w:jc w:val="right"/>
              <w:rPr/>
            </w:pPr>
            <w:r>
              <w:rPr/>
              <w:t>12,254,009</w:t>
            </w:r>
          </w:p>
        </w:tc>
        <w:tc>
          <w:tcPr>
            <w:tcW w:w="95" w:type="dxa"/>
            <w:tcBorders>
              <w:bottom w:val="single" w:sz="8" w:space="0" w:color="000000"/>
            </w:tcBorders>
            <w:shd w:fill="auto" w:val="clear"/>
            <w:tcMar>
              <w:bottom w:w="100" w:type="dxa"/>
            </w:tcMar>
            <w:vAlign w:val="center"/>
          </w:tcPr>
          <w:p>
            <w:pPr>
              <w:pStyle w:val="TableContents"/>
              <w:spacing w:before="0" w:after="0"/>
              <w:rPr>
                <w:sz w:val="9"/>
              </w:rPr>
            </w:pPr>
            <w:r>
              <w:rPr>
                <w:sz w:val="9"/>
              </w:rPr>
              <w:t>(6)</w:t>
            </w:r>
          </w:p>
          <w:p>
            <w:pPr>
              <w:pStyle w:val="TableContents"/>
              <w:spacing w:before="0" w:after="0"/>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1" w:type="dxa"/>
            <w:tcBorders>
              <w:bottom w:val="single" w:sz="8" w:space="0" w:color="000000"/>
            </w:tcBorders>
            <w:shd w:fill="auto" w:val="clear"/>
            <w:tcMar>
              <w:bottom w:w="28" w:type="dxa"/>
            </w:tcMar>
            <w:vAlign w:val="center"/>
          </w:tcPr>
          <w:p>
            <w:pPr>
              <w:pStyle w:val="TableContents"/>
              <w:spacing w:before="0" w:after="283"/>
              <w:rPr/>
            </w:pPr>
            <w:r>
              <w:rPr/>
              <w:t> </w:t>
            </w:r>
          </w:p>
        </w:tc>
        <w:tc>
          <w:tcPr>
            <w:tcW w:w="61" w:type="dxa"/>
            <w:tcBorders>
              <w:bottom w:val="single" w:sz="8" w:space="0" w:color="000000"/>
            </w:tcBorders>
            <w:shd w:fill="auto" w:val="clear"/>
            <w:tcMar>
              <w:bottom w:w="100" w:type="dxa"/>
            </w:tcMar>
            <w:vAlign w:val="center"/>
          </w:tcPr>
          <w:p>
            <w:pPr>
              <w:pStyle w:val="TableContents"/>
              <w:spacing w:before="0" w:after="283"/>
              <w:rPr/>
            </w:pPr>
            <w:r>
              <w:rPr/>
              <w:t> </w:t>
            </w:r>
          </w:p>
        </w:tc>
        <w:tc>
          <w:tcPr>
            <w:tcW w:w="1005" w:type="dxa"/>
            <w:tcBorders>
              <w:bottom w:val="single" w:sz="8" w:space="0" w:color="000000"/>
            </w:tcBorders>
            <w:shd w:fill="auto" w:val="clear"/>
            <w:tcMar>
              <w:bottom w:w="100" w:type="dxa"/>
            </w:tcMar>
            <w:vAlign w:val="center"/>
          </w:tcPr>
          <w:p>
            <w:pPr>
              <w:pStyle w:val="TableContents"/>
              <w:spacing w:before="0" w:after="283"/>
              <w:jc w:val="right"/>
              <w:rPr/>
            </w:pPr>
            <w:r>
              <w:rPr/>
              <w:t>2,618,321</w:t>
            </w:r>
          </w:p>
        </w:tc>
        <w:tc>
          <w:tcPr>
            <w:tcW w:w="63" w:type="dxa"/>
            <w:tcBorders>
              <w:bottom w:val="single" w:sz="8" w:space="0" w:color="000000"/>
            </w:tcBorders>
            <w:shd w:fill="auto" w:val="clear"/>
            <w:tcMar>
              <w:bottom w:w="10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100" w:type="dxa"/>
            </w:tcMar>
            <w:vAlign w:val="center"/>
          </w:tcPr>
          <w:p>
            <w:pPr>
              <w:pStyle w:val="TableContents"/>
              <w:spacing w:before="0" w:after="283"/>
              <w:rPr/>
            </w:pPr>
            <w:r>
              <w:rPr/>
              <w:t> </w:t>
            </w:r>
          </w:p>
        </w:tc>
        <w:tc>
          <w:tcPr>
            <w:tcW w:w="980" w:type="dxa"/>
            <w:tcBorders>
              <w:bottom w:val="single" w:sz="8" w:space="0" w:color="000000"/>
            </w:tcBorders>
            <w:shd w:fill="auto" w:val="clear"/>
            <w:tcMar>
              <w:bottom w:w="100" w:type="dxa"/>
            </w:tcMar>
            <w:vAlign w:val="center"/>
          </w:tcPr>
          <w:p>
            <w:pPr>
              <w:pStyle w:val="TableContents"/>
              <w:spacing w:before="0" w:after="283"/>
              <w:jc w:val="right"/>
              <w:rPr/>
            </w:pPr>
            <w:r>
              <w:rPr/>
              <w:t>2,456,130</w:t>
            </w:r>
          </w:p>
        </w:tc>
        <w:tc>
          <w:tcPr>
            <w:tcW w:w="95" w:type="dxa"/>
            <w:tcBorders>
              <w:bottom w:val="single" w:sz="8" w:space="0" w:color="000000"/>
            </w:tcBorders>
            <w:shd w:fill="auto" w:val="clear"/>
            <w:tcMar>
              <w:bottom w:w="100" w:type="dxa"/>
            </w:tcMar>
            <w:vAlign w:val="center"/>
          </w:tcPr>
          <w:p>
            <w:pPr>
              <w:pStyle w:val="TableContents"/>
              <w:spacing w:before="0" w:after="0"/>
              <w:rPr>
                <w:sz w:val="9"/>
              </w:rPr>
            </w:pPr>
            <w:r>
              <w:rPr>
                <w:sz w:val="9"/>
              </w:rPr>
              <w:t>(6)</w:t>
            </w:r>
          </w:p>
          <w:p>
            <w:pPr>
              <w:pStyle w:val="TableContents"/>
              <w:spacing w:before="0" w:after="0"/>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8" w:type="dxa"/>
            <w:tcBorders>
              <w:bottom w:val="single" w:sz="8" w:space="0" w:color="000000"/>
            </w:tcBorders>
            <w:shd w:fill="auto" w:val="clear"/>
            <w:tcMar>
              <w:bottom w:w="28" w:type="dxa"/>
            </w:tcMar>
            <w:vAlign w:val="center"/>
          </w:tcPr>
          <w:p>
            <w:pPr>
              <w:pStyle w:val="TableContents"/>
              <w:spacing w:before="0" w:after="283"/>
              <w:rPr/>
            </w:pPr>
            <w:r>
              <w:rPr/>
              <w:t> </w:t>
            </w:r>
          </w:p>
        </w:tc>
        <w:tc>
          <w:tcPr>
            <w:tcW w:w="68" w:type="dxa"/>
            <w:tcBorders>
              <w:bottom w:val="single" w:sz="8" w:space="0" w:color="000000"/>
            </w:tcBorders>
            <w:shd w:fill="auto" w:val="clear"/>
            <w:tcMar>
              <w:bottom w:w="100" w:type="dxa"/>
            </w:tcMar>
            <w:vAlign w:val="center"/>
          </w:tcPr>
          <w:p>
            <w:pPr>
              <w:pStyle w:val="TableContents"/>
              <w:spacing w:before="0" w:after="283"/>
              <w:rPr/>
            </w:pPr>
            <w:r>
              <w:rPr/>
              <w:t> </w:t>
            </w:r>
          </w:p>
        </w:tc>
        <w:tc>
          <w:tcPr>
            <w:tcW w:w="774" w:type="dxa"/>
            <w:tcBorders>
              <w:bottom w:val="single" w:sz="8" w:space="0" w:color="000000"/>
            </w:tcBorders>
            <w:shd w:fill="auto" w:val="clear"/>
            <w:tcMar>
              <w:bottom w:w="100" w:type="dxa"/>
            </w:tcMar>
            <w:vAlign w:val="center"/>
          </w:tcPr>
          <w:p>
            <w:pPr>
              <w:pStyle w:val="TableContents"/>
              <w:spacing w:before="0" w:after="283"/>
              <w:jc w:val="right"/>
              <w:rPr/>
            </w:pPr>
            <w:r>
              <w:rPr/>
              <w:t>102.59</w:t>
            </w:r>
          </w:p>
        </w:tc>
        <w:tc>
          <w:tcPr>
            <w:tcW w:w="70" w:type="dxa"/>
            <w:tcBorders>
              <w:bottom w:val="single" w:sz="8" w:space="0" w:color="000000"/>
            </w:tcBorders>
            <w:shd w:fill="auto" w:val="clear"/>
            <w:tcMar>
              <w:bottom w:w="10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8" w:type="dxa"/>
            <w:tcBorders>
              <w:bottom w:val="single" w:sz="8" w:space="0" w:color="000000"/>
            </w:tcBorders>
            <w:shd w:fill="auto" w:val="clear"/>
            <w:tcMar>
              <w:bottom w:w="28" w:type="dxa"/>
            </w:tcMar>
            <w:vAlign w:val="center"/>
          </w:tcPr>
          <w:p>
            <w:pPr>
              <w:pStyle w:val="TableContents"/>
              <w:spacing w:before="0" w:after="283"/>
              <w:rPr/>
            </w:pPr>
            <w:r>
              <w:rPr/>
              <w:t> </w:t>
            </w:r>
          </w:p>
        </w:tc>
        <w:tc>
          <w:tcPr>
            <w:tcW w:w="68" w:type="dxa"/>
            <w:tcBorders>
              <w:bottom w:val="single" w:sz="8" w:space="0" w:color="000000"/>
            </w:tcBorders>
            <w:shd w:fill="auto" w:val="clear"/>
            <w:tcMar>
              <w:bottom w:w="100" w:type="dxa"/>
            </w:tcMar>
            <w:vAlign w:val="center"/>
          </w:tcPr>
          <w:p>
            <w:pPr>
              <w:pStyle w:val="TableContents"/>
              <w:spacing w:before="0" w:after="283"/>
              <w:rPr/>
            </w:pPr>
            <w:r>
              <w:rPr/>
              <w:t> </w:t>
            </w:r>
          </w:p>
        </w:tc>
        <w:tc>
          <w:tcPr>
            <w:tcW w:w="774" w:type="dxa"/>
            <w:tcBorders>
              <w:bottom w:val="single" w:sz="8" w:space="0" w:color="000000"/>
            </w:tcBorders>
            <w:shd w:fill="auto" w:val="clear"/>
            <w:tcMar>
              <w:bottom w:w="100" w:type="dxa"/>
            </w:tcMar>
            <w:vAlign w:val="center"/>
          </w:tcPr>
          <w:p>
            <w:pPr>
              <w:pStyle w:val="TableContents"/>
              <w:spacing w:before="0" w:after="283"/>
              <w:jc w:val="right"/>
              <w:rPr/>
            </w:pPr>
            <w:r>
              <w:rPr/>
              <w:t>121.61</w:t>
            </w:r>
          </w:p>
        </w:tc>
        <w:tc>
          <w:tcPr>
            <w:tcW w:w="70" w:type="dxa"/>
            <w:tcBorders>
              <w:bottom w:val="single" w:sz="8" w:space="0" w:color="000000"/>
            </w:tcBorders>
            <w:shd w:fill="auto" w:val="clear"/>
            <w:tcMar>
              <w:bottom w:w="10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100" w:type="dxa"/>
            </w:tcMar>
            <w:vAlign w:val="center"/>
          </w:tcPr>
          <w:p>
            <w:pPr>
              <w:pStyle w:val="TableContents"/>
              <w:spacing w:before="0" w:after="283"/>
              <w:rPr/>
            </w:pPr>
            <w:r>
              <w:rPr/>
              <w:t> </w:t>
            </w:r>
          </w:p>
        </w:tc>
        <w:tc>
          <w:tcPr>
            <w:tcW w:w="1220" w:type="dxa"/>
            <w:tcBorders>
              <w:bottom w:val="single" w:sz="8" w:space="0" w:color="000000"/>
            </w:tcBorders>
            <w:shd w:fill="auto" w:val="clear"/>
            <w:tcMar>
              <w:bottom w:w="100" w:type="dxa"/>
            </w:tcMar>
            <w:vAlign w:val="center"/>
          </w:tcPr>
          <w:p>
            <w:pPr>
              <w:pStyle w:val="TableContents"/>
              <w:spacing w:before="0" w:after="283"/>
              <w:jc w:val="right"/>
              <w:rPr/>
            </w:pPr>
            <w:r>
              <w:rPr/>
              <w:t>721,050,000</w:t>
            </w:r>
          </w:p>
        </w:tc>
        <w:tc>
          <w:tcPr>
            <w:tcW w:w="60" w:type="dxa"/>
            <w:tcBorders>
              <w:bottom w:val="single" w:sz="8" w:space="0" w:color="000000"/>
            </w:tcBorders>
            <w:shd w:fill="auto" w:val="clear"/>
            <w:tcMar>
              <w:bottom w:w="10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100" w:type="dxa"/>
            </w:tcMar>
            <w:vAlign w:val="center"/>
          </w:tcPr>
          <w:p>
            <w:pPr>
              <w:pStyle w:val="TableContents"/>
              <w:spacing w:before="0" w:after="283"/>
              <w:rPr/>
            </w:pPr>
            <w:r>
              <w:rPr/>
              <w:t> </w:t>
            </w:r>
          </w:p>
        </w:tc>
        <w:tc>
          <w:tcPr>
            <w:tcW w:w="1400" w:type="dxa"/>
            <w:tcBorders>
              <w:bottom w:val="single" w:sz="8" w:space="0" w:color="000000"/>
            </w:tcBorders>
            <w:shd w:fill="auto" w:val="clear"/>
            <w:tcMar>
              <w:bottom w:w="100" w:type="dxa"/>
            </w:tcMar>
            <w:vAlign w:val="center"/>
          </w:tcPr>
          <w:p>
            <w:pPr>
              <w:pStyle w:val="TableContents"/>
              <w:spacing w:before="0" w:after="283"/>
              <w:jc w:val="right"/>
              <w:rPr/>
            </w:pPr>
            <w:r>
              <w:rPr/>
              <w:t>1,392,820,000</w:t>
            </w:r>
          </w:p>
        </w:tc>
        <w:tc>
          <w:tcPr>
            <w:tcW w:w="75" w:type="dxa"/>
            <w:tcBorders>
              <w:bottom w:val="single" w:sz="8" w:space="0" w:color="000000"/>
            </w:tcBorders>
            <w:shd w:fill="auto" w:val="clear"/>
            <w:tcMar>
              <w:bottom w:w="100" w:type="dxa"/>
            </w:tcMar>
            <w:vAlign w:val="center"/>
          </w:tcPr>
          <w:p>
            <w:pPr>
              <w:pStyle w:val="TableContents"/>
              <w:spacing w:before="0" w:after="283"/>
              <w:rPr/>
            </w:pPr>
            <w:r>
              <w:rPr/>
              <w:t> </w:t>
            </w:r>
          </w:p>
        </w:tc>
      </w:tr>
    </w:tbl>
    <w:p>
      <w:pPr>
        <w:pStyle w:val="TextBody"/>
        <w:spacing w:before="0" w:after="0"/>
        <w:jc w:val="left"/>
        <w:rPr/>
      </w:pPr>
      <w:r>
        <w:rPr/>
        <w:t> </w:t>
      </w:r>
    </w:p>
    <w:tbl>
      <w:tblPr>
        <w:tblW w:w="7405" w:type="dxa"/>
        <w:jc w:val="left"/>
        <w:tblInd w:w="0" w:type="dxa"/>
        <w:tblCellMar>
          <w:top w:w="0" w:type="dxa"/>
          <w:left w:w="0" w:type="dxa"/>
          <w:bottom w:w="0" w:type="dxa"/>
          <w:right w:w="0" w:type="dxa"/>
        </w:tblCellMar>
      </w:tblPr>
      <w:tblGrid>
        <w:gridCol w:w="305"/>
        <w:gridCol w:w="7100"/>
      </w:tblGrid>
      <w:tr>
        <w:trPr/>
        <w:tc>
          <w:tcPr>
            <w:tcW w:w="305" w:type="dxa"/>
            <w:tcBorders/>
            <w:shd w:fill="auto" w:val="clear"/>
            <w:vAlign w:val="center"/>
          </w:tcPr>
          <w:p>
            <w:pPr>
              <w:pStyle w:val="TableContents"/>
              <w:spacing w:before="0" w:after="283"/>
              <w:jc w:val="left"/>
              <w:rPr/>
            </w:pPr>
            <w:r>
              <w:rPr/>
              <w:t>(1)</w:t>
            </w:r>
          </w:p>
        </w:tc>
        <w:tc>
          <w:tcPr>
            <w:tcW w:w="710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PEO and NEOs included in the above compensation columns reflect the following: </w:t>
            </w:r>
          </w:p>
        </w:tc>
      </w:tr>
    </w:tbl>
    <w:p>
      <w:pPr>
        <w:pStyle w:val="TextBody"/>
        <w:spacing w:before="0" w:after="0"/>
        <w:jc w:val="left"/>
        <w:rPr/>
      </w:pPr>
      <w:r>
        <w:rPr/>
        <w:t> </w:t>
      </w:r>
    </w:p>
    <w:tbl>
      <w:tblPr>
        <w:tblW w:w="5205" w:type="dxa"/>
        <w:jc w:val="left"/>
        <w:tblInd w:w="0" w:type="dxa"/>
        <w:tblCellMar>
          <w:top w:w="0" w:type="dxa"/>
          <w:left w:w="0" w:type="dxa"/>
          <w:bottom w:w="0" w:type="dxa"/>
          <w:right w:w="0" w:type="dxa"/>
        </w:tblCellMar>
      </w:tblPr>
      <w:tblGrid>
        <w:gridCol w:w="455"/>
        <w:gridCol w:w="60"/>
        <w:gridCol w:w="1550"/>
        <w:gridCol w:w="60"/>
        <w:gridCol w:w="3080"/>
      </w:tblGrid>
      <w:tr>
        <w:trPr/>
        <w:tc>
          <w:tcPr>
            <w:tcW w:w="4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DBDBDB" w:val="clear"/>
            <w:vAlign w:val="center"/>
          </w:tcPr>
          <w:p>
            <w:pPr>
              <w:pStyle w:val="TableContents"/>
              <w:spacing w:before="0" w:after="283"/>
              <w:rPr>
                <w:sz w:val="4"/>
                <w:szCs w:val="4"/>
              </w:rPr>
            </w:pPr>
            <w:r>
              <w:rPr>
                <w:sz w:val="4"/>
                <w:szCs w:val="4"/>
              </w:rPr>
            </w:r>
          </w:p>
        </w:tc>
        <w:tc>
          <w:tcPr>
            <w:tcW w:w="1610" w:type="dxa"/>
            <w:gridSpan w:val="2"/>
            <w:tcBorders/>
            <w:shd w:fill="DBDBDB" w:val="clear"/>
            <w:vAlign w:val="center"/>
          </w:tcPr>
          <w:p>
            <w:pPr>
              <w:pStyle w:val="TableContents"/>
              <w:spacing w:before="0" w:after="283"/>
              <w:rPr>
                <w:sz w:val="4"/>
                <w:szCs w:val="4"/>
              </w:rPr>
            </w:pPr>
            <w:r>
              <w:rPr>
                <w:sz w:val="4"/>
                <w:szCs w:val="4"/>
              </w:rPr>
            </w:r>
          </w:p>
        </w:tc>
        <w:tc>
          <w:tcPr>
            <w:tcW w:w="3140" w:type="dxa"/>
            <w:gridSpan w:val="2"/>
            <w:tcBorders/>
            <w:shd w:fill="DBDBDB" w:val="clear"/>
            <w:vAlign w:val="center"/>
          </w:tcPr>
          <w:p>
            <w:pPr>
              <w:pStyle w:val="TableContents"/>
              <w:spacing w:before="0" w:after="283"/>
              <w:rPr>
                <w:sz w:val="4"/>
                <w:szCs w:val="4"/>
              </w:rPr>
            </w:pPr>
            <w:r>
              <w:rPr>
                <w:sz w:val="4"/>
                <w:szCs w:val="4"/>
              </w:rPr>
            </w:r>
          </w:p>
        </w:tc>
      </w:tr>
      <w:tr>
        <w:trPr/>
        <w:tc>
          <w:tcPr>
            <w:tcW w:w="455" w:type="dxa"/>
            <w:tcBorders/>
            <w:shd w:fill="DBDBDB" w:val="clear"/>
            <w:vAlign w:val="center"/>
          </w:tcPr>
          <w:p>
            <w:pPr>
              <w:pStyle w:val="TableContents"/>
              <w:spacing w:before="0" w:after="0"/>
              <w:jc w:val="center"/>
              <w:rPr>
                <w:rFonts w:ascii="ARIAL" w:hAnsi="ARIAL"/>
                <w:b/>
                <w:sz w:val="18"/>
              </w:rPr>
            </w:pPr>
            <w:r>
              <w:rPr>
                <w:rFonts w:ascii="ARIAL" w:hAnsi="ARIAL"/>
                <w:b/>
                <w:sz w:val="18"/>
              </w:rPr>
              <w:t>Year</w:t>
            </w:r>
          </w:p>
        </w:tc>
        <w:tc>
          <w:tcPr>
            <w:tcW w:w="60" w:type="dxa"/>
            <w:tcBorders/>
            <w:shd w:fill="DBDBDB" w:val="clear"/>
            <w:vAlign w:val="center"/>
          </w:tcPr>
          <w:p>
            <w:pPr>
              <w:pStyle w:val="TableContents"/>
              <w:spacing w:before="0" w:after="283"/>
              <w:rPr/>
            </w:pPr>
            <w:r>
              <w:rPr/>
              <w:t> </w:t>
            </w:r>
          </w:p>
        </w:tc>
        <w:tc>
          <w:tcPr>
            <w:tcW w:w="1550" w:type="dxa"/>
            <w:tcBorders/>
            <w:shd w:fill="DBDBDB" w:val="clear"/>
            <w:vAlign w:val="center"/>
          </w:tcPr>
          <w:p>
            <w:pPr>
              <w:pStyle w:val="TableContents"/>
              <w:spacing w:before="0" w:after="0"/>
              <w:jc w:val="center"/>
              <w:rPr>
                <w:b/>
                <w:spacing w:val="0"/>
              </w:rPr>
            </w:pPr>
            <w:r>
              <w:rPr>
                <w:b/>
                <w:spacing w:val="0"/>
              </w:rPr>
              <w:t>PEO</w:t>
            </w:r>
          </w:p>
        </w:tc>
        <w:tc>
          <w:tcPr>
            <w:tcW w:w="60" w:type="dxa"/>
            <w:tcBorders/>
            <w:shd w:fill="DBDBDB" w:val="clear"/>
            <w:vAlign w:val="center"/>
          </w:tcPr>
          <w:p>
            <w:pPr>
              <w:pStyle w:val="TableContents"/>
              <w:spacing w:before="0" w:after="283"/>
              <w:rPr/>
            </w:pPr>
            <w:r>
              <w:rPr/>
              <w:t> </w:t>
            </w:r>
          </w:p>
        </w:tc>
        <w:tc>
          <w:tcPr>
            <w:tcW w:w="3080" w:type="dxa"/>
            <w:tcBorders/>
            <w:shd w:fill="DBDBDB" w:val="clear"/>
            <w:vAlign w:val="center"/>
          </w:tcPr>
          <w:p>
            <w:pPr>
              <w:pStyle w:val="TableContents"/>
              <w:spacing w:before="0" w:after="0"/>
              <w:jc w:val="center"/>
              <w:rPr>
                <w:b/>
                <w:spacing w:val="0"/>
              </w:rPr>
            </w:pPr>
            <w:r>
              <w:rPr>
                <w:b/>
                <w:spacing w:val="0"/>
              </w:rPr>
              <w:t>NEOs</w:t>
            </w:r>
          </w:p>
        </w:tc>
      </w:tr>
      <w:tr>
        <w:trPr/>
        <w:tc>
          <w:tcPr>
            <w:tcW w:w="455" w:type="dxa"/>
            <w:tcBorders/>
            <w:shd w:fill="auto" w:val="clear"/>
            <w:vAlign w:val="center"/>
          </w:tcPr>
          <w:p>
            <w:pPr>
              <w:pStyle w:val="TableContents"/>
              <w:spacing w:before="0" w:after="283"/>
              <w:rPr/>
            </w:pPr>
            <w:r>
              <w:rPr/>
              <w:t> </w:t>
            </w:r>
          </w:p>
        </w:tc>
        <w:tc>
          <w:tcPr>
            <w:tcW w:w="1610" w:type="dxa"/>
            <w:gridSpan w:val="2"/>
            <w:tcBorders/>
            <w:shd w:fill="auto" w:val="clear"/>
            <w:vAlign w:val="center"/>
          </w:tcPr>
          <w:p>
            <w:pPr>
              <w:pStyle w:val="TableContents"/>
              <w:spacing w:before="0" w:after="283"/>
              <w:rPr/>
            </w:pPr>
            <w:r>
              <w:rPr/>
              <w:t> </w:t>
            </w:r>
          </w:p>
        </w:tc>
        <w:tc>
          <w:tcPr>
            <w:tcW w:w="3140" w:type="dxa"/>
            <w:gridSpan w:val="2"/>
            <w:tcBorders/>
            <w:shd w:fill="auto" w:val="clear"/>
            <w:vAlign w:val="center"/>
          </w:tcPr>
          <w:p>
            <w:pPr>
              <w:pStyle w:val="TableContents"/>
              <w:spacing w:before="0" w:after="283"/>
              <w:rPr/>
            </w:pPr>
            <w:r>
              <w:rPr/>
              <w:t> </w:t>
            </w:r>
          </w:p>
        </w:tc>
      </w:tr>
      <w:tr>
        <w:trPr/>
        <w:tc>
          <w:tcPr>
            <w:tcW w:w="455" w:type="dxa"/>
            <w:tcBorders>
              <w:bottom w:val="dotted" w:sz="8" w:space="0" w:color="000000"/>
            </w:tcBorders>
            <w:shd w:fill="auto" w:val="clear"/>
            <w:tcMar>
              <w:bottom w:w="80" w:type="dxa"/>
            </w:tcMar>
            <w:vAlign w:val="center"/>
          </w:tcPr>
          <w:p>
            <w:pPr>
              <w:pStyle w:val="TableContents"/>
              <w:spacing w:before="0" w:after="0"/>
              <w:jc w:val="center"/>
              <w:rPr>
                <w:rFonts w:ascii="ARIAL" w:hAnsi="ARIAL"/>
                <w:sz w:val="18"/>
              </w:rPr>
            </w:pPr>
            <w:r>
              <w:rPr>
                <w:rFonts w:ascii="ARIAL" w:hAnsi="ARIAL"/>
                <w:sz w:val="18"/>
              </w:rPr>
              <w:t>2022</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550" w:type="dxa"/>
            <w:tcBorders>
              <w:bottom w:val="dotted" w:sz="8" w:space="0" w:color="000000"/>
            </w:tcBorders>
            <w:shd w:fill="auto" w:val="clear"/>
            <w:tcMar>
              <w:bottom w:w="80" w:type="dxa"/>
            </w:tcMar>
            <w:vAlign w:val="center"/>
          </w:tcPr>
          <w:p>
            <w:pPr>
              <w:pStyle w:val="TableContents"/>
              <w:spacing w:before="0" w:after="283"/>
              <w:jc w:val="center"/>
              <w:rPr/>
            </w:pPr>
            <w:r>
              <w:rPr/>
              <w:t>C. Howard Nye</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3080" w:type="dxa"/>
            <w:tcBorders>
              <w:bottom w:val="dotted" w:sz="8" w:space="0" w:color="000000"/>
            </w:tcBorders>
            <w:shd w:fill="auto" w:val="clear"/>
            <w:tcMar>
              <w:bottom w:w="80" w:type="dxa"/>
            </w:tcMar>
            <w:vAlign w:val="center"/>
          </w:tcPr>
          <w:p>
            <w:pPr>
              <w:pStyle w:val="TableContents"/>
              <w:spacing w:before="0" w:after="0"/>
              <w:jc w:val="center"/>
              <w:rPr>
                <w:rFonts w:ascii="ARIAL" w:hAnsi="ARIAL"/>
                <w:sz w:val="18"/>
              </w:rPr>
            </w:pPr>
            <w:r>
              <w:rPr>
                <w:rFonts w:ascii="ARIAL" w:hAnsi="ARIAL"/>
                <w:sz w:val="18"/>
              </w:rPr>
              <w:t>James A. J. Nickolas, Roselyn R. Bar,</w:t>
            </w:r>
          </w:p>
          <w:p>
            <w:pPr>
              <w:pStyle w:val="TableContents"/>
              <w:spacing w:before="0" w:after="20"/>
              <w:jc w:val="center"/>
              <w:rPr>
                <w:rFonts w:ascii="ARIAL" w:hAnsi="ARIAL"/>
                <w:sz w:val="18"/>
              </w:rPr>
            </w:pPr>
            <w:r>
              <w:rPr>
                <w:rFonts w:ascii="ARIAL" w:hAnsi="ARIAL"/>
                <w:sz w:val="18"/>
              </w:rPr>
              <w:t>Craig M. LaTorre, John P. Mohr</w:t>
            </w:r>
          </w:p>
        </w:tc>
      </w:tr>
      <w:tr>
        <w:trPr/>
        <w:tc>
          <w:tcPr>
            <w:tcW w:w="455" w:type="dxa"/>
            <w:tcBorders/>
            <w:shd w:fill="auto" w:val="clear"/>
            <w:vAlign w:val="center"/>
          </w:tcPr>
          <w:p>
            <w:pPr>
              <w:pStyle w:val="TableContents"/>
              <w:spacing w:before="0" w:after="283"/>
              <w:rPr/>
            </w:pPr>
            <w:r>
              <w:rPr/>
              <w:t> </w:t>
            </w:r>
          </w:p>
        </w:tc>
        <w:tc>
          <w:tcPr>
            <w:tcW w:w="1610" w:type="dxa"/>
            <w:gridSpan w:val="2"/>
            <w:tcBorders/>
            <w:shd w:fill="auto" w:val="clear"/>
            <w:vAlign w:val="center"/>
          </w:tcPr>
          <w:p>
            <w:pPr>
              <w:pStyle w:val="TableContents"/>
              <w:spacing w:before="0" w:after="283"/>
              <w:rPr/>
            </w:pPr>
            <w:r>
              <w:rPr/>
              <w:t> </w:t>
            </w:r>
          </w:p>
        </w:tc>
        <w:tc>
          <w:tcPr>
            <w:tcW w:w="3140" w:type="dxa"/>
            <w:gridSpan w:val="2"/>
            <w:tcBorders/>
            <w:shd w:fill="auto" w:val="clear"/>
            <w:vAlign w:val="center"/>
          </w:tcPr>
          <w:p>
            <w:pPr>
              <w:pStyle w:val="TableContents"/>
              <w:spacing w:before="0" w:after="283"/>
              <w:rPr/>
            </w:pPr>
            <w:r>
              <w:rPr/>
              <w:t> </w:t>
            </w:r>
          </w:p>
        </w:tc>
      </w:tr>
      <w:tr>
        <w:trPr/>
        <w:tc>
          <w:tcPr>
            <w:tcW w:w="455" w:type="dxa"/>
            <w:tcBorders>
              <w:bottom w:val="dotted" w:sz="8" w:space="0" w:color="000000"/>
            </w:tcBorders>
            <w:shd w:fill="auto" w:val="clear"/>
            <w:tcMar>
              <w:bottom w:w="80" w:type="dxa"/>
            </w:tcMar>
            <w:vAlign w:val="center"/>
          </w:tcPr>
          <w:p>
            <w:pPr>
              <w:pStyle w:val="TableContents"/>
              <w:spacing w:before="0" w:after="0"/>
              <w:jc w:val="center"/>
              <w:rPr>
                <w:rFonts w:ascii="ARIAL" w:hAnsi="ARIAL"/>
                <w:sz w:val="18"/>
              </w:rPr>
            </w:pPr>
            <w:r>
              <w:rPr>
                <w:rFonts w:ascii="ARIAL" w:hAnsi="ARIAL"/>
                <w:sz w:val="18"/>
              </w:rPr>
              <w:t>2021</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550" w:type="dxa"/>
            <w:tcBorders>
              <w:bottom w:val="dotted" w:sz="8" w:space="0" w:color="000000"/>
            </w:tcBorders>
            <w:shd w:fill="auto" w:val="clear"/>
            <w:tcMar>
              <w:bottom w:w="80" w:type="dxa"/>
            </w:tcMar>
            <w:vAlign w:val="center"/>
          </w:tcPr>
          <w:p>
            <w:pPr>
              <w:pStyle w:val="TableContents"/>
              <w:spacing w:before="0" w:after="283"/>
              <w:jc w:val="center"/>
              <w:rPr/>
            </w:pPr>
            <w:r>
              <w:rPr/>
              <w:t>C. Howard Nye</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3080" w:type="dxa"/>
            <w:tcBorders>
              <w:bottom w:val="dotted" w:sz="8" w:space="0" w:color="000000"/>
            </w:tcBorders>
            <w:shd w:fill="auto" w:val="clear"/>
            <w:tcMar>
              <w:bottom w:w="80" w:type="dxa"/>
            </w:tcMar>
            <w:vAlign w:val="center"/>
          </w:tcPr>
          <w:p>
            <w:pPr>
              <w:pStyle w:val="TableContents"/>
              <w:spacing w:before="0" w:after="0"/>
              <w:jc w:val="center"/>
              <w:rPr>
                <w:rFonts w:ascii="ARIAL" w:hAnsi="ARIAL"/>
                <w:sz w:val="18"/>
              </w:rPr>
            </w:pPr>
            <w:r>
              <w:rPr>
                <w:rFonts w:ascii="ARIAL" w:hAnsi="ARIAL"/>
                <w:sz w:val="18"/>
              </w:rPr>
              <w:t>James A. J. Nickolas, Roselyn R. Bar,</w:t>
            </w:r>
          </w:p>
          <w:p>
            <w:pPr>
              <w:pStyle w:val="TableContents"/>
              <w:spacing w:before="0" w:after="20"/>
              <w:jc w:val="center"/>
              <w:rPr>
                <w:rFonts w:ascii="ARIAL" w:hAnsi="ARIAL"/>
                <w:sz w:val="18"/>
              </w:rPr>
            </w:pPr>
            <w:r>
              <w:rPr>
                <w:rFonts w:ascii="ARIAL" w:hAnsi="ARIAL"/>
                <w:sz w:val="18"/>
              </w:rPr>
              <w:t>Craig M. LaTorre, John P. Mohr</w:t>
            </w:r>
          </w:p>
        </w:tc>
      </w:tr>
      <w:tr>
        <w:trPr/>
        <w:tc>
          <w:tcPr>
            <w:tcW w:w="455" w:type="dxa"/>
            <w:tcBorders/>
            <w:shd w:fill="auto" w:val="clear"/>
            <w:vAlign w:val="center"/>
          </w:tcPr>
          <w:p>
            <w:pPr>
              <w:pStyle w:val="TableContents"/>
              <w:spacing w:before="0" w:after="283"/>
              <w:rPr/>
            </w:pPr>
            <w:r>
              <w:rPr/>
              <w:t> </w:t>
            </w:r>
          </w:p>
        </w:tc>
        <w:tc>
          <w:tcPr>
            <w:tcW w:w="1610" w:type="dxa"/>
            <w:gridSpan w:val="2"/>
            <w:tcBorders/>
            <w:shd w:fill="auto" w:val="clear"/>
            <w:vAlign w:val="center"/>
          </w:tcPr>
          <w:p>
            <w:pPr>
              <w:pStyle w:val="TableContents"/>
              <w:spacing w:before="0" w:after="283"/>
              <w:rPr/>
            </w:pPr>
            <w:r>
              <w:rPr/>
              <w:t> </w:t>
            </w:r>
          </w:p>
        </w:tc>
        <w:tc>
          <w:tcPr>
            <w:tcW w:w="3140" w:type="dxa"/>
            <w:gridSpan w:val="2"/>
            <w:tcBorders/>
            <w:shd w:fill="auto" w:val="clear"/>
            <w:vAlign w:val="center"/>
          </w:tcPr>
          <w:p>
            <w:pPr>
              <w:pStyle w:val="TableContents"/>
              <w:spacing w:before="0" w:after="283"/>
              <w:rPr/>
            </w:pPr>
            <w:r>
              <w:rPr/>
              <w:t> </w:t>
            </w:r>
          </w:p>
        </w:tc>
      </w:tr>
      <w:tr>
        <w:trPr/>
        <w:tc>
          <w:tcPr>
            <w:tcW w:w="455" w:type="dxa"/>
            <w:tcBorders>
              <w:bottom w:val="single" w:sz="8" w:space="0" w:color="000000"/>
            </w:tcBorders>
            <w:shd w:fill="auto" w:val="clear"/>
            <w:tcMar>
              <w:bottom w:w="80" w:type="dxa"/>
            </w:tcMar>
            <w:vAlign w:val="center"/>
          </w:tcPr>
          <w:p>
            <w:pPr>
              <w:pStyle w:val="TableContents"/>
              <w:spacing w:before="0" w:after="0"/>
              <w:jc w:val="center"/>
              <w:rPr>
                <w:rFonts w:ascii="ARIAL" w:hAnsi="ARIAL"/>
                <w:sz w:val="18"/>
              </w:rPr>
            </w:pPr>
            <w:r>
              <w:rPr>
                <w:rFonts w:ascii="ARIAL" w:hAnsi="ARIAL"/>
                <w:sz w:val="18"/>
              </w:rPr>
              <w:t>2020</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50" w:type="dxa"/>
            <w:tcBorders>
              <w:bottom w:val="single" w:sz="8" w:space="0" w:color="000000"/>
            </w:tcBorders>
            <w:shd w:fill="auto" w:val="clear"/>
            <w:tcMar>
              <w:bottom w:w="80" w:type="dxa"/>
            </w:tcMar>
            <w:vAlign w:val="center"/>
          </w:tcPr>
          <w:p>
            <w:pPr>
              <w:pStyle w:val="TableContents"/>
              <w:spacing w:before="0" w:after="283"/>
              <w:jc w:val="center"/>
              <w:rPr/>
            </w:pPr>
            <w:r>
              <w:rPr/>
              <w:t>C. Howard Nye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3080" w:type="dxa"/>
            <w:tcBorders>
              <w:bottom w:val="single" w:sz="8" w:space="0" w:color="000000"/>
            </w:tcBorders>
            <w:shd w:fill="auto" w:val="clear"/>
            <w:tcMar>
              <w:bottom w:w="80" w:type="dxa"/>
            </w:tcMar>
            <w:vAlign w:val="center"/>
          </w:tcPr>
          <w:p>
            <w:pPr>
              <w:pStyle w:val="TableContents"/>
              <w:spacing w:before="0" w:after="0"/>
              <w:jc w:val="center"/>
              <w:rPr>
                <w:rFonts w:ascii="ARIAL" w:hAnsi="ARIAL"/>
                <w:sz w:val="18"/>
              </w:rPr>
            </w:pPr>
            <w:r>
              <w:rPr>
                <w:rFonts w:ascii="ARIAL" w:hAnsi="ARIAL"/>
                <w:sz w:val="18"/>
              </w:rPr>
              <w:t>James A. J. Nickolas, Roselyn R. Bar,</w:t>
            </w:r>
          </w:p>
          <w:p>
            <w:pPr>
              <w:pStyle w:val="TableContents"/>
              <w:spacing w:before="0" w:after="20"/>
              <w:jc w:val="center"/>
              <w:rPr>
                <w:rFonts w:ascii="ARIAL" w:hAnsi="ARIAL"/>
                <w:sz w:val="18"/>
              </w:rPr>
            </w:pPr>
            <w:r>
              <w:rPr>
                <w:rFonts w:ascii="ARIAL" w:hAnsi="ARIAL"/>
                <w:sz w:val="18"/>
              </w:rPr>
              <w:t>Daniel L. Grant, Craig M. LaTorre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pPr>
            <w:r>
              <w:rPr/>
              <w:t>(2)</w:t>
            </w:r>
          </w:p>
        </w:tc>
        <w:tc>
          <w:tcPr>
            <w:tcW w:w="9937"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dollar amounts reported for our PEO and NEOs under “Compensation Actually Paid” represent the amount of “Compensation Actually Paid” to the PEO and NEOs, as computed in accordance with Item 402(v) of Regulation </w:t>
            </w:r>
          </w:p>
          <w:p>
            <w:pPr>
              <w:pStyle w:val="TableContents"/>
              <w:spacing w:before="0" w:after="0"/>
              <w:jc w:val="left"/>
              <w:rPr>
                <w:rFonts w:ascii="ARIAL" w:hAnsi="ARIAL"/>
                <w:spacing w:val="0"/>
                <w:sz w:val="18"/>
              </w:rPr>
            </w:pPr>
            <w:r>
              <w:rPr>
                <w:rFonts w:ascii="ARIAL" w:hAnsi="ARIAL"/>
                <w:spacing w:val="0"/>
                <w:sz w:val="18"/>
              </w:rPr>
              <w:t>S-K.</w:t>
            </w:r>
          </w:p>
          <w:p>
            <w:pPr>
              <w:pStyle w:val="TableContents"/>
              <w:spacing w:before="0" w:after="0"/>
              <w:jc w:val="left"/>
              <w:rPr>
                <w:rFonts w:ascii="ARIAL" w:hAnsi="ARIAL"/>
                <w:sz w:val="18"/>
              </w:rPr>
            </w:pPr>
            <w:r>
              <w:rPr>
                <w:rFonts w:ascii="ARIAL" w:hAnsi="ARIAL"/>
                <w:sz w:val="18"/>
              </w:rPr>
              <w:t xml:space="preserve">The dollar amounts do not reflect the actual amount of compensation earned by or paid to the PEO or NEOs during the applicable year. </w:t>
            </w:r>
          </w:p>
        </w:tc>
      </w:tr>
    </w:tbl>
    <w:tbl>
      <w:tblPr>
        <w:tblW w:w="8860" w:type="dxa"/>
        <w:jc w:val="left"/>
        <w:tblInd w:w="0" w:type="dxa"/>
        <w:tblCellMar>
          <w:top w:w="0" w:type="dxa"/>
          <w:left w:w="0" w:type="dxa"/>
          <w:bottom w:w="0" w:type="dxa"/>
          <w:right w:w="0" w:type="dxa"/>
        </w:tblCellMar>
      </w:tblPr>
      <w:tblGrid>
        <w:gridCol w:w="305"/>
        <w:gridCol w:w="8555"/>
      </w:tblGrid>
      <w:tr>
        <w:trPr/>
        <w:tc>
          <w:tcPr>
            <w:tcW w:w="305" w:type="dxa"/>
            <w:tcBorders/>
            <w:shd w:fill="auto" w:val="clear"/>
            <w:vAlign w:val="center"/>
          </w:tcPr>
          <w:p>
            <w:pPr>
              <w:pStyle w:val="TableContents"/>
              <w:spacing w:before="0" w:after="283"/>
              <w:jc w:val="left"/>
              <w:rPr/>
            </w:pPr>
            <w:r>
              <w:rPr/>
              <w:t>(3)</w:t>
            </w:r>
          </w:p>
        </w:tc>
        <w:tc>
          <w:tcPr>
            <w:tcW w:w="8555" w:type="dxa"/>
            <w:tcBorders/>
            <w:shd w:fill="auto" w:val="clear"/>
            <w:vAlign w:val="center"/>
          </w:tcPr>
          <w:p>
            <w:pPr>
              <w:pStyle w:val="TableContents"/>
              <w:spacing w:before="0" w:after="0"/>
              <w:jc w:val="left"/>
              <w:rPr>
                <w:rFonts w:ascii="ARIAL" w:hAnsi="ARIAL"/>
                <w:sz w:val="18"/>
              </w:rPr>
            </w:pPr>
            <w:r>
              <w:rPr>
                <w:rFonts w:ascii="ARIAL" w:hAnsi="ARIAL"/>
                <w:sz w:val="18"/>
              </w:rPr>
              <w:t xml:space="preserve">For the portion of “Compensation Actually Paid” that is based on </w:t>
            </w:r>
          </w:p>
          <w:p>
            <w:pPr>
              <w:pStyle w:val="TableContents"/>
              <w:spacing w:before="0" w:after="0"/>
              <w:jc w:val="left"/>
              <w:rPr>
                <w:rFonts w:ascii="ARIAL" w:hAnsi="ARIAL"/>
                <w:spacing w:val="0"/>
                <w:sz w:val="18"/>
              </w:rPr>
            </w:pPr>
            <w:r>
              <w:rPr>
                <w:rFonts w:ascii="ARIAL" w:hAnsi="ARIAL"/>
                <w:spacing w:val="0"/>
                <w:sz w:val="18"/>
              </w:rPr>
              <w:t>year-end</w:t>
            </w:r>
          </w:p>
          <w:p>
            <w:pPr>
              <w:pStyle w:val="TableContents"/>
              <w:spacing w:before="0" w:after="0"/>
              <w:jc w:val="left"/>
              <w:rPr>
                <w:rFonts w:ascii="ARIAL" w:hAnsi="ARIAL"/>
                <w:sz w:val="18"/>
              </w:rPr>
            </w:pPr>
            <w:r>
              <w:rPr>
                <w:rFonts w:ascii="ARIAL" w:hAnsi="ARIAL"/>
                <w:sz w:val="18"/>
              </w:rPr>
              <w:t xml:space="preserve">stock prices, the following prices were used: for 2022: $337.97, for 2021: $440.52 and for 2020: $283.97. </w:t>
            </w:r>
          </w:p>
        </w:tc>
      </w:tr>
    </w:tbl>
    <w:p>
      <w:pPr>
        <w:pStyle w:val="TextBody"/>
        <w:spacing w:before="0" w:after="0"/>
        <w:jc w:val="left"/>
        <w:rPr/>
      </w:pPr>
      <w:r>
        <w:rPr/>
        <w:t> </w:t>
      </w:r>
    </w:p>
    <w:tbl>
      <w:tblPr>
        <w:tblW w:w="2882" w:type="dxa"/>
        <w:jc w:val="left"/>
        <w:tblInd w:w="0" w:type="dxa"/>
        <w:tblCellMar>
          <w:top w:w="0" w:type="dxa"/>
          <w:left w:w="0" w:type="dxa"/>
          <w:bottom w:w="0" w:type="dxa"/>
          <w:right w:w="0" w:type="dxa"/>
        </w:tblCellMar>
      </w:tblPr>
      <w:tblGrid>
        <w:gridCol w:w="75"/>
        <w:gridCol w:w="60"/>
        <w:gridCol w:w="132"/>
        <w:gridCol w:w="60"/>
        <w:gridCol w:w="255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3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20" descr=""/>
                          <pic:cNvPicPr>
                            <a:picLocks noChangeAspect="1" noChangeArrowheads="1"/>
                          </pic:cNvPicPr>
                        </pic:nvPicPr>
                        <pic:blipFill>
                          <a:blip r:embed="rId22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0"/>
              <w:jc w:val="right"/>
              <w:rPr>
                <w:color w:val="007CBA"/>
                <w:spacing w:val="0"/>
              </w:rPr>
            </w:pPr>
            <w:r>
              <w:rPr>
                <w:color w:val="007CBA"/>
                <w:spacing w:val="0"/>
              </w:rPr>
              <w:t>MARTIN MARIETTA    </w:t>
            </w:r>
          </w:p>
          <w:p>
            <w:pPr>
              <w:pStyle w:val="TableContents"/>
              <w:spacing w:before="0" w:after="0"/>
              <w:jc w:val="right"/>
              <w:rPr>
                <w:b/>
                <w:spacing w:val="0"/>
              </w:rPr>
            </w:pPr>
            <w:r>
              <w:rPr>
                <w:b/>
                <w:spacing w:val="0"/>
              </w:rPr>
              <w:t>8</w:t>
            </w:r>
          </w:p>
          <w:p>
            <w:pPr>
              <w:pStyle w:val="TableContents"/>
              <w:spacing w:before="0" w:after="0"/>
              <w:jc w:val="right"/>
              <w:rPr>
                <w:b/>
                <w:spacing w:val="0"/>
              </w:rPr>
            </w:pPr>
            <w:r>
              <w:rPr>
                <w:b/>
                <w:spacing w:val="0"/>
              </w:rPr>
              <w:t>3</w:t>
            </w:r>
          </w:p>
        </w:tc>
      </w:tr>
    </w:tbl>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jc w:val="left"/>
        <w:rPr>
          <w:rFonts w:ascii="ARIAL" w:hAnsi="ARIAL"/>
          <w:color w:val="007CBA"/>
          <w:spacing w:val="0"/>
          <w:sz w:val="16"/>
        </w:rPr>
      </w:pPr>
      <w:r>
        <w:rPr>
          <w:rFonts w:ascii="ARIAL" w:hAnsi="ARIAL"/>
          <w:color w:val="007CBA"/>
          <w:spacing w:val="0"/>
          <w:sz w:val="16"/>
        </w:rPr>
        <w:t>PAY VERSUS PERFORMANCE  </w:t>
      </w:r>
    </w:p>
    <w:p>
      <w:pPr>
        <w:pStyle w:val="TextBody"/>
        <w:spacing w:before="0" w:after="0"/>
        <w:jc w:val="left"/>
        <w:rPr>
          <w:color w:val="007CBA"/>
          <w:spacing w:val="0"/>
        </w:rPr>
      </w:pPr>
      <w:r>
        <w:rPr>
          <w:color w:val="007CBA"/>
          <w:spacing w:val="0"/>
        </w:rPr>
        <w:t>◆</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pPr>
            <w:r>
              <w:rPr/>
              <w:t>(4)</w:t>
            </w:r>
          </w:p>
        </w:tc>
        <w:tc>
          <w:tcPr>
            <w:tcW w:w="9935" w:type="dxa"/>
            <w:tcBorders/>
            <w:shd w:fill="auto" w:val="clear"/>
            <w:vAlign w:val="center"/>
          </w:tcPr>
          <w:p>
            <w:pPr>
              <w:pStyle w:val="TableContents"/>
              <w:spacing w:before="0" w:after="0"/>
              <w:jc w:val="left"/>
              <w:rPr>
                <w:rFonts w:ascii="ARIAL" w:hAnsi="ARIAL"/>
                <w:sz w:val="18"/>
              </w:rPr>
            </w:pPr>
            <w:r>
              <w:rPr>
                <w:rFonts w:ascii="ARIAL" w:hAnsi="ARIAL"/>
                <w:sz w:val="18"/>
              </w:rPr>
              <w:t>2022 “Compensation Actually Paid” to the PEO and the average “Compensation Actually Paid” to the NEOs reflect the following adjustments from Total Compensation reported in the Summary Compensation Table:</w:t>
            </w:r>
          </w:p>
        </w:tc>
      </w:tr>
    </w:tbl>
    <w:p>
      <w:pPr>
        <w:pStyle w:val="TextBody"/>
        <w:spacing w:before="0" w:after="0"/>
        <w:jc w:val="left"/>
        <w:rPr/>
      </w:pPr>
      <w:r>
        <w:rPr/>
        <w:t> </w:t>
      </w:r>
    </w:p>
    <w:tbl>
      <w:tblPr>
        <w:tblW w:w="9860" w:type="dxa"/>
        <w:jc w:val="left"/>
        <w:tblInd w:w="0" w:type="dxa"/>
        <w:tblCellMar>
          <w:top w:w="0" w:type="dxa"/>
          <w:left w:w="0" w:type="dxa"/>
          <w:bottom w:w="0" w:type="dxa"/>
          <w:right w:w="0" w:type="dxa"/>
        </w:tblCellMar>
      </w:tblPr>
      <w:tblGrid>
        <w:gridCol w:w="6830"/>
        <w:gridCol w:w="120"/>
        <w:gridCol w:w="60"/>
        <w:gridCol w:w="60"/>
        <w:gridCol w:w="1100"/>
        <w:gridCol w:w="95"/>
        <w:gridCol w:w="60"/>
        <w:gridCol w:w="71"/>
        <w:gridCol w:w="71"/>
        <w:gridCol w:w="1260"/>
        <w:gridCol w:w="133"/>
      </w:tblGrid>
      <w:tr>
        <w:trPr/>
        <w:tc>
          <w:tcPr>
            <w:tcW w:w="68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6830" w:type="dxa"/>
            <w:tcBorders/>
            <w:shd w:fill="DBDBDB" w:val="clear"/>
            <w:vAlign w:val="center"/>
          </w:tcPr>
          <w:p>
            <w:pPr>
              <w:pStyle w:val="TableContents"/>
              <w:spacing w:before="0" w:after="283"/>
              <w:rPr>
                <w:sz w:val="4"/>
                <w:szCs w:val="4"/>
              </w:rPr>
            </w:pPr>
            <w:r>
              <w:rPr>
                <w:sz w:val="4"/>
                <w:szCs w:val="4"/>
              </w:rPr>
            </w:r>
          </w:p>
        </w:tc>
        <w:tc>
          <w:tcPr>
            <w:tcW w:w="1435" w:type="dxa"/>
            <w:gridSpan w:val="5"/>
            <w:tcBorders/>
            <w:shd w:fill="DBDBDB" w:val="clear"/>
            <w:vAlign w:val="center"/>
          </w:tcPr>
          <w:p>
            <w:pPr>
              <w:pStyle w:val="TableContents"/>
              <w:spacing w:before="0" w:after="283"/>
              <w:rPr>
                <w:sz w:val="4"/>
                <w:szCs w:val="4"/>
              </w:rPr>
            </w:pPr>
            <w:r>
              <w:rPr>
                <w:sz w:val="4"/>
                <w:szCs w:val="4"/>
              </w:rPr>
            </w:r>
          </w:p>
        </w:tc>
        <w:tc>
          <w:tcPr>
            <w:tcW w:w="1595" w:type="dxa"/>
            <w:gridSpan w:val="5"/>
            <w:tcBorders/>
            <w:shd w:fill="DBDBDB" w:val="clear"/>
            <w:vAlign w:val="center"/>
          </w:tcPr>
          <w:p>
            <w:pPr>
              <w:pStyle w:val="TableContents"/>
              <w:spacing w:before="0" w:after="283"/>
              <w:rPr>
                <w:sz w:val="4"/>
                <w:szCs w:val="4"/>
              </w:rPr>
            </w:pPr>
            <w:r>
              <w:rPr>
                <w:sz w:val="4"/>
                <w:szCs w:val="4"/>
              </w:rPr>
            </w:r>
          </w:p>
        </w:tc>
      </w:tr>
      <w:tr>
        <w:trPr/>
        <w:tc>
          <w:tcPr>
            <w:tcW w:w="683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315" w:type="dxa"/>
            <w:gridSpan w:val="4"/>
            <w:tcBorders/>
            <w:shd w:fill="DBDBDB" w:val="clear"/>
            <w:vAlign w:val="center"/>
          </w:tcPr>
          <w:p>
            <w:pPr>
              <w:pStyle w:val="TableContents"/>
              <w:spacing w:before="0" w:after="0"/>
              <w:jc w:val="center"/>
              <w:rPr>
                <w:b/>
                <w:spacing w:val="0"/>
              </w:rPr>
            </w:pPr>
            <w:r>
              <w:rPr>
                <w:b/>
                <w:spacing w:val="0"/>
              </w:rPr>
              <w:t>PEO</w:t>
            </w:r>
          </w:p>
        </w:tc>
        <w:tc>
          <w:tcPr>
            <w:tcW w:w="60" w:type="dxa"/>
            <w:tcBorders/>
            <w:shd w:fill="DBDBDB" w:val="clear"/>
            <w:vAlign w:val="center"/>
          </w:tcPr>
          <w:p>
            <w:pPr>
              <w:pStyle w:val="TableContents"/>
              <w:spacing w:before="0" w:after="283"/>
              <w:rPr/>
            </w:pPr>
            <w:r>
              <w:rPr/>
              <w:t> </w:t>
            </w:r>
          </w:p>
        </w:tc>
        <w:tc>
          <w:tcPr>
            <w:tcW w:w="1535" w:type="dxa"/>
            <w:gridSpan w:val="4"/>
            <w:tcBorders/>
            <w:shd w:fill="DBDBDB" w:val="clear"/>
            <w:vAlign w:val="center"/>
          </w:tcPr>
          <w:p>
            <w:pPr>
              <w:pStyle w:val="TableContents"/>
              <w:spacing w:before="0" w:after="0"/>
              <w:jc w:val="center"/>
              <w:rPr>
                <w:rFonts w:ascii="ARIAL" w:hAnsi="ARIAL"/>
                <w:b/>
                <w:sz w:val="18"/>
              </w:rPr>
            </w:pPr>
            <w:r>
              <w:rPr>
                <w:rFonts w:ascii="ARIAL" w:hAnsi="ARIAL"/>
                <w:b/>
                <w:sz w:val="18"/>
              </w:rPr>
              <w:t>Average for</w:t>
            </w:r>
          </w:p>
          <w:p>
            <w:pPr>
              <w:pStyle w:val="TableContents"/>
              <w:spacing w:before="0" w:after="20"/>
              <w:jc w:val="center"/>
              <w:rPr>
                <w:spacing w:val="0"/>
              </w:rPr>
            </w:pPr>
            <w:r>
              <w:rPr>
                <w:spacing w:val="0"/>
              </w:rPr>
              <w:t>  </w:t>
            </w:r>
            <w:r>
              <w:rPr>
                <w:rFonts w:ascii="ARIAL" w:hAnsi="ARIAL"/>
                <w:b/>
                <w:spacing w:val="0"/>
                <w:sz w:val="18"/>
              </w:rPr>
              <w:t>non-PEO NEOs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b/>
                <w:sz w:val="18"/>
              </w:rPr>
            </w:pPr>
            <w:r>
              <w:rPr>
                <w:rFonts w:ascii="ARIAL" w:hAnsi="ARIAL"/>
                <w:b/>
                <w:sz w:val="18"/>
              </w:rPr>
              <w:t>Total Reported in 2022 Summary Compensation Table (SCT)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12,784,251</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2,438,871</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Less, Value of Stock Awards Reported in SCT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(7,316,720</w:t>
            </w:r>
          </w:p>
        </w:tc>
        <w:tc>
          <w:tcPr>
            <w:tcW w:w="95" w:type="dxa"/>
            <w:tcBorders>
              <w:bottom w:val="dotted" w:sz="8" w:space="0" w:color="000000"/>
            </w:tcBorders>
            <w:shd w:fill="auto" w:val="clear"/>
            <w:tcMar>
              <w:bottom w:w="10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(1,163,264</w:t>
            </w:r>
          </w:p>
        </w:tc>
        <w:tc>
          <w:tcPr>
            <w:tcW w:w="133" w:type="dxa"/>
            <w:tcBorders>
              <w:bottom w:val="dotted" w:sz="8" w:space="0" w:color="000000"/>
            </w:tcBorders>
            <w:shd w:fill="auto" w:val="clear"/>
            <w:tcMar>
              <w:bottom w:w="100" w:type="dxa"/>
            </w:tcM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 xml:space="preserve">Less, Change in Pension Value and </w:t>
            </w:r>
          </w:p>
          <w:p>
            <w:pPr>
              <w:pStyle w:val="TableContents"/>
              <w:spacing w:before="0" w:after="0"/>
              <w:rPr>
                <w:rFonts w:ascii="ARIAL" w:hAnsi="ARIAL"/>
                <w:spacing w:val="0"/>
                <w:sz w:val="18"/>
              </w:rPr>
            </w:pPr>
            <w:r>
              <w:rPr>
                <w:rFonts w:ascii="ARIAL" w:hAnsi="ARIAL"/>
                <w:spacing w:val="0"/>
                <w:sz w:val="18"/>
              </w:rPr>
              <w:t>Non-Qualified</w:t>
            </w:r>
          </w:p>
          <w:p>
            <w:pPr>
              <w:pStyle w:val="TableContents"/>
              <w:spacing w:before="0" w:after="0"/>
              <w:rPr>
                <w:rFonts w:ascii="ARIAL" w:hAnsi="ARIAL"/>
                <w:sz w:val="18"/>
              </w:rPr>
            </w:pPr>
            <w:r>
              <w:rPr>
                <w:rFonts w:ascii="ARIAL" w:hAnsi="ARIAL"/>
                <w:sz w:val="18"/>
              </w:rPr>
              <w:t>Deferred Compensation Earnings in SCT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(1,266,898</w:t>
            </w:r>
          </w:p>
        </w:tc>
        <w:tc>
          <w:tcPr>
            <w:tcW w:w="95" w:type="dxa"/>
            <w:tcBorders>
              <w:bottom w:val="dotted" w:sz="8" w:space="0" w:color="000000"/>
            </w:tcBorders>
            <w:shd w:fill="auto" w:val="clear"/>
            <w:tcMar>
              <w:bottom w:w="10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(54,879</w:t>
            </w:r>
          </w:p>
        </w:tc>
        <w:tc>
          <w:tcPr>
            <w:tcW w:w="133" w:type="dxa"/>
            <w:tcBorders>
              <w:bottom w:val="dotted" w:sz="8" w:space="0" w:color="000000"/>
            </w:tcBorders>
            <w:shd w:fill="auto" w:val="clear"/>
            <w:tcMar>
              <w:bottom w:w="100" w:type="dxa"/>
            </w:tcM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Plus, Pension Service Cost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755,392</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206,170</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 xml:space="preserve">Plus, </w:t>
            </w:r>
          </w:p>
          <w:p>
            <w:pPr>
              <w:pStyle w:val="TableContents"/>
              <w:spacing w:before="0" w:after="0"/>
              <w:rPr>
                <w:rFonts w:ascii="ARIAL" w:hAnsi="ARIAL"/>
                <w:spacing w:val="0"/>
                <w:sz w:val="18"/>
              </w:rPr>
            </w:pPr>
            <w:r>
              <w:rPr>
                <w:rFonts w:ascii="ARIAL" w:hAnsi="ARIAL"/>
                <w:spacing w:val="0"/>
                <w:sz w:val="18"/>
              </w:rPr>
              <w:t>Year-End</w:t>
            </w:r>
          </w:p>
          <w:p>
            <w:pPr>
              <w:pStyle w:val="TableContents"/>
              <w:spacing w:before="0" w:after="0"/>
              <w:rPr>
                <w:rFonts w:ascii="ARIAL" w:hAnsi="ARIAL"/>
                <w:sz w:val="18"/>
              </w:rPr>
            </w:pPr>
            <w:r>
              <w:rPr>
                <w:rFonts w:ascii="ARIAL" w:hAnsi="ARIAL"/>
                <w:sz w:val="18"/>
              </w:rPr>
              <w:t>Value of Awards Granted in Fiscal Year that are Unvested and Outstanding</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10,862,136</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1,517,952</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Plus, Change in Fair Value of Prior Year Awards that are Unvested and Outstanding</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(4,734,115</w:t>
            </w:r>
          </w:p>
        </w:tc>
        <w:tc>
          <w:tcPr>
            <w:tcW w:w="95" w:type="dxa"/>
            <w:tcBorders>
              <w:bottom w:val="dotted" w:sz="8" w:space="0" w:color="000000"/>
            </w:tcBorders>
            <w:shd w:fill="auto" w:val="clear"/>
            <w:tcMar>
              <w:bottom w:w="10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(759,106</w:t>
            </w:r>
          </w:p>
        </w:tc>
        <w:tc>
          <w:tcPr>
            <w:tcW w:w="133" w:type="dxa"/>
            <w:tcBorders>
              <w:bottom w:val="dotted" w:sz="8" w:space="0" w:color="000000"/>
            </w:tcBorders>
            <w:shd w:fill="auto" w:val="clear"/>
            <w:tcMar>
              <w:bottom w:w="100" w:type="dxa"/>
            </w:tcM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Plus, FMV of Awards Granted this Year and that Vested this Year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5,668</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 xml:space="preserve">Plus, Change in Fair Value (from Prior </w:t>
            </w:r>
          </w:p>
          <w:p>
            <w:pPr>
              <w:pStyle w:val="TableContents"/>
              <w:spacing w:before="0" w:after="0"/>
              <w:rPr>
                <w:rFonts w:ascii="ARIAL" w:hAnsi="ARIAL"/>
                <w:spacing w:val="0"/>
                <w:sz w:val="18"/>
              </w:rPr>
            </w:pPr>
            <w:r>
              <w:rPr>
                <w:rFonts w:ascii="ARIAL" w:hAnsi="ARIAL"/>
                <w:spacing w:val="0"/>
                <w:sz w:val="18"/>
              </w:rPr>
              <w:t>Year-End)</w:t>
            </w:r>
          </w:p>
          <w:p>
            <w:pPr>
              <w:pStyle w:val="TableContents"/>
              <w:spacing w:before="0" w:after="0"/>
              <w:rPr>
                <w:rFonts w:ascii="ARIAL" w:hAnsi="ARIAL"/>
                <w:sz w:val="18"/>
              </w:rPr>
            </w:pPr>
            <w:r>
              <w:rPr>
                <w:rFonts w:ascii="ARIAL" w:hAnsi="ARIAL"/>
                <w:sz w:val="18"/>
              </w:rPr>
              <w:t>of Prior Year Awards that Vested this Year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(4,631,315</w:t>
            </w:r>
          </w:p>
        </w:tc>
        <w:tc>
          <w:tcPr>
            <w:tcW w:w="95" w:type="dxa"/>
            <w:tcBorders>
              <w:bottom w:val="dotted" w:sz="8" w:space="0" w:color="000000"/>
            </w:tcBorders>
            <w:shd w:fill="auto" w:val="clear"/>
            <w:tcMar>
              <w:bottom w:w="10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(775,856</w:t>
            </w:r>
          </w:p>
        </w:tc>
        <w:tc>
          <w:tcPr>
            <w:tcW w:w="133" w:type="dxa"/>
            <w:tcBorders>
              <w:bottom w:val="dotted" w:sz="8" w:space="0" w:color="000000"/>
            </w:tcBorders>
            <w:shd w:fill="auto" w:val="clear"/>
            <w:tcMar>
              <w:bottom w:w="100" w:type="dxa"/>
            </w:tcM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Less, Prior Year Fair Value of Prior Year Awards that Failed to Vest this Year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Total Adjustments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(6,331,520</w:t>
            </w:r>
          </w:p>
        </w:tc>
        <w:tc>
          <w:tcPr>
            <w:tcW w:w="95" w:type="dxa"/>
            <w:tcBorders>
              <w:bottom w:val="dotted" w:sz="8" w:space="0" w:color="000000"/>
            </w:tcBorders>
            <w:shd w:fill="auto" w:val="clear"/>
            <w:tcMar>
              <w:bottom w:w="10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(1,023,315</w:t>
            </w:r>
          </w:p>
        </w:tc>
        <w:tc>
          <w:tcPr>
            <w:tcW w:w="133" w:type="dxa"/>
            <w:tcBorders>
              <w:bottom w:val="dotted" w:sz="8" w:space="0" w:color="000000"/>
            </w:tcBorders>
            <w:shd w:fill="auto" w:val="clear"/>
            <w:tcMar>
              <w:bottom w:w="100" w:type="dxa"/>
            </w:tcM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single" w:sz="6" w:space="0" w:color="000000"/>
            </w:tcBorders>
            <w:shd w:fill="auto" w:val="clear"/>
            <w:tcMar>
              <w:bottom w:w="100" w:type="dxa"/>
            </w:tcMar>
            <w:vAlign w:val="center"/>
          </w:tcPr>
          <w:p>
            <w:pPr>
              <w:pStyle w:val="TableContents"/>
              <w:spacing w:before="0" w:after="0"/>
              <w:rPr/>
            </w:pPr>
            <w:r>
              <w:rPr/>
              <w:t>“</w:t>
            </w:r>
            <w:r>
              <w:rPr>
                <w:rFonts w:ascii="ARIAL" w:hAnsi="ARIAL"/>
                <w:b/>
                <w:sz w:val="18"/>
              </w:rPr>
              <w:t>Compensation Actually Paid” for Fiscal Year 2022</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100" w:type="dxa"/>
            <w:tcBorders>
              <w:bottom w:val="single" w:sz="6" w:space="0" w:color="000000"/>
            </w:tcBorders>
            <w:shd w:fill="auto" w:val="clear"/>
            <w:tcMar>
              <w:bottom w:w="100" w:type="dxa"/>
            </w:tcMar>
            <w:vAlign w:val="center"/>
          </w:tcPr>
          <w:p>
            <w:pPr>
              <w:pStyle w:val="TableContents"/>
              <w:spacing w:before="0" w:after="283"/>
              <w:jc w:val="right"/>
              <w:rPr/>
            </w:pPr>
            <w:r>
              <w:rPr/>
              <w:t>6,452,731</w:t>
            </w:r>
          </w:p>
        </w:tc>
        <w:tc>
          <w:tcPr>
            <w:tcW w:w="95" w:type="dxa"/>
            <w:tcBorders>
              <w:bottom w:val="single" w:sz="6" w:space="0" w:color="000000"/>
            </w:tcBorders>
            <w:shd w:fill="auto" w:val="clear"/>
            <w:tcMar>
              <w:bottom w:w="100"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71" w:type="dxa"/>
            <w:tcBorders>
              <w:bottom w:val="single" w:sz="6" w:space="0" w:color="000000"/>
            </w:tcBorders>
            <w:shd w:fill="auto" w:val="clear"/>
            <w:tcMar>
              <w:bottom w:w="28" w:type="dxa"/>
            </w:tcMar>
            <w:vAlign w:val="center"/>
          </w:tcPr>
          <w:p>
            <w:pPr>
              <w:pStyle w:val="TableContents"/>
              <w:spacing w:before="0" w:after="283"/>
              <w:rPr/>
            </w:pPr>
            <w:r>
              <w:rPr/>
              <w:t> </w:t>
            </w:r>
          </w:p>
        </w:tc>
        <w:tc>
          <w:tcPr>
            <w:tcW w:w="71" w:type="dxa"/>
            <w:tcBorders>
              <w:bottom w:val="single" w:sz="6" w:space="0" w:color="000000"/>
            </w:tcBorders>
            <w:shd w:fill="auto" w:val="clear"/>
            <w:tcMar>
              <w:bottom w:w="100" w:type="dxa"/>
            </w:tcMar>
            <w:vAlign w:val="center"/>
          </w:tcPr>
          <w:p>
            <w:pPr>
              <w:pStyle w:val="TableContents"/>
              <w:spacing w:before="0" w:after="283"/>
              <w:rPr/>
            </w:pPr>
            <w:r>
              <w:rPr/>
              <w:t> </w:t>
            </w:r>
          </w:p>
        </w:tc>
        <w:tc>
          <w:tcPr>
            <w:tcW w:w="1260" w:type="dxa"/>
            <w:tcBorders>
              <w:bottom w:val="single" w:sz="6" w:space="0" w:color="000000"/>
            </w:tcBorders>
            <w:shd w:fill="auto" w:val="clear"/>
            <w:tcMar>
              <w:bottom w:w="100" w:type="dxa"/>
            </w:tcMar>
            <w:vAlign w:val="center"/>
          </w:tcPr>
          <w:p>
            <w:pPr>
              <w:pStyle w:val="TableContents"/>
              <w:spacing w:before="0" w:after="283"/>
              <w:jc w:val="right"/>
              <w:rPr/>
            </w:pPr>
            <w:r>
              <w:rPr/>
              <w:t>1,415,556</w:t>
            </w:r>
          </w:p>
        </w:tc>
        <w:tc>
          <w:tcPr>
            <w:tcW w:w="133"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pPr>
            <w:r>
              <w:rPr/>
              <w:t>(5)</w:t>
            </w:r>
          </w:p>
        </w:tc>
        <w:tc>
          <w:tcPr>
            <w:tcW w:w="9935" w:type="dxa"/>
            <w:tcBorders/>
            <w:shd w:fill="auto" w:val="clear"/>
            <w:vAlign w:val="center"/>
          </w:tcPr>
          <w:p>
            <w:pPr>
              <w:pStyle w:val="TableContents"/>
              <w:spacing w:before="0" w:after="0"/>
              <w:jc w:val="left"/>
              <w:rPr>
                <w:rFonts w:ascii="ARIAL" w:hAnsi="ARIAL"/>
                <w:sz w:val="18"/>
              </w:rPr>
            </w:pPr>
            <w:r>
              <w:rPr>
                <w:rFonts w:ascii="ARIAL" w:hAnsi="ARIAL"/>
                <w:sz w:val="18"/>
              </w:rPr>
              <w:t xml:space="preserve">2021 “Compensation Actually Paid” to the PEO and the average “Compensation Actually Paid” to the NEOs reflect the following adjustments from Total Compensation reported in the Summary Compensation Table: </w:t>
            </w:r>
          </w:p>
        </w:tc>
      </w:tr>
    </w:tbl>
    <w:p>
      <w:pPr>
        <w:pStyle w:val="TextBody"/>
        <w:spacing w:before="0" w:after="0"/>
        <w:jc w:val="left"/>
        <w:rPr/>
      </w:pPr>
      <w:r>
        <w:rPr/>
        <w:t> </w:t>
      </w:r>
    </w:p>
    <w:tbl>
      <w:tblPr>
        <w:tblW w:w="9860" w:type="dxa"/>
        <w:jc w:val="left"/>
        <w:tblInd w:w="0" w:type="dxa"/>
        <w:tblCellMar>
          <w:top w:w="0" w:type="dxa"/>
          <w:left w:w="0" w:type="dxa"/>
          <w:bottom w:w="0" w:type="dxa"/>
          <w:right w:w="0" w:type="dxa"/>
        </w:tblCellMar>
      </w:tblPr>
      <w:tblGrid>
        <w:gridCol w:w="6830"/>
        <w:gridCol w:w="120"/>
        <w:gridCol w:w="60"/>
        <w:gridCol w:w="60"/>
        <w:gridCol w:w="1100"/>
        <w:gridCol w:w="95"/>
        <w:gridCol w:w="60"/>
        <w:gridCol w:w="71"/>
        <w:gridCol w:w="71"/>
        <w:gridCol w:w="1260"/>
        <w:gridCol w:w="133"/>
      </w:tblGrid>
      <w:tr>
        <w:trPr/>
        <w:tc>
          <w:tcPr>
            <w:tcW w:w="68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6830" w:type="dxa"/>
            <w:tcBorders/>
            <w:shd w:fill="DBDBDB" w:val="clear"/>
            <w:vAlign w:val="center"/>
          </w:tcPr>
          <w:p>
            <w:pPr>
              <w:pStyle w:val="TableContents"/>
              <w:spacing w:before="0" w:after="283"/>
              <w:rPr>
                <w:sz w:val="4"/>
                <w:szCs w:val="4"/>
              </w:rPr>
            </w:pPr>
            <w:r>
              <w:rPr>
                <w:sz w:val="4"/>
                <w:szCs w:val="4"/>
              </w:rPr>
            </w:r>
          </w:p>
        </w:tc>
        <w:tc>
          <w:tcPr>
            <w:tcW w:w="1435" w:type="dxa"/>
            <w:gridSpan w:val="5"/>
            <w:tcBorders/>
            <w:shd w:fill="DBDBDB" w:val="clear"/>
            <w:vAlign w:val="center"/>
          </w:tcPr>
          <w:p>
            <w:pPr>
              <w:pStyle w:val="TableContents"/>
              <w:spacing w:before="0" w:after="283"/>
              <w:rPr>
                <w:sz w:val="4"/>
                <w:szCs w:val="4"/>
              </w:rPr>
            </w:pPr>
            <w:r>
              <w:rPr>
                <w:sz w:val="4"/>
                <w:szCs w:val="4"/>
              </w:rPr>
            </w:r>
          </w:p>
        </w:tc>
        <w:tc>
          <w:tcPr>
            <w:tcW w:w="1595" w:type="dxa"/>
            <w:gridSpan w:val="5"/>
            <w:tcBorders/>
            <w:shd w:fill="DBDBDB" w:val="clear"/>
            <w:vAlign w:val="center"/>
          </w:tcPr>
          <w:p>
            <w:pPr>
              <w:pStyle w:val="TableContents"/>
              <w:spacing w:before="0" w:after="283"/>
              <w:rPr>
                <w:sz w:val="4"/>
                <w:szCs w:val="4"/>
              </w:rPr>
            </w:pPr>
            <w:r>
              <w:rPr>
                <w:sz w:val="4"/>
                <w:szCs w:val="4"/>
              </w:rPr>
            </w:r>
          </w:p>
        </w:tc>
      </w:tr>
      <w:tr>
        <w:trPr/>
        <w:tc>
          <w:tcPr>
            <w:tcW w:w="683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315" w:type="dxa"/>
            <w:gridSpan w:val="4"/>
            <w:tcBorders/>
            <w:shd w:fill="DBDBDB" w:val="clear"/>
            <w:vAlign w:val="center"/>
          </w:tcPr>
          <w:p>
            <w:pPr>
              <w:pStyle w:val="TableContents"/>
              <w:spacing w:before="0" w:after="0"/>
              <w:jc w:val="center"/>
              <w:rPr>
                <w:b/>
                <w:spacing w:val="0"/>
              </w:rPr>
            </w:pPr>
            <w:r>
              <w:rPr>
                <w:b/>
                <w:spacing w:val="0"/>
              </w:rPr>
              <w:t>PEO</w:t>
            </w:r>
          </w:p>
        </w:tc>
        <w:tc>
          <w:tcPr>
            <w:tcW w:w="60" w:type="dxa"/>
            <w:tcBorders/>
            <w:shd w:fill="DBDBDB" w:val="clear"/>
            <w:vAlign w:val="center"/>
          </w:tcPr>
          <w:p>
            <w:pPr>
              <w:pStyle w:val="TableContents"/>
              <w:spacing w:before="0" w:after="283"/>
              <w:rPr/>
            </w:pPr>
            <w:r>
              <w:rPr/>
              <w:t> </w:t>
            </w:r>
          </w:p>
        </w:tc>
        <w:tc>
          <w:tcPr>
            <w:tcW w:w="1535" w:type="dxa"/>
            <w:gridSpan w:val="4"/>
            <w:tcBorders/>
            <w:shd w:fill="DBDBDB" w:val="clear"/>
            <w:vAlign w:val="center"/>
          </w:tcPr>
          <w:p>
            <w:pPr>
              <w:pStyle w:val="TableContents"/>
              <w:spacing w:before="0" w:after="0"/>
              <w:jc w:val="center"/>
              <w:rPr>
                <w:rFonts w:ascii="ARIAL" w:hAnsi="ARIAL"/>
                <w:b/>
                <w:sz w:val="18"/>
              </w:rPr>
            </w:pPr>
            <w:r>
              <w:rPr>
                <w:rFonts w:ascii="ARIAL" w:hAnsi="ARIAL"/>
                <w:b/>
                <w:sz w:val="18"/>
              </w:rPr>
              <w:t>Average for</w:t>
            </w:r>
          </w:p>
          <w:p>
            <w:pPr>
              <w:pStyle w:val="TableContents"/>
              <w:spacing w:before="0" w:after="20"/>
              <w:jc w:val="center"/>
              <w:rPr>
                <w:spacing w:val="0"/>
              </w:rPr>
            </w:pPr>
            <w:r>
              <w:rPr>
                <w:spacing w:val="0"/>
              </w:rPr>
              <w:t>  </w:t>
            </w:r>
            <w:r>
              <w:rPr>
                <w:rFonts w:ascii="ARIAL" w:hAnsi="ARIAL"/>
                <w:b/>
                <w:spacing w:val="0"/>
                <w:sz w:val="18"/>
              </w:rPr>
              <w:t>non-PEO NEOs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b/>
                <w:sz w:val="18"/>
              </w:rPr>
            </w:pPr>
            <w:r>
              <w:rPr>
                <w:rFonts w:ascii="ARIAL" w:hAnsi="ARIAL"/>
                <w:b/>
                <w:sz w:val="18"/>
              </w:rPr>
              <w:t>Total Reported in 2021 Summary Compensation Table (SCT)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14,939,587</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2,739,108</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Less, Value of Stock Awards Reported in SCT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(8,485,027</w:t>
            </w:r>
          </w:p>
        </w:tc>
        <w:tc>
          <w:tcPr>
            <w:tcW w:w="95" w:type="dxa"/>
            <w:tcBorders>
              <w:bottom w:val="dotted" w:sz="8" w:space="0" w:color="000000"/>
            </w:tcBorders>
            <w:shd w:fill="auto" w:val="clear"/>
            <w:tcMar>
              <w:bottom w:w="10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(1,049,624</w:t>
            </w:r>
          </w:p>
        </w:tc>
        <w:tc>
          <w:tcPr>
            <w:tcW w:w="133" w:type="dxa"/>
            <w:tcBorders>
              <w:bottom w:val="dotted" w:sz="8" w:space="0" w:color="000000"/>
            </w:tcBorders>
            <w:shd w:fill="auto" w:val="clear"/>
            <w:tcMar>
              <w:bottom w:w="100" w:type="dxa"/>
            </w:tcM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 xml:space="preserve">Less, Change in Pension Value and </w:t>
            </w:r>
          </w:p>
          <w:p>
            <w:pPr>
              <w:pStyle w:val="TableContents"/>
              <w:spacing w:before="0" w:after="0"/>
              <w:rPr>
                <w:rFonts w:ascii="ARIAL" w:hAnsi="ARIAL"/>
                <w:spacing w:val="0"/>
                <w:sz w:val="18"/>
              </w:rPr>
            </w:pPr>
            <w:r>
              <w:rPr>
                <w:rFonts w:ascii="ARIAL" w:hAnsi="ARIAL"/>
                <w:spacing w:val="0"/>
                <w:sz w:val="18"/>
              </w:rPr>
              <w:t>Non-Qualified</w:t>
            </w:r>
          </w:p>
          <w:p>
            <w:pPr>
              <w:pStyle w:val="TableContents"/>
              <w:spacing w:before="0" w:after="0"/>
              <w:rPr>
                <w:rFonts w:ascii="ARIAL" w:hAnsi="ARIAL"/>
                <w:sz w:val="18"/>
              </w:rPr>
            </w:pPr>
            <w:r>
              <w:rPr>
                <w:rFonts w:ascii="ARIAL" w:hAnsi="ARIAL"/>
                <w:sz w:val="18"/>
              </w:rPr>
              <w:t>Deferred Compensation Earnings in SCT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(2,873,669</w:t>
            </w:r>
          </w:p>
        </w:tc>
        <w:tc>
          <w:tcPr>
            <w:tcW w:w="95" w:type="dxa"/>
            <w:tcBorders>
              <w:bottom w:val="dotted" w:sz="8" w:space="0" w:color="000000"/>
            </w:tcBorders>
            <w:shd w:fill="auto" w:val="clear"/>
            <w:tcMar>
              <w:bottom w:w="10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(458,500</w:t>
            </w:r>
          </w:p>
        </w:tc>
        <w:tc>
          <w:tcPr>
            <w:tcW w:w="133" w:type="dxa"/>
            <w:tcBorders>
              <w:bottom w:val="dotted" w:sz="8" w:space="0" w:color="000000"/>
            </w:tcBorders>
            <w:shd w:fill="auto" w:val="clear"/>
            <w:tcMar>
              <w:bottom w:w="100" w:type="dxa"/>
            </w:tcM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Plus, Pension Service Cost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885,742</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227,889</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 xml:space="preserve">Plus, </w:t>
            </w:r>
          </w:p>
          <w:p>
            <w:pPr>
              <w:pStyle w:val="TableContents"/>
              <w:spacing w:before="0" w:after="0"/>
              <w:rPr>
                <w:rFonts w:ascii="ARIAL" w:hAnsi="ARIAL"/>
                <w:spacing w:val="0"/>
                <w:sz w:val="18"/>
              </w:rPr>
            </w:pPr>
            <w:r>
              <w:rPr>
                <w:rFonts w:ascii="ARIAL" w:hAnsi="ARIAL"/>
                <w:spacing w:val="0"/>
                <w:sz w:val="18"/>
              </w:rPr>
              <w:t>Year-End</w:t>
            </w:r>
          </w:p>
          <w:p>
            <w:pPr>
              <w:pStyle w:val="TableContents"/>
              <w:spacing w:before="0" w:after="0"/>
              <w:rPr>
                <w:rFonts w:ascii="ARIAL" w:hAnsi="ARIAL"/>
                <w:sz w:val="18"/>
              </w:rPr>
            </w:pPr>
            <w:r>
              <w:rPr>
                <w:rFonts w:ascii="ARIAL" w:hAnsi="ARIAL"/>
                <w:sz w:val="18"/>
              </w:rPr>
              <w:t>Value of Awards Granted in Fiscal Year that are Unvested and Outstanding</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18,489,038</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2,348,282</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Plus, Change in Fair Value of Prior Year Awards that are Unvested and Outstanding</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9,249,830</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1,789,807</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Plus, FMV of Awards Granted this Year and that Vested this Year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7,091</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 xml:space="preserve">Plus, Change in Fair Value (from Prior </w:t>
            </w:r>
          </w:p>
          <w:p>
            <w:pPr>
              <w:pStyle w:val="TableContents"/>
              <w:spacing w:before="0" w:after="0"/>
              <w:rPr>
                <w:rFonts w:ascii="ARIAL" w:hAnsi="ARIAL"/>
                <w:spacing w:val="0"/>
                <w:sz w:val="18"/>
              </w:rPr>
            </w:pPr>
            <w:r>
              <w:rPr>
                <w:rFonts w:ascii="ARIAL" w:hAnsi="ARIAL"/>
                <w:spacing w:val="0"/>
                <w:sz w:val="18"/>
              </w:rPr>
              <w:t>Year-End)</w:t>
            </w:r>
          </w:p>
          <w:p>
            <w:pPr>
              <w:pStyle w:val="TableContents"/>
              <w:spacing w:before="0" w:after="0"/>
              <w:rPr>
                <w:rFonts w:ascii="ARIAL" w:hAnsi="ARIAL"/>
                <w:sz w:val="18"/>
              </w:rPr>
            </w:pPr>
            <w:r>
              <w:rPr>
                <w:rFonts w:ascii="ARIAL" w:hAnsi="ARIAL"/>
                <w:sz w:val="18"/>
              </w:rPr>
              <w:t>of Prior Year Awards that Vested this Year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6,826,316</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1,023,199</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Less, Prior Year Fair Value of Prior Year Awards that Failed to Vest this Year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Total Adjustments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24,092,230</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28" w:type="dxa"/>
            </w:tcMar>
            <w:vAlign w:val="center"/>
          </w:tcPr>
          <w:p>
            <w:pPr>
              <w:pStyle w:val="TableContents"/>
              <w:spacing w:before="0" w:after="283"/>
              <w:rPr/>
            </w:pPr>
            <w:r>
              <w:rPr/>
              <w:t> </w:t>
            </w:r>
          </w:p>
        </w:tc>
        <w:tc>
          <w:tcPr>
            <w:tcW w:w="71" w:type="dxa"/>
            <w:tcBorders>
              <w:bottom w:val="dotted" w:sz="8" w:space="0" w:color="000000"/>
            </w:tcBorders>
            <w:shd w:fill="auto" w:val="clear"/>
            <w:tcMar>
              <w:bottom w:w="100" w:type="dxa"/>
            </w:tcMar>
            <w:vAlign w:val="center"/>
          </w:tcPr>
          <w:p>
            <w:pPr>
              <w:pStyle w:val="TableContents"/>
              <w:spacing w:before="0" w:after="283"/>
              <w:rPr/>
            </w:pPr>
            <w:r>
              <w:rPr/>
              <w:t> </w:t>
            </w:r>
          </w:p>
        </w:tc>
        <w:tc>
          <w:tcPr>
            <w:tcW w:w="1260" w:type="dxa"/>
            <w:tcBorders>
              <w:bottom w:val="dotted" w:sz="8" w:space="0" w:color="000000"/>
            </w:tcBorders>
            <w:shd w:fill="auto" w:val="clear"/>
            <w:tcMar>
              <w:bottom w:w="100" w:type="dxa"/>
            </w:tcMar>
            <w:vAlign w:val="center"/>
          </w:tcPr>
          <w:p>
            <w:pPr>
              <w:pStyle w:val="TableContents"/>
              <w:spacing w:before="0" w:after="283"/>
              <w:jc w:val="right"/>
              <w:rPr/>
            </w:pPr>
            <w:r>
              <w:rPr/>
              <w:t>3,888,144</w:t>
            </w:r>
          </w:p>
        </w:tc>
        <w:tc>
          <w:tcPr>
            <w:tcW w:w="133"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single" w:sz="6" w:space="0" w:color="000000"/>
            </w:tcBorders>
            <w:shd w:fill="auto" w:val="clear"/>
            <w:tcMar>
              <w:bottom w:w="100" w:type="dxa"/>
            </w:tcMar>
            <w:vAlign w:val="center"/>
          </w:tcPr>
          <w:p>
            <w:pPr>
              <w:pStyle w:val="TableContents"/>
              <w:spacing w:before="0" w:after="0"/>
              <w:rPr/>
            </w:pPr>
            <w:r>
              <w:rPr/>
              <w:t>“</w:t>
            </w:r>
            <w:r>
              <w:rPr>
                <w:rFonts w:ascii="ARIAL" w:hAnsi="ARIAL"/>
                <w:b/>
                <w:sz w:val="18"/>
              </w:rPr>
              <w:t>Compensation Actually Paid” for Fiscal Year 2021</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100" w:type="dxa"/>
            <w:tcBorders>
              <w:bottom w:val="single" w:sz="6" w:space="0" w:color="000000"/>
            </w:tcBorders>
            <w:shd w:fill="auto" w:val="clear"/>
            <w:tcMar>
              <w:bottom w:w="100" w:type="dxa"/>
            </w:tcMar>
            <w:vAlign w:val="center"/>
          </w:tcPr>
          <w:p>
            <w:pPr>
              <w:pStyle w:val="TableContents"/>
              <w:spacing w:before="0" w:after="283"/>
              <w:jc w:val="right"/>
              <w:rPr/>
            </w:pPr>
            <w:r>
              <w:rPr/>
              <w:t>39,031,817</w:t>
            </w:r>
          </w:p>
        </w:tc>
        <w:tc>
          <w:tcPr>
            <w:tcW w:w="95" w:type="dxa"/>
            <w:tcBorders>
              <w:bottom w:val="single" w:sz="6" w:space="0" w:color="000000"/>
            </w:tcBorders>
            <w:shd w:fill="auto" w:val="clear"/>
            <w:tcMar>
              <w:bottom w:w="100"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71" w:type="dxa"/>
            <w:tcBorders>
              <w:bottom w:val="single" w:sz="6" w:space="0" w:color="000000"/>
            </w:tcBorders>
            <w:shd w:fill="auto" w:val="clear"/>
            <w:tcMar>
              <w:bottom w:w="28" w:type="dxa"/>
            </w:tcMar>
            <w:vAlign w:val="center"/>
          </w:tcPr>
          <w:p>
            <w:pPr>
              <w:pStyle w:val="TableContents"/>
              <w:spacing w:before="0" w:after="283"/>
              <w:rPr/>
            </w:pPr>
            <w:r>
              <w:rPr/>
              <w:t> </w:t>
            </w:r>
          </w:p>
        </w:tc>
        <w:tc>
          <w:tcPr>
            <w:tcW w:w="71" w:type="dxa"/>
            <w:tcBorders>
              <w:bottom w:val="single" w:sz="6" w:space="0" w:color="000000"/>
            </w:tcBorders>
            <w:shd w:fill="auto" w:val="clear"/>
            <w:tcMar>
              <w:bottom w:w="100" w:type="dxa"/>
            </w:tcMar>
            <w:vAlign w:val="center"/>
          </w:tcPr>
          <w:p>
            <w:pPr>
              <w:pStyle w:val="TableContents"/>
              <w:spacing w:before="0" w:after="283"/>
              <w:rPr/>
            </w:pPr>
            <w:r>
              <w:rPr/>
              <w:t> </w:t>
            </w:r>
          </w:p>
        </w:tc>
        <w:tc>
          <w:tcPr>
            <w:tcW w:w="1260" w:type="dxa"/>
            <w:tcBorders>
              <w:bottom w:val="single" w:sz="6" w:space="0" w:color="000000"/>
            </w:tcBorders>
            <w:shd w:fill="auto" w:val="clear"/>
            <w:tcMar>
              <w:bottom w:w="100" w:type="dxa"/>
            </w:tcMar>
            <w:vAlign w:val="center"/>
          </w:tcPr>
          <w:p>
            <w:pPr>
              <w:pStyle w:val="TableContents"/>
              <w:spacing w:before="0" w:after="283"/>
              <w:jc w:val="right"/>
              <w:rPr/>
            </w:pPr>
            <w:r>
              <w:rPr/>
              <w:t>6,627,252</w:t>
            </w:r>
          </w:p>
        </w:tc>
        <w:tc>
          <w:tcPr>
            <w:tcW w:w="133"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0" w:after="0"/>
        <w:jc w:val="left"/>
        <w:rPr/>
      </w:pPr>
      <w:r>
        <w:rPr/>
        <w:t> </w:t>
      </w:r>
    </w:p>
    <w:tbl>
      <w:tblPr>
        <w:tblW w:w="3497" w:type="dxa"/>
        <w:jc w:val="left"/>
        <w:tblInd w:w="0" w:type="dxa"/>
        <w:tblCellMar>
          <w:top w:w="0" w:type="dxa"/>
          <w:left w:w="0" w:type="dxa"/>
          <w:bottom w:w="0" w:type="dxa"/>
          <w:right w:w="0" w:type="dxa"/>
        </w:tblCellMar>
      </w:tblPr>
      <w:tblGrid>
        <w:gridCol w:w="3170"/>
        <w:gridCol w:w="60"/>
        <w:gridCol w:w="132"/>
        <w:gridCol w:w="60"/>
        <w:gridCol w:w="75"/>
      </w:tblGrid>
      <w:tr>
        <w:trPr/>
        <w:tc>
          <w:tcPr>
            <w:tcW w:w="3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170" w:type="dxa"/>
            <w:tcBorders/>
            <w:shd w:fill="auto" w:val="clear"/>
            <w:vAlign w:val="center"/>
          </w:tcPr>
          <w:p>
            <w:pPr>
              <w:pStyle w:val="TableContents"/>
              <w:spacing w:before="0" w:after="0"/>
              <w:rPr>
                <w:b/>
                <w:spacing w:val="0"/>
              </w:rPr>
            </w:pPr>
            <w:r>
              <w:rPr>
                <w:b/>
                <w:spacing w:val="0"/>
              </w:rPr>
              <w:t>8</w:t>
            </w:r>
          </w:p>
          <w:p>
            <w:pPr>
              <w:pStyle w:val="TableContents"/>
              <w:spacing w:before="0" w:after="0"/>
              <w:rPr>
                <w:b/>
                <w:spacing w:val="0"/>
              </w:rPr>
            </w:pPr>
            <w:r>
              <w:rPr>
                <w:b/>
                <w:spacing w:val="0"/>
              </w:rPr>
              <w:t>4</w:t>
            </w:r>
          </w:p>
          <w:p>
            <w:pPr>
              <w:pStyle w:val="TableContents"/>
              <w:spacing w:before="0" w:after="0"/>
              <w:rPr>
                <w:color w:val="007CBA"/>
                <w:spacing w:val="0"/>
              </w:rPr>
            </w:pPr>
            <w:r>
              <w:rPr>
                <w:color w:val="007CBA"/>
                <w:spacing w:val="0"/>
              </w:rPr>
              <w:t xml:space="preserve">    </w:t>
            </w:r>
            <w:r>
              <w:rPr>
                <w:color w:val="007CBA"/>
                <w:spacing w:val="0"/>
              </w:rPr>
              <w:t>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3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21" descr=""/>
                          <pic:cNvPicPr>
                            <a:picLocks noChangeAspect="1" noChangeArrowheads="1"/>
                          </pic:cNvPicPr>
                        </pic:nvPicPr>
                        <pic:blipFill>
                          <a:blip r:embed="rId22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jc w:val="right"/>
        <w:rPr>
          <w:color w:val="007CBA"/>
          <w:spacing w:val="0"/>
        </w:rPr>
      </w:pPr>
      <w:r>
        <w:rPr>
          <w:color w:val="007CBA"/>
          <w:spacing w:val="0"/>
        </w:rPr>
        <w:t>◆</w:t>
      </w:r>
    </w:p>
    <w:p>
      <w:pPr>
        <w:pStyle w:val="TextBody"/>
        <w:spacing w:before="0" w:after="0"/>
        <w:jc w:val="right"/>
        <w:rPr>
          <w:color w:val="007CBA"/>
          <w:spacing w:val="0"/>
        </w:rPr>
      </w:pPr>
      <w:r>
        <w:rPr>
          <w:color w:val="007CBA"/>
          <w:spacing w:val="0"/>
        </w:rPr>
        <w:t>  </w:t>
      </w:r>
      <w:r>
        <w:rPr>
          <w:rFonts w:ascii="ARIAL" w:hAnsi="ARIAL"/>
          <w:color w:val="007CBA"/>
          <w:spacing w:val="0"/>
          <w:sz w:val="16"/>
        </w:rPr>
        <w:t>PAY VERSUS PERFORMANCE</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pPr>
            <w:r>
              <w:rPr/>
              <w:t>(6)</w:t>
            </w:r>
          </w:p>
        </w:tc>
        <w:tc>
          <w:tcPr>
            <w:tcW w:w="9935" w:type="dxa"/>
            <w:tcBorders/>
            <w:shd w:fill="auto" w:val="clear"/>
            <w:vAlign w:val="center"/>
          </w:tcPr>
          <w:p>
            <w:pPr>
              <w:pStyle w:val="TableContents"/>
              <w:spacing w:before="0" w:after="0"/>
              <w:jc w:val="left"/>
              <w:rPr>
                <w:rFonts w:ascii="ARIAL" w:hAnsi="ARIAL"/>
                <w:sz w:val="18"/>
              </w:rPr>
            </w:pPr>
            <w:r>
              <w:rPr>
                <w:rFonts w:ascii="ARIAL" w:hAnsi="ARIAL"/>
                <w:sz w:val="18"/>
              </w:rPr>
              <w:t xml:space="preserve">2020 “Compensation Actually Paid” to the PEO and the average “Compensation Actually Paid” to the NEOs reflect the following adjustments from Total Compensation reported in the Summary Compensation Table: </w:t>
            </w:r>
          </w:p>
        </w:tc>
      </w:tr>
    </w:tbl>
    <w:p>
      <w:pPr>
        <w:pStyle w:val="TextBody"/>
        <w:spacing w:before="0" w:after="0"/>
        <w:jc w:val="left"/>
        <w:rPr/>
      </w:pPr>
      <w:r>
        <w:rPr/>
        <w:t> </w:t>
      </w:r>
    </w:p>
    <w:tbl>
      <w:tblPr>
        <w:tblW w:w="9860" w:type="dxa"/>
        <w:jc w:val="left"/>
        <w:tblInd w:w="0" w:type="dxa"/>
        <w:tblCellMar>
          <w:top w:w="0" w:type="dxa"/>
          <w:left w:w="0" w:type="dxa"/>
          <w:bottom w:w="0" w:type="dxa"/>
          <w:right w:w="0" w:type="dxa"/>
        </w:tblCellMar>
      </w:tblPr>
      <w:tblGrid>
        <w:gridCol w:w="6830"/>
        <w:gridCol w:w="120"/>
        <w:gridCol w:w="60"/>
        <w:gridCol w:w="60"/>
        <w:gridCol w:w="1100"/>
        <w:gridCol w:w="95"/>
        <w:gridCol w:w="60"/>
        <w:gridCol w:w="76"/>
        <w:gridCol w:w="76"/>
        <w:gridCol w:w="1243"/>
        <w:gridCol w:w="140"/>
      </w:tblGrid>
      <w:tr>
        <w:trPr/>
        <w:tc>
          <w:tcPr>
            <w:tcW w:w="68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r>
      <w:tr>
        <w:trPr/>
        <w:tc>
          <w:tcPr>
            <w:tcW w:w="6830" w:type="dxa"/>
            <w:tcBorders/>
            <w:shd w:fill="DBDBDB" w:val="clear"/>
            <w:vAlign w:val="center"/>
          </w:tcPr>
          <w:p>
            <w:pPr>
              <w:pStyle w:val="TableContents"/>
              <w:spacing w:before="0" w:after="283"/>
              <w:rPr>
                <w:sz w:val="4"/>
                <w:szCs w:val="4"/>
              </w:rPr>
            </w:pPr>
            <w:r>
              <w:rPr>
                <w:sz w:val="4"/>
                <w:szCs w:val="4"/>
              </w:rPr>
            </w:r>
          </w:p>
        </w:tc>
        <w:tc>
          <w:tcPr>
            <w:tcW w:w="1435" w:type="dxa"/>
            <w:gridSpan w:val="5"/>
            <w:tcBorders/>
            <w:shd w:fill="DBDBDB" w:val="clear"/>
            <w:vAlign w:val="center"/>
          </w:tcPr>
          <w:p>
            <w:pPr>
              <w:pStyle w:val="TableContents"/>
              <w:spacing w:before="0" w:after="283"/>
              <w:rPr>
                <w:sz w:val="4"/>
                <w:szCs w:val="4"/>
              </w:rPr>
            </w:pPr>
            <w:r>
              <w:rPr>
                <w:sz w:val="4"/>
                <w:szCs w:val="4"/>
              </w:rPr>
            </w:r>
          </w:p>
        </w:tc>
        <w:tc>
          <w:tcPr>
            <w:tcW w:w="1595" w:type="dxa"/>
            <w:gridSpan w:val="5"/>
            <w:tcBorders/>
            <w:shd w:fill="DBDBDB" w:val="clear"/>
            <w:vAlign w:val="center"/>
          </w:tcPr>
          <w:p>
            <w:pPr>
              <w:pStyle w:val="TableContents"/>
              <w:spacing w:before="0" w:after="283"/>
              <w:rPr>
                <w:sz w:val="4"/>
                <w:szCs w:val="4"/>
              </w:rPr>
            </w:pPr>
            <w:r>
              <w:rPr>
                <w:sz w:val="4"/>
                <w:szCs w:val="4"/>
              </w:rPr>
            </w:r>
          </w:p>
        </w:tc>
      </w:tr>
      <w:tr>
        <w:trPr/>
        <w:tc>
          <w:tcPr>
            <w:tcW w:w="683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315" w:type="dxa"/>
            <w:gridSpan w:val="4"/>
            <w:tcBorders/>
            <w:shd w:fill="DBDBDB" w:val="clear"/>
            <w:vAlign w:val="center"/>
          </w:tcPr>
          <w:p>
            <w:pPr>
              <w:pStyle w:val="TableContents"/>
              <w:spacing w:before="0" w:after="0"/>
              <w:jc w:val="center"/>
              <w:rPr>
                <w:b/>
                <w:spacing w:val="0"/>
              </w:rPr>
            </w:pPr>
            <w:r>
              <w:rPr>
                <w:b/>
                <w:spacing w:val="0"/>
              </w:rPr>
              <w:t>PEO</w:t>
            </w:r>
          </w:p>
        </w:tc>
        <w:tc>
          <w:tcPr>
            <w:tcW w:w="60" w:type="dxa"/>
            <w:tcBorders/>
            <w:shd w:fill="DBDBDB" w:val="clear"/>
            <w:vAlign w:val="center"/>
          </w:tcPr>
          <w:p>
            <w:pPr>
              <w:pStyle w:val="TableContents"/>
              <w:spacing w:before="0" w:after="283"/>
              <w:rPr/>
            </w:pPr>
            <w:r>
              <w:rPr/>
              <w:t> </w:t>
            </w:r>
          </w:p>
        </w:tc>
        <w:tc>
          <w:tcPr>
            <w:tcW w:w="1535" w:type="dxa"/>
            <w:gridSpan w:val="4"/>
            <w:tcBorders/>
            <w:shd w:fill="DBDBDB" w:val="clear"/>
            <w:vAlign w:val="center"/>
          </w:tcPr>
          <w:p>
            <w:pPr>
              <w:pStyle w:val="TableContents"/>
              <w:spacing w:before="0" w:after="0"/>
              <w:jc w:val="center"/>
              <w:rPr>
                <w:rFonts w:ascii="ARIAL" w:hAnsi="ARIAL"/>
                <w:b/>
                <w:sz w:val="18"/>
              </w:rPr>
            </w:pPr>
            <w:r>
              <w:rPr>
                <w:rFonts w:ascii="ARIAL" w:hAnsi="ARIAL"/>
                <w:b/>
                <w:sz w:val="18"/>
              </w:rPr>
              <w:t>Average for</w:t>
            </w:r>
          </w:p>
          <w:p>
            <w:pPr>
              <w:pStyle w:val="TableContents"/>
              <w:spacing w:before="0" w:after="20"/>
              <w:jc w:val="center"/>
              <w:rPr>
                <w:spacing w:val="0"/>
              </w:rPr>
            </w:pPr>
            <w:r>
              <w:rPr>
                <w:spacing w:val="0"/>
              </w:rPr>
              <w:t>  </w:t>
            </w:r>
            <w:r>
              <w:rPr>
                <w:rFonts w:ascii="ARIAL" w:hAnsi="ARIAL"/>
                <w:b/>
                <w:spacing w:val="0"/>
                <w:sz w:val="18"/>
              </w:rPr>
              <w:t>non-PEO NEOs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b/>
                <w:sz w:val="18"/>
              </w:rPr>
            </w:pPr>
            <w:r>
              <w:rPr>
                <w:rFonts w:ascii="ARIAL" w:hAnsi="ARIAL"/>
                <w:b/>
                <w:sz w:val="18"/>
              </w:rPr>
              <w:t>Total Reported in 2020 Summary Compensation Table (SCT)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12,818,588</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c>
          <w:tcPr>
            <w:tcW w:w="1243" w:type="dxa"/>
            <w:tcBorders>
              <w:bottom w:val="dotted" w:sz="8" w:space="0" w:color="000000"/>
            </w:tcBorders>
            <w:shd w:fill="auto" w:val="clear"/>
            <w:tcMar>
              <w:bottom w:w="100" w:type="dxa"/>
            </w:tcMar>
            <w:vAlign w:val="center"/>
          </w:tcPr>
          <w:p>
            <w:pPr>
              <w:pStyle w:val="TableContents"/>
              <w:spacing w:before="0" w:after="283"/>
              <w:jc w:val="right"/>
              <w:rPr/>
            </w:pPr>
            <w:r>
              <w:rPr/>
              <w:t>2,618,321</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Less, Value of Stock Awards Reported in SCT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(6,751,124</w:t>
            </w:r>
          </w:p>
        </w:tc>
        <w:tc>
          <w:tcPr>
            <w:tcW w:w="95" w:type="dxa"/>
            <w:tcBorders>
              <w:bottom w:val="dotted" w:sz="8" w:space="0" w:color="000000"/>
            </w:tcBorders>
            <w:shd w:fill="auto" w:val="clear"/>
            <w:tcMar>
              <w:bottom w:w="10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c>
          <w:tcPr>
            <w:tcW w:w="1243" w:type="dxa"/>
            <w:tcBorders>
              <w:bottom w:val="dotted" w:sz="8" w:space="0" w:color="000000"/>
            </w:tcBorders>
            <w:shd w:fill="auto" w:val="clear"/>
            <w:tcMar>
              <w:bottom w:w="100" w:type="dxa"/>
            </w:tcMar>
            <w:vAlign w:val="center"/>
          </w:tcPr>
          <w:p>
            <w:pPr>
              <w:pStyle w:val="TableContents"/>
              <w:spacing w:before="0" w:after="283"/>
              <w:jc w:val="right"/>
              <w:rPr/>
            </w:pPr>
            <w:r>
              <w:rPr/>
              <w:t>(849,090</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 xml:space="preserve">Less, Change in Pension Value and </w:t>
            </w:r>
          </w:p>
          <w:p>
            <w:pPr>
              <w:pStyle w:val="TableContents"/>
              <w:spacing w:before="0" w:after="0"/>
              <w:rPr>
                <w:rFonts w:ascii="ARIAL" w:hAnsi="ARIAL"/>
                <w:spacing w:val="0"/>
                <w:sz w:val="18"/>
              </w:rPr>
            </w:pPr>
            <w:r>
              <w:rPr>
                <w:rFonts w:ascii="ARIAL" w:hAnsi="ARIAL"/>
                <w:spacing w:val="0"/>
                <w:sz w:val="18"/>
              </w:rPr>
              <w:t>Non-Qualified</w:t>
            </w:r>
          </w:p>
          <w:p>
            <w:pPr>
              <w:pStyle w:val="TableContents"/>
              <w:spacing w:before="0" w:after="0"/>
              <w:rPr>
                <w:rFonts w:ascii="ARIAL" w:hAnsi="ARIAL"/>
                <w:sz w:val="18"/>
              </w:rPr>
            </w:pPr>
            <w:r>
              <w:rPr>
                <w:rFonts w:ascii="ARIAL" w:hAnsi="ARIAL"/>
                <w:sz w:val="18"/>
              </w:rPr>
              <w:t>Deferred Compensation Earnings in SCT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(3,172,259</w:t>
            </w:r>
          </w:p>
        </w:tc>
        <w:tc>
          <w:tcPr>
            <w:tcW w:w="95" w:type="dxa"/>
            <w:tcBorders>
              <w:bottom w:val="dotted" w:sz="8" w:space="0" w:color="000000"/>
            </w:tcBorders>
            <w:shd w:fill="auto" w:val="clear"/>
            <w:tcMar>
              <w:bottom w:w="10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c>
          <w:tcPr>
            <w:tcW w:w="1243" w:type="dxa"/>
            <w:tcBorders>
              <w:bottom w:val="dotted" w:sz="8" w:space="0" w:color="000000"/>
            </w:tcBorders>
            <w:shd w:fill="auto" w:val="clear"/>
            <w:tcMar>
              <w:bottom w:w="100" w:type="dxa"/>
            </w:tcMar>
            <w:vAlign w:val="center"/>
          </w:tcPr>
          <w:p>
            <w:pPr>
              <w:pStyle w:val="TableContents"/>
              <w:spacing w:before="0" w:after="283"/>
              <w:jc w:val="right"/>
              <w:rPr/>
            </w:pPr>
            <w:r>
              <w:rPr/>
              <w:t>(616,977</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Plus, Pension Service Cost</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692,201</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c>
          <w:tcPr>
            <w:tcW w:w="1243" w:type="dxa"/>
            <w:tcBorders>
              <w:bottom w:val="dotted" w:sz="8" w:space="0" w:color="000000"/>
            </w:tcBorders>
            <w:shd w:fill="auto" w:val="clear"/>
            <w:tcMar>
              <w:bottom w:w="100" w:type="dxa"/>
            </w:tcMar>
            <w:vAlign w:val="center"/>
          </w:tcPr>
          <w:p>
            <w:pPr>
              <w:pStyle w:val="TableContents"/>
              <w:spacing w:before="0" w:after="283"/>
              <w:jc w:val="right"/>
              <w:rPr/>
            </w:pPr>
            <w:r>
              <w:rPr/>
              <w:t>171,534</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 xml:space="preserve">Plus, </w:t>
            </w:r>
          </w:p>
          <w:p>
            <w:pPr>
              <w:pStyle w:val="TableContents"/>
              <w:spacing w:before="0" w:after="0"/>
              <w:rPr>
                <w:rFonts w:ascii="ARIAL" w:hAnsi="ARIAL"/>
                <w:spacing w:val="0"/>
                <w:sz w:val="18"/>
              </w:rPr>
            </w:pPr>
            <w:r>
              <w:rPr>
                <w:rFonts w:ascii="ARIAL" w:hAnsi="ARIAL"/>
                <w:spacing w:val="0"/>
                <w:sz w:val="18"/>
              </w:rPr>
              <w:t>Year-End</w:t>
            </w:r>
          </w:p>
          <w:p>
            <w:pPr>
              <w:pStyle w:val="TableContents"/>
              <w:spacing w:before="0" w:after="0"/>
              <w:rPr>
                <w:rFonts w:ascii="ARIAL" w:hAnsi="ARIAL"/>
                <w:sz w:val="18"/>
              </w:rPr>
            </w:pPr>
            <w:r>
              <w:rPr>
                <w:rFonts w:ascii="ARIAL" w:hAnsi="ARIAL"/>
                <w:sz w:val="18"/>
              </w:rPr>
              <w:t>Value of Awards Granted in Fiscal Year that are Unvested and Outstanding</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9,412,921</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c>
          <w:tcPr>
            <w:tcW w:w="1243" w:type="dxa"/>
            <w:tcBorders>
              <w:bottom w:val="dotted" w:sz="8" w:space="0" w:color="000000"/>
            </w:tcBorders>
            <w:shd w:fill="auto" w:val="clear"/>
            <w:tcMar>
              <w:bottom w:w="100" w:type="dxa"/>
            </w:tcMar>
            <w:vAlign w:val="center"/>
          </w:tcPr>
          <w:p>
            <w:pPr>
              <w:pStyle w:val="TableContents"/>
              <w:spacing w:before="0" w:after="283"/>
              <w:jc w:val="right"/>
              <w:rPr/>
            </w:pPr>
            <w:r>
              <w:rPr/>
              <w:t>1,210,308</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Plus, Change in Fair Value of Prior Year Awards that are Unvested and Outstanding</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66,908</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c>
          <w:tcPr>
            <w:tcW w:w="1243" w:type="dxa"/>
            <w:tcBorders>
              <w:bottom w:val="dotted" w:sz="8" w:space="0" w:color="000000"/>
            </w:tcBorders>
            <w:shd w:fill="auto" w:val="clear"/>
            <w:tcMar>
              <w:bottom w:w="100" w:type="dxa"/>
            </w:tcMar>
            <w:vAlign w:val="center"/>
          </w:tcPr>
          <w:p>
            <w:pPr>
              <w:pStyle w:val="TableContents"/>
              <w:spacing w:before="0" w:after="283"/>
              <w:jc w:val="right"/>
              <w:rPr/>
            </w:pPr>
            <w:r>
              <w:rPr/>
              <w:t>19,950</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Plus, FMV of Awards Granted this Year and that Vested this Year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c>
          <w:tcPr>
            <w:tcW w:w="1243" w:type="dxa"/>
            <w:tcBorders>
              <w:bottom w:val="dotted" w:sz="8" w:space="0" w:color="000000"/>
            </w:tcBorders>
            <w:shd w:fill="auto" w:val="clear"/>
            <w:tcMar>
              <w:bottom w:w="100" w:type="dxa"/>
            </w:tcMar>
            <w:vAlign w:val="center"/>
          </w:tcPr>
          <w:p>
            <w:pPr>
              <w:pStyle w:val="TableContents"/>
              <w:spacing w:before="0" w:after="283"/>
              <w:jc w:val="right"/>
              <w:rPr/>
            </w:pPr>
            <w:r>
              <w:rPr/>
              <w:t>7,241</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 xml:space="preserve">Plus, Change in Fair Value (from Prior </w:t>
            </w:r>
          </w:p>
          <w:p>
            <w:pPr>
              <w:pStyle w:val="TableContents"/>
              <w:spacing w:before="0" w:after="0"/>
              <w:rPr>
                <w:rFonts w:ascii="ARIAL" w:hAnsi="ARIAL"/>
                <w:spacing w:val="0"/>
                <w:sz w:val="18"/>
              </w:rPr>
            </w:pPr>
            <w:r>
              <w:rPr>
                <w:rFonts w:ascii="ARIAL" w:hAnsi="ARIAL"/>
                <w:spacing w:val="0"/>
                <w:sz w:val="18"/>
              </w:rPr>
              <w:t>Year-End)</w:t>
            </w:r>
          </w:p>
          <w:p>
            <w:pPr>
              <w:pStyle w:val="TableContents"/>
              <w:spacing w:before="0" w:after="0"/>
              <w:rPr>
                <w:rFonts w:ascii="ARIAL" w:hAnsi="ARIAL"/>
                <w:sz w:val="18"/>
              </w:rPr>
            </w:pPr>
            <w:r>
              <w:rPr>
                <w:rFonts w:ascii="ARIAL" w:hAnsi="ARIAL"/>
                <w:sz w:val="18"/>
              </w:rPr>
              <w:t>of Prior Year Awards that Vested this Year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(813,226</w:t>
            </w:r>
          </w:p>
        </w:tc>
        <w:tc>
          <w:tcPr>
            <w:tcW w:w="95" w:type="dxa"/>
            <w:tcBorders>
              <w:bottom w:val="dotted" w:sz="8" w:space="0" w:color="000000"/>
            </w:tcBorders>
            <w:shd w:fill="auto" w:val="clear"/>
            <w:tcMar>
              <w:bottom w:w="10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c>
          <w:tcPr>
            <w:tcW w:w="1243" w:type="dxa"/>
            <w:tcBorders>
              <w:bottom w:val="dotted" w:sz="8" w:space="0" w:color="000000"/>
            </w:tcBorders>
            <w:shd w:fill="auto" w:val="clear"/>
            <w:tcMar>
              <w:bottom w:w="100" w:type="dxa"/>
            </w:tcMar>
            <w:vAlign w:val="center"/>
          </w:tcPr>
          <w:p>
            <w:pPr>
              <w:pStyle w:val="TableContents"/>
              <w:spacing w:before="0" w:after="283"/>
              <w:jc w:val="right"/>
              <w:rPr/>
            </w:pPr>
            <w:r>
              <w:rPr/>
              <w:t>(105,157</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Less, Prior Year Fair Value of Prior Year Awards that Failed to Vest this Year</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95" w:type="dxa"/>
            <w:tcBorders>
              <w:bottom w:val="dotted" w:sz="8" w:space="0" w:color="000000"/>
            </w:tcBorders>
            <w:shd w:fill="auto" w:val="clear"/>
            <w:tcMar>
              <w:bottom w:w="100"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c>
          <w:tcPr>
            <w:tcW w:w="1243"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Total Adjustments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100" w:type="dxa"/>
            <w:tcBorders>
              <w:bottom w:val="dotted" w:sz="8" w:space="0" w:color="000000"/>
            </w:tcBorders>
            <w:shd w:fill="auto" w:val="clear"/>
            <w:tcMar>
              <w:bottom w:w="100" w:type="dxa"/>
            </w:tcMar>
            <w:vAlign w:val="center"/>
          </w:tcPr>
          <w:p>
            <w:pPr>
              <w:pStyle w:val="TableContents"/>
              <w:spacing w:before="0" w:after="283"/>
              <w:jc w:val="right"/>
              <w:rPr/>
            </w:pPr>
            <w:r>
              <w:rPr/>
              <w:t>(564,579</w:t>
            </w:r>
          </w:p>
        </w:tc>
        <w:tc>
          <w:tcPr>
            <w:tcW w:w="95" w:type="dxa"/>
            <w:tcBorders>
              <w:bottom w:val="dotted" w:sz="8" w:space="0" w:color="000000"/>
            </w:tcBorders>
            <w:shd w:fill="auto" w:val="clear"/>
            <w:tcMar>
              <w:bottom w:w="100" w:type="dxa"/>
            </w:tcMar>
            <w:vAlign w:val="center"/>
          </w:tcPr>
          <w:p>
            <w:pPr>
              <w:pStyle w:val="TableContents"/>
              <w:spacing w:before="0" w:after="283"/>
              <w:rPr/>
            </w:pPr>
            <w:r>
              <w:rPr/>
              <w:t>)</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28" w:type="dxa"/>
            </w:tcMar>
            <w:vAlign w:val="center"/>
          </w:tcPr>
          <w:p>
            <w:pPr>
              <w:pStyle w:val="TableContents"/>
              <w:spacing w:before="0" w:after="283"/>
              <w:rPr/>
            </w:pPr>
            <w:r>
              <w:rPr/>
              <w:t> </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c>
          <w:tcPr>
            <w:tcW w:w="1243" w:type="dxa"/>
            <w:tcBorders>
              <w:bottom w:val="dotted" w:sz="8" w:space="0" w:color="000000"/>
            </w:tcBorders>
            <w:shd w:fill="auto" w:val="clear"/>
            <w:tcMar>
              <w:bottom w:w="100" w:type="dxa"/>
            </w:tcMar>
            <w:vAlign w:val="center"/>
          </w:tcPr>
          <w:p>
            <w:pPr>
              <w:pStyle w:val="TableContents"/>
              <w:spacing w:before="0" w:after="283"/>
              <w:jc w:val="right"/>
              <w:rPr/>
            </w:pPr>
            <w:r>
              <w:rPr/>
              <w:t>(162,191</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283"/>
              <w:rPr/>
            </w:pPr>
            <w:r>
              <w:rPr/>
              <w:t> </w:t>
            </w:r>
          </w:p>
        </w:tc>
        <w:tc>
          <w:tcPr>
            <w:tcW w:w="1435" w:type="dxa"/>
            <w:gridSpan w:val="5"/>
            <w:tcBorders/>
            <w:shd w:fill="auto" w:val="clear"/>
            <w:vAlign w:val="center"/>
          </w:tcPr>
          <w:p>
            <w:pPr>
              <w:pStyle w:val="TableContents"/>
              <w:spacing w:before="0" w:after="283"/>
              <w:rPr/>
            </w:pPr>
            <w:r>
              <w:rPr/>
              <w:t> </w:t>
            </w:r>
          </w:p>
        </w:tc>
        <w:tc>
          <w:tcPr>
            <w:tcW w:w="1595" w:type="dxa"/>
            <w:gridSpan w:val="5"/>
            <w:tcBorders/>
            <w:shd w:fill="auto" w:val="clear"/>
            <w:vAlign w:val="center"/>
          </w:tcPr>
          <w:p>
            <w:pPr>
              <w:pStyle w:val="TableContents"/>
              <w:spacing w:before="0" w:after="283"/>
              <w:rPr/>
            </w:pPr>
            <w:r>
              <w:rPr/>
              <w:t> </w:t>
            </w:r>
          </w:p>
        </w:tc>
      </w:tr>
      <w:tr>
        <w:trPr/>
        <w:tc>
          <w:tcPr>
            <w:tcW w:w="6830" w:type="dxa"/>
            <w:tcBorders>
              <w:bottom w:val="single" w:sz="6" w:space="0" w:color="000000"/>
            </w:tcBorders>
            <w:shd w:fill="auto" w:val="clear"/>
            <w:tcMar>
              <w:bottom w:w="100" w:type="dxa"/>
            </w:tcMar>
            <w:vAlign w:val="center"/>
          </w:tcPr>
          <w:p>
            <w:pPr>
              <w:pStyle w:val="TableContents"/>
              <w:spacing w:before="0" w:after="0"/>
              <w:rPr/>
            </w:pPr>
            <w:r>
              <w:rPr/>
              <w:t>“</w:t>
            </w:r>
            <w:r>
              <w:rPr>
                <w:rFonts w:ascii="ARIAL" w:hAnsi="ARIAL"/>
                <w:b/>
                <w:sz w:val="18"/>
              </w:rPr>
              <w:t>Compensation Actually Paid” for Fiscal Year 2020</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100" w:type="dxa"/>
            <w:tcBorders>
              <w:bottom w:val="single" w:sz="6" w:space="0" w:color="000000"/>
            </w:tcBorders>
            <w:shd w:fill="auto" w:val="clear"/>
            <w:tcMar>
              <w:bottom w:w="100" w:type="dxa"/>
            </w:tcMar>
            <w:vAlign w:val="center"/>
          </w:tcPr>
          <w:p>
            <w:pPr>
              <w:pStyle w:val="TableContents"/>
              <w:spacing w:before="0" w:after="283"/>
              <w:jc w:val="right"/>
              <w:rPr/>
            </w:pPr>
            <w:r>
              <w:rPr/>
              <w:t>12,254,009</w:t>
            </w:r>
          </w:p>
        </w:tc>
        <w:tc>
          <w:tcPr>
            <w:tcW w:w="95" w:type="dxa"/>
            <w:tcBorders>
              <w:bottom w:val="single" w:sz="6" w:space="0" w:color="000000"/>
            </w:tcBorders>
            <w:shd w:fill="auto" w:val="clear"/>
            <w:tcMar>
              <w:bottom w:w="100"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76" w:type="dxa"/>
            <w:tcBorders>
              <w:bottom w:val="single" w:sz="6" w:space="0" w:color="000000"/>
            </w:tcBorders>
            <w:shd w:fill="auto" w:val="clear"/>
            <w:tcMar>
              <w:bottom w:w="28" w:type="dxa"/>
            </w:tcMar>
            <w:vAlign w:val="center"/>
          </w:tcPr>
          <w:p>
            <w:pPr>
              <w:pStyle w:val="TableContents"/>
              <w:spacing w:before="0" w:after="283"/>
              <w:rPr/>
            </w:pPr>
            <w:r>
              <w:rPr/>
              <w:t> </w:t>
            </w:r>
          </w:p>
        </w:tc>
        <w:tc>
          <w:tcPr>
            <w:tcW w:w="76" w:type="dxa"/>
            <w:tcBorders>
              <w:bottom w:val="single" w:sz="6" w:space="0" w:color="000000"/>
            </w:tcBorders>
            <w:shd w:fill="auto" w:val="clear"/>
            <w:tcMar>
              <w:bottom w:w="100" w:type="dxa"/>
            </w:tcMar>
            <w:vAlign w:val="center"/>
          </w:tcPr>
          <w:p>
            <w:pPr>
              <w:pStyle w:val="TableContents"/>
              <w:spacing w:before="0" w:after="283"/>
              <w:rPr/>
            </w:pPr>
            <w:r>
              <w:rPr/>
              <w:t> </w:t>
            </w:r>
          </w:p>
        </w:tc>
        <w:tc>
          <w:tcPr>
            <w:tcW w:w="1243" w:type="dxa"/>
            <w:tcBorders>
              <w:bottom w:val="single" w:sz="6" w:space="0" w:color="000000"/>
            </w:tcBorders>
            <w:shd w:fill="auto" w:val="clear"/>
            <w:tcMar>
              <w:bottom w:w="100" w:type="dxa"/>
            </w:tcMar>
            <w:vAlign w:val="center"/>
          </w:tcPr>
          <w:p>
            <w:pPr>
              <w:pStyle w:val="TableContents"/>
              <w:spacing w:before="0" w:after="283"/>
              <w:jc w:val="right"/>
              <w:rPr/>
            </w:pPr>
            <w:r>
              <w:rPr/>
              <w:t xml:space="preserve">2,456,130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(7)</w:t>
            </w:r>
          </w:p>
        </w:tc>
        <w:tc>
          <w:tcPr>
            <w:tcW w:w="9933" w:type="dxa"/>
            <w:tcBorders/>
            <w:shd w:fill="auto" w:val="clear"/>
            <w:vAlign w:val="center"/>
          </w:tcPr>
          <w:p>
            <w:pPr>
              <w:pStyle w:val="TableContents"/>
              <w:spacing w:before="0" w:after="0"/>
              <w:jc w:val="left"/>
              <w:rPr>
                <w:rFonts w:ascii="ARIAL" w:hAnsi="ARIAL"/>
                <w:sz w:val="18"/>
              </w:rPr>
            </w:pPr>
            <w:r>
              <w:rPr>
                <w:rFonts w:ascii="ARIAL" w:hAnsi="ARIAL"/>
                <w:sz w:val="18"/>
              </w:rPr>
              <w:t xml:space="preserve">Company and Peer Group TSR reflects the Company’s peer group (S&amp;P 500 Materials Index) as reflected in our Annual Report on Form </w:t>
            </w:r>
          </w:p>
          <w:p>
            <w:pPr>
              <w:pStyle w:val="TableContents"/>
              <w:spacing w:before="0" w:after="0"/>
              <w:jc w:val="left"/>
              <w:rPr>
                <w:rFonts w:ascii="ARIAL" w:hAnsi="ARIAL"/>
                <w:spacing w:val="0"/>
                <w:sz w:val="18"/>
              </w:rPr>
            </w:pPr>
            <w:r>
              <w:rPr>
                <w:rFonts w:ascii="ARIAL" w:hAnsi="ARIAL"/>
                <w:spacing w:val="0"/>
                <w:sz w:val="18"/>
              </w:rPr>
              <w:t>10-K</w:t>
            </w:r>
          </w:p>
          <w:p>
            <w:pPr>
              <w:pStyle w:val="TableContents"/>
              <w:spacing w:before="0" w:after="0"/>
              <w:jc w:val="left"/>
              <w:rPr>
                <w:rFonts w:ascii="ARIAL" w:hAnsi="ARIAL"/>
                <w:sz w:val="18"/>
              </w:rPr>
            </w:pPr>
            <w:r>
              <w:rPr>
                <w:rFonts w:ascii="ARIAL" w:hAnsi="ARIAL"/>
                <w:sz w:val="18"/>
              </w:rPr>
              <w:t xml:space="preserve">pursuant to Item 201(e) of Regulation </w:t>
            </w:r>
          </w:p>
          <w:p>
            <w:pPr>
              <w:pStyle w:val="TableContents"/>
              <w:spacing w:before="0" w:after="0"/>
              <w:jc w:val="left"/>
              <w:rPr>
                <w:rFonts w:ascii="ARIAL" w:hAnsi="ARIAL"/>
                <w:spacing w:val="0"/>
                <w:sz w:val="18"/>
              </w:rPr>
            </w:pPr>
            <w:r>
              <w:rPr>
                <w:rFonts w:ascii="ARIAL" w:hAnsi="ARIAL"/>
                <w:spacing w:val="0"/>
                <w:sz w:val="18"/>
              </w:rPr>
              <w:t>S-K</w:t>
            </w:r>
          </w:p>
          <w:p>
            <w:pPr>
              <w:pStyle w:val="TableContents"/>
              <w:spacing w:before="0" w:after="0"/>
              <w:jc w:val="left"/>
              <w:rPr>
                <w:rFonts w:ascii="ARIAL" w:hAnsi="ARIAL"/>
                <w:sz w:val="18"/>
              </w:rPr>
            </w:pPr>
            <w:r>
              <w:rPr>
                <w:rFonts w:ascii="ARIAL" w:hAnsi="ARIAL"/>
                <w:sz w:val="18"/>
              </w:rPr>
              <w:t xml:space="preserve">for the fiscal year ended December 31, 2022. Each year reflects what the cumulative $100 investment would be, including the reinvestment of dividends, if such amount were invested on December 31, 2019. </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jc w:val="left"/>
              <w:rPr/>
            </w:pPr>
            <w:r>
              <w:rPr/>
              <w:t>(8)</w:t>
            </w:r>
          </w:p>
        </w:tc>
        <w:tc>
          <w:tcPr>
            <w:tcW w:w="9964" w:type="dxa"/>
            <w:tcBorders/>
            <w:shd w:fill="auto" w:val="clear"/>
            <w:vAlign w:val="center"/>
          </w:tcPr>
          <w:p>
            <w:pPr>
              <w:pStyle w:val="TableContents"/>
              <w:spacing w:before="0" w:after="0"/>
              <w:jc w:val="left"/>
              <w:rPr>
                <w:rFonts w:ascii="ARIAL" w:hAnsi="ARIAL"/>
                <w:sz w:val="18"/>
              </w:rPr>
            </w:pPr>
            <w:r>
              <w:rPr>
                <w:rFonts w:ascii="ARIAL" w:hAnsi="ARIAL"/>
                <w:sz w:val="18"/>
              </w:rPr>
              <w:t xml:space="preserve">Consolidated earnings before interest; income taxes; depreciation, depletion and amortization; earnings/loss from nonconsolidated equity affiliates; acquisition and integration expenses; the impact of selling acquired inventory after its markup to fair value as part of acquisition accounting; and the nonrecurring gain on the divestiture of certain ready mixed concrete operations (Adjusted EBITDA) is an indicator used by the Company and investors to evaluate the Company’s operating performance from period to period. Adjusted EBITDA was selected as the 2022 “Company-Selected Measure” as defined in Item 402(v). Please see Appendix B for a reconciliation of </w:t>
            </w:r>
          </w:p>
          <w:p>
            <w:pPr>
              <w:pStyle w:val="TableContents"/>
              <w:spacing w:before="0" w:after="0"/>
              <w:jc w:val="left"/>
              <w:rPr>
                <w:rFonts w:ascii="ARIAL" w:hAnsi="ARIAL"/>
                <w:sz w:val="18"/>
              </w:rPr>
            </w:pPr>
            <w:r>
              <w:rPr>
                <w:rFonts w:ascii="ARIAL" w:hAnsi="ARIAL"/>
                <w:sz w:val="18"/>
              </w:rPr>
              <w:t>non-GAAP</w:t>
            </w:r>
          </w:p>
          <w:p>
            <w:pPr>
              <w:pStyle w:val="TableContents"/>
              <w:spacing w:before="0" w:after="0"/>
              <w:jc w:val="left"/>
              <w:rPr>
                <w:rFonts w:ascii="ARIAL" w:hAnsi="ARIAL"/>
                <w:sz w:val="18"/>
              </w:rPr>
            </w:pPr>
            <w:r>
              <w:rPr>
                <w:rFonts w:ascii="ARIAL" w:hAnsi="ARIAL"/>
                <w:sz w:val="18"/>
              </w:rPr>
              <w:t xml:space="preserve">measures to GAAP measures. </w:t>
            </w:r>
          </w:p>
        </w:tc>
      </w:tr>
    </w:tbl>
    <w:p>
      <w:pPr>
        <w:pStyle w:val="TextBody"/>
        <w:spacing w:before="240" w:after="0"/>
        <w:jc w:val="left"/>
        <w:rPr>
          <w:rFonts w:ascii="ARIAL" w:hAnsi="ARIAL"/>
          <w:b/>
          <w:color w:val="71BE9A"/>
          <w:spacing w:val="0"/>
          <w:sz w:val="26"/>
        </w:rPr>
      </w:pPr>
      <w:r>
        <w:rPr>
          <w:rFonts w:ascii="ARIAL" w:hAnsi="ARIAL"/>
          <w:b/>
          <w:color w:val="71BE9A"/>
          <w:spacing w:val="0"/>
          <w:sz w:val="26"/>
        </w:rPr>
        <w:t xml:space="preserve">Financial Performance Measures </w:t>
      </w:r>
    </w:p>
    <w:p>
      <w:pPr>
        <w:pStyle w:val="TextBody"/>
        <w:spacing w:before="120" w:after="0"/>
        <w:jc w:val="left"/>
        <w:rPr>
          <w:rFonts w:ascii="ARIAL" w:hAnsi="ARIAL"/>
          <w:sz w:val="20"/>
        </w:rPr>
      </w:pPr>
      <w:r>
        <w:rPr>
          <w:rFonts w:ascii="ARIAL" w:hAnsi="ARIAL"/>
          <w:sz w:val="20"/>
        </w:rPr>
        <w:t xml:space="preserve">The following table lists on an unranked basis the three financial performance measures that, in the Company’s assessment represent the most important performance measures used to link “Compensation Actually Paid” for our NEOs to Company performance for 2022. </w:t>
      </w:r>
    </w:p>
    <w:p>
      <w:pPr>
        <w:pStyle w:val="TextBody"/>
        <w:spacing w:before="0" w:after="0"/>
        <w:jc w:val="left"/>
        <w:rPr/>
      </w:pPr>
      <w:r>
        <w:rPr/>
        <w:t> </w:t>
      </w:r>
    </w:p>
    <w:tbl>
      <w:tblPr>
        <w:tblW w:w="1865" w:type="dxa"/>
        <w:jc w:val="left"/>
        <w:tblInd w:w="0" w:type="dxa"/>
        <w:tblCellMar>
          <w:top w:w="0" w:type="dxa"/>
          <w:left w:w="0" w:type="dxa"/>
          <w:bottom w:w="0" w:type="dxa"/>
          <w:right w:w="0" w:type="dxa"/>
        </w:tblCellMar>
      </w:tblPr>
      <w:tblGrid>
        <w:gridCol w:w="1865"/>
      </w:tblGrid>
      <w:tr>
        <w:trPr/>
        <w:tc>
          <w:tcPr>
            <w:tcW w:w="1865" w:type="dxa"/>
            <w:tcBorders/>
            <w:shd w:fill="auto" w:val="clear"/>
            <w:vAlign w:val="center"/>
          </w:tcPr>
          <w:p>
            <w:pPr>
              <w:pStyle w:val="TableContents"/>
              <w:spacing w:before="0" w:after="283"/>
              <w:rPr>
                <w:sz w:val="4"/>
                <w:szCs w:val="4"/>
              </w:rPr>
            </w:pPr>
            <w:r>
              <w:rPr>
                <w:sz w:val="4"/>
                <w:szCs w:val="4"/>
              </w:rPr>
            </w:r>
          </w:p>
        </w:tc>
      </w:tr>
      <w:tr>
        <w:trPr/>
        <w:tc>
          <w:tcPr>
            <w:tcW w:w="1865"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r>
      <w:tr>
        <w:trPr/>
        <w:tc>
          <w:tcPr>
            <w:tcW w:w="1865" w:type="dxa"/>
            <w:tcBorders>
              <w:left w:val="single" w:sz="6" w:space="0" w:color="000000"/>
              <w:bottom w:val="single" w:sz="6" w:space="0" w:color="000000"/>
              <w:right w:val="single" w:sz="6" w:space="0" w:color="000000"/>
            </w:tcBorders>
            <w:shd w:fill="auto" w:val="clear"/>
            <w:tcMar>
              <w:left w:w="160" w:type="dxa"/>
              <w:bottom w:w="80" w:type="dxa"/>
              <w:right w:w="40" w:type="dxa"/>
            </w:tcMar>
            <w:vAlign w:val="center"/>
          </w:tcPr>
          <w:p>
            <w:pPr>
              <w:pStyle w:val="TableContents"/>
              <w:spacing w:before="0" w:after="283"/>
              <w:rPr/>
            </w:pPr>
            <w:r>
              <w:rPr/>
              <w:t>Adjusted EBITDA</w:t>
            </w:r>
          </w:p>
        </w:tc>
      </w:tr>
      <w:tr>
        <w:trPr/>
        <w:tc>
          <w:tcPr>
            <w:tcW w:w="1865" w:type="dxa"/>
            <w:tcBorders>
              <w:left w:val="single" w:sz="6" w:space="0" w:color="000000"/>
              <w:right w:val="single" w:sz="6" w:space="0" w:color="000000"/>
            </w:tcBorders>
            <w:shd w:fill="auto" w:val="clear"/>
            <w:tcMar>
              <w:left w:w="160" w:type="dxa"/>
              <w:right w:w="28" w:type="dxa"/>
            </w:tcMar>
            <w:vAlign w:val="center"/>
          </w:tcPr>
          <w:p>
            <w:pPr>
              <w:pStyle w:val="TableContents"/>
              <w:spacing w:before="0" w:after="283"/>
              <w:rPr/>
            </w:pPr>
            <w:r>
              <w:rPr/>
              <w:t> </w:t>
            </w:r>
          </w:p>
        </w:tc>
      </w:tr>
      <w:tr>
        <w:trPr/>
        <w:tc>
          <w:tcPr>
            <w:tcW w:w="1865" w:type="dxa"/>
            <w:tcBorders>
              <w:left w:val="single" w:sz="6" w:space="0" w:color="000000"/>
              <w:bottom w:val="single" w:sz="6" w:space="0" w:color="000000"/>
              <w:right w:val="single" w:sz="6" w:space="0" w:color="000000"/>
            </w:tcBorders>
            <w:shd w:fill="auto" w:val="clear"/>
            <w:tcMar>
              <w:left w:w="160" w:type="dxa"/>
              <w:bottom w:w="80" w:type="dxa"/>
              <w:right w:w="40" w:type="dxa"/>
            </w:tcMar>
            <w:vAlign w:val="center"/>
          </w:tcPr>
          <w:p>
            <w:pPr>
              <w:pStyle w:val="TableContents"/>
              <w:spacing w:before="0" w:after="283"/>
              <w:rPr/>
            </w:pPr>
            <w:r>
              <w:rPr/>
              <w:t>rTSR</w:t>
            </w:r>
          </w:p>
        </w:tc>
      </w:tr>
      <w:tr>
        <w:trPr/>
        <w:tc>
          <w:tcPr>
            <w:tcW w:w="1865" w:type="dxa"/>
            <w:tcBorders>
              <w:left w:val="single" w:sz="6" w:space="0" w:color="000000"/>
              <w:right w:val="single" w:sz="6" w:space="0" w:color="000000"/>
            </w:tcBorders>
            <w:shd w:fill="auto" w:val="clear"/>
            <w:tcMar>
              <w:left w:w="160" w:type="dxa"/>
              <w:right w:w="28" w:type="dxa"/>
            </w:tcMar>
            <w:vAlign w:val="center"/>
          </w:tcPr>
          <w:p>
            <w:pPr>
              <w:pStyle w:val="TableContents"/>
              <w:spacing w:before="0" w:after="283"/>
              <w:rPr/>
            </w:pPr>
            <w:r>
              <w:rPr/>
              <w:t> </w:t>
            </w:r>
          </w:p>
        </w:tc>
      </w:tr>
      <w:tr>
        <w:trPr/>
        <w:tc>
          <w:tcPr>
            <w:tcW w:w="1865" w:type="dxa"/>
            <w:tcBorders>
              <w:left w:val="single" w:sz="6" w:space="0" w:color="000000"/>
              <w:bottom w:val="single" w:sz="6" w:space="0" w:color="000000"/>
              <w:right w:val="single" w:sz="6" w:space="0" w:color="000000"/>
            </w:tcBorders>
            <w:shd w:fill="auto" w:val="clear"/>
            <w:tcMar>
              <w:left w:w="160" w:type="dxa"/>
              <w:bottom w:w="80" w:type="dxa"/>
              <w:right w:w="40" w:type="dxa"/>
            </w:tcMar>
            <w:vAlign w:val="center"/>
          </w:tcPr>
          <w:p>
            <w:pPr>
              <w:pStyle w:val="TableContents"/>
              <w:spacing w:before="0" w:after="283"/>
              <w:rPr/>
            </w:pPr>
            <w:r>
              <w:rPr/>
              <w:t>Total Revenues</w:t>
            </w:r>
          </w:p>
        </w:tc>
      </w:tr>
    </w:tbl>
    <w:p>
      <w:pPr>
        <w:pStyle w:val="TextBody"/>
        <w:spacing w:before="0" w:after="0"/>
        <w:jc w:val="left"/>
        <w:rPr/>
      </w:pPr>
      <w:r>
        <w:rPr/>
        <w:t> </w:t>
      </w:r>
    </w:p>
    <w:tbl>
      <w:tblPr>
        <w:tblW w:w="2882" w:type="dxa"/>
        <w:jc w:val="left"/>
        <w:tblInd w:w="0" w:type="dxa"/>
        <w:tblCellMar>
          <w:top w:w="0" w:type="dxa"/>
          <w:left w:w="0" w:type="dxa"/>
          <w:bottom w:w="0" w:type="dxa"/>
          <w:right w:w="0" w:type="dxa"/>
        </w:tblCellMar>
      </w:tblPr>
      <w:tblGrid>
        <w:gridCol w:w="75"/>
        <w:gridCol w:w="60"/>
        <w:gridCol w:w="132"/>
        <w:gridCol w:w="60"/>
        <w:gridCol w:w="255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3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22" descr=""/>
                          <pic:cNvPicPr>
                            <a:picLocks noChangeAspect="1" noChangeArrowheads="1"/>
                          </pic:cNvPicPr>
                        </pic:nvPicPr>
                        <pic:blipFill>
                          <a:blip r:embed="rId22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0"/>
              <w:jc w:val="right"/>
              <w:rPr>
                <w:color w:val="007CBA"/>
                <w:spacing w:val="0"/>
              </w:rPr>
            </w:pPr>
            <w:r>
              <w:rPr>
                <w:color w:val="007CBA"/>
                <w:spacing w:val="0"/>
              </w:rPr>
              <w:t>MARTIN MARIETTA    </w:t>
            </w:r>
          </w:p>
          <w:p>
            <w:pPr>
              <w:pStyle w:val="TableContents"/>
              <w:spacing w:before="0" w:after="0"/>
              <w:jc w:val="right"/>
              <w:rPr>
                <w:b/>
                <w:spacing w:val="0"/>
              </w:rPr>
            </w:pPr>
            <w:r>
              <w:rPr>
                <w:b/>
                <w:spacing w:val="0"/>
              </w:rPr>
              <w:t>8</w:t>
            </w:r>
          </w:p>
          <w:p>
            <w:pPr>
              <w:pStyle w:val="TableContents"/>
              <w:spacing w:before="0" w:after="0"/>
              <w:jc w:val="right"/>
              <w:rPr>
                <w:b/>
                <w:spacing w:val="0"/>
              </w:rPr>
            </w:pPr>
            <w:r>
              <w:rPr>
                <w:b/>
                <w:spacing w:val="0"/>
              </w:rPr>
              <w:t>5</w:t>
            </w:r>
          </w:p>
        </w:tc>
      </w:tr>
    </w:tbl>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ind w:left="0" w:right="0" w:hanging="0"/>
        <w:jc w:val="left"/>
        <w:rPr>
          <w:rFonts w:ascii="ARIAL" w:hAnsi="ARIAL"/>
          <w:color w:val="007CBA"/>
          <w:spacing w:val="0"/>
          <w:sz w:val="16"/>
        </w:rPr>
      </w:pPr>
      <w:r>
        <w:rPr>
          <w:rFonts w:ascii="ARIAL" w:hAnsi="ARIAL"/>
          <w:color w:val="007CBA"/>
          <w:spacing w:val="0"/>
          <w:sz w:val="16"/>
        </w:rPr>
        <w:t>PAY VERSUS PERFORMANCE  </w:t>
      </w:r>
    </w:p>
    <w:p>
      <w:pPr>
        <w:pStyle w:val="TextBody"/>
        <w:spacing w:before="0" w:after="0"/>
        <w:jc w:val="left"/>
        <w:rPr>
          <w:color w:val="007CBA"/>
          <w:spacing w:val="0"/>
        </w:rPr>
      </w:pPr>
      <w:r>
        <w:rPr>
          <w:color w:val="007CBA"/>
          <w:spacing w:val="0"/>
        </w:rPr>
        <w:t>◆</w:t>
      </w:r>
    </w:p>
    <w:p>
      <w:pPr>
        <w:pStyle w:val="TextBody"/>
        <w:spacing w:before="0" w:after="0"/>
        <w:jc w:val="left"/>
        <w:rPr/>
      </w:pPr>
      <w:r>
        <w:rPr/>
        <w:t> </w:t>
      </w:r>
    </w:p>
    <w:p>
      <w:pPr>
        <w:pStyle w:val="TextBody"/>
        <w:spacing w:before="0" w:after="0"/>
        <w:jc w:val="left"/>
        <w:rPr>
          <w:rFonts w:ascii="ARIAL" w:hAnsi="ARIAL"/>
          <w:b/>
          <w:color w:val="71BE9A"/>
          <w:spacing w:val="0"/>
          <w:sz w:val="26"/>
        </w:rPr>
      </w:pPr>
      <w:r>
        <w:rPr>
          <w:rFonts w:ascii="ARIAL" w:hAnsi="ARIAL"/>
          <w:b/>
          <w:color w:val="71BE9A"/>
          <w:spacing w:val="0"/>
          <w:sz w:val="26"/>
        </w:rPr>
        <w:t xml:space="preserve">Relationship Between “Compensation Actually Paid” and Performance </w:t>
      </w:r>
    </w:p>
    <w:p>
      <w:pPr>
        <w:pStyle w:val="TextBody"/>
        <w:spacing w:before="120" w:after="0"/>
        <w:jc w:val="left"/>
        <w:rPr>
          <w:rFonts w:ascii="ARIAL" w:hAnsi="ARIAL"/>
          <w:sz w:val="20"/>
        </w:rPr>
      </w:pPr>
      <w:r>
        <w:rPr>
          <w:rFonts w:ascii="ARIAL" w:hAnsi="ARIAL"/>
          <w:sz w:val="20"/>
        </w:rPr>
        <w:t>The graphs below show the relationship of “Compensation Actually Paid” to our PEO and other NEOs to (i) Adjusted EBITDA, (ii) the Company’s net income and (iii) TSR of the S&amp;P 500 Materials Index, and the relationship of the Company’s TSR to TSR of the S&amp;P 500 Materials Index</w:t>
      </w:r>
    </w:p>
    <w:p>
      <w:pPr>
        <w:pStyle w:val="TextBody"/>
        <w:spacing w:before="120" w:after="0"/>
        <w:jc w:val="left"/>
        <w:rPr>
          <w:rFonts w:ascii="ARIAL" w:hAnsi="ARIAL"/>
          <w:spacing w:val="0"/>
          <w:sz w:val="20"/>
        </w:rPr>
      </w:pPr>
      <w:r>
        <w:rPr>
          <w:rFonts w:ascii="ARIAL" w:hAnsi="ARIAL"/>
          <w:spacing w:val="0"/>
          <w:sz w:val="20"/>
        </w:rPr>
        <w:t>.</w:t>
      </w:r>
    </w:p>
    <w:p>
      <w:pPr>
        <w:pStyle w:val="TextBody"/>
        <w:widowControl/>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left"/>
        <w:rPr>
          <w:caps w:val="false"/>
          <w:smallCaps w:val="false"/>
          <w:color w:val="FF0000"/>
          <w:spacing w:val="0"/>
        </w:rPr>
      </w:pPr>
      <w:r>
        <w:rPr>
          <w:caps w:val="false"/>
          <w:smallCaps w:val="false"/>
          <w:color w:val="FF0000"/>
          <w:spacing w:val="0"/>
        </w:rPr>
        <w:drawing>
          <wp:inline distT="0" distB="0" distL="0" distR="0">
            <wp:extent cx="6677025" cy="3276600"/>
            <wp:effectExtent l="0" t="0" r="0" b="0"/>
            <wp:docPr id="23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23" descr=""/>
                    <pic:cNvPicPr>
                      <a:picLocks noChangeAspect="1" noChangeArrowheads="1"/>
                    </pic:cNvPicPr>
                  </pic:nvPicPr>
                  <pic:blipFill>
                    <a:blip r:embed="rId224"/>
                    <a:stretch>
                      <a:fillRect/>
                    </a:stretch>
                  </pic:blipFill>
                  <pic:spPr bwMode="auto">
                    <a:xfrm>
                      <a:off x="0" y="0"/>
                      <a:ext cx="6677025" cy="3276600"/>
                    </a:xfrm>
                    <a:prstGeom prst="rect">
                      <a:avLst/>
                    </a:prstGeom>
                  </pic:spPr>
                </pic:pic>
              </a:graphicData>
            </a:graphic>
          </wp:inline>
        </w:drawing>
      </w:r>
    </w:p>
    <w:p>
      <w:pPr>
        <w:pStyle w:val="TextBody"/>
        <w:widowControl/>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left"/>
        <w:rPr>
          <w:caps w:val="false"/>
          <w:smallCaps w:val="false"/>
          <w:color w:val="FF0000"/>
          <w:spacing w:val="0"/>
        </w:rPr>
      </w:pPr>
      <w:r>
        <w:rPr>
          <w:caps w:val="false"/>
          <w:smallCaps w:val="false"/>
          <w:color w:val="FF0000"/>
          <w:spacing w:val="0"/>
        </w:rPr>
        <w:drawing>
          <wp:inline distT="0" distB="0" distL="0" distR="0">
            <wp:extent cx="6667500" cy="3124200"/>
            <wp:effectExtent l="0" t="0" r="0" b="0"/>
            <wp:docPr id="240"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24" descr=""/>
                    <pic:cNvPicPr>
                      <a:picLocks noChangeAspect="1" noChangeArrowheads="1"/>
                    </pic:cNvPicPr>
                  </pic:nvPicPr>
                  <pic:blipFill>
                    <a:blip r:embed="rId225"/>
                    <a:stretch>
                      <a:fillRect/>
                    </a:stretch>
                  </pic:blipFill>
                  <pic:spPr bwMode="auto">
                    <a:xfrm>
                      <a:off x="0" y="0"/>
                      <a:ext cx="6667500" cy="3124200"/>
                    </a:xfrm>
                    <a:prstGeom prst="rect">
                      <a:avLst/>
                    </a:prstGeom>
                  </pic:spPr>
                </pic:pic>
              </a:graphicData>
            </a:graphic>
          </wp:inline>
        </w:drawing>
      </w:r>
    </w:p>
    <w:p>
      <w:pPr>
        <w:pStyle w:val="TextBody"/>
        <w:widowControl/>
        <w:spacing w:before="0" w:after="0"/>
        <w:ind w:left="0" w:right="0" w:hanging="0"/>
        <w:jc w:val="left"/>
        <w:rPr>
          <w:caps w:val="false"/>
          <w:smallCaps w:val="false"/>
          <w:color w:val="000000"/>
          <w:spacing w:val="0"/>
        </w:rPr>
      </w:pPr>
      <w:r>
        <w:rPr>
          <w:caps w:val="false"/>
          <w:smallCaps w:val="false"/>
          <w:color w:val="000000"/>
          <w:spacing w:val="0"/>
        </w:rPr>
        <w:t> </w:t>
      </w:r>
    </w:p>
    <w:tbl>
      <w:tblPr>
        <w:tblW w:w="3497" w:type="dxa"/>
        <w:jc w:val="left"/>
        <w:tblInd w:w="0" w:type="dxa"/>
        <w:tblCellMar>
          <w:top w:w="0" w:type="dxa"/>
          <w:left w:w="0" w:type="dxa"/>
          <w:bottom w:w="0" w:type="dxa"/>
          <w:right w:w="0" w:type="dxa"/>
        </w:tblCellMar>
      </w:tblPr>
      <w:tblGrid>
        <w:gridCol w:w="3170"/>
        <w:gridCol w:w="60"/>
        <w:gridCol w:w="132"/>
        <w:gridCol w:w="60"/>
        <w:gridCol w:w="75"/>
      </w:tblGrid>
      <w:tr>
        <w:trPr/>
        <w:tc>
          <w:tcPr>
            <w:tcW w:w="3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170" w:type="dxa"/>
            <w:tcBorders/>
            <w:shd w:fill="auto" w:val="clear"/>
            <w:vAlign w:val="center"/>
          </w:tcPr>
          <w:p>
            <w:pPr>
              <w:pStyle w:val="TableContents"/>
              <w:spacing w:before="0" w:after="0"/>
              <w:rPr>
                <w:b/>
                <w:spacing w:val="0"/>
              </w:rPr>
            </w:pPr>
            <w:r>
              <w:rPr>
                <w:b/>
                <w:spacing w:val="0"/>
              </w:rPr>
              <w:t>8</w:t>
            </w:r>
          </w:p>
          <w:p>
            <w:pPr>
              <w:pStyle w:val="TableContents"/>
              <w:spacing w:before="0" w:after="0"/>
              <w:rPr>
                <w:b/>
                <w:spacing w:val="0"/>
              </w:rPr>
            </w:pPr>
            <w:r>
              <w:rPr>
                <w:b/>
                <w:spacing w:val="0"/>
              </w:rPr>
              <w:t>6</w:t>
            </w:r>
          </w:p>
          <w:p>
            <w:pPr>
              <w:pStyle w:val="TableContents"/>
              <w:spacing w:before="0" w:after="0"/>
              <w:rPr>
                <w:color w:val="007CBA"/>
                <w:spacing w:val="0"/>
              </w:rPr>
            </w:pPr>
            <w:r>
              <w:rPr>
                <w:color w:val="007CBA"/>
                <w:spacing w:val="0"/>
              </w:rPr>
              <w:t xml:space="preserve">    </w:t>
            </w:r>
            <w:r>
              <w:rPr>
                <w:color w:val="007CBA"/>
                <w:spacing w:val="0"/>
              </w:rPr>
              <w:t>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41"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25" descr=""/>
                          <pic:cNvPicPr>
                            <a:picLocks noChangeAspect="1" noChangeArrowheads="1"/>
                          </pic:cNvPicPr>
                        </pic:nvPicPr>
                        <pic:blipFill>
                          <a:blip r:embed="rId22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ind w:left="0" w:right="0" w:hanging="0"/>
        <w:jc w:val="right"/>
        <w:rPr>
          <w:color w:val="007CBA"/>
          <w:spacing w:val="0"/>
        </w:rPr>
      </w:pPr>
      <w:r>
        <w:rPr>
          <w:color w:val="007CBA"/>
          <w:spacing w:val="0"/>
        </w:rPr>
        <w:t>◆</w:t>
      </w:r>
    </w:p>
    <w:p>
      <w:pPr>
        <w:pStyle w:val="TextBody"/>
        <w:spacing w:before="0" w:after="0"/>
        <w:jc w:val="right"/>
        <w:rPr>
          <w:color w:val="007CBA"/>
          <w:spacing w:val="0"/>
        </w:rPr>
      </w:pPr>
      <w:r>
        <w:rPr>
          <w:color w:val="007CBA"/>
          <w:spacing w:val="0"/>
        </w:rPr>
        <w:t>  </w:t>
      </w:r>
      <w:r>
        <w:rPr>
          <w:rFonts w:ascii="ARIAL" w:hAnsi="ARIAL"/>
          <w:color w:val="007CBA"/>
          <w:spacing w:val="0"/>
          <w:sz w:val="16"/>
        </w:rPr>
        <w:t>PAY VERSUS PERFORMANC</w:t>
      </w:r>
    </w:p>
    <w:p>
      <w:pPr>
        <w:pStyle w:val="TextBody"/>
        <w:spacing w:before="0" w:after="0"/>
        <w:jc w:val="right"/>
        <w:rPr>
          <w:rFonts w:ascii="ARIAL" w:hAnsi="ARIAL"/>
          <w:color w:val="007CBA"/>
          <w:spacing w:val="0"/>
          <w:sz w:val="16"/>
        </w:rPr>
      </w:pPr>
      <w:r>
        <w:rPr>
          <w:rFonts w:ascii="ARIAL" w:hAnsi="ARIAL"/>
          <w:color w:val="007CBA"/>
          <w:spacing w:val="0"/>
          <w:sz w:val="16"/>
        </w:rPr>
        <w:t>E</w:t>
      </w:r>
    </w:p>
    <w:p>
      <w:pPr>
        <w:pStyle w:val="TextBody"/>
        <w:widowControl/>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left"/>
        <w:rPr>
          <w:caps w:val="false"/>
          <w:smallCaps w:val="false"/>
          <w:color w:val="FF0000"/>
          <w:spacing w:val="0"/>
        </w:rPr>
      </w:pPr>
      <w:r>
        <w:rPr>
          <w:caps w:val="false"/>
          <w:smallCaps w:val="false"/>
          <w:color w:val="FF0000"/>
          <w:spacing w:val="0"/>
        </w:rPr>
        <w:drawing>
          <wp:inline distT="0" distB="0" distL="0" distR="0">
            <wp:extent cx="6657975" cy="3048000"/>
            <wp:effectExtent l="0" t="0" r="0" b="0"/>
            <wp:docPr id="242"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26" descr=""/>
                    <pic:cNvPicPr>
                      <a:picLocks noChangeAspect="1" noChangeArrowheads="1"/>
                    </pic:cNvPicPr>
                  </pic:nvPicPr>
                  <pic:blipFill>
                    <a:blip r:embed="rId227"/>
                    <a:stretch>
                      <a:fillRect/>
                    </a:stretch>
                  </pic:blipFill>
                  <pic:spPr bwMode="auto">
                    <a:xfrm>
                      <a:off x="0" y="0"/>
                      <a:ext cx="6657975" cy="3048000"/>
                    </a:xfrm>
                    <a:prstGeom prst="rect">
                      <a:avLst/>
                    </a:prstGeom>
                  </pic:spPr>
                </pic:pic>
              </a:graphicData>
            </a:graphic>
          </wp:inline>
        </w:drawing>
      </w:r>
    </w:p>
    <w:p>
      <w:pPr>
        <w:pStyle w:val="TextBody"/>
        <w:widowControl/>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spacing w:before="0" w:after="0"/>
        <w:jc w:val="left"/>
        <w:rPr/>
      </w:pPr>
      <w:r>
        <w:rPr/>
        <w:t> </w:t>
      </w:r>
    </w:p>
    <w:tbl>
      <w:tblPr>
        <w:tblW w:w="2845" w:type="dxa"/>
        <w:jc w:val="left"/>
        <w:tblInd w:w="0" w:type="dxa"/>
        <w:tblCellMar>
          <w:top w:w="0" w:type="dxa"/>
          <w:left w:w="0" w:type="dxa"/>
          <w:bottom w:w="0" w:type="dxa"/>
          <w:right w:w="0" w:type="dxa"/>
        </w:tblCellMar>
      </w:tblPr>
      <w:tblGrid>
        <w:gridCol w:w="38"/>
        <w:gridCol w:w="60"/>
        <w:gridCol w:w="132"/>
        <w:gridCol w:w="60"/>
        <w:gridCol w:w="25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4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7" descr=""/>
                          <pic:cNvPicPr>
                            <a:picLocks noChangeAspect="1" noChangeArrowheads="1"/>
                          </pic:cNvPicPr>
                        </pic:nvPicPr>
                        <pic:blipFill>
                          <a:blip r:embed="rId22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0"/>
              <w:jc w:val="right"/>
              <w:rPr>
                <w:color w:val="007CBA"/>
                <w:spacing w:val="0"/>
              </w:rPr>
            </w:pPr>
            <w:r>
              <w:rPr>
                <w:color w:val="007CBA"/>
                <w:spacing w:val="0"/>
              </w:rPr>
              <w:t>MARTIN MARIETTA    </w:t>
            </w:r>
          </w:p>
          <w:p>
            <w:pPr>
              <w:pStyle w:val="TableContents"/>
              <w:spacing w:before="0" w:after="0"/>
              <w:jc w:val="right"/>
              <w:rPr>
                <w:b/>
                <w:spacing w:val="0"/>
              </w:rPr>
            </w:pPr>
            <w:r>
              <w:rPr>
                <w:b/>
                <w:spacing w:val="0"/>
              </w:rPr>
              <w:t>8</w:t>
            </w:r>
          </w:p>
          <w:p>
            <w:pPr>
              <w:pStyle w:val="TableContents"/>
              <w:spacing w:before="0" w:after="0"/>
              <w:jc w:val="right"/>
              <w:rPr>
                <w:b/>
                <w:spacing w:val="0"/>
              </w:rPr>
            </w:pPr>
            <w:r>
              <w:rPr>
                <w:b/>
                <w:spacing w:val="0"/>
              </w:rPr>
              <w:t>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15"/>
        <w:gridCol w:w="60"/>
        <w:gridCol w:w="7630"/>
      </w:tblGrid>
      <w:tr>
        <w:trPr/>
        <w:tc>
          <w:tcPr>
            <w:tcW w:w="2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30" w:type="dxa"/>
            <w:tcBorders/>
            <w:shd w:fill="auto" w:val="clear"/>
            <w:vAlign w:val="center"/>
          </w:tcPr>
          <w:p>
            <w:pPr>
              <w:pStyle w:val="TableContents"/>
              <w:spacing w:before="0" w:after="283"/>
              <w:rPr>
                <w:sz w:val="4"/>
                <w:szCs w:val="4"/>
              </w:rPr>
            </w:pPr>
            <w:r>
              <w:rPr>
                <w:sz w:val="4"/>
                <w:szCs w:val="4"/>
              </w:rPr>
            </w:r>
          </w:p>
        </w:tc>
      </w:tr>
      <w:tr>
        <w:trPr/>
        <w:tc>
          <w:tcPr>
            <w:tcW w:w="2515" w:type="dxa"/>
            <w:tcBorders/>
            <w:shd w:fill="007CBA" w:val="clear"/>
            <w:vAlign w:val="center"/>
          </w:tcPr>
          <w:p>
            <w:pPr>
              <w:pStyle w:val="TableContents"/>
              <w:spacing w:lineRule="atLeast" w:line="600" w:before="0" w:after="0"/>
              <w:rPr>
                <w:color w:val="FFFFFF"/>
              </w:rPr>
            </w:pPr>
            <w:bookmarkStart w:id="76" w:name="toc390557_68"/>
            <w:bookmarkEnd w:id="76"/>
            <w:r>
              <w:rPr>
                <w:color w:val="FFFFFF"/>
              </w:rPr>
              <w:t> </w:t>
            </w:r>
            <w:r>
              <w:rPr>
                <w:rFonts w:ascii="ARIAL" w:hAnsi="ARIAL"/>
                <w:b/>
                <w:color w:val="FFFFFF"/>
                <w:sz w:val="42"/>
              </w:rPr>
              <w:t>Proposal 3: </w:t>
            </w:r>
          </w:p>
        </w:tc>
        <w:tc>
          <w:tcPr>
            <w:tcW w:w="60" w:type="dxa"/>
            <w:tcBorders/>
            <w:shd w:fill="auto" w:val="clear"/>
            <w:vAlign w:val="center"/>
          </w:tcPr>
          <w:p>
            <w:pPr>
              <w:pStyle w:val="TableContents"/>
              <w:spacing w:before="0" w:after="283"/>
              <w:rPr/>
            </w:pPr>
            <w:r>
              <w:rPr/>
              <w:t> </w:t>
            </w:r>
          </w:p>
        </w:tc>
        <w:tc>
          <w:tcPr>
            <w:tcW w:w="7630" w:type="dxa"/>
            <w:tcBorders/>
            <w:shd w:fill="auto" w:val="clear"/>
            <w:vAlign w:val="center"/>
          </w:tcPr>
          <w:p>
            <w:pPr>
              <w:pStyle w:val="TableContents"/>
              <w:spacing w:lineRule="atLeast" w:line="600" w:before="0" w:after="0"/>
              <w:rPr>
                <w:rFonts w:ascii="ARIAL" w:hAnsi="ARIAL"/>
                <w:b/>
                <w:color w:val="007CBA"/>
                <w:sz w:val="42"/>
              </w:rPr>
            </w:pPr>
            <w:r>
              <w:rPr>
                <w:rFonts w:ascii="ARIAL" w:hAnsi="ARIAL"/>
                <w:b/>
                <w:color w:val="007CBA"/>
                <w:sz w:val="42"/>
              </w:rPr>
              <w:t>Advisory Vote on the Compensation of</w:t>
            </w:r>
          </w:p>
        </w:tc>
      </w:tr>
      <w:tr>
        <w:trPr/>
        <w:tc>
          <w:tcPr>
            <w:tcW w:w="10205" w:type="dxa"/>
            <w:gridSpan w:val="3"/>
            <w:tcBorders/>
            <w:shd w:fill="FFFFFF" w:val="clear"/>
            <w:vAlign w:val="center"/>
          </w:tcPr>
          <w:p>
            <w:pPr>
              <w:pStyle w:val="TableContents"/>
              <w:spacing w:lineRule="atLeast" w:line="600" w:before="0" w:after="0"/>
              <w:rPr>
                <w:rFonts w:ascii="ARIAL" w:hAnsi="ARIAL"/>
                <w:b/>
                <w:color w:val="007CBA"/>
                <w:sz w:val="42"/>
              </w:rPr>
            </w:pPr>
            <w:r>
              <w:rPr>
                <w:rFonts w:ascii="ARIAL" w:hAnsi="ARIAL"/>
                <w:b/>
                <w:color w:val="007CBA"/>
                <w:sz w:val="42"/>
              </w:rPr>
              <w:t>Our Named Executive Officers</w:t>
            </w:r>
          </w:p>
        </w:tc>
      </w:tr>
    </w:tbl>
    <w:p>
      <w:pPr>
        <w:pStyle w:val="TextBody"/>
        <w:spacing w:before="0" w:after="0"/>
        <w:jc w:val="left"/>
        <w:rPr>
          <w:rFonts w:ascii="ARIAL" w:hAnsi="ARIAL"/>
          <w:sz w:val="20"/>
        </w:rPr>
      </w:pPr>
      <w:r>
        <w:rPr>
          <w:rFonts w:ascii="ARIAL" w:hAnsi="ARIAL"/>
          <w:sz w:val="20"/>
        </w:rPr>
        <w:t xml:space="preserve">Public companies are required to provide their shareholders with a periodic opportunity to endorse or not endorse their executive officer pay program and policies. The Board of Directors has elected to do so annually and intends to present the following non-binding resolution for approval by shareholders at the Annual Meeting: </w:t>
      </w:r>
    </w:p>
    <w:p>
      <w:pPr>
        <w:pStyle w:val="TextBody"/>
        <w:spacing w:before="120" w:after="0"/>
        <w:jc w:val="left"/>
        <w:rPr/>
      </w:pPr>
      <w:r>
        <w:rPr/>
        <w:t>“</w:t>
      </w:r>
      <w:r>
        <w:rPr>
          <w:rFonts w:ascii="ARIAL" w:hAnsi="ARIAL"/>
          <w:sz w:val="20"/>
        </w:rPr>
        <w:t xml:space="preserve">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 </w:t>
      </w:r>
    </w:p>
    <w:p>
      <w:pPr>
        <w:pStyle w:val="TextBody"/>
        <w:spacing w:before="240" w:after="0"/>
        <w:jc w:val="left"/>
        <w:rPr>
          <w:rFonts w:ascii="ARIAL" w:hAnsi="ARIAL"/>
          <w:sz w:val="20"/>
        </w:rPr>
      </w:pPr>
      <w:r>
        <w:rPr>
          <w:rFonts w:ascii="ARIAL" w:hAnsi="ARIAL"/>
          <w:sz w:val="20"/>
        </w:rPr>
        <w:t xml:space="preserve">Shareholders are urged to read the Compensation Discussion and Analysis and consider the various factors regarding compensation that 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2022 was appropriate and aligned with 2022 performance and positions us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 The next such vote will occur at the 2024 Annual Meeting. </w:t>
      </w:r>
    </w:p>
    <w:p>
      <w:pPr>
        <w:pStyle w:val="TextBody"/>
        <w:spacing w:before="0" w:after="0"/>
        <w:jc w:val="left"/>
        <w:rPr/>
      </w:pPr>
      <w:r>
        <w:rPr/>
        <w:t> </w:t>
      </w:r>
    </w:p>
    <w:tbl>
      <w:tblPr>
        <w:tblW w:w="7918" w:type="dxa"/>
        <w:jc w:val="left"/>
        <w:tblInd w:w="0" w:type="dxa"/>
        <w:tblCellMar>
          <w:top w:w="0" w:type="dxa"/>
          <w:left w:w="0" w:type="dxa"/>
          <w:bottom w:w="0" w:type="dxa"/>
          <w:right w:w="0" w:type="dxa"/>
        </w:tblCellMar>
      </w:tblPr>
      <w:tblGrid>
        <w:gridCol w:w="375"/>
        <w:gridCol w:w="60"/>
        <w:gridCol w:w="7325"/>
        <w:gridCol w:w="120"/>
        <w:gridCol w:w="38"/>
      </w:tblGrid>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vAlign w:val="center"/>
          </w:tcPr>
          <w:p>
            <w:pPr>
              <w:pStyle w:val="TableContents"/>
              <w:spacing w:before="0" w:after="283"/>
              <w:rPr/>
            </w:pPr>
            <w:r>
              <w:rPr/>
              <w:drawing>
                <wp:inline distT="0" distB="0" distL="0" distR="0">
                  <wp:extent cx="38100" cy="36830"/>
                  <wp:effectExtent l="0" t="0" r="0" b="0"/>
                  <wp:docPr id="24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8" descr=""/>
                          <pic:cNvPicPr>
                            <a:picLocks noChangeAspect="1" noChangeArrowheads="1"/>
                          </pic:cNvPicPr>
                        </pic:nvPicPr>
                        <pic:blipFill>
                          <a:blip r:embed="rId229"/>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7325" w:type="dxa"/>
            <w:tcBorders/>
            <w:shd w:fill="auto" w:val="clear"/>
            <w:vAlign w:val="center"/>
          </w:tcPr>
          <w:p>
            <w:pPr>
              <w:pStyle w:val="TableContents"/>
              <w:spacing w:before="0" w:after="0"/>
              <w:rPr>
                <w:rFonts w:ascii="ARIAL" w:hAnsi="ARIAL"/>
                <w:color w:val="1989C0"/>
                <w:sz w:val="24"/>
              </w:rPr>
            </w:pPr>
            <w:r>
              <w:rPr>
                <w:rFonts w:ascii="ARIAL" w:hAnsi="ARIAL"/>
                <w:color w:val="1989C0"/>
                <w:sz w:val="24"/>
              </w:rPr>
              <w:t>The Board Unanimously Recommends a Vote “</w:t>
            </w:r>
            <w:r>
              <w:rPr>
                <w:rFonts w:ascii="ARIAL" w:hAnsi="ARIAL"/>
                <w:b/>
                <w:color w:val="1989C0"/>
                <w:sz w:val="24"/>
              </w:rPr>
              <w:t>FOR”</w:t>
            </w:r>
            <w:r>
              <w:rPr>
                <w:rFonts w:ascii="ARIAL" w:hAnsi="ARIAL"/>
                <w:color w:val="1989C0"/>
                <w:sz w:val="24"/>
              </w:rPr>
              <w:t xml:space="preserve"> this Proposal 3</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shd w:fill="007CBA" w:val="clear"/>
            <w:vAlign w:val="center"/>
          </w:tcPr>
          <w:p>
            <w:pPr>
              <w:pStyle w:val="TableContents"/>
              <w:spacing w:before="0" w:after="283"/>
              <w:rPr/>
            </w:pPr>
            <w:r>
              <w:rPr/>
              <w:t> </w:t>
            </w:r>
          </w:p>
        </w:tc>
        <w:tc>
          <w:tcPr>
            <w:tcW w:w="7483" w:type="dxa"/>
            <w:gridSpan w:val="3"/>
            <w:tcBorders/>
            <w:shd w:fill="007CBA"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88</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4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9" descr=""/>
                          <pic:cNvPicPr>
                            <a:picLocks noChangeAspect="1" noChangeArrowheads="1"/>
                          </pic:cNvPicPr>
                        </pic:nvPicPr>
                        <pic:blipFill>
                          <a:blip r:embed="rId23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tbl>
      <w:tblPr>
        <w:tblW w:w="9625" w:type="dxa"/>
        <w:jc w:val="left"/>
        <w:tblInd w:w="0" w:type="dxa"/>
        <w:tblCellMar>
          <w:top w:w="0" w:type="dxa"/>
          <w:left w:w="0" w:type="dxa"/>
          <w:bottom w:w="0" w:type="dxa"/>
          <w:right w:w="0" w:type="dxa"/>
        </w:tblCellMar>
      </w:tblPr>
      <w:tblGrid>
        <w:gridCol w:w="2525"/>
        <w:gridCol w:w="60"/>
        <w:gridCol w:w="7040"/>
      </w:tblGrid>
      <w:tr>
        <w:trPr/>
        <w:tc>
          <w:tcPr>
            <w:tcW w:w="25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40" w:type="dxa"/>
            <w:tcBorders/>
            <w:shd w:fill="auto" w:val="clear"/>
            <w:vAlign w:val="center"/>
          </w:tcPr>
          <w:p>
            <w:pPr>
              <w:pStyle w:val="TableContents"/>
              <w:spacing w:before="0" w:after="283"/>
              <w:rPr>
                <w:sz w:val="4"/>
                <w:szCs w:val="4"/>
              </w:rPr>
            </w:pPr>
            <w:r>
              <w:rPr>
                <w:sz w:val="4"/>
                <w:szCs w:val="4"/>
              </w:rPr>
            </w:r>
          </w:p>
        </w:tc>
      </w:tr>
      <w:tr>
        <w:trPr/>
        <w:tc>
          <w:tcPr>
            <w:tcW w:w="2525" w:type="dxa"/>
            <w:tcBorders/>
            <w:shd w:fill="007CBA" w:val="clear"/>
            <w:vAlign w:val="center"/>
          </w:tcPr>
          <w:p>
            <w:pPr>
              <w:pStyle w:val="TableContents"/>
              <w:spacing w:lineRule="atLeast" w:line="600" w:before="0" w:after="0"/>
              <w:rPr>
                <w:color w:val="FFFFFF"/>
              </w:rPr>
            </w:pPr>
            <w:bookmarkStart w:id="77" w:name="toc390557_69"/>
            <w:bookmarkEnd w:id="77"/>
            <w:r>
              <w:rPr>
                <w:color w:val="FFFFFF"/>
              </w:rPr>
              <w:t> </w:t>
            </w:r>
            <w:r>
              <w:rPr>
                <w:rFonts w:ascii="ARIAL" w:hAnsi="ARIAL"/>
                <w:b/>
                <w:color w:val="FFFFFF"/>
                <w:sz w:val="42"/>
              </w:rPr>
              <w:t>Proposal 4: </w:t>
            </w:r>
          </w:p>
        </w:tc>
        <w:tc>
          <w:tcPr>
            <w:tcW w:w="60" w:type="dxa"/>
            <w:tcBorders/>
            <w:shd w:fill="auto" w:val="clear"/>
            <w:vAlign w:val="center"/>
          </w:tcPr>
          <w:p>
            <w:pPr>
              <w:pStyle w:val="TableContents"/>
              <w:spacing w:before="0" w:after="283"/>
              <w:rPr/>
            </w:pPr>
            <w:r>
              <w:rPr/>
              <w:t> </w:t>
            </w:r>
          </w:p>
        </w:tc>
        <w:tc>
          <w:tcPr>
            <w:tcW w:w="7040" w:type="dxa"/>
            <w:tcBorders/>
            <w:shd w:fill="auto" w:val="clear"/>
            <w:vAlign w:val="center"/>
          </w:tcPr>
          <w:p>
            <w:pPr>
              <w:pStyle w:val="TableContents"/>
              <w:spacing w:lineRule="atLeast" w:line="600" w:before="0" w:after="0"/>
              <w:rPr>
                <w:rFonts w:ascii="ARIAL" w:hAnsi="ARIAL"/>
                <w:b/>
                <w:color w:val="007CBA"/>
                <w:sz w:val="42"/>
              </w:rPr>
            </w:pPr>
            <w:r>
              <w:rPr>
                <w:rFonts w:ascii="ARIAL" w:hAnsi="ARIAL"/>
                <w:b/>
                <w:color w:val="007CBA"/>
                <w:sz w:val="42"/>
              </w:rPr>
              <w:t>Advisory Vote on the Frequency of</w:t>
            </w:r>
          </w:p>
        </w:tc>
      </w:tr>
      <w:tr>
        <w:trPr/>
        <w:tc>
          <w:tcPr>
            <w:tcW w:w="9625" w:type="dxa"/>
            <w:gridSpan w:val="3"/>
            <w:tcBorders/>
            <w:shd w:fill="FFFFFF" w:val="clear"/>
            <w:vAlign w:val="center"/>
          </w:tcPr>
          <w:p>
            <w:pPr>
              <w:pStyle w:val="TableContents"/>
              <w:spacing w:lineRule="atLeast" w:line="600" w:before="0" w:after="0"/>
              <w:rPr>
                <w:rFonts w:ascii="ARIAL" w:hAnsi="ARIAL"/>
                <w:b/>
                <w:color w:val="007CBA"/>
                <w:sz w:val="42"/>
              </w:rPr>
            </w:pPr>
            <w:r>
              <w:rPr>
                <w:rFonts w:ascii="ARIAL" w:hAnsi="ARIAL"/>
                <w:b/>
                <w:color w:val="007CBA"/>
                <w:sz w:val="42"/>
              </w:rPr>
              <w:t>Executive Compensation Vote</w:t>
            </w:r>
          </w:p>
        </w:tc>
      </w:tr>
    </w:tbl>
    <w:p>
      <w:pPr>
        <w:pStyle w:val="TextBody"/>
        <w:spacing w:before="0" w:after="0"/>
        <w:jc w:val="left"/>
        <w:rPr>
          <w:rFonts w:ascii="ARIAL" w:hAnsi="ARIAL"/>
          <w:sz w:val="20"/>
        </w:rPr>
      </w:pPr>
      <w:r>
        <w:rPr>
          <w:rFonts w:ascii="ARIAL" w:hAnsi="ARIAL"/>
          <w:sz w:val="20"/>
        </w:rPr>
        <w:t xml:space="preserve">The Dodd-Frank Act and Section 14A of the Exchange Act enable our shareholders, at least once every six years, to indicate their preference regarding how frequently we should solicit a ‘‘Say on Pay’’ advisory vote such as Proposal 3 described on the preceding page. Specifically, shareholders must be given the opportunity to vote on our executive compensation programs either every 1 year, every 2 years or every 3 years. Although this vote is advisory and nonbinding, our Board of Directors will review voting results and give serious consideration to the outcome of such voting. </w:t>
      </w:r>
    </w:p>
    <w:p>
      <w:pPr>
        <w:pStyle w:val="TextBody"/>
        <w:spacing w:before="240" w:after="0"/>
        <w:jc w:val="left"/>
        <w:rPr>
          <w:rFonts w:ascii="ARIAL" w:hAnsi="ARIAL"/>
          <w:sz w:val="20"/>
        </w:rPr>
      </w:pPr>
      <w:r>
        <w:rPr>
          <w:rFonts w:ascii="ARIAL" w:hAnsi="ARIAL"/>
          <w:sz w:val="20"/>
        </w:rPr>
        <w:t xml:space="preserve">Our Board of Directors recognizes the importance of receiving regular input from our shareholders on important issues such as our compensation programs. Our Board also believes that a well-structured compensation program should include plans that drive creation of shareholder value over the long-term, and that it should receive advisory input from our shareholders each year. Accordingly, as indicated below, the Board recommends that you vote in favor of an advisory vote on our compensation programs </w:t>
      </w:r>
      <w:r>
        <w:rPr>
          <w:rFonts w:ascii="ARIAL" w:hAnsi="ARIAL"/>
          <w:b/>
          <w:sz w:val="20"/>
        </w:rPr>
        <w:t>every 1 year</w:t>
      </w:r>
      <w:r>
        <w:rPr>
          <w:rFonts w:ascii="ARIAL" w:hAnsi="ARIAL"/>
          <w:sz w:val="20"/>
        </w:rPr>
        <w:t xml:space="preserve">. </w:t>
      </w:r>
    </w:p>
    <w:p>
      <w:pPr>
        <w:pStyle w:val="TextBody"/>
        <w:spacing w:before="240" w:after="0"/>
        <w:jc w:val="left"/>
        <w:rPr>
          <w:rFonts w:ascii="ARIAL" w:hAnsi="ARIAL"/>
          <w:sz w:val="20"/>
        </w:rPr>
      </w:pPr>
      <w:r>
        <w:rPr>
          <w:rFonts w:ascii="ARIAL" w:hAnsi="ARIAL"/>
          <w:sz w:val="20"/>
        </w:rPr>
        <w:t xml:space="preserve">Shareholders may cast their vote on their preferred voting frequency by choosing the option of every 1 year, every 2 years, every 3 years or abstain from voting. You are not voting to approve or disapprove the Board’s recommendation on this item. The frequency option that receives the highest number of votes cast on the proposal will be considered the frequency preferred by our shareholders. However, as indicated above, the shareholder vote on the frequency of nonbinding shareholder votes to approve executive compensation will not be binding on us or the Board, and will not be construed as overruling any decision by us or the Board. The vote will not be construed to create or imply any change to our fiduciary duties or those of the Board, or to create or imply any additional fiduciary duties for us or the Board. However, the Board values our shareholders’ opinions, and consistent with our record of shareholder engagement, will consider the outcome of the vote in making a determination concerning the frequency of advisory votes on executive compensation. </w:t>
      </w:r>
    </w:p>
    <w:p>
      <w:pPr>
        <w:pStyle w:val="TextBody"/>
        <w:spacing w:before="0" w:after="0"/>
        <w:jc w:val="left"/>
        <w:rPr/>
      </w:pPr>
      <w:r>
        <w:rPr/>
        <w:t> </w:t>
      </w:r>
    </w:p>
    <w:tbl>
      <w:tblPr>
        <w:tblW w:w="9838" w:type="dxa"/>
        <w:jc w:val="left"/>
        <w:tblInd w:w="0" w:type="dxa"/>
        <w:tblCellMar>
          <w:top w:w="0" w:type="dxa"/>
          <w:left w:w="0" w:type="dxa"/>
          <w:bottom w:w="0" w:type="dxa"/>
          <w:right w:w="0" w:type="dxa"/>
        </w:tblCellMar>
      </w:tblPr>
      <w:tblGrid>
        <w:gridCol w:w="375"/>
        <w:gridCol w:w="60"/>
        <w:gridCol w:w="9245"/>
        <w:gridCol w:w="120"/>
        <w:gridCol w:w="38"/>
      </w:tblGrid>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vAlign w:val="center"/>
          </w:tcPr>
          <w:p>
            <w:pPr>
              <w:pStyle w:val="TableContents"/>
              <w:spacing w:before="0" w:after="283"/>
              <w:rPr/>
            </w:pPr>
            <w:r>
              <w:rPr/>
              <w:drawing>
                <wp:inline distT="0" distB="0" distL="0" distR="0">
                  <wp:extent cx="38100" cy="36830"/>
                  <wp:effectExtent l="0" t="0" r="0" b="0"/>
                  <wp:docPr id="24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30" descr=""/>
                          <pic:cNvPicPr>
                            <a:picLocks noChangeAspect="1" noChangeArrowheads="1"/>
                          </pic:cNvPicPr>
                        </pic:nvPicPr>
                        <pic:blipFill>
                          <a:blip r:embed="rId231"/>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9245" w:type="dxa"/>
            <w:tcBorders/>
            <w:shd w:fill="auto" w:val="clear"/>
            <w:vAlign w:val="center"/>
          </w:tcPr>
          <w:p>
            <w:pPr>
              <w:pStyle w:val="TableContents"/>
              <w:spacing w:before="0" w:after="0"/>
              <w:rPr>
                <w:rFonts w:ascii="ARIAL" w:hAnsi="ARIAL"/>
                <w:color w:val="1989C0"/>
                <w:sz w:val="24"/>
              </w:rPr>
            </w:pPr>
            <w:r>
              <w:rPr>
                <w:rFonts w:ascii="ARIAL" w:hAnsi="ARIAL"/>
                <w:color w:val="1989C0"/>
                <w:sz w:val="24"/>
              </w:rPr>
              <w:t xml:space="preserve">The Board Unanimously Recommends </w:t>
            </w:r>
            <w:r>
              <w:rPr>
                <w:rFonts w:ascii="ARIAL" w:hAnsi="ARIAL"/>
                <w:b/>
                <w:color w:val="1989C0"/>
                <w:sz w:val="24"/>
              </w:rPr>
              <w:t>EVERY 1 YEAR</w:t>
            </w:r>
            <w:r>
              <w:rPr>
                <w:rFonts w:ascii="ARIAL" w:hAnsi="ARIAL"/>
                <w:color w:val="1989C0"/>
                <w:sz w:val="24"/>
              </w:rPr>
              <w:t xml:space="preserve"> as the Vote for this Proposal 4</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shd w:fill="007CBA" w:val="clear"/>
            <w:vAlign w:val="center"/>
          </w:tcPr>
          <w:p>
            <w:pPr>
              <w:pStyle w:val="TableContents"/>
              <w:spacing w:before="0" w:after="283"/>
              <w:rPr/>
            </w:pPr>
            <w:r>
              <w:rPr/>
              <w:t> </w:t>
            </w:r>
          </w:p>
        </w:tc>
        <w:tc>
          <w:tcPr>
            <w:tcW w:w="9403" w:type="dxa"/>
            <w:gridSpan w:val="3"/>
            <w:tcBorders/>
            <w:shd w:fill="007CBA"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4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31" descr=""/>
                          <pic:cNvPicPr>
                            <a:picLocks noChangeAspect="1" noChangeArrowheads="1"/>
                          </pic:cNvPicPr>
                        </pic:nvPicPr>
                        <pic:blipFill>
                          <a:blip r:embed="rId23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89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364"/>
        <w:gridCol w:w="83"/>
        <w:gridCol w:w="6758"/>
      </w:tblGrid>
      <w:tr>
        <w:trPr/>
        <w:tc>
          <w:tcPr>
            <w:tcW w:w="336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6758" w:type="dxa"/>
            <w:tcBorders/>
            <w:shd w:fill="auto" w:val="clear"/>
            <w:vAlign w:val="center"/>
          </w:tcPr>
          <w:p>
            <w:pPr>
              <w:pStyle w:val="TableContents"/>
              <w:spacing w:before="0" w:after="283"/>
              <w:rPr>
                <w:sz w:val="4"/>
                <w:szCs w:val="4"/>
              </w:rPr>
            </w:pPr>
            <w:r>
              <w:rPr>
                <w:sz w:val="4"/>
                <w:szCs w:val="4"/>
              </w:rPr>
            </w:r>
          </w:p>
        </w:tc>
      </w:tr>
      <w:tr>
        <w:trPr/>
        <w:tc>
          <w:tcPr>
            <w:tcW w:w="3364" w:type="dxa"/>
            <w:tcBorders/>
            <w:shd w:fill="007CBA" w:val="clear"/>
            <w:vAlign w:val="center"/>
          </w:tcPr>
          <w:p>
            <w:pPr>
              <w:pStyle w:val="TableContents"/>
              <w:spacing w:lineRule="atLeast" w:line="600" w:before="0" w:after="0"/>
              <w:rPr>
                <w:color w:val="FFFFFF"/>
              </w:rPr>
            </w:pPr>
            <w:bookmarkStart w:id="78" w:name="toc390557_102"/>
            <w:bookmarkEnd w:id="78"/>
            <w:r>
              <w:rPr>
                <w:color w:val="FFFFFF"/>
              </w:rPr>
              <w:t> </w:t>
            </w:r>
            <w:r>
              <w:rPr>
                <w:rFonts w:ascii="ARIAL" w:hAnsi="ARIAL"/>
                <w:b/>
                <w:color w:val="FFFFFF"/>
                <w:sz w:val="42"/>
              </w:rPr>
              <w:t>Proposal 5: </w:t>
            </w:r>
          </w:p>
        </w:tc>
        <w:tc>
          <w:tcPr>
            <w:tcW w:w="83" w:type="dxa"/>
            <w:tcBorders/>
            <w:shd w:fill="auto" w:val="clear"/>
            <w:vAlign w:val="center"/>
          </w:tcPr>
          <w:p>
            <w:pPr>
              <w:pStyle w:val="TableContents"/>
              <w:spacing w:before="0" w:after="283"/>
              <w:rPr/>
            </w:pPr>
            <w:r>
              <w:rPr/>
              <w:t> </w:t>
            </w:r>
          </w:p>
        </w:tc>
        <w:tc>
          <w:tcPr>
            <w:tcW w:w="6758" w:type="dxa"/>
            <w:tcBorders/>
            <w:shd w:fill="auto" w:val="clear"/>
            <w:vAlign w:val="center"/>
          </w:tcPr>
          <w:p>
            <w:pPr>
              <w:pStyle w:val="TableContents"/>
              <w:spacing w:lineRule="atLeast" w:line="600" w:before="0" w:after="0"/>
              <w:rPr>
                <w:rFonts w:ascii="ARIAL" w:hAnsi="ARIAL"/>
                <w:b/>
                <w:color w:val="007CBA"/>
                <w:sz w:val="42"/>
              </w:rPr>
            </w:pPr>
            <w:r>
              <w:rPr>
                <w:rFonts w:ascii="ARIAL" w:hAnsi="ARIAL"/>
                <w:b/>
                <w:color w:val="007CBA"/>
                <w:sz w:val="42"/>
              </w:rPr>
              <w:t>Shareholder Proposal, if Properly</w:t>
            </w:r>
          </w:p>
        </w:tc>
      </w:tr>
      <w:tr>
        <w:trPr/>
        <w:tc>
          <w:tcPr>
            <w:tcW w:w="10205" w:type="dxa"/>
            <w:gridSpan w:val="3"/>
            <w:tcBorders/>
            <w:shd w:fill="FFFFFF" w:val="clear"/>
            <w:vAlign w:val="center"/>
          </w:tcPr>
          <w:p>
            <w:pPr>
              <w:pStyle w:val="TableContents"/>
              <w:spacing w:lineRule="atLeast" w:line="600" w:before="0" w:after="0"/>
              <w:rPr>
                <w:rFonts w:ascii="ARIAL" w:hAnsi="ARIAL"/>
                <w:b/>
                <w:color w:val="007CBA"/>
                <w:sz w:val="42"/>
              </w:rPr>
            </w:pPr>
            <w:r>
              <w:rPr>
                <w:rFonts w:ascii="ARIAL" w:hAnsi="ARIAL"/>
                <w:b/>
                <w:color w:val="007CBA"/>
                <w:sz w:val="42"/>
              </w:rPr>
              <w:t>Presented at the Meeting, Requesting the Establishment Within a Year of GHG Reduction Targets</w:t>
            </w:r>
          </w:p>
        </w:tc>
      </w:tr>
    </w:tbl>
    <w:p>
      <w:pPr>
        <w:pStyle w:val="TextBody"/>
        <w:spacing w:before="240" w:after="0"/>
        <w:jc w:val="left"/>
        <w:rPr>
          <w:rFonts w:ascii="ARIAL" w:hAnsi="ARIAL"/>
          <w:sz w:val="20"/>
        </w:rPr>
      </w:pPr>
      <w:r>
        <w:rPr>
          <w:rFonts w:ascii="ARIAL" w:hAnsi="ARIAL"/>
          <w:sz w:val="20"/>
        </w:rPr>
        <w:t xml:space="preserve">Amundi Asset Management has notified the Company that they intend to submit the following shareholder proposal at this year’s Annual Meeting of Shareholders. As explained below, the Board recommends voting </w:t>
      </w:r>
      <w:r>
        <w:rPr>
          <w:rFonts w:ascii="ARIAL" w:hAnsi="ARIAL"/>
          <w:b/>
          <w:sz w:val="20"/>
        </w:rPr>
        <w:t>AGAINST</w:t>
      </w:r>
      <w:r>
        <w:rPr>
          <w:rFonts w:ascii="ARIAL" w:hAnsi="ARIAL"/>
          <w:sz w:val="20"/>
        </w:rPr>
        <w:t xml:space="preserve"> their proposal. </w:t>
      </w:r>
    </w:p>
    <w:p>
      <w:pPr>
        <w:pStyle w:val="TextBody"/>
        <w:spacing w:before="240" w:after="0"/>
        <w:jc w:val="left"/>
        <w:rPr>
          <w:rFonts w:ascii="ARIAL" w:hAnsi="ARIAL"/>
          <w:sz w:val="20"/>
        </w:rPr>
      </w:pPr>
      <w:r>
        <w:rPr>
          <w:rFonts w:ascii="ARIAL" w:hAnsi="ARIAL"/>
          <w:sz w:val="20"/>
        </w:rPr>
        <w:t xml:space="preserve">The proponent is responsible for the content of the following proposal, for which the Company and the Board accept no responsibility including the footnotes including web addresses which are not incorporated into this proxy statement. </w:t>
      </w:r>
    </w:p>
    <w:p>
      <w:pPr>
        <w:pStyle w:val="TextBody"/>
        <w:spacing w:before="240" w:after="0"/>
        <w:jc w:val="left"/>
        <w:rPr>
          <w:rFonts w:ascii="ARIAL" w:hAnsi="ARIAL"/>
          <w:b/>
          <w:sz w:val="20"/>
        </w:rPr>
      </w:pPr>
      <w:r>
        <w:rPr>
          <w:rFonts w:ascii="ARIAL" w:hAnsi="ARIAL"/>
          <w:b/>
          <w:sz w:val="20"/>
        </w:rPr>
        <w:t xml:space="preserve">Shareholder Proposal – Greenhouse Gas Emissions Reduction Targets </w:t>
      </w:r>
    </w:p>
    <w:p>
      <w:pPr>
        <w:pStyle w:val="TextBody"/>
        <w:spacing w:before="120" w:after="0"/>
        <w:jc w:val="left"/>
        <w:rPr>
          <w:rFonts w:ascii="ARIAL" w:hAnsi="ARIAL"/>
          <w:sz w:val="20"/>
        </w:rPr>
      </w:pPr>
      <w:r>
        <w:rPr>
          <w:rFonts w:ascii="ARIAL" w:hAnsi="ARIAL"/>
          <w:b/>
          <w:sz w:val="20"/>
        </w:rPr>
        <w:t xml:space="preserve">WHEREAS: </w:t>
      </w:r>
      <w:r>
        <w:rPr>
          <w:rFonts w:ascii="ARIAL" w:hAnsi="ARIAL"/>
          <w:sz w:val="20"/>
        </w:rPr>
        <w:t xml:space="preserve">The Intergovernmental Panel on Climate Change (IPCC) has advised that greenhouse gas (GHG) emissions must be halved by 2030 and reach net zero by 2050 to limit global warming to 1.5°C. </w:t>
      </w:r>
    </w:p>
    <w:p>
      <w:pPr>
        <w:pStyle w:val="TextBody"/>
        <w:spacing w:before="240" w:after="0"/>
        <w:jc w:val="left"/>
        <w:rPr>
          <w:rFonts w:ascii="ARIAL" w:hAnsi="ARIAL"/>
          <w:sz w:val="20"/>
        </w:rPr>
      </w:pPr>
      <w:r>
        <w:rPr>
          <w:rFonts w:ascii="ARIAL" w:hAnsi="ARIAL"/>
          <w:sz w:val="20"/>
        </w:rPr>
        <w:t xml:space="preserve">As investors, we believe failing to meet the Paris Agreement’s goal will have a devastating impact on the value of our clients’ portfolios. </w:t>
      </w:r>
    </w:p>
    <w:p>
      <w:pPr>
        <w:pStyle w:val="TextBody"/>
        <w:spacing w:before="240" w:after="0"/>
        <w:jc w:val="left"/>
        <w:rPr>
          <w:rFonts w:ascii="ARIAL" w:hAnsi="ARIAL"/>
          <w:sz w:val="20"/>
        </w:rPr>
      </w:pPr>
      <w:r>
        <w:rPr>
          <w:rFonts w:ascii="ARIAL" w:hAnsi="ARIAL"/>
          <w:sz w:val="20"/>
        </w:rPr>
        <w:t xml:space="preserve">In its 2021 10-K, Martin Marietta Materials (“Martin Marietta”, or “the Company”) noted, “Climate change may result in physical and financial impacts that could have adverse effects on the Company’s operations or financial condition.”1 The Company’s emissions reduction strategy falls short of what is needed to shield it and investors from climate-related risks. The Company does not have emissions reduction targets covering its entire Scope 1 footprint, nor does it have a strategy to limit those emissions. </w:t>
      </w:r>
    </w:p>
    <w:p>
      <w:pPr>
        <w:pStyle w:val="TextBody"/>
        <w:spacing w:before="240" w:after="0"/>
        <w:jc w:val="left"/>
        <w:rPr>
          <w:rFonts w:ascii="ARIAL" w:hAnsi="ARIAL"/>
          <w:sz w:val="20"/>
        </w:rPr>
      </w:pPr>
      <w:r>
        <w:rPr>
          <w:rFonts w:ascii="ARIAL" w:hAnsi="ARIAL"/>
          <w:sz w:val="20"/>
        </w:rPr>
        <w:t xml:space="preserve">Without stronger GHG emissions reduction targets, Martin Marietta is falling behind its peers. Construction materials companies such as CEMEX, HeidelbergCement AG, Holcim Ltd., Imerys and many others have already committed to set a long-term net zero target through the Science Based Targets initiative (SBTi) for its entire carbon footprint and has promised to deliver net-zero concrete to all customers globally by 2050.2 </w:t>
      </w:r>
    </w:p>
    <w:p>
      <w:pPr>
        <w:pStyle w:val="TextBody"/>
        <w:spacing w:before="240" w:after="0"/>
        <w:jc w:val="left"/>
        <w:rPr>
          <w:rFonts w:ascii="ARIAL" w:hAnsi="ARIAL"/>
          <w:sz w:val="20"/>
        </w:rPr>
      </w:pPr>
      <w:r>
        <w:rPr>
          <w:rFonts w:ascii="ARIAL" w:hAnsi="ARIAL"/>
          <w:sz w:val="20"/>
        </w:rPr>
        <w:t xml:space="preserve">There is growing interest from investors for increased disclosure into how companies are addressing the climate crisis and plan to transition their business model to one that aligns with efforts to limit global warming, in line with the Paris Agreement goals. To assist companies in developing transition plans, groups including We Mean Business, CDP, and the Task Force on Climate-Related Financial Disclosures (TCFD) have provided guidance on writing comprehensive transition plans to achieve science-based GHG reductions. </w:t>
      </w:r>
    </w:p>
    <w:p>
      <w:pPr>
        <w:pStyle w:val="TextBody"/>
        <w:spacing w:before="240" w:after="0"/>
        <w:jc w:val="left"/>
        <w:rPr>
          <w:rFonts w:ascii="ARIAL" w:hAnsi="ARIAL"/>
          <w:sz w:val="20"/>
        </w:rPr>
      </w:pPr>
      <w:r>
        <w:rPr>
          <w:rFonts w:ascii="ARIAL" w:hAnsi="ARIAL"/>
          <w:sz w:val="20"/>
        </w:rPr>
        <w:t xml:space="preserve">The Science-Based Target initiative (SBTi) has recently released, in September 2022, its guidance for the cement sector3. This guidance is applicable to all companies for which clinker/cement production makes up more than 5% of their greenhouse gas emissions. In Martin Marietta’s case, in 2021 cement production represented 59% of scope 1 emissions. </w:t>
      </w:r>
    </w:p>
    <w:p>
      <w:pPr>
        <w:pStyle w:val="TextBody"/>
        <w:spacing w:before="240" w:after="0"/>
        <w:jc w:val="left"/>
        <w:rPr>
          <w:rFonts w:ascii="ARIAL" w:hAnsi="ARIAL"/>
          <w:sz w:val="20"/>
        </w:rPr>
      </w:pPr>
      <w:r>
        <w:rPr>
          <w:rFonts w:ascii="ARIAL" w:hAnsi="ARIAL"/>
          <w:sz w:val="20"/>
        </w:rPr>
        <w:t xml:space="preserve">Proponents believe Martin Marietta must take additional action to address its full climate impact, including the physical risks to its operations and supply chain, and the transition risk associated with new regulation and a global shift to a low carbon economy. The Company can do this by adopting science-based targets for its full carbon footprint supported by a comprehensive transition plan. </w:t>
      </w:r>
    </w:p>
    <w:p>
      <w:pPr>
        <w:pStyle w:val="TextBody"/>
        <w:spacing w:before="240" w:after="0"/>
        <w:jc w:val="left"/>
        <w:rPr>
          <w:rFonts w:ascii="ARIAL" w:hAnsi="ARIAL"/>
          <w:b/>
          <w:sz w:val="20"/>
        </w:rPr>
      </w:pPr>
      <w:r>
        <w:rPr>
          <w:rFonts w:ascii="ARIAL" w:hAnsi="ARIAL"/>
          <w:b/>
          <w:sz w:val="20"/>
        </w:rPr>
        <w:t xml:space="preserve">RESOLVED: </w:t>
      </w:r>
    </w:p>
    <w:p>
      <w:pPr>
        <w:pStyle w:val="TextBody"/>
        <w:spacing w:before="120" w:after="0"/>
        <w:jc w:val="left"/>
        <w:rPr>
          <w:rFonts w:ascii="ARIAL" w:hAnsi="ARIAL"/>
          <w:sz w:val="20"/>
        </w:rPr>
      </w:pPr>
      <w:r>
        <w:rPr>
          <w:rFonts w:ascii="ARIAL" w:hAnsi="ARIAL"/>
          <w:sz w:val="20"/>
        </w:rPr>
        <w:t xml:space="preserve">Shareholders request Martin Marietta Materials, within a year, issue near, medium and long-term science-based GHG reduction targets aligned with the Paris Agreement’s ambition of maintaining global temperature rise to well below 2°C above pre-industrial levels, and pursuing efforts to limit the temperature increase to 1.5°C, and summarize plans to </w:t>
      </w:r>
    </w:p>
    <w:p>
      <w:pPr>
        <w:pStyle w:val="TextBody"/>
        <w:pBdr>
          <w:bottom w:val="single" w:sz="2" w:space="1" w:color="000000"/>
        </w:pBdr>
        <w:spacing w:lineRule="atLeast" w:line="160" w:before="0" w:after="40"/>
        <w:jc w:val="left"/>
        <w:rPr/>
      </w:pPr>
      <w:r>
        <w:rPr/>
        <w:t> </w:t>
      </w:r>
    </w:p>
    <w:tbl>
      <w:tblPr>
        <w:tblW w:w="9640" w:type="dxa"/>
        <w:jc w:val="left"/>
        <w:tblInd w:w="0" w:type="dxa"/>
        <w:tblCellMar>
          <w:top w:w="0" w:type="dxa"/>
          <w:left w:w="0" w:type="dxa"/>
          <w:bottom w:w="0" w:type="dxa"/>
          <w:right w:w="0" w:type="dxa"/>
        </w:tblCellMar>
      </w:tblPr>
      <w:tblGrid>
        <w:gridCol w:w="215"/>
        <w:gridCol w:w="9425"/>
      </w:tblGrid>
      <w:tr>
        <w:trPr/>
        <w:tc>
          <w:tcPr>
            <w:tcW w:w="215" w:type="dxa"/>
            <w:tcBorders/>
            <w:shd w:fill="auto" w:val="clear"/>
            <w:vAlign w:val="center"/>
          </w:tcPr>
          <w:p>
            <w:pPr>
              <w:pStyle w:val="TableContents"/>
              <w:spacing w:before="0" w:after="283"/>
              <w:jc w:val="left"/>
              <w:rPr/>
            </w:pPr>
            <w:r>
              <w:rPr/>
              <w:t>1 </w:t>
            </w:r>
          </w:p>
        </w:tc>
        <w:tc>
          <w:tcPr>
            <w:tcW w:w="9425" w:type="dxa"/>
            <w:tcBorders/>
            <w:shd w:fill="auto" w:val="clear"/>
            <w:vAlign w:val="center"/>
          </w:tcPr>
          <w:p>
            <w:pPr>
              <w:pStyle w:val="TableContents"/>
              <w:spacing w:before="0" w:after="0"/>
              <w:jc w:val="left"/>
              <w:rPr>
                <w:rFonts w:ascii="ARIAL" w:hAnsi="ARIAL"/>
                <w:sz w:val="20"/>
              </w:rPr>
            </w:pPr>
            <w:r>
              <w:rPr>
                <w:rFonts w:ascii="ARIAL" w:hAnsi="ARIAL"/>
                <w:sz w:val="20"/>
              </w:rPr>
              <w:t xml:space="preserve">https://www.sec.gov/ix?doc=/Archies/edgar/data/916076/000156459022005965/mlm-10k_20211231.htm p.9 </w:t>
            </w:r>
          </w:p>
        </w:tc>
      </w:tr>
    </w:tbl>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283"/>
              <w:jc w:val="left"/>
              <w:rPr/>
            </w:pPr>
            <w:r>
              <w:rPr/>
              <w:t>2 </w:t>
            </w:r>
          </w:p>
        </w:tc>
        <w:tc>
          <w:tcPr>
            <w:tcW w:w="5015" w:type="dxa"/>
            <w:tcBorders/>
            <w:shd w:fill="auto" w:val="clear"/>
            <w:vAlign w:val="center"/>
          </w:tcPr>
          <w:p>
            <w:pPr>
              <w:pStyle w:val="TableContents"/>
              <w:spacing w:before="0" w:after="0"/>
              <w:jc w:val="left"/>
              <w:rPr>
                <w:rFonts w:ascii="ARIAL" w:hAnsi="ARIAL"/>
                <w:sz w:val="20"/>
              </w:rPr>
            </w:pPr>
            <w:r>
              <w:rPr>
                <w:rFonts w:ascii="ARIAL" w:hAnsi="ARIAL"/>
                <w:sz w:val="20"/>
              </w:rPr>
              <w:t xml:space="preserve">https://sciencebasedtargets.org/companies-taking-action </w:t>
            </w:r>
          </w:p>
        </w:tc>
      </w:tr>
    </w:tbl>
    <w:tbl>
      <w:tblPr>
        <w:tblW w:w="4465" w:type="dxa"/>
        <w:jc w:val="left"/>
        <w:tblInd w:w="0" w:type="dxa"/>
        <w:tblCellMar>
          <w:top w:w="0" w:type="dxa"/>
          <w:left w:w="0" w:type="dxa"/>
          <w:bottom w:w="0" w:type="dxa"/>
          <w:right w:w="0" w:type="dxa"/>
        </w:tblCellMar>
      </w:tblPr>
      <w:tblGrid>
        <w:gridCol w:w="215"/>
        <w:gridCol w:w="4250"/>
      </w:tblGrid>
      <w:tr>
        <w:trPr/>
        <w:tc>
          <w:tcPr>
            <w:tcW w:w="215" w:type="dxa"/>
            <w:tcBorders/>
            <w:shd w:fill="auto" w:val="clear"/>
            <w:vAlign w:val="center"/>
          </w:tcPr>
          <w:p>
            <w:pPr>
              <w:pStyle w:val="TableContents"/>
              <w:spacing w:before="0" w:after="283"/>
              <w:jc w:val="left"/>
              <w:rPr/>
            </w:pPr>
            <w:r>
              <w:rPr/>
              <w:t>3 </w:t>
            </w:r>
          </w:p>
        </w:tc>
        <w:tc>
          <w:tcPr>
            <w:tcW w:w="4250" w:type="dxa"/>
            <w:tcBorders/>
            <w:shd w:fill="auto" w:val="clear"/>
            <w:vAlign w:val="center"/>
          </w:tcPr>
          <w:p>
            <w:pPr>
              <w:pStyle w:val="TableContents"/>
              <w:spacing w:before="0" w:after="0"/>
              <w:jc w:val="left"/>
              <w:rPr>
                <w:rFonts w:ascii="ARIAL" w:hAnsi="ARIAL"/>
                <w:sz w:val="20"/>
              </w:rPr>
            </w:pPr>
            <w:r>
              <w:rPr>
                <w:rFonts w:ascii="ARIAL" w:hAnsi="ARIAL"/>
                <w:sz w:val="20"/>
              </w:rPr>
              <w:t xml:space="preserve">https://sciencebasedtargets.org/sectors/cement </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90</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4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2" descr=""/>
                          <pic:cNvPicPr>
                            <a:picLocks noChangeAspect="1" noChangeArrowheads="1"/>
                          </pic:cNvPicPr>
                        </pic:nvPicPr>
                        <pic:blipFill>
                          <a:blip r:embed="rId23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 xml:space="preserve">PROPOSAL 5: ADVISORY VOTE ON A SHAREHOLDER PROPOSAL REGARDING GREENHOUSE GAS EMISSIONS REDUCTION TARGETS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achieve them. The targets should cover the Company’s full range of operational and supply chain emissions. In addition, these targets should omit proprietary and personal information. </w:t>
      </w:r>
    </w:p>
    <w:p>
      <w:pPr>
        <w:pStyle w:val="TextBody"/>
        <w:spacing w:before="240" w:after="0"/>
        <w:jc w:val="left"/>
        <w:rPr>
          <w:rFonts w:ascii="ARIAL" w:hAnsi="ARIAL"/>
          <w:b/>
          <w:sz w:val="20"/>
        </w:rPr>
      </w:pPr>
      <w:r>
        <w:rPr>
          <w:rFonts w:ascii="ARIAL" w:hAnsi="ARIAL"/>
          <w:b/>
          <w:sz w:val="20"/>
        </w:rPr>
        <w:t xml:space="preserve">SUPPORTING STATEMENT: </w:t>
      </w:r>
    </w:p>
    <w:p>
      <w:pPr>
        <w:pStyle w:val="TextBody"/>
        <w:spacing w:before="120" w:after="0"/>
        <w:jc w:val="left"/>
        <w:rPr>
          <w:rFonts w:ascii="ARIAL" w:hAnsi="ARIAL"/>
          <w:sz w:val="20"/>
        </w:rPr>
      </w:pPr>
      <w:r>
        <w:rPr>
          <w:rFonts w:ascii="ARIAL" w:hAnsi="ARIAL"/>
          <w:sz w:val="20"/>
        </w:rPr>
        <w:t xml:space="preserve">In assessing targets, we recommend, at Board’s discretion: </w:t>
      </w:r>
    </w:p>
    <w:p>
      <w:pPr>
        <w:pStyle w:val="TextBody"/>
        <w:spacing w:before="0" w:after="0"/>
        <w:jc w:val="left"/>
        <w:rPr/>
      </w:pPr>
      <w:r>
        <w:rPr/>
        <w:t> </w:t>
      </w:r>
    </w:p>
    <w:tbl>
      <w:tblPr>
        <w:tblW w:w="8725" w:type="dxa"/>
        <w:jc w:val="left"/>
        <w:tblInd w:w="0" w:type="dxa"/>
        <w:tblCellMar>
          <w:top w:w="0" w:type="dxa"/>
          <w:left w:w="0" w:type="dxa"/>
          <w:bottom w:w="0" w:type="dxa"/>
          <w:right w:w="0" w:type="dxa"/>
        </w:tblCellMar>
      </w:tblPr>
      <w:tblGrid>
        <w:gridCol w:w="75"/>
        <w:gridCol w:w="110"/>
        <w:gridCol w:w="60"/>
        <w:gridCol w:w="84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80" w:type="dxa"/>
            <w:tcBorders/>
            <w:shd w:fill="auto" w:val="clear"/>
            <w:vAlign w:val="center"/>
          </w:tcPr>
          <w:p>
            <w:pPr>
              <w:pStyle w:val="TableContents"/>
              <w:spacing w:before="0" w:after="0"/>
              <w:jc w:val="left"/>
              <w:rPr>
                <w:rFonts w:ascii="ARIAL" w:hAnsi="ARIAL"/>
                <w:sz w:val="20"/>
              </w:rPr>
            </w:pPr>
            <w:r>
              <w:rPr>
                <w:rFonts w:ascii="ARIAL" w:hAnsi="ARIAL"/>
                <w:sz w:val="20"/>
              </w:rPr>
              <w:t xml:space="preserve">Consideration of approaches used by advisory groups, such as the one developed by the SBTi;4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Development of a transition plan that shows how the Company plans to meet its goals, taking into consideration criteria used by advisory groups;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Consideration of supporting targets for renewable energy, energy efficiency, and other measures deemed appropriate by management. </w:t>
            </w:r>
          </w:p>
        </w:tc>
      </w:tr>
    </w:tbl>
    <w:p>
      <w:pPr>
        <w:pStyle w:val="TextBody"/>
        <w:spacing w:before="240" w:after="0"/>
        <w:jc w:val="left"/>
        <w:rPr>
          <w:rFonts w:ascii="ARIAL" w:hAnsi="ARIAL"/>
          <w:b/>
          <w:color w:val="007CBA"/>
          <w:sz w:val="42"/>
        </w:rPr>
      </w:pPr>
      <w:r>
        <w:rPr>
          <w:rFonts w:ascii="ARIAL" w:hAnsi="ARIAL"/>
          <w:b/>
          <w:color w:val="007CBA"/>
          <w:sz w:val="42"/>
        </w:rPr>
        <w:t xml:space="preserve">BOARD RECOMMENDATION </w:t>
      </w:r>
    </w:p>
    <w:p>
      <w:pPr>
        <w:pStyle w:val="TextBody"/>
        <w:spacing w:before="120" w:after="0"/>
        <w:jc w:val="left"/>
        <w:rPr>
          <w:rFonts w:ascii="ARIAL" w:hAnsi="ARIAL"/>
          <w:b/>
          <w:sz w:val="20"/>
        </w:rPr>
      </w:pPr>
      <w:r>
        <w:rPr>
          <w:rFonts w:ascii="ARIAL" w:hAnsi="ARIAL"/>
          <w:b/>
          <w:sz w:val="20"/>
        </w:rPr>
        <w:t xml:space="preserve">The Board recommends you vote AGAINST this proposal for the following reasons: </w:t>
      </w:r>
    </w:p>
    <w:p>
      <w:pPr>
        <w:pStyle w:val="TextBody"/>
        <w:spacing w:before="120" w:after="0"/>
        <w:jc w:val="left"/>
        <w:rPr>
          <w:rFonts w:ascii="ARIAL" w:hAnsi="ARIAL"/>
          <w:sz w:val="20"/>
        </w:rPr>
      </w:pPr>
      <w:r>
        <w:rPr>
          <w:rFonts w:ascii="ARIAL" w:hAnsi="ARIAL"/>
          <w:sz w:val="20"/>
        </w:rPr>
        <w:t xml:space="preserve">Martin Marietta is committed to greenhouse gas (GHG) reductions in both the short and long term, including meeting our previously established GHG reduction targets and goals, and we have been actively engaged with the proponent and many of our shareholders about these issues over the past few years. We take these conversations seriously and have engaged with the proponent and many other shareholders at the highest level within the Company including our Chairman and CEO, our Executive Vice President and General Counsel and our Chief Financial Officer among others. We share the concern for companies doing their part to combat climate change that led to the proponent’s proposal (the “Proposal”), but the Proposal is unworkable as drafted, it asks us to commit now to steps we are still evaluating and working toward, and the Board urges you to vote against it while it restates our strong and unequivocal commitment to our common goals. </w:t>
      </w:r>
    </w:p>
    <w:p>
      <w:pPr>
        <w:pStyle w:val="TextBody"/>
        <w:spacing w:before="240" w:after="0"/>
        <w:jc w:val="left"/>
        <w:rPr>
          <w:rFonts w:ascii="ARIAL" w:hAnsi="ARIAL"/>
          <w:sz w:val="20"/>
        </w:rPr>
      </w:pPr>
      <w:r>
        <w:rPr>
          <w:rFonts w:ascii="ARIAL" w:hAnsi="ARIAL"/>
          <w:sz w:val="20"/>
        </w:rPr>
        <w:t xml:space="preserve">The Proposal requests that we align our reduction targets within a year with certain science-based frameworks, which would include measuring, reporting and likely setting reduction targets for so-called Scope 3 emissions. Scope 3 emissions are those from operations controlled entirely by third parties (such as our suppliers), both up and down our value chain. Measuring such emissions is a significant and complex undertaking, and the reporting of such emissions is the subject of significant public debate, including in still-pending rulemaking by the U.S. Securities and Exchange Commission. Many companies do not currently report Scope 3 emissions, including many of our aggregates peers, and we believe that adopting an approach to collecting and reporting Scope 3 emissions while these rules remain pending is imprudent. </w:t>
      </w:r>
    </w:p>
    <w:p>
      <w:pPr>
        <w:pStyle w:val="TextBody"/>
        <w:spacing w:before="240" w:after="0"/>
        <w:jc w:val="left"/>
        <w:rPr>
          <w:rFonts w:ascii="ARIAL" w:hAnsi="ARIAL"/>
          <w:sz w:val="20"/>
        </w:rPr>
      </w:pPr>
      <w:r>
        <w:rPr>
          <w:rFonts w:ascii="ARIAL" w:hAnsi="ARIAL"/>
          <w:sz w:val="20"/>
        </w:rPr>
        <w:t xml:space="preserve">Unfortunately, one of the primary reasons for the proponent’s submitting the Proposal is a misclassification of our Company in a peer group in which it does not belong. Martin Marietta is overwhelmingly an aggregates (crushed stone, sand and gravel) business from the perspective of our revenue, profitability and the number of facilities. The proponent insists on identifying us as a cement company due to the ownership of two cement plants in Texas. In doing so, the proponent also advised us it is pursuing strict GHG remedies against us in a mechanical, rather than thoughtful approach out of proportion to our climate impact. Given the unavoidable process emissions inherent to cement production, it is commonly acknowledged by independent standards-setting bodies and others that science-based reduction targets for cement plants would require technologies that are still unproven at a commercial scale and may remain so for years. If adopted, the Proposal would box the Company into a commitment that may not be achievable or a situation where it may not even be possible to “prove” that the requisite conditions have been met. </w:t>
      </w:r>
    </w:p>
    <w:p>
      <w:pPr>
        <w:pStyle w:val="TextBody"/>
        <w:spacing w:before="240" w:after="0"/>
        <w:jc w:val="left"/>
        <w:rPr>
          <w:rFonts w:ascii="ARIAL" w:hAnsi="ARIAL"/>
          <w:b/>
          <w:sz w:val="20"/>
        </w:rPr>
      </w:pPr>
      <w:r>
        <w:rPr>
          <w:rFonts w:ascii="ARIAL" w:hAnsi="ARIAL"/>
          <w:b/>
          <w:sz w:val="20"/>
        </w:rPr>
        <w:t xml:space="preserve">For these and other reasons described in greater detail below, the Proposal is unnecessary and unrealistic, and we urge you to vote against it. </w:t>
      </w:r>
    </w:p>
    <w:p>
      <w:pPr>
        <w:pStyle w:val="TextBody"/>
        <w:spacing w:before="240" w:after="0"/>
        <w:jc w:val="left"/>
        <w:rPr>
          <w:rFonts w:ascii="ARIAL" w:hAnsi="ARIAL"/>
          <w:b/>
          <w:sz w:val="20"/>
        </w:rPr>
      </w:pPr>
      <w:r>
        <w:rPr>
          <w:rFonts w:ascii="ARIAL" w:hAnsi="ARIAL"/>
          <w:b/>
          <w:sz w:val="20"/>
        </w:rPr>
        <w:t xml:space="preserve">Our Engagement and Response </w:t>
      </w:r>
    </w:p>
    <w:p>
      <w:pPr>
        <w:pStyle w:val="TextBody"/>
        <w:spacing w:before="120" w:after="0"/>
        <w:jc w:val="left"/>
        <w:rPr>
          <w:rFonts w:ascii="ARIAL" w:hAnsi="ARIAL"/>
          <w:sz w:val="20"/>
        </w:rPr>
      </w:pPr>
      <w:r>
        <w:rPr>
          <w:rFonts w:ascii="ARIAL" w:hAnsi="ARIAL"/>
          <w:sz w:val="20"/>
        </w:rPr>
        <w:t xml:space="preserve">Due to the importance of the subject matter, we have conducted substantial engagement with many investors, including the proponent, regarding our GHG activities, which the proponent acknowledged in its correspondence has been engagement at the “Company’s highest levels.” Over the past year, we have welcomed numerous calls and other communications with the proponent with respect to the matters addressed in the Proposal. In response to these </w:t>
      </w:r>
    </w:p>
    <w:p>
      <w:pPr>
        <w:pStyle w:val="TextBody"/>
        <w:pBdr>
          <w:bottom w:val="single" w:sz="2" w:space="1" w:color="000000"/>
        </w:pBdr>
        <w:spacing w:lineRule="atLeast" w:line="160" w:before="0" w:after="40"/>
        <w:jc w:val="left"/>
        <w:rPr/>
      </w:pPr>
      <w:r>
        <w:rPr/>
        <w:t> </w:t>
      </w:r>
    </w:p>
    <w:tbl>
      <w:tblPr>
        <w:tblW w:w="6835" w:type="dxa"/>
        <w:jc w:val="left"/>
        <w:tblInd w:w="0" w:type="dxa"/>
        <w:tblCellMar>
          <w:top w:w="0" w:type="dxa"/>
          <w:left w:w="0" w:type="dxa"/>
          <w:bottom w:w="0" w:type="dxa"/>
          <w:right w:w="0" w:type="dxa"/>
        </w:tblCellMar>
      </w:tblPr>
      <w:tblGrid>
        <w:gridCol w:w="215"/>
        <w:gridCol w:w="6620"/>
      </w:tblGrid>
      <w:tr>
        <w:trPr/>
        <w:tc>
          <w:tcPr>
            <w:tcW w:w="215" w:type="dxa"/>
            <w:tcBorders/>
            <w:shd w:fill="auto" w:val="clear"/>
            <w:vAlign w:val="center"/>
          </w:tcPr>
          <w:p>
            <w:pPr>
              <w:pStyle w:val="TableContents"/>
              <w:spacing w:before="0" w:after="283"/>
              <w:jc w:val="left"/>
              <w:rPr/>
            </w:pPr>
            <w:r>
              <w:rPr/>
              <w:t>4 </w:t>
            </w:r>
          </w:p>
        </w:tc>
        <w:tc>
          <w:tcPr>
            <w:tcW w:w="6620" w:type="dxa"/>
            <w:tcBorders/>
            <w:shd w:fill="auto" w:val="clear"/>
            <w:vAlign w:val="center"/>
          </w:tcPr>
          <w:p>
            <w:pPr>
              <w:pStyle w:val="TableContents"/>
              <w:spacing w:before="0" w:after="0"/>
              <w:jc w:val="left"/>
              <w:rPr>
                <w:rFonts w:ascii="ARIAL" w:hAnsi="ARIAL"/>
                <w:sz w:val="20"/>
              </w:rPr>
            </w:pPr>
            <w:r>
              <w:rPr>
                <w:rFonts w:ascii="ARIAL" w:hAnsi="ARIAL"/>
                <w:sz w:val="20"/>
              </w:rPr>
              <w:t xml:space="preserve">https://sciencebasedtargets.org/resources/files/SBTi-Cement-Guidance.pdf </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4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33" descr=""/>
                          <pic:cNvPicPr>
                            <a:picLocks noChangeAspect="1" noChangeArrowheads="1"/>
                          </pic:cNvPicPr>
                        </pic:nvPicPr>
                        <pic:blipFill>
                          <a:blip r:embed="rId23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91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PROPOSAL 5: ADVISORY VOTE ON A SHAREHOLDER PROPOSAL REGARDING GREENHOUSE GAS EMISSIONS REDUCTION TARGETS   ◆</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conversations, we have made important additional GHG-related commitments that we believe are in the best interests of the Company and our shareholders more broadly, including the proponent. </w:t>
      </w:r>
    </w:p>
    <w:p>
      <w:pPr>
        <w:pStyle w:val="TextBody"/>
        <w:spacing w:before="240" w:after="0"/>
        <w:jc w:val="left"/>
        <w:rPr>
          <w:rFonts w:ascii="ARIAL" w:hAnsi="ARIAL"/>
          <w:sz w:val="20"/>
        </w:rPr>
      </w:pPr>
      <w:r>
        <w:rPr>
          <w:rFonts w:ascii="ARIAL" w:hAnsi="ARIAL"/>
          <w:sz w:val="20"/>
        </w:rPr>
        <w:t xml:space="preserve">Management has also engaged with numerous other shareholders and interested stakeholders on questions around environmental stewardship, GHG reductions and other sustainability issues over the past few years with many of these calls occurring during the last year, and we believe based on those discussions that our shareholders are generally satisfied with the Company’s own current ambitious plans for addressing these issues. As discussed further below and in our Sustainability Report, management reports on these matters to the Board, which meets regularly to review our sustainability goals, including with respect to GHG reductions. Simply put, these are issues and risks we are giving significant attention and subjecting to rigorous review from the top down. </w:t>
      </w:r>
    </w:p>
    <w:p>
      <w:pPr>
        <w:pStyle w:val="TextBody"/>
        <w:spacing w:before="240" w:after="0"/>
        <w:jc w:val="left"/>
        <w:rPr>
          <w:rFonts w:ascii="ARIAL" w:hAnsi="ARIAL"/>
          <w:sz w:val="20"/>
        </w:rPr>
      </w:pPr>
      <w:r>
        <w:rPr>
          <w:rFonts w:ascii="ARIAL" w:hAnsi="ARIAL"/>
          <w:sz w:val="20"/>
        </w:rPr>
        <w:t xml:space="preserve">We have made several important commitments in response to this engagement. These include expanding our previously-announced Net Zero by 2050 target for our Scope 2 emissions (indirect emissions from our energy purchases) to a Net Zero ambition for our Scope 1 emissions (direct emissions from our operations), across all our product lines, which we will announce in our forthcoming 2022 Sustainability Report. The proponent acknowledged the importance of this commitment and stated that our willingness to make this commitment is “critical” to them. We also have committed to the proponent that we will consider potential opportunities to expand the coverage of our existing Scope 1 and 2 reduction targets for 2030 and continue to evaluate a process for undertaking the measurement of our Scope 3 emissions. Advancing our efforts in both of these areas are necessary to being able to set and verify reduction targets under the Science Based Target initiative (SBTi) framework, as requested by the Proposal. The proponent has expressly acknowledged the importance of the above commitments in its communications to us. </w:t>
      </w:r>
    </w:p>
    <w:p>
      <w:pPr>
        <w:pStyle w:val="TextBody"/>
        <w:spacing w:before="240" w:after="0"/>
        <w:jc w:val="left"/>
        <w:rPr>
          <w:rFonts w:ascii="ARIAL" w:hAnsi="ARIAL"/>
          <w:sz w:val="20"/>
        </w:rPr>
      </w:pPr>
      <w:r>
        <w:rPr>
          <w:rFonts w:ascii="ARIAL" w:hAnsi="ARIAL"/>
          <w:sz w:val="20"/>
        </w:rPr>
        <w:t xml:space="preserve">Despite the efforts and achievements described above and our track record of attention to these issues, the proponent has repeatedly failed both to credit our strong commitment to continuously advancing our efforts relating to GHG emissions reductions or to appreciate key aspects of our business, including dramatic differences between U.S. and non-U.S. product specifications in the cement industry and emission calculations methodology. </w:t>
      </w:r>
    </w:p>
    <w:p>
      <w:pPr>
        <w:pStyle w:val="TextBody"/>
        <w:spacing w:before="240" w:after="0"/>
        <w:jc w:val="left"/>
        <w:rPr>
          <w:rFonts w:ascii="ARIAL" w:hAnsi="ARIAL"/>
          <w:sz w:val="20"/>
        </w:rPr>
      </w:pPr>
      <w:r>
        <w:rPr>
          <w:rFonts w:ascii="ARIAL" w:hAnsi="ARIAL"/>
          <w:sz w:val="20"/>
        </w:rPr>
        <w:t xml:space="preserve">Proponent’s request to issue science-based targets within one year is unnecessary; the commitments described above are requisite first steps in that process and, thus, voting against the Proposal would not delay or prohibit our ability to set such targets in the future. Under the SBTi framework requirements, if we were to commit to setting science-based targets, we would have two years to develop, submit and verify such standards (rather than one year, as requested by the Proposal). Given the progress we have already made and that we are committed to continue meeting the challenges of reducing emissions, it would impose a needless constraint to commit now to adopt the goals and fixed timetable sought by the Proposal. </w:t>
      </w:r>
    </w:p>
    <w:p>
      <w:pPr>
        <w:pStyle w:val="TextBody"/>
        <w:spacing w:before="240" w:after="0"/>
        <w:jc w:val="left"/>
        <w:rPr>
          <w:rFonts w:ascii="ARIAL" w:hAnsi="ARIAL"/>
          <w:sz w:val="20"/>
        </w:rPr>
      </w:pPr>
      <w:r>
        <w:rPr>
          <w:rFonts w:ascii="ARIAL" w:hAnsi="ARIAL"/>
          <w:sz w:val="20"/>
        </w:rPr>
        <w:t xml:space="preserve">Moreover, committing now to science-based targets would likely require us to measure and report Scope 3 emissions well within that time frame, which is unrealistic, even given the significant attention we are already dedicating to GHG matters. While we are committed to advancing our efforts to meet the challenges of GHG emissions reduction, our approach is appropriately thoughtful and deliberate, which includes balancing the needs of our businesses, employees, investors and other stakeholders and understanding the implications on our operations and our ability to meet any such commitments. It also is commonly acknowledged (including by the proponent) that E.U. cement companies that have set long-term science-based target are relying on the advancement of carbon capture technology that remains unproven on a commercial scale. We believe that setting targets that require substantial future technological achievements outside our control could create reputational risk and potential harm to our business and shareholders should such advancements fail to materialize. It is not in the interest of the Company or our shareholders for us to engage in greenwashing and make commitments dependent on speculative developments while we are continuing to advance our more rigorous processes. These same companies have also set near term targets that rely on reducing clinker factor in their cement by product blending and other favorable regulatory advantages currently unavailable to U.S. operators. In the absence of similar regulatory opportunities in the U.S., we have achieved GHG reductions through significant investment in our plants and other operational improvements. </w:t>
      </w:r>
    </w:p>
    <w:p>
      <w:pPr>
        <w:pStyle w:val="TextBody"/>
        <w:spacing w:before="240" w:after="0"/>
        <w:jc w:val="left"/>
        <w:rPr>
          <w:rFonts w:ascii="ARIAL" w:hAnsi="ARIAL"/>
          <w:b/>
          <w:sz w:val="20"/>
        </w:rPr>
      </w:pPr>
      <w:r>
        <w:rPr>
          <w:rFonts w:ascii="ARIAL" w:hAnsi="ARIAL"/>
          <w:b/>
          <w:sz w:val="20"/>
        </w:rPr>
        <w:t xml:space="preserve">Our GHG Approach and Profile </w:t>
      </w:r>
    </w:p>
    <w:p>
      <w:pPr>
        <w:pStyle w:val="TextBody"/>
        <w:spacing w:before="120" w:after="0"/>
        <w:jc w:val="left"/>
        <w:rPr>
          <w:rFonts w:ascii="ARIAL" w:hAnsi="ARIAL"/>
          <w:sz w:val="20"/>
        </w:rPr>
      </w:pPr>
      <w:r>
        <w:rPr>
          <w:rFonts w:ascii="ARIAL" w:hAnsi="ARIAL"/>
          <w:sz w:val="20"/>
        </w:rPr>
        <w:t xml:space="preserve">Our approach to addressing GHG emissions in our operations starts with the oversight of our Board and management. The Board considers sustainability issues an integral part of its business oversight and takes an active role in determining Martin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92</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50"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4" descr=""/>
                          <pic:cNvPicPr>
                            <a:picLocks noChangeAspect="1" noChangeArrowheads="1"/>
                          </pic:cNvPicPr>
                        </pic:nvPicPr>
                        <pic:blipFill>
                          <a:blip r:embed="rId23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 xml:space="preserve">PROPOSAL 5: ADVISORY VOTE ON A SHAREHOLDER PROPOSAL REGARDING GREENHOUSE GAS EMISSIONS REDUCTION TARGETS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Marietta’s strategic priorities with respect to climate change. We established an Ethics, Environment, Safety and Health Committee in 1994 whose responsibilities include reviewing Martin Marietta’s climate and other sustainability goals, as well as Martin Marietta’s sustainability-related performance and engagement with investors. </w:t>
      </w:r>
    </w:p>
    <w:p>
      <w:pPr>
        <w:pStyle w:val="TextBody"/>
        <w:spacing w:before="240" w:after="0"/>
        <w:jc w:val="left"/>
        <w:rPr>
          <w:rFonts w:ascii="ARIAL" w:hAnsi="ARIAL"/>
          <w:sz w:val="20"/>
        </w:rPr>
      </w:pPr>
      <w:r>
        <w:rPr>
          <w:rFonts w:ascii="ARIAL" w:hAnsi="ARIAL"/>
          <w:sz w:val="20"/>
        </w:rPr>
        <w:t xml:space="preserve">As noted previously, Martin Marietta is overwhelmingly an aggregates (crushed stone, sand and gravel) business, from the perspective of our revenue, profitability and the number of facilities we own or operate, including approximately 350 quarries and other aggregates-related facilities. We operate two heritage cement plants only, both located in Texas. </w:t>
      </w:r>
    </w:p>
    <w:p>
      <w:pPr>
        <w:pStyle w:val="TextBody"/>
        <w:spacing w:before="240" w:after="0"/>
        <w:jc w:val="left"/>
        <w:rPr>
          <w:rFonts w:ascii="ARIAL" w:hAnsi="ARIAL"/>
          <w:sz w:val="20"/>
        </w:rPr>
      </w:pPr>
      <w:r>
        <w:rPr>
          <w:rFonts w:ascii="ARIAL" w:hAnsi="ARIAL"/>
          <w:sz w:val="20"/>
        </w:rPr>
        <w:t xml:space="preserve">To support its demands during our engagement efforts (including its demands to issue science-based targets), the proponent has consistently compared Martin Marietta to largely European-based cement companies with substantially larger GHG emissions profiles. As shown by the charts1 below, however, Martin Marietta has a relatively low GHG emissions profile compared to those and other cement companies. </w:t>
      </w:r>
    </w:p>
    <w:p>
      <w:pPr>
        <w:pStyle w:val="TextBody"/>
        <w:spacing w:before="0" w:after="0"/>
        <w:jc w:val="left"/>
        <w:rPr/>
      </w:pPr>
      <w:r>
        <w:rPr/>
        <w:t> </w:t>
      </w:r>
    </w:p>
    <w:p>
      <w:pPr>
        <w:pStyle w:val="TextBody"/>
        <w:spacing w:before="0" w:after="0"/>
        <w:jc w:val="center"/>
        <w:rPr/>
      </w:pPr>
      <w:r>
        <w:rPr/>
        <w:drawing>
          <wp:inline distT="0" distB="0" distL="0" distR="0">
            <wp:extent cx="506730" cy="282575"/>
            <wp:effectExtent l="0" t="0" r="0" b="0"/>
            <wp:docPr id="25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35" descr=""/>
                    <pic:cNvPicPr>
                      <a:picLocks noChangeAspect="1" noChangeArrowheads="1"/>
                    </pic:cNvPicPr>
                  </pic:nvPicPr>
                  <pic:blipFill>
                    <a:blip r:embed="rId236"/>
                    <a:stretch>
                      <a:fillRect/>
                    </a:stretch>
                  </pic:blipFill>
                  <pic:spPr bwMode="auto">
                    <a:xfrm>
                      <a:off x="0" y="0"/>
                      <a:ext cx="506730" cy="282575"/>
                    </a:xfrm>
                    <a:prstGeom prst="rect">
                      <a:avLst/>
                    </a:prstGeom>
                  </pic:spPr>
                </pic:pic>
              </a:graphicData>
            </a:graphic>
          </wp:inline>
        </w:drawing>
      </w:r>
      <w:r>
        <w:rPr/>
        <w:t xml:space="preserve"> </w:t>
      </w:r>
    </w:p>
    <w:p>
      <w:pPr>
        <w:pStyle w:val="TextBody"/>
        <w:spacing w:before="240" w:after="0"/>
        <w:jc w:val="center"/>
        <w:rPr>
          <w:rFonts w:ascii="ARIAL" w:hAnsi="ARIAL"/>
          <w:i/>
          <w:sz w:val="16"/>
        </w:rPr>
      </w:pPr>
      <w:r>
        <w:rPr>
          <w:rFonts w:ascii="ARIAL" w:hAnsi="ARIAL"/>
          <w:i/>
          <w:sz w:val="16"/>
        </w:rPr>
        <w:t xml:space="preserve">Sources: 2021 annual reports, sustainability reports and corporate websites. </w:t>
      </w:r>
    </w:p>
    <w:p>
      <w:pPr>
        <w:pStyle w:val="TextBody"/>
        <w:spacing w:before="0" w:after="0"/>
        <w:jc w:val="left"/>
        <w:rPr/>
      </w:pPr>
      <w:r>
        <w:rPr/>
        <w:t> </w:t>
      </w:r>
    </w:p>
    <w:p>
      <w:pPr>
        <w:pStyle w:val="TextBody"/>
        <w:spacing w:before="0" w:after="0"/>
        <w:jc w:val="center"/>
        <w:rPr/>
      </w:pPr>
      <w:r>
        <w:rPr/>
        <w:drawing>
          <wp:inline distT="0" distB="0" distL="0" distR="0">
            <wp:extent cx="504190" cy="248285"/>
            <wp:effectExtent l="0" t="0" r="0" b="0"/>
            <wp:docPr id="252"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36" descr=""/>
                    <pic:cNvPicPr>
                      <a:picLocks noChangeAspect="1" noChangeArrowheads="1"/>
                    </pic:cNvPicPr>
                  </pic:nvPicPr>
                  <pic:blipFill>
                    <a:blip r:embed="rId237"/>
                    <a:stretch>
                      <a:fillRect/>
                    </a:stretch>
                  </pic:blipFill>
                  <pic:spPr bwMode="auto">
                    <a:xfrm>
                      <a:off x="0" y="0"/>
                      <a:ext cx="504190" cy="248285"/>
                    </a:xfrm>
                    <a:prstGeom prst="rect">
                      <a:avLst/>
                    </a:prstGeom>
                  </pic:spPr>
                </pic:pic>
              </a:graphicData>
            </a:graphic>
          </wp:inline>
        </w:drawing>
      </w:r>
      <w:r>
        <w:rPr/>
        <w:t xml:space="preserve"> </w:t>
      </w:r>
    </w:p>
    <w:p>
      <w:pPr>
        <w:pStyle w:val="TextBody"/>
        <w:spacing w:before="240" w:after="0"/>
        <w:jc w:val="center"/>
        <w:rPr>
          <w:rFonts w:ascii="ARIAL" w:hAnsi="ARIAL"/>
          <w:i/>
          <w:sz w:val="16"/>
        </w:rPr>
      </w:pPr>
      <w:r>
        <w:rPr>
          <w:rFonts w:ascii="ARIAL" w:hAnsi="ARIAL"/>
          <w:i/>
          <w:sz w:val="16"/>
        </w:rPr>
        <w:t xml:space="preserve">Sources: 2021 annual reports, sustainability reports and corporate websites. </w:t>
      </w:r>
    </w:p>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jc w:val="left"/>
              <w:rPr/>
            </w:pPr>
            <w:r>
              <w:rPr/>
              <w:t>1 </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These emissions are derived from public disclosures by the applicable companies and we do not adopt any of their disclosures as our own statements. </w:t>
            </w:r>
          </w:p>
        </w:tc>
      </w:tr>
    </w:tbl>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53"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37" descr=""/>
                          <pic:cNvPicPr>
                            <a:picLocks noChangeAspect="1" noChangeArrowheads="1"/>
                          </pic:cNvPicPr>
                        </pic:nvPicPr>
                        <pic:blipFill>
                          <a:blip r:embed="rId23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93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PROPOSAL 5: ADVISORY VOTE ON A SHAREHOLDER PROPOSAL REGARDING GREENHOUSE GAS EMISSIONS REDUCTION TARGETS  ◆</w:t>
      </w:r>
      <w:r>
        <w:rPr>
          <w:rFonts w:ascii="ARIAL" w:hAnsi="ARIAL"/>
          <w:sz w:val="16"/>
        </w:rPr>
        <w:t xml:space="preserve">   </w:t>
      </w:r>
    </w:p>
    <w:p>
      <w:pPr>
        <w:pStyle w:val="TextBody"/>
        <w:spacing w:before="0" w:after="0"/>
        <w:jc w:val="left"/>
        <w:rPr/>
      </w:pPr>
      <w:r>
        <w:rPr/>
        <w:t> </w:t>
      </w:r>
    </w:p>
    <w:p>
      <w:pPr>
        <w:pStyle w:val="TextBody"/>
        <w:spacing w:before="0" w:after="0"/>
        <w:jc w:val="center"/>
        <w:rPr/>
      </w:pPr>
      <w:r>
        <w:rPr/>
        <w:drawing>
          <wp:inline distT="0" distB="0" distL="0" distR="0">
            <wp:extent cx="506730" cy="248920"/>
            <wp:effectExtent l="0" t="0" r="0" b="0"/>
            <wp:docPr id="254"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8" descr=""/>
                    <pic:cNvPicPr>
                      <a:picLocks noChangeAspect="1" noChangeArrowheads="1"/>
                    </pic:cNvPicPr>
                  </pic:nvPicPr>
                  <pic:blipFill>
                    <a:blip r:embed="rId239"/>
                    <a:stretch>
                      <a:fillRect/>
                    </a:stretch>
                  </pic:blipFill>
                  <pic:spPr bwMode="auto">
                    <a:xfrm>
                      <a:off x="0" y="0"/>
                      <a:ext cx="506730" cy="248920"/>
                    </a:xfrm>
                    <a:prstGeom prst="rect">
                      <a:avLst/>
                    </a:prstGeom>
                  </pic:spPr>
                </pic:pic>
              </a:graphicData>
            </a:graphic>
          </wp:inline>
        </w:drawing>
      </w:r>
      <w:r>
        <w:rPr/>
        <w:t xml:space="preserve"> </w:t>
      </w:r>
    </w:p>
    <w:p>
      <w:pPr>
        <w:pStyle w:val="TextBody"/>
        <w:spacing w:before="240" w:after="0"/>
        <w:jc w:val="center"/>
        <w:rPr>
          <w:rFonts w:ascii="ARIAL" w:hAnsi="ARIAL"/>
          <w:i/>
          <w:sz w:val="16"/>
        </w:rPr>
      </w:pPr>
      <w:r>
        <w:rPr>
          <w:rFonts w:ascii="ARIAL" w:hAnsi="ARIAL"/>
          <w:i/>
          <w:sz w:val="16"/>
        </w:rPr>
        <w:t xml:space="preserve">Sources: 2021 annual reports, sustainability reports and corporate websites. </w:t>
      </w:r>
    </w:p>
    <w:p>
      <w:pPr>
        <w:pStyle w:val="TextBody"/>
        <w:spacing w:before="240" w:after="0"/>
        <w:jc w:val="left"/>
        <w:rPr>
          <w:rFonts w:ascii="ARIAL" w:hAnsi="ARIAL"/>
          <w:sz w:val="20"/>
        </w:rPr>
      </w:pPr>
      <w:r>
        <w:rPr>
          <w:rFonts w:ascii="ARIAL" w:hAnsi="ARIAL"/>
          <w:sz w:val="20"/>
        </w:rPr>
        <w:t xml:space="preserve">In fact, we are a very small (&lt;0.2%) contributor to the overall Scope 1 emissions (which are direct GHG emissions that occur from sources that are controlled or owned by an organization) and Scope 2 emissions (which are indirect emissions associated with the purchase of electricity, steam, heat and cooling) attributed to the global cement sector. </w:t>
      </w:r>
    </w:p>
    <w:p>
      <w:pPr>
        <w:pStyle w:val="TextBody"/>
        <w:spacing w:before="240" w:after="0"/>
        <w:jc w:val="left"/>
        <w:rPr>
          <w:rFonts w:ascii="ARIAL" w:hAnsi="ARIAL"/>
          <w:b/>
          <w:sz w:val="20"/>
        </w:rPr>
      </w:pPr>
      <w:r>
        <w:rPr>
          <w:rFonts w:ascii="ARIAL" w:hAnsi="ARIAL"/>
          <w:b/>
          <w:sz w:val="20"/>
        </w:rPr>
        <w:t xml:space="preserve">Our GHG Reduction Commitments and Initiatives </w:t>
      </w:r>
    </w:p>
    <w:p>
      <w:pPr>
        <w:pStyle w:val="TextBody"/>
        <w:spacing w:before="120" w:after="0"/>
        <w:jc w:val="left"/>
        <w:rPr>
          <w:rFonts w:ascii="ARIAL" w:hAnsi="ARIAL"/>
          <w:sz w:val="20"/>
        </w:rPr>
      </w:pPr>
      <w:r>
        <w:rPr>
          <w:rFonts w:ascii="ARIAL" w:hAnsi="ARIAL"/>
          <w:sz w:val="20"/>
        </w:rPr>
        <w:t xml:space="preserve">Martin Marietta completed its first Sustainability Report for calendar year 2018 (which was published in 2019) and has continued to publish subsequent annual Sustainability Reports2. We have taken a stepped approach that has consistently built on our disclosure and commitments in each subsequent year with respect to GHG and other sustainability matters. </w:t>
      </w:r>
    </w:p>
    <w:p>
      <w:pPr>
        <w:pStyle w:val="TextBody"/>
        <w:spacing w:before="240" w:after="0"/>
        <w:jc w:val="left"/>
        <w:rPr>
          <w:rFonts w:ascii="ARIAL" w:hAnsi="ARIAL"/>
          <w:sz w:val="20"/>
        </w:rPr>
      </w:pPr>
      <w:r>
        <w:rPr>
          <w:rFonts w:ascii="ARIAL" w:hAnsi="ARIAL"/>
          <w:sz w:val="20"/>
        </w:rPr>
        <w:t xml:space="preserve">Our two cement plants have been publicly reporting their Scope 1 GHG emissions under the U.S. Environmental Protection Agency’s Greenhouse Gas Reporting Rule since approximately 2010, and we believe they are among the industry’s most modern. In fact, we have invested over a billion dollars in plant modernization in those two plants since 2008. Many of the other cement producers have more plants that are significantly older and less efficient, and/or operate outside the U.S. in more lenient jurisdictions that do not require emissions reporting to regulatory authorities. We know that our plants are industry leaders in comparison to facilities of the other cement companies to which the proponent has compared us, from emissions, efficiency and safety perspectives as we have acquired some of those operations in the past. </w:t>
      </w:r>
    </w:p>
    <w:p>
      <w:pPr>
        <w:pStyle w:val="TextBody"/>
        <w:spacing w:before="240" w:after="0"/>
        <w:jc w:val="left"/>
        <w:rPr>
          <w:rFonts w:ascii="ARIAL" w:hAnsi="ARIAL"/>
          <w:sz w:val="20"/>
        </w:rPr>
      </w:pPr>
      <w:r>
        <w:rPr>
          <w:rFonts w:ascii="ARIAL" w:hAnsi="ARIAL"/>
          <w:sz w:val="20"/>
        </w:rPr>
        <w:t xml:space="preserve">As reflected in our past actions, we understand the importance of doing our part in the battle against climate change. As described in our annual Sustainability Reports, the Company has made and continues to pursue, reassess and expand various important commitments to reduce GHG emissions, along with continuing to advance our sustainability-related disclosures generally each year. In particular, these commitments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in our 2019 Sustainability Report, setting 15% Scope 1 carbon intensity reduction targets for 2030 covering our cement and magnesia businesses, which are responsible for approximately 87% of our Scope 1 GHG emissions; </w:t>
            </w:r>
          </w:p>
        </w:tc>
      </w:tr>
    </w:tbl>
    <w:p>
      <w:pPr>
        <w:pStyle w:val="TextBody"/>
        <w:spacing w:before="0" w:after="0"/>
        <w:jc w:val="left"/>
        <w:rPr/>
      </w:pPr>
      <w:r>
        <w:rPr/>
        <w:t> </w:t>
      </w:r>
    </w:p>
    <w:tbl>
      <w:tblPr>
        <w:tblW w:w="6760" w:type="dxa"/>
        <w:jc w:val="left"/>
        <w:tblInd w:w="0" w:type="dxa"/>
        <w:tblCellMar>
          <w:top w:w="0" w:type="dxa"/>
          <w:left w:w="0" w:type="dxa"/>
          <w:bottom w:w="0" w:type="dxa"/>
          <w:right w:w="0" w:type="dxa"/>
        </w:tblCellMar>
      </w:tblPr>
      <w:tblGrid>
        <w:gridCol w:w="75"/>
        <w:gridCol w:w="110"/>
        <w:gridCol w:w="60"/>
        <w:gridCol w:w="65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15" w:type="dxa"/>
            <w:tcBorders/>
            <w:shd w:fill="auto" w:val="clear"/>
            <w:vAlign w:val="center"/>
          </w:tcPr>
          <w:p>
            <w:pPr>
              <w:pStyle w:val="TableContents"/>
              <w:spacing w:before="0" w:after="0"/>
              <w:jc w:val="left"/>
              <w:rPr>
                <w:rFonts w:ascii="ARIAL" w:hAnsi="ARIAL"/>
                <w:sz w:val="20"/>
              </w:rPr>
            </w:pPr>
            <w:r>
              <w:rPr>
                <w:rFonts w:ascii="ARIAL" w:hAnsi="ARIAL"/>
                <w:sz w:val="20"/>
              </w:rPr>
              <w:t xml:space="preserve">in our 2020 Sustainability Report, disclosing our Scope 2 GHG emissions;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in our 2021 Sustainability Report, setting Scope 2 GHG reduction targets of 30% by 2030 (over a 2021 baseline year) and committing to be carbon neutral for our Scope 2 GHG emissions by 2050 across all product lines;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in our forthcoming 2022 Sustainability Report, expanding our 2050 Net Zero Target commitments on Scope 2 GHG emissions to include a Net Zero ambition on Scope 1 GHG emissions.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jc w:val="left"/>
              <w:rPr/>
            </w:pPr>
            <w:r>
              <w:rPr/>
              <w:t>2 </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All references to disclosures in our Sustainability Reports are subject to the assumptions and limitations described therein, and none of our Sustainability Reports are being incorporated by reference into this proxy statement. </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94</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55"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9" descr=""/>
                          <pic:cNvPicPr>
                            <a:picLocks noChangeAspect="1" noChangeArrowheads="1"/>
                          </pic:cNvPicPr>
                        </pic:nvPicPr>
                        <pic:blipFill>
                          <a:blip r:embed="rId24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PROPOSAL 5: ADVISORY VOTE ON A SHAREHOLDER PROPOSAL REGARDING GREENHOUSE GAS EMISSIONS REDUCTION TARGETS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In conjunction with these GHG reduction targets and goals, and in response to feedback from various investors and stakeholders, we have disclosed </w:t>
      </w:r>
      <w:r>
        <w:rPr>
          <w:rFonts w:ascii="ARIAL" w:hAnsi="ARIAL"/>
          <w:i/>
          <w:sz w:val="20"/>
        </w:rPr>
        <w:t>Our Roadmap</w:t>
      </w:r>
      <w:r>
        <w:rPr>
          <w:rFonts w:ascii="ARIAL" w:hAnsi="ARIAL"/>
          <w:sz w:val="20"/>
        </w:rPr>
        <w:t xml:space="preserve"> to achieving such goals in our Sustainability Report, which includes numerous actions that we believe are currently achievable to which we have committed, through current or recent investments and operational improvements, as well as future steps we are evaluating. </w:t>
      </w:r>
    </w:p>
    <w:p>
      <w:pPr>
        <w:pStyle w:val="TextBody"/>
        <w:spacing w:before="240" w:after="0"/>
        <w:jc w:val="left"/>
        <w:rPr>
          <w:rFonts w:ascii="ARIAL" w:hAnsi="ARIAL"/>
          <w:sz w:val="20"/>
        </w:rPr>
      </w:pPr>
      <w:r>
        <w:rPr>
          <w:rFonts w:ascii="ARIAL" w:hAnsi="ARIAL"/>
          <w:sz w:val="20"/>
        </w:rPr>
        <w:t xml:space="preserve">As a direct result of our engagement with numerous shareholders and other stakeholders, including the proponent, we will be updating and providing additional detail to </w:t>
      </w:r>
      <w:r>
        <w:rPr>
          <w:rFonts w:ascii="ARIAL" w:hAnsi="ARIAL"/>
          <w:i/>
          <w:sz w:val="20"/>
        </w:rPr>
        <w:t xml:space="preserve">Our Roadmap </w:t>
      </w:r>
      <w:r>
        <w:rPr>
          <w:rFonts w:ascii="ARIAL" w:hAnsi="ARIAL"/>
          <w:sz w:val="20"/>
        </w:rPr>
        <w:t xml:space="preserve">in our forthcoming 2022 Sustainability Report. </w:t>
      </w:r>
    </w:p>
    <w:p>
      <w:pPr>
        <w:pStyle w:val="TextBody"/>
        <w:spacing w:before="240" w:after="0"/>
        <w:jc w:val="left"/>
        <w:rPr>
          <w:rFonts w:ascii="ARIAL" w:hAnsi="ARIAL"/>
          <w:sz w:val="20"/>
        </w:rPr>
      </w:pPr>
      <w:r>
        <w:rPr>
          <w:rFonts w:ascii="ARIAL" w:hAnsi="ARIAL"/>
          <w:sz w:val="20"/>
        </w:rPr>
        <w:t xml:space="preserve">As we have discussed with the proponent, we will continue to consider the business and operational implications of verifying or setting targets in alignment with science-based frameworks or guidance, including continuing to evaluate potential opportunities both to expand the coverage of our existing Scope 1 and 2 reduction targets and to measure and assess our Scope 3 GHG emissions. </w:t>
      </w:r>
    </w:p>
    <w:p>
      <w:pPr>
        <w:pStyle w:val="TextBody"/>
        <w:spacing w:before="240" w:after="0"/>
        <w:jc w:val="left"/>
        <w:rPr>
          <w:rFonts w:ascii="ARIAL" w:hAnsi="ARIAL"/>
          <w:b/>
          <w:sz w:val="20"/>
        </w:rPr>
      </w:pPr>
      <w:r>
        <w:rPr>
          <w:rFonts w:ascii="ARIAL" w:hAnsi="ARIAL"/>
          <w:b/>
          <w:sz w:val="20"/>
        </w:rPr>
        <w:t xml:space="preserve">Carbon Intensity Considerations </w:t>
      </w:r>
    </w:p>
    <w:p>
      <w:pPr>
        <w:pStyle w:val="TextBody"/>
        <w:spacing w:before="120" w:after="0"/>
        <w:jc w:val="left"/>
        <w:rPr>
          <w:rFonts w:ascii="ARIAL" w:hAnsi="ARIAL"/>
          <w:sz w:val="20"/>
        </w:rPr>
      </w:pPr>
      <w:r>
        <w:rPr>
          <w:rFonts w:ascii="ARIAL" w:hAnsi="ARIAL"/>
          <w:sz w:val="20"/>
        </w:rPr>
        <w:t xml:space="preserve">As discussed in detail in our 2021 Sustainability Report and as will be discussed in our forthcoming 2022 Sustainability Report, we believe our reduction efforts and commitments compare favorably to other cement operators, particularly when taking into account important differences in applicable regulatory schemes and incentives applicable to E.U. cement operators. First, as a result of our reduction efforts to date, our current carbon intensity (which is a measure of CO2(e) emissions per unit of cement produced) is already lower than the U.S. domestic cement industry average, and we believe the targets we have set will continue to position us favorably in that respect. Second, E.U. cement operators that report lower carbon intensity metrics rely on blending cement clinker with non-clinker materials at levels that are simply not permitted under applicable standards in the U.S., where our two cement plants are located. Those operators also benefit from more favorable regulatory incentives for combusting certain alternative fuel sources (such as discarded tires) and from using emissions calculation methodologies that allow them to report lower emissions by omitting emissions associated with those fuels from carbon intensity calculations. These calculation methodologies, however, are not permitted under U.S. regulations. </w:t>
      </w:r>
    </w:p>
    <w:p>
      <w:pPr>
        <w:pStyle w:val="TextBody"/>
        <w:spacing w:before="240" w:after="0"/>
        <w:jc w:val="left"/>
        <w:rPr>
          <w:rFonts w:ascii="ARIAL" w:hAnsi="ARIAL"/>
          <w:sz w:val="20"/>
        </w:rPr>
      </w:pPr>
      <w:r>
        <w:rPr>
          <w:rFonts w:ascii="ARIAL" w:hAnsi="ARIAL"/>
          <w:sz w:val="20"/>
        </w:rPr>
        <w:t xml:space="preserve">This discrepancy results in a false comparison between commonly used U.S. and non-U.S. carbon intensity figures; in its correspondence with us, even the proponent has acknowledged our “concerns about being compared with misleading figures.” </w:t>
      </w:r>
    </w:p>
    <w:p>
      <w:pPr>
        <w:pStyle w:val="TextBody"/>
        <w:spacing w:before="240" w:after="0"/>
        <w:jc w:val="left"/>
        <w:rPr>
          <w:rFonts w:ascii="ARIAL" w:hAnsi="ARIAL"/>
          <w:sz w:val="20"/>
        </w:rPr>
      </w:pPr>
      <w:r>
        <w:rPr>
          <w:rFonts w:ascii="ARIAL" w:hAnsi="ARIAL"/>
          <w:sz w:val="20"/>
        </w:rPr>
        <w:t xml:space="preserve">In short, as illustrated above, we believe the steps we have taken to date, and those we will continue to take in the future, make us a leader in the aggregates sector, where many of our aggregates competitors have not made similar disclosures or commitments. In addition, we believe that our small, strategic cement business compares favorably to large U.S. and E.U. cement operators, particularly after accounting for regulatory differences and given that our reductions to date and future targets reflect efficiency and other improvements that we believe result in real and meaningful operational emissions reductions. Importantly, we also believe that we have demonstrated that we are actively engaging with both the proponent as well as other shareholders and stakeholders to learn more about our business and the path forward for carbon neutrality, as well as understanding any concerns. </w:t>
      </w:r>
    </w:p>
    <w:p>
      <w:pPr>
        <w:pStyle w:val="TextBody"/>
        <w:spacing w:before="240" w:after="0"/>
        <w:jc w:val="left"/>
        <w:rPr>
          <w:rFonts w:ascii="ARIAL" w:hAnsi="ARIAL"/>
          <w:sz w:val="20"/>
        </w:rPr>
      </w:pPr>
      <w:r>
        <w:rPr>
          <w:rFonts w:ascii="ARIAL" w:hAnsi="ARIAL"/>
          <w:sz w:val="20"/>
        </w:rPr>
        <w:t xml:space="preserve">The Proposal by does not acknowledge the significant work, commitment and continuing efforts by Martin Marietta to reduce its GHG emissions, nor does the Proposal contemplate commitments that are currently practical, appropriately deliberate or tailored to the specifics of our business in the U.S. Rather, the Proposal seeks commitments to set targets on a timeframe that is not operationally viable or advisable, that rely on speculative future technologies, and that dismiss the potentially adverse consequences to our business and all of our shareholders’ interests if we make expensive, technologically impossible commitments. </w:t>
      </w:r>
    </w:p>
    <w:p>
      <w:pPr>
        <w:pStyle w:val="TextBody"/>
        <w:spacing w:before="240" w:after="0"/>
        <w:jc w:val="left"/>
        <w:rPr>
          <w:rFonts w:ascii="ARIAL" w:hAnsi="ARIAL"/>
          <w:b/>
          <w:sz w:val="20"/>
        </w:rPr>
      </w:pPr>
      <w:r>
        <w:rPr>
          <w:rFonts w:ascii="ARIAL" w:hAnsi="ARIAL"/>
          <w:b/>
          <w:sz w:val="20"/>
        </w:rPr>
        <w:t xml:space="preserve">Therefore, the Board recommends a vote AGAINST this proposal.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56"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40" descr=""/>
                          <pic:cNvPicPr>
                            <a:picLocks noChangeAspect="1" noChangeArrowheads="1"/>
                          </pic:cNvPicPr>
                        </pic:nvPicPr>
                        <pic:blipFill>
                          <a:blip r:embed="rId24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95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7CBA"/>
          <w:sz w:val="42"/>
        </w:rPr>
      </w:pPr>
      <w:bookmarkStart w:id="79" w:name="toc390557_70"/>
      <w:bookmarkEnd w:id="79"/>
      <w:r>
        <w:rPr>
          <w:rFonts w:ascii="ARIAL" w:hAnsi="ARIAL"/>
          <w:b/>
          <w:color w:val="007CBA"/>
          <w:sz w:val="42"/>
        </w:rPr>
        <w:t xml:space="preserve">Securities Authorized for Issuance Under Equity Compensation Plans </w:t>
      </w:r>
    </w:p>
    <w:p>
      <w:pPr>
        <w:pStyle w:val="TextBody"/>
        <w:spacing w:before="240" w:after="0"/>
        <w:jc w:val="left"/>
        <w:rPr>
          <w:rFonts w:ascii="ARIAL" w:hAnsi="ARIAL"/>
          <w:sz w:val="20"/>
        </w:rPr>
      </w:pPr>
      <w:r>
        <w:rPr>
          <w:rFonts w:ascii="ARIAL" w:hAnsi="ARIAL"/>
          <w:sz w:val="20"/>
        </w:rPr>
        <w:t xml:space="preserve">The following table shows information as of December 31, 2022 regarding Martin Marietta’s compensation plans that allow Martin Marietta to issue its equity securities. Martin Marietta’s equity compensation plans consist of the Amended and Restated Martin Marietta Materials, Inc. Common Stock Purchase Plan for Directors (the Directors’ Plan), the Stock Plan, the Martin Marietta Materials, Inc. Amended and Restated Stock-Based Award Plan (the Stock-Based Award Plan), under which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 </w:t>
      </w:r>
    </w:p>
    <w:p>
      <w:pPr>
        <w:pStyle w:val="TextBody"/>
        <w:spacing w:before="360" w:after="0"/>
        <w:jc w:val="left"/>
        <w:rPr>
          <w:rFonts w:ascii="ARIAL" w:hAnsi="ARIAL"/>
          <w:b/>
          <w:color w:val="71BE9A"/>
          <w:sz w:val="26"/>
        </w:rPr>
      </w:pPr>
      <w:bookmarkStart w:id="80" w:name="toc390557_71"/>
      <w:bookmarkEnd w:id="80"/>
      <w:r>
        <w:rPr>
          <w:rFonts w:ascii="ARIAL" w:hAnsi="ARIAL"/>
          <w:b/>
          <w:color w:val="71BE9A"/>
          <w:sz w:val="26"/>
        </w:rPr>
        <w:t xml:space="preserve">Equity Compensation Plan Information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61"/>
        <w:gridCol w:w="120"/>
        <w:gridCol w:w="129"/>
        <w:gridCol w:w="1991"/>
        <w:gridCol w:w="60"/>
        <w:gridCol w:w="120"/>
        <w:gridCol w:w="145"/>
        <w:gridCol w:w="1948"/>
        <w:gridCol w:w="60"/>
        <w:gridCol w:w="120"/>
        <w:gridCol w:w="145"/>
        <w:gridCol w:w="2230"/>
        <w:gridCol w:w="76"/>
      </w:tblGrid>
      <w:tr>
        <w:trPr/>
        <w:tc>
          <w:tcPr>
            <w:tcW w:w="306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9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061" w:type="dxa"/>
            <w:tcBorders/>
            <w:shd w:fill="DBDBDB" w:val="clear"/>
            <w:vAlign w:val="center"/>
          </w:tcPr>
          <w:p>
            <w:pPr>
              <w:pStyle w:val="TableContents"/>
              <w:spacing w:before="0" w:after="283"/>
              <w:rPr>
                <w:sz w:val="4"/>
                <w:szCs w:val="4"/>
              </w:rPr>
            </w:pPr>
            <w:r>
              <w:rPr>
                <w:sz w:val="4"/>
                <w:szCs w:val="4"/>
              </w:rPr>
            </w:r>
          </w:p>
        </w:tc>
        <w:tc>
          <w:tcPr>
            <w:tcW w:w="2300" w:type="dxa"/>
            <w:gridSpan w:val="4"/>
            <w:tcBorders/>
            <w:shd w:fill="DBDBDB" w:val="clear"/>
            <w:vAlign w:val="center"/>
          </w:tcPr>
          <w:p>
            <w:pPr>
              <w:pStyle w:val="TableContents"/>
              <w:spacing w:before="0" w:after="283"/>
              <w:rPr>
                <w:sz w:val="4"/>
                <w:szCs w:val="4"/>
              </w:rPr>
            </w:pPr>
            <w:r>
              <w:rPr>
                <w:sz w:val="4"/>
                <w:szCs w:val="4"/>
              </w:rPr>
            </w:r>
          </w:p>
        </w:tc>
        <w:tc>
          <w:tcPr>
            <w:tcW w:w="2273" w:type="dxa"/>
            <w:gridSpan w:val="4"/>
            <w:tcBorders/>
            <w:shd w:fill="DBDBDB" w:val="clear"/>
            <w:vAlign w:val="center"/>
          </w:tcPr>
          <w:p>
            <w:pPr>
              <w:pStyle w:val="TableContents"/>
              <w:spacing w:before="0" w:after="283"/>
              <w:rPr>
                <w:sz w:val="4"/>
                <w:szCs w:val="4"/>
              </w:rPr>
            </w:pPr>
            <w:r>
              <w:rPr>
                <w:sz w:val="4"/>
                <w:szCs w:val="4"/>
              </w:rPr>
            </w:r>
          </w:p>
        </w:tc>
        <w:tc>
          <w:tcPr>
            <w:tcW w:w="2571" w:type="dxa"/>
            <w:gridSpan w:val="4"/>
            <w:tcBorders/>
            <w:shd w:fill="DBDBDB" w:val="clear"/>
            <w:vAlign w:val="center"/>
          </w:tcPr>
          <w:p>
            <w:pPr>
              <w:pStyle w:val="TableContents"/>
              <w:spacing w:before="0" w:after="283"/>
              <w:rPr>
                <w:sz w:val="4"/>
                <w:szCs w:val="4"/>
              </w:rPr>
            </w:pPr>
            <w:r>
              <w:rPr>
                <w:sz w:val="4"/>
                <w:szCs w:val="4"/>
              </w:rPr>
            </w:r>
          </w:p>
        </w:tc>
      </w:tr>
      <w:tr>
        <w:trPr/>
        <w:tc>
          <w:tcPr>
            <w:tcW w:w="3061" w:type="dxa"/>
            <w:tcBorders/>
            <w:shd w:fill="DBDBDB" w:val="clear"/>
            <w:vAlign w:val="center"/>
          </w:tcPr>
          <w:p>
            <w:pPr>
              <w:pStyle w:val="TableContents"/>
              <w:spacing w:before="0" w:after="0"/>
              <w:rPr>
                <w:rFonts w:ascii="ARIAL" w:hAnsi="ARIAL"/>
                <w:b/>
                <w:sz w:val="16"/>
              </w:rPr>
            </w:pPr>
            <w:r>
              <w:rPr>
                <w:rFonts w:ascii="ARIAL" w:hAnsi="ARIAL"/>
                <w:b/>
                <w:sz w:val="16"/>
              </w:rPr>
              <w:t>Plan Category</w:t>
            </w:r>
          </w:p>
        </w:tc>
        <w:tc>
          <w:tcPr>
            <w:tcW w:w="120" w:type="dxa"/>
            <w:tcBorders/>
            <w:shd w:fill="DBDBDB" w:val="clear"/>
            <w:vAlign w:val="center"/>
          </w:tcPr>
          <w:p>
            <w:pPr>
              <w:pStyle w:val="TableContents"/>
              <w:spacing w:before="0" w:after="283"/>
              <w:rPr/>
            </w:pPr>
            <w:r>
              <w:rPr/>
              <w:t>  </w:t>
            </w:r>
          </w:p>
        </w:tc>
        <w:tc>
          <w:tcPr>
            <w:tcW w:w="2120" w:type="dxa"/>
            <w:gridSpan w:val="2"/>
            <w:tcBorders/>
            <w:shd w:fill="DBDBDB" w:val="clear"/>
            <w:vAlign w:val="center"/>
          </w:tcPr>
          <w:p>
            <w:pPr>
              <w:pStyle w:val="TableContents"/>
              <w:spacing w:before="0" w:after="283"/>
              <w:jc w:val="center"/>
              <w:rPr/>
            </w:pPr>
            <w:r>
              <w:rPr>
                <w:b/>
              </w:rPr>
              <w:t>Number of securities</w:t>
              <w:br/>
              <w:t>to be issued upon</w:t>
              <w:br/>
              <w:t>exercise of</w:t>
              <w:br/>
              <w:t>outstanding options,</w:t>
              <w:br/>
              <w:t>warrants, and rights</w:t>
              <w:br/>
            </w:r>
            <w:r>
              <w:rPr/>
              <w:t>(a)</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2093" w:type="dxa"/>
            <w:gridSpan w:val="2"/>
            <w:tcBorders/>
            <w:shd w:fill="DBDBDB" w:val="clear"/>
            <w:vAlign w:val="center"/>
          </w:tcPr>
          <w:p>
            <w:pPr>
              <w:pStyle w:val="TableContents"/>
              <w:spacing w:before="0" w:after="283"/>
              <w:jc w:val="center"/>
              <w:rPr/>
            </w:pPr>
            <w:r>
              <w:rPr>
                <w:b/>
              </w:rPr>
              <w:t>Weighted-average</w:t>
              <w:br/>
              <w:t>exercise price of</w:t>
              <w:br/>
              <w:t>outstanding options,</w:t>
              <w:br/>
              <w:t>warrants, and rights</w:t>
              <w:br/>
            </w:r>
            <w:r>
              <w:rPr/>
              <w:t>(b)2</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2375" w:type="dxa"/>
            <w:gridSpan w:val="2"/>
            <w:tcBorders/>
            <w:shd w:fill="DBDBDB" w:val="clear"/>
            <w:vAlign w:val="center"/>
          </w:tcPr>
          <w:p>
            <w:pPr>
              <w:pStyle w:val="TableContents"/>
              <w:spacing w:before="0" w:after="283"/>
              <w:jc w:val="center"/>
              <w:rPr/>
            </w:pPr>
            <w:r>
              <w:rPr>
                <w:b/>
              </w:rPr>
              <w:t>Number of securities</w:t>
              <w:br/>
              <w:t>remaining available for</w:t>
              <w:br/>
              <w:t>future issuance under</w:t>
              <w:br/>
              <w:t>equity compensation</w:t>
              <w:br/>
              <w:t>plans (excluding</w:t>
              <w:br/>
              <w:t>securities reflected in</w:t>
              <w:br/>
              <w:t>column (a)</w:t>
              <w:br/>
            </w:r>
            <w:r>
              <w:rPr/>
              <w:t>(c)</w:t>
            </w:r>
          </w:p>
        </w:tc>
        <w:tc>
          <w:tcPr>
            <w:tcW w:w="76" w:type="dxa"/>
            <w:tcBorders/>
            <w:shd w:fill="DBDBDB" w:val="clear"/>
            <w:vAlign w:val="center"/>
          </w:tcPr>
          <w:p>
            <w:pPr>
              <w:pStyle w:val="TableContents"/>
              <w:spacing w:before="0" w:after="283"/>
              <w:rPr/>
            </w:pPr>
            <w:r>
              <w:rPr/>
              <w:t> </w:t>
            </w:r>
          </w:p>
        </w:tc>
      </w:tr>
      <w:tr>
        <w:trPr/>
        <w:tc>
          <w:tcPr>
            <w:tcW w:w="3061" w:type="dxa"/>
            <w:tcBorders/>
            <w:shd w:fill="auto" w:val="clear"/>
            <w:vAlign w:val="center"/>
          </w:tcPr>
          <w:p>
            <w:pPr>
              <w:pStyle w:val="TableContents"/>
              <w:spacing w:before="0" w:after="283"/>
              <w:rPr>
                <w:sz w:val="4"/>
                <w:szCs w:val="4"/>
              </w:rPr>
            </w:pPr>
            <w:r>
              <w:rPr>
                <w:sz w:val="4"/>
                <w:szCs w:val="4"/>
              </w:rPr>
            </w:r>
          </w:p>
        </w:tc>
        <w:tc>
          <w:tcPr>
            <w:tcW w:w="2300" w:type="dxa"/>
            <w:gridSpan w:val="4"/>
            <w:tcBorders/>
            <w:shd w:fill="auto" w:val="clear"/>
            <w:vAlign w:val="center"/>
          </w:tcPr>
          <w:p>
            <w:pPr>
              <w:pStyle w:val="TableContents"/>
              <w:spacing w:before="0" w:after="283"/>
              <w:rPr>
                <w:sz w:val="4"/>
                <w:szCs w:val="4"/>
              </w:rPr>
            </w:pPr>
            <w:r>
              <w:rPr>
                <w:sz w:val="4"/>
                <w:szCs w:val="4"/>
              </w:rPr>
            </w:r>
          </w:p>
        </w:tc>
        <w:tc>
          <w:tcPr>
            <w:tcW w:w="2273" w:type="dxa"/>
            <w:gridSpan w:val="4"/>
            <w:tcBorders/>
            <w:shd w:fill="auto" w:val="clear"/>
            <w:vAlign w:val="center"/>
          </w:tcPr>
          <w:p>
            <w:pPr>
              <w:pStyle w:val="TableContents"/>
              <w:spacing w:before="0" w:after="283"/>
              <w:rPr>
                <w:sz w:val="4"/>
                <w:szCs w:val="4"/>
              </w:rPr>
            </w:pPr>
            <w:r>
              <w:rPr>
                <w:sz w:val="4"/>
                <w:szCs w:val="4"/>
              </w:rPr>
            </w:r>
          </w:p>
        </w:tc>
        <w:tc>
          <w:tcPr>
            <w:tcW w:w="2571" w:type="dxa"/>
            <w:gridSpan w:val="4"/>
            <w:tcBorders/>
            <w:shd w:fill="auto" w:val="clear"/>
            <w:vAlign w:val="center"/>
          </w:tcPr>
          <w:p>
            <w:pPr>
              <w:pStyle w:val="TableContents"/>
              <w:spacing w:before="0" w:after="283"/>
              <w:rPr>
                <w:sz w:val="4"/>
                <w:szCs w:val="4"/>
              </w:rPr>
            </w:pPr>
            <w:r>
              <w:rPr>
                <w:sz w:val="4"/>
                <w:szCs w:val="4"/>
              </w:rPr>
            </w:r>
          </w:p>
        </w:tc>
      </w:tr>
      <w:tr>
        <w:trPr/>
        <w:tc>
          <w:tcPr>
            <w:tcW w:w="3061" w:type="dxa"/>
            <w:tcBorders>
              <w:bottom w:val="dotted" w:sz="8" w:space="0" w:color="000000"/>
            </w:tcBorders>
            <w:shd w:fill="auto" w:val="clear"/>
            <w:tcMar>
              <w:bottom w:w="100" w:type="dxa"/>
            </w:tcMar>
            <w:vAlign w:val="center"/>
          </w:tcPr>
          <w:p>
            <w:pPr>
              <w:pStyle w:val="TableContents"/>
              <w:spacing w:before="0" w:after="0"/>
              <w:rPr>
                <w:rFonts w:ascii="ARIAL" w:hAnsi="ARIAL"/>
                <w:sz w:val="16"/>
              </w:rPr>
            </w:pPr>
            <w:r>
              <w:rPr>
                <w:rFonts w:ascii="ARIAL" w:hAnsi="ARIAL"/>
                <w:sz w:val="16"/>
              </w:rPr>
              <w:t>Equity compensation plans approved by shareholders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29" w:type="dxa"/>
            <w:tcBorders>
              <w:bottom w:val="dotted" w:sz="8" w:space="0" w:color="000000"/>
            </w:tcBorders>
            <w:shd w:fill="auto" w:val="clear"/>
            <w:tcMar>
              <w:bottom w:w="100" w:type="dxa"/>
            </w:tcMar>
            <w:vAlign w:val="center"/>
          </w:tcPr>
          <w:p>
            <w:pPr>
              <w:pStyle w:val="TableContents"/>
              <w:spacing w:before="0" w:after="283"/>
              <w:rPr/>
            </w:pPr>
            <w:r>
              <w:rPr/>
              <w:t> </w:t>
            </w:r>
          </w:p>
        </w:tc>
        <w:tc>
          <w:tcPr>
            <w:tcW w:w="1991" w:type="dxa"/>
            <w:tcBorders>
              <w:bottom w:val="dotted" w:sz="8" w:space="0" w:color="000000"/>
            </w:tcBorders>
            <w:shd w:fill="auto" w:val="clear"/>
            <w:tcMar>
              <w:bottom w:w="100" w:type="dxa"/>
            </w:tcMar>
            <w:vAlign w:val="center"/>
          </w:tcPr>
          <w:p>
            <w:pPr>
              <w:pStyle w:val="TableContents"/>
              <w:spacing w:before="0" w:after="283"/>
              <w:jc w:val="right"/>
              <w:rPr/>
            </w:pPr>
            <w:r>
              <w:rPr/>
              <w:t>366,8711</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5" w:type="dxa"/>
            <w:tcBorders>
              <w:bottom w:val="dotted" w:sz="8" w:space="0" w:color="000000"/>
            </w:tcBorders>
            <w:shd w:fill="auto" w:val="clear"/>
            <w:tcMar>
              <w:bottom w:w="100" w:type="dxa"/>
            </w:tcMar>
            <w:vAlign w:val="center"/>
          </w:tcPr>
          <w:p>
            <w:pPr>
              <w:pStyle w:val="TableContents"/>
              <w:spacing w:before="0" w:after="283"/>
              <w:rPr/>
            </w:pPr>
            <w:r>
              <w:rPr/>
              <w:t> </w:t>
            </w:r>
          </w:p>
        </w:tc>
        <w:tc>
          <w:tcPr>
            <w:tcW w:w="1948" w:type="dxa"/>
            <w:tcBorders>
              <w:bottom w:val="dotted" w:sz="8" w:space="0" w:color="000000"/>
            </w:tcBorders>
            <w:shd w:fill="auto" w:val="clear"/>
            <w:tcMar>
              <w:bottom w:w="100" w:type="dxa"/>
            </w:tcMar>
            <w:vAlign w:val="center"/>
          </w:tcPr>
          <w:p>
            <w:pPr>
              <w:pStyle w:val="TableContents"/>
              <w:spacing w:before="0" w:after="283"/>
              <w:jc w:val="right"/>
              <w:rPr/>
            </w:pPr>
            <w:r>
              <w:rPr/>
              <w:t>$229.29</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5" w:type="dxa"/>
            <w:tcBorders>
              <w:bottom w:val="dotted" w:sz="8" w:space="0" w:color="000000"/>
            </w:tcBorders>
            <w:shd w:fill="auto" w:val="clear"/>
            <w:tcMar>
              <w:bottom w:w="100" w:type="dxa"/>
            </w:tcMar>
            <w:vAlign w:val="center"/>
          </w:tcPr>
          <w:p>
            <w:pPr>
              <w:pStyle w:val="TableContents"/>
              <w:spacing w:before="0" w:after="283"/>
              <w:rPr/>
            </w:pPr>
            <w:r>
              <w:rPr/>
              <w:t> </w:t>
            </w:r>
          </w:p>
        </w:tc>
        <w:tc>
          <w:tcPr>
            <w:tcW w:w="2230" w:type="dxa"/>
            <w:tcBorders>
              <w:bottom w:val="dotted" w:sz="8" w:space="0" w:color="000000"/>
            </w:tcBorders>
            <w:shd w:fill="auto" w:val="clear"/>
            <w:tcMar>
              <w:bottom w:w="100" w:type="dxa"/>
            </w:tcMar>
            <w:vAlign w:val="center"/>
          </w:tcPr>
          <w:p>
            <w:pPr>
              <w:pStyle w:val="TableContents"/>
              <w:spacing w:before="0" w:after="283"/>
              <w:jc w:val="right"/>
              <w:rPr/>
            </w:pPr>
            <w:r>
              <w:rPr/>
              <w:t>816,2343</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061" w:type="dxa"/>
            <w:tcBorders/>
            <w:shd w:fill="auto" w:val="clear"/>
            <w:vAlign w:val="center"/>
          </w:tcPr>
          <w:p>
            <w:pPr>
              <w:pStyle w:val="TableContents"/>
              <w:spacing w:before="0" w:after="283"/>
              <w:rPr>
                <w:sz w:val="4"/>
                <w:szCs w:val="4"/>
              </w:rPr>
            </w:pPr>
            <w:r>
              <w:rPr>
                <w:sz w:val="4"/>
                <w:szCs w:val="4"/>
              </w:rPr>
            </w:r>
          </w:p>
        </w:tc>
        <w:tc>
          <w:tcPr>
            <w:tcW w:w="2300" w:type="dxa"/>
            <w:gridSpan w:val="4"/>
            <w:tcBorders/>
            <w:shd w:fill="auto" w:val="clear"/>
            <w:vAlign w:val="center"/>
          </w:tcPr>
          <w:p>
            <w:pPr>
              <w:pStyle w:val="TableContents"/>
              <w:spacing w:before="0" w:after="283"/>
              <w:rPr>
                <w:sz w:val="4"/>
                <w:szCs w:val="4"/>
              </w:rPr>
            </w:pPr>
            <w:r>
              <w:rPr>
                <w:sz w:val="4"/>
                <w:szCs w:val="4"/>
              </w:rPr>
            </w:r>
          </w:p>
        </w:tc>
        <w:tc>
          <w:tcPr>
            <w:tcW w:w="2273" w:type="dxa"/>
            <w:gridSpan w:val="4"/>
            <w:tcBorders/>
            <w:shd w:fill="auto" w:val="clear"/>
            <w:vAlign w:val="center"/>
          </w:tcPr>
          <w:p>
            <w:pPr>
              <w:pStyle w:val="TableContents"/>
              <w:spacing w:before="0" w:after="283"/>
              <w:rPr>
                <w:sz w:val="4"/>
                <w:szCs w:val="4"/>
              </w:rPr>
            </w:pPr>
            <w:r>
              <w:rPr>
                <w:sz w:val="4"/>
                <w:szCs w:val="4"/>
              </w:rPr>
            </w:r>
          </w:p>
        </w:tc>
        <w:tc>
          <w:tcPr>
            <w:tcW w:w="2571" w:type="dxa"/>
            <w:gridSpan w:val="4"/>
            <w:tcBorders/>
            <w:shd w:fill="auto" w:val="clear"/>
            <w:vAlign w:val="center"/>
          </w:tcPr>
          <w:p>
            <w:pPr>
              <w:pStyle w:val="TableContents"/>
              <w:spacing w:before="0" w:after="283"/>
              <w:rPr>
                <w:sz w:val="4"/>
                <w:szCs w:val="4"/>
              </w:rPr>
            </w:pPr>
            <w:r>
              <w:rPr>
                <w:sz w:val="4"/>
                <w:szCs w:val="4"/>
              </w:rPr>
            </w:r>
          </w:p>
        </w:tc>
      </w:tr>
      <w:tr>
        <w:trPr/>
        <w:tc>
          <w:tcPr>
            <w:tcW w:w="3061" w:type="dxa"/>
            <w:tcBorders>
              <w:bottom w:val="dotted" w:sz="8" w:space="0" w:color="000000"/>
            </w:tcBorders>
            <w:shd w:fill="auto" w:val="clear"/>
            <w:tcMar>
              <w:bottom w:w="100" w:type="dxa"/>
            </w:tcMar>
            <w:vAlign w:val="center"/>
          </w:tcPr>
          <w:p>
            <w:pPr>
              <w:pStyle w:val="TableContents"/>
              <w:spacing w:before="0" w:after="0"/>
              <w:rPr>
                <w:rFonts w:ascii="ARIAL" w:hAnsi="ARIAL"/>
                <w:sz w:val="16"/>
              </w:rPr>
            </w:pPr>
            <w:r>
              <w:rPr>
                <w:rFonts w:ascii="ARIAL" w:hAnsi="ARIAL"/>
                <w:sz w:val="16"/>
              </w:rPr>
              <w:t>Equity compensation plans not approved by shareholders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29" w:type="dxa"/>
            <w:tcBorders>
              <w:bottom w:val="dotted" w:sz="8" w:space="0" w:color="000000"/>
            </w:tcBorders>
            <w:shd w:fill="auto" w:val="clear"/>
            <w:tcMar>
              <w:bottom w:w="100" w:type="dxa"/>
            </w:tcMar>
            <w:vAlign w:val="center"/>
          </w:tcPr>
          <w:p>
            <w:pPr>
              <w:pStyle w:val="TableContents"/>
              <w:spacing w:before="0" w:after="283"/>
              <w:rPr/>
            </w:pPr>
            <w:r>
              <w:rPr/>
              <w:t> </w:t>
            </w:r>
          </w:p>
        </w:tc>
        <w:tc>
          <w:tcPr>
            <w:tcW w:w="1991" w:type="dxa"/>
            <w:tcBorders>
              <w:bottom w:val="dotted" w:sz="8" w:space="0" w:color="000000"/>
            </w:tcBorders>
            <w:shd w:fill="auto" w:val="clear"/>
            <w:tcMar>
              <w:bottom w:w="100" w:type="dxa"/>
            </w:tcMar>
            <w:vAlign w:val="center"/>
          </w:tcPr>
          <w:p>
            <w:pPr>
              <w:pStyle w:val="TableContents"/>
              <w:spacing w:before="0" w:after="283"/>
              <w:jc w:val="right"/>
              <w:rPr/>
            </w:pPr>
            <w:r>
              <w:rPr/>
              <w:t>02</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5" w:type="dxa"/>
            <w:tcBorders>
              <w:bottom w:val="dotted" w:sz="8" w:space="0" w:color="000000"/>
            </w:tcBorders>
            <w:shd w:fill="auto" w:val="clear"/>
            <w:tcMar>
              <w:bottom w:w="100" w:type="dxa"/>
            </w:tcMar>
            <w:vAlign w:val="center"/>
          </w:tcPr>
          <w:p>
            <w:pPr>
              <w:pStyle w:val="TableContents"/>
              <w:spacing w:before="0" w:after="283"/>
              <w:rPr/>
            </w:pPr>
            <w:r>
              <w:rPr/>
              <w:t> </w:t>
            </w:r>
          </w:p>
        </w:tc>
        <w:tc>
          <w:tcPr>
            <w:tcW w:w="1948" w:type="dxa"/>
            <w:tcBorders>
              <w:bottom w:val="dotted" w:sz="8" w:space="0" w:color="000000"/>
            </w:tcBorders>
            <w:shd w:fill="auto" w:val="clear"/>
            <w:tcMar>
              <w:bottom w:w="100" w:type="dxa"/>
            </w:tcMar>
            <w:vAlign w:val="center"/>
          </w:tcPr>
          <w:p>
            <w:pPr>
              <w:pStyle w:val="TableContents"/>
              <w:spacing w:before="0" w:after="283"/>
              <w:jc w:val="right"/>
              <w:rPr/>
            </w:pPr>
            <w:r>
              <w:rPr/>
              <w:t>0</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5" w:type="dxa"/>
            <w:tcBorders>
              <w:bottom w:val="dotted" w:sz="8" w:space="0" w:color="000000"/>
            </w:tcBorders>
            <w:shd w:fill="auto" w:val="clear"/>
            <w:tcMar>
              <w:bottom w:w="100" w:type="dxa"/>
            </w:tcMar>
            <w:vAlign w:val="center"/>
          </w:tcPr>
          <w:p>
            <w:pPr>
              <w:pStyle w:val="TableContents"/>
              <w:spacing w:before="0" w:after="283"/>
              <w:rPr/>
            </w:pPr>
            <w:r>
              <w:rPr/>
              <w:t> </w:t>
            </w:r>
          </w:p>
        </w:tc>
        <w:tc>
          <w:tcPr>
            <w:tcW w:w="2230" w:type="dxa"/>
            <w:tcBorders>
              <w:bottom w:val="dotted" w:sz="8" w:space="0" w:color="000000"/>
            </w:tcBorders>
            <w:shd w:fill="auto" w:val="clear"/>
            <w:tcMar>
              <w:bottom w:w="100" w:type="dxa"/>
            </w:tcMar>
            <w:vAlign w:val="center"/>
          </w:tcPr>
          <w:p>
            <w:pPr>
              <w:pStyle w:val="TableContents"/>
              <w:spacing w:before="0" w:after="283"/>
              <w:jc w:val="right"/>
              <w:rPr/>
            </w:pPr>
            <w:r>
              <w:rPr/>
              <w:t>04</w:t>
            </w:r>
          </w:p>
        </w:tc>
        <w:tc>
          <w:tcPr>
            <w:tcW w:w="76"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061" w:type="dxa"/>
            <w:tcBorders/>
            <w:shd w:fill="auto" w:val="clear"/>
            <w:vAlign w:val="center"/>
          </w:tcPr>
          <w:p>
            <w:pPr>
              <w:pStyle w:val="TableContents"/>
              <w:spacing w:before="0" w:after="283"/>
              <w:rPr>
                <w:sz w:val="4"/>
                <w:szCs w:val="4"/>
              </w:rPr>
            </w:pPr>
            <w:r>
              <w:rPr>
                <w:sz w:val="4"/>
                <w:szCs w:val="4"/>
              </w:rPr>
            </w:r>
          </w:p>
        </w:tc>
        <w:tc>
          <w:tcPr>
            <w:tcW w:w="2300" w:type="dxa"/>
            <w:gridSpan w:val="4"/>
            <w:tcBorders/>
            <w:shd w:fill="auto" w:val="clear"/>
            <w:vAlign w:val="center"/>
          </w:tcPr>
          <w:p>
            <w:pPr>
              <w:pStyle w:val="TableContents"/>
              <w:spacing w:before="0" w:after="283"/>
              <w:rPr>
                <w:sz w:val="4"/>
                <w:szCs w:val="4"/>
              </w:rPr>
            </w:pPr>
            <w:r>
              <w:rPr>
                <w:sz w:val="4"/>
                <w:szCs w:val="4"/>
              </w:rPr>
            </w:r>
          </w:p>
        </w:tc>
        <w:tc>
          <w:tcPr>
            <w:tcW w:w="2273" w:type="dxa"/>
            <w:gridSpan w:val="4"/>
            <w:tcBorders/>
            <w:shd w:fill="auto" w:val="clear"/>
            <w:vAlign w:val="center"/>
          </w:tcPr>
          <w:p>
            <w:pPr>
              <w:pStyle w:val="TableContents"/>
              <w:spacing w:before="0" w:after="283"/>
              <w:rPr>
                <w:sz w:val="4"/>
                <w:szCs w:val="4"/>
              </w:rPr>
            </w:pPr>
            <w:r>
              <w:rPr>
                <w:sz w:val="4"/>
                <w:szCs w:val="4"/>
              </w:rPr>
            </w:r>
          </w:p>
        </w:tc>
        <w:tc>
          <w:tcPr>
            <w:tcW w:w="2571" w:type="dxa"/>
            <w:gridSpan w:val="4"/>
            <w:tcBorders/>
            <w:shd w:fill="auto" w:val="clear"/>
            <w:vAlign w:val="center"/>
          </w:tcPr>
          <w:p>
            <w:pPr>
              <w:pStyle w:val="TableContents"/>
              <w:spacing w:before="0" w:after="283"/>
              <w:rPr>
                <w:sz w:val="4"/>
                <w:szCs w:val="4"/>
              </w:rPr>
            </w:pPr>
            <w:r>
              <w:rPr>
                <w:sz w:val="4"/>
                <w:szCs w:val="4"/>
              </w:rPr>
            </w:r>
          </w:p>
        </w:tc>
      </w:tr>
      <w:tr>
        <w:trPr/>
        <w:tc>
          <w:tcPr>
            <w:tcW w:w="3061" w:type="dxa"/>
            <w:tcBorders>
              <w:bottom w:val="single" w:sz="6" w:space="0" w:color="000000"/>
            </w:tcBorders>
            <w:shd w:fill="auto" w:val="clear"/>
            <w:tcMar>
              <w:bottom w:w="100" w:type="dxa"/>
            </w:tcMar>
            <w:vAlign w:val="center"/>
          </w:tcPr>
          <w:p>
            <w:pPr>
              <w:pStyle w:val="TableContents"/>
              <w:spacing w:before="0" w:after="0"/>
              <w:rPr>
                <w:rFonts w:ascii="ARIAL" w:hAnsi="ARIAL"/>
                <w:sz w:val="16"/>
              </w:rPr>
            </w:pPr>
            <w:r>
              <w:rPr>
                <w:rFonts w:ascii="ARIAL" w:hAnsi="ARIAL"/>
                <w:sz w:val="16"/>
              </w:rPr>
              <w:t>TOTAL</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29" w:type="dxa"/>
            <w:tcBorders>
              <w:bottom w:val="single" w:sz="6" w:space="0" w:color="000000"/>
            </w:tcBorders>
            <w:shd w:fill="auto" w:val="clear"/>
            <w:tcMar>
              <w:bottom w:w="100" w:type="dxa"/>
            </w:tcMar>
            <w:vAlign w:val="center"/>
          </w:tcPr>
          <w:p>
            <w:pPr>
              <w:pStyle w:val="TableContents"/>
              <w:spacing w:before="0" w:after="283"/>
              <w:rPr/>
            </w:pPr>
            <w:r>
              <w:rPr/>
              <w:t> </w:t>
            </w:r>
          </w:p>
        </w:tc>
        <w:tc>
          <w:tcPr>
            <w:tcW w:w="1991" w:type="dxa"/>
            <w:tcBorders>
              <w:bottom w:val="single" w:sz="6" w:space="0" w:color="000000"/>
            </w:tcBorders>
            <w:shd w:fill="auto" w:val="clear"/>
            <w:tcMar>
              <w:bottom w:w="100" w:type="dxa"/>
            </w:tcMar>
            <w:vAlign w:val="center"/>
          </w:tcPr>
          <w:p>
            <w:pPr>
              <w:pStyle w:val="TableContents"/>
              <w:spacing w:before="0" w:after="283"/>
              <w:jc w:val="right"/>
              <w:rPr/>
            </w:pPr>
            <w:r>
              <w:rPr/>
              <w:t>366,871 </w:t>
            </w:r>
          </w:p>
        </w:tc>
        <w:tc>
          <w:tcPr>
            <w:tcW w:w="60" w:type="dxa"/>
            <w:tcBorders>
              <w:bottom w:val="single" w:sz="6" w:space="0" w:color="000000"/>
            </w:tcBorders>
            <w:shd w:fill="auto" w:val="clear"/>
            <w:tcMar>
              <w:bottom w:w="100"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5" w:type="dxa"/>
            <w:tcBorders>
              <w:bottom w:val="single" w:sz="6" w:space="0" w:color="000000"/>
            </w:tcBorders>
            <w:shd w:fill="auto" w:val="clear"/>
            <w:tcMar>
              <w:bottom w:w="100" w:type="dxa"/>
            </w:tcMar>
            <w:vAlign w:val="center"/>
          </w:tcPr>
          <w:p>
            <w:pPr>
              <w:pStyle w:val="TableContents"/>
              <w:spacing w:before="0" w:after="283"/>
              <w:rPr/>
            </w:pPr>
            <w:r>
              <w:rPr/>
              <w:t> </w:t>
            </w:r>
          </w:p>
        </w:tc>
        <w:tc>
          <w:tcPr>
            <w:tcW w:w="1948" w:type="dxa"/>
            <w:tcBorders>
              <w:bottom w:val="single" w:sz="6" w:space="0" w:color="000000"/>
            </w:tcBorders>
            <w:shd w:fill="auto" w:val="clear"/>
            <w:tcMar>
              <w:bottom w:w="100" w:type="dxa"/>
            </w:tcMar>
            <w:vAlign w:val="center"/>
          </w:tcPr>
          <w:p>
            <w:pPr>
              <w:pStyle w:val="TableContents"/>
              <w:spacing w:before="0" w:after="283"/>
              <w:jc w:val="right"/>
              <w:rPr/>
            </w:pPr>
            <w:r>
              <w:rPr/>
              <w:t>$229.29</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5" w:type="dxa"/>
            <w:tcBorders>
              <w:bottom w:val="single" w:sz="6" w:space="0" w:color="000000"/>
            </w:tcBorders>
            <w:shd w:fill="auto" w:val="clear"/>
            <w:tcMar>
              <w:bottom w:w="100" w:type="dxa"/>
            </w:tcMar>
            <w:vAlign w:val="center"/>
          </w:tcPr>
          <w:p>
            <w:pPr>
              <w:pStyle w:val="TableContents"/>
              <w:spacing w:before="0" w:after="283"/>
              <w:rPr/>
            </w:pPr>
            <w:r>
              <w:rPr/>
              <w:t> </w:t>
            </w:r>
          </w:p>
        </w:tc>
        <w:tc>
          <w:tcPr>
            <w:tcW w:w="2230" w:type="dxa"/>
            <w:tcBorders>
              <w:bottom w:val="single" w:sz="6" w:space="0" w:color="000000"/>
            </w:tcBorders>
            <w:shd w:fill="auto" w:val="clear"/>
            <w:tcMar>
              <w:bottom w:w="100" w:type="dxa"/>
            </w:tcMar>
            <w:vAlign w:val="center"/>
          </w:tcPr>
          <w:p>
            <w:pPr>
              <w:pStyle w:val="TableContents"/>
              <w:spacing w:before="0" w:after="283"/>
              <w:jc w:val="right"/>
              <w:rPr/>
            </w:pPr>
            <w:r>
              <w:rPr/>
              <w:t>816,234 </w:t>
            </w:r>
          </w:p>
        </w:tc>
        <w:tc>
          <w:tcPr>
            <w:tcW w:w="76" w:type="dxa"/>
            <w:tcBorders>
              <w:bottom w:val="single" w:sz="6" w:space="0" w:color="000000"/>
            </w:tcBorders>
            <w:shd w:fill="auto" w:val="clear"/>
            <w:tcMar>
              <w:bottom w:w="100"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1</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Includes 15,283 stock options that have a weighted-average exercise price of $136.55; 319,439 restricted stock units that have a $0 exercise price; and 32,149 stock units granted in accordance with the Incentive Stock Plan that are credited to participants at an average weighted cost of $273.38. The restricted stock units and stock units granted in accordance with the Incentive Stock Plan represent Martin Marietta’s obligation to issue shares in the future subject to certain conditions in accordance with the Stock-Based Award Plan.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2</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weighted-average exercise price does not take into account the restricted stock units and stock units for which there is no exercise price.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3</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Includes shares of Martin Marietta’s common stock available for issuance (other than those reported in column (a)) under Martin Marietta’s equity compensation plans as of December 31, 2022 in the following amounts: Directors’ Plan (134,231 shares), Stock-Based Award Plan (474,028 shares), and Achievement Plan (207,975 shares). Also excludes Texas Industries Inc. stock-based award plans (1,897,770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4</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There are 1,897,770 shares of Martin Marietta’s common stock available for issuance to legacy TXI employees. These shares will be used to settle currently outstanding awards but no further awards will be granted for these shares, as indicated by management in connection with the approval by shareholders of the Stock-Based Award Plan on May 19, 2017. </w:t>
            </w:r>
          </w:p>
        </w:tc>
      </w:tr>
    </w:tbl>
    <w:p>
      <w:pPr>
        <w:pStyle w:val="TextBody"/>
        <w:spacing w:before="240" w:after="0"/>
        <w:jc w:val="left"/>
        <w:rPr>
          <w:rFonts w:ascii="ARIAL" w:hAnsi="ARIAL"/>
          <w:sz w:val="20"/>
        </w:rPr>
      </w:pPr>
      <w:r>
        <w:rPr>
          <w:rFonts w:ascii="ARIAL" w:hAnsi="ARIAL"/>
          <w:sz w:val="20"/>
        </w:rPr>
        <w:t xml:space="preserve">On July 1, 2014, in conjunction with the merger of TXI into a wholly-owned subsidiary of Martin Marietta, the Company assumed the TXI 2004 Omnibus Equity Compensation Plan (TXI Legacy Plan) and TXI’s Management Deferred Compensation Plan (the TXI DC Plan) and shares available for future issuance under the TXI Legacy Plan and the TXI DC Plan following the merger. </w:t>
      </w:r>
    </w:p>
    <w:p>
      <w:pPr>
        <w:pStyle w:val="TextBody"/>
        <w:spacing w:before="240" w:after="0"/>
        <w:jc w:val="left"/>
        <w:rPr>
          <w:rFonts w:ascii="ARIAL" w:hAnsi="ARIAL"/>
          <w:b/>
          <w:color w:val="71BE9A"/>
          <w:sz w:val="26"/>
        </w:rPr>
      </w:pPr>
      <w:bookmarkStart w:id="81" w:name="toc390557_72"/>
      <w:bookmarkEnd w:id="81"/>
      <w:r>
        <w:rPr>
          <w:rFonts w:ascii="ARIAL" w:hAnsi="ARIAL"/>
          <w:b/>
          <w:color w:val="71BE9A"/>
          <w:sz w:val="26"/>
        </w:rPr>
        <w:t xml:space="preserve">Description of the TXI Legacy Plan </w:t>
      </w:r>
    </w:p>
    <w:p>
      <w:pPr>
        <w:pStyle w:val="TextBody"/>
        <w:spacing w:before="120" w:after="0"/>
        <w:jc w:val="left"/>
        <w:rPr>
          <w:rFonts w:ascii="ARIAL" w:hAnsi="ARIAL"/>
          <w:sz w:val="20"/>
        </w:rPr>
      </w:pPr>
      <w:r>
        <w:rPr>
          <w:rFonts w:ascii="ARIAL" w:hAnsi="ARIAL"/>
          <w:sz w:val="20"/>
        </w:rPr>
        <w:t xml:space="preserve">The TXI Legacy Plan became effective as of July 11, 2012 terminated on July 11, 2022. All legacy employees of TXI and its affiliates and subsidiaries were eligible to receive awards. However, no further awards were granted under the TXI Legacy Plan, as indicated by management in connection with the approval by shareholders of the Amended and Restated Stock-Based Award Plan on May 19, 2017.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96</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57"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41" descr=""/>
                          <pic:cNvPicPr>
                            <a:picLocks noChangeAspect="1" noChangeArrowheads="1"/>
                          </pic:cNvPicPr>
                        </pic:nvPicPr>
                        <pic:blipFill>
                          <a:blip r:embed="rId24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sz w:val="16"/>
        </w:rPr>
        <w:t>DESCRIPTION OF THE DEFERRED COMPENSATION PLAN  </w:t>
      </w:r>
      <w:r>
        <w:rPr>
          <w:rFonts w:ascii="ARIAL" w:hAnsi="ARIAL"/>
          <w:color w:val="007CBA"/>
          <w:sz w:val="16"/>
        </w:rPr>
        <w:t>◆  SECURITIES AUTHORIZED FOR ISSUANCE UNDER EQUITY COMPENSATION PLANS</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If Martin Marietta is dissolved or liquidated, or if substantially all of its assets are sold or there is a merger or consolidation and the acquiring or surviving entity does not substitute equivalent awards for the awards then outstanding, each award granted under the TXI Legacy Plan will become fully vested and exercisable and all restrictions on it will lapse. All options and stock appreciation rights not exercised upon the occurrence of such a corporate event will terminate, and the Company may, in its discretion cancel all other awards then outstanding and pay the award holder its then current value as determined by the Committee. </w:t>
      </w:r>
    </w:p>
    <w:p>
      <w:pPr>
        <w:pStyle w:val="TextBody"/>
        <w:spacing w:before="240" w:after="0"/>
        <w:jc w:val="left"/>
        <w:rPr>
          <w:rFonts w:ascii="ARIAL" w:hAnsi="ARIAL"/>
          <w:b/>
          <w:color w:val="71BE9A"/>
          <w:sz w:val="26"/>
        </w:rPr>
      </w:pPr>
      <w:bookmarkStart w:id="82" w:name="toc390557_73"/>
      <w:bookmarkEnd w:id="82"/>
      <w:r>
        <w:rPr>
          <w:rFonts w:ascii="ARIAL" w:hAnsi="ARIAL"/>
          <w:b/>
          <w:color w:val="71BE9A"/>
          <w:sz w:val="26"/>
        </w:rPr>
        <w:t xml:space="preserve">Description of the Deferred Compensation Plan </w:t>
      </w:r>
    </w:p>
    <w:p>
      <w:pPr>
        <w:pStyle w:val="TextBody"/>
        <w:spacing w:before="120" w:after="0"/>
        <w:jc w:val="left"/>
        <w:rPr>
          <w:rFonts w:ascii="ARIAL" w:hAnsi="ARIAL"/>
          <w:sz w:val="20"/>
        </w:rPr>
      </w:pPr>
      <w:r>
        <w:rPr>
          <w:rFonts w:ascii="ARIAL" w:hAnsi="ARIAL"/>
          <w:sz w:val="20"/>
        </w:rPr>
        <w:t xml:space="preserve">The TXI DC Plan became effective as of July 11, 2012 and terminated on July 11, 2022. Key management legacy employees of TXI, its subsidiaries and its affiliates were eligible to participate in the TXI DC Plan. Under the terms of the TXI DC Plan, participants may elect each year to defer all or a portion of their eligible compensation received during that year. However, no further awards were granted under the TXI DC Plan, as indicated by management in connection with the approval by shareholders of the Stock-Based Award Plan on May 19, 2017. </w:t>
      </w:r>
    </w:p>
    <w:p>
      <w:pPr>
        <w:pStyle w:val="TextBody"/>
        <w:spacing w:before="240" w:after="0"/>
        <w:jc w:val="left"/>
        <w:rPr>
          <w:rFonts w:ascii="ARIAL" w:hAnsi="ARIAL"/>
          <w:sz w:val="20"/>
        </w:rPr>
      </w:pPr>
      <w:r>
        <w:rPr>
          <w:rFonts w:ascii="ARIAL" w:hAnsi="ARIAL"/>
          <w:sz w:val="20"/>
        </w:rPr>
        <w:t xml:space="preserve">If Martin Marietta is dissolved or liquidated, or if substantially all of its assets are sold (or there is a merger or consolidation) and the acquiring or surviving entity does not substitute equivalent awards for the awards then outstanding, each award granted under the TXI DC Plan will become fully vested and all restrictions on it will lapse.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58"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42" descr=""/>
                          <pic:cNvPicPr>
                            <a:picLocks noChangeAspect="1" noChangeArrowheads="1"/>
                          </pic:cNvPicPr>
                        </pic:nvPicPr>
                        <pic:blipFill>
                          <a:blip r:embed="rId24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97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7CBA"/>
          <w:sz w:val="42"/>
        </w:rPr>
      </w:pPr>
      <w:bookmarkStart w:id="83" w:name="toc390557_74"/>
      <w:bookmarkEnd w:id="83"/>
      <w:r>
        <w:rPr>
          <w:rFonts w:ascii="ARIAL" w:hAnsi="ARIAL"/>
          <w:b/>
          <w:color w:val="007CBA"/>
          <w:sz w:val="42"/>
        </w:rPr>
        <w:t xml:space="preserve">Annual Meeting and Voting Information </w:t>
      </w:r>
    </w:p>
    <w:p>
      <w:pPr>
        <w:pStyle w:val="TextBody"/>
        <w:spacing w:before="240" w:after="0"/>
        <w:jc w:val="left"/>
        <w:rPr>
          <w:rFonts w:ascii="ARIAL" w:hAnsi="ARIAL"/>
          <w:b/>
          <w:color w:val="71BE9A"/>
          <w:sz w:val="26"/>
        </w:rPr>
      </w:pPr>
      <w:r>
        <w:rPr>
          <w:rFonts w:ascii="ARIAL" w:hAnsi="ARIAL"/>
          <w:b/>
          <w:color w:val="71BE9A"/>
          <w:sz w:val="26"/>
        </w:rPr>
        <w:t xml:space="preserve">What is the purpose of the Annual Meeting? </w:t>
      </w:r>
    </w:p>
    <w:p>
      <w:pPr>
        <w:pStyle w:val="TextBody"/>
        <w:spacing w:before="120" w:after="0"/>
        <w:jc w:val="left"/>
        <w:rPr>
          <w:rFonts w:ascii="ARIAL" w:hAnsi="ARIAL"/>
          <w:sz w:val="20"/>
        </w:rPr>
      </w:pPr>
      <w:r>
        <w:rPr>
          <w:rFonts w:ascii="ARIAL" w:hAnsi="ARIAL"/>
          <w:sz w:val="20"/>
        </w:rPr>
        <w:t xml:space="preserve">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 </w:t>
      </w:r>
    </w:p>
    <w:p>
      <w:pPr>
        <w:pStyle w:val="TextBody"/>
        <w:spacing w:before="240" w:after="0"/>
        <w:jc w:val="left"/>
        <w:rPr>
          <w:rFonts w:ascii="ARIAL" w:hAnsi="ARIAL"/>
          <w:sz w:val="20"/>
        </w:rPr>
      </w:pPr>
      <w:r>
        <w:rPr>
          <w:rFonts w:ascii="ARIAL" w:hAnsi="ARIAL"/>
          <w:sz w:val="20"/>
        </w:rPr>
        <w:t xml:space="preserve">Whether or not you plan to attend the meeting, we encourage you to date, sign, and return your proxy in the enclosed envelope or electronically as instructed in the notice of this Proxy Statement and below under </w:t>
      </w:r>
      <w:r>
        <w:rPr>
          <w:rFonts w:ascii="ARIAL" w:hAnsi="ARIAL"/>
          <w:b/>
          <w:sz w:val="20"/>
        </w:rPr>
        <w:t>How do I vote?</w:t>
      </w:r>
      <w:r>
        <w:rPr>
          <w:rFonts w:ascii="ARIAL" w:hAnsi="ARIAL"/>
          <w:sz w:val="20"/>
        </w:rPr>
        <w:t xml:space="preserve"> </w:t>
      </w:r>
    </w:p>
    <w:p>
      <w:pPr>
        <w:pStyle w:val="TextBody"/>
        <w:spacing w:before="240" w:after="0"/>
        <w:jc w:val="left"/>
        <w:rPr>
          <w:rFonts w:ascii="ARIAL" w:hAnsi="ARIAL"/>
          <w:b/>
          <w:color w:val="71BE9A"/>
          <w:sz w:val="26"/>
        </w:rPr>
      </w:pPr>
      <w:r>
        <w:rPr>
          <w:rFonts w:ascii="ARIAL" w:hAnsi="ARIAL"/>
          <w:b/>
          <w:color w:val="71BE9A"/>
          <w:sz w:val="26"/>
        </w:rPr>
        <w:t xml:space="preserve">Who is entitled to vote at the meeting? </w:t>
      </w:r>
    </w:p>
    <w:p>
      <w:pPr>
        <w:pStyle w:val="TextBody"/>
        <w:spacing w:before="120" w:after="0"/>
        <w:jc w:val="left"/>
        <w:rPr>
          <w:rFonts w:ascii="ARIAL" w:hAnsi="ARIAL"/>
          <w:sz w:val="20"/>
        </w:rPr>
      </w:pPr>
      <w:r>
        <w:rPr>
          <w:rFonts w:ascii="ARIAL" w:hAnsi="ARIAL"/>
          <w:sz w:val="20"/>
        </w:rPr>
        <w:t xml:space="preserve">Only shareholders of record at the close of business on March 6, 2023 are entitled to notice of and to participate in the Annual Meeting. If you were a shareholder of record on that date, you will be entitled to vote all the shares that you held on that date at the meeting, or any adjournments or postponements of the meeting. </w:t>
      </w:r>
    </w:p>
    <w:p>
      <w:pPr>
        <w:pStyle w:val="TextBody"/>
        <w:spacing w:before="240" w:after="0"/>
        <w:jc w:val="left"/>
        <w:rPr>
          <w:rFonts w:ascii="ARIAL" w:hAnsi="ARIAL"/>
          <w:b/>
          <w:color w:val="71BE9A"/>
          <w:sz w:val="26"/>
        </w:rPr>
      </w:pPr>
      <w:r>
        <w:rPr>
          <w:rFonts w:ascii="ARIAL" w:hAnsi="ARIAL"/>
          <w:b/>
          <w:color w:val="71BE9A"/>
          <w:sz w:val="26"/>
        </w:rPr>
        <w:t xml:space="preserve">What are the voting rights of the holders of Martin Marietta common stock? </w:t>
      </w:r>
    </w:p>
    <w:p>
      <w:pPr>
        <w:pStyle w:val="TextBody"/>
        <w:spacing w:before="120" w:after="0"/>
        <w:jc w:val="left"/>
        <w:rPr>
          <w:rFonts w:ascii="ARIAL" w:hAnsi="ARIAL"/>
          <w:sz w:val="20"/>
        </w:rPr>
      </w:pPr>
      <w:r>
        <w:rPr>
          <w:rFonts w:ascii="ARIAL" w:hAnsi="ARIAL"/>
          <w:sz w:val="20"/>
        </w:rPr>
        <w:t xml:space="preserve">Each share of Martin Marietta common stock is entitled to one vote on each matter considered at the meeting. </w:t>
      </w:r>
    </w:p>
    <w:p>
      <w:pPr>
        <w:pStyle w:val="TextBody"/>
        <w:spacing w:before="240" w:after="0"/>
        <w:jc w:val="left"/>
        <w:rPr>
          <w:rFonts w:ascii="ARIAL" w:hAnsi="ARIAL"/>
          <w:b/>
          <w:color w:val="71BE9A"/>
          <w:sz w:val="26"/>
        </w:rPr>
      </w:pPr>
      <w:r>
        <w:rPr>
          <w:rFonts w:ascii="ARIAL" w:hAnsi="ARIAL"/>
          <w:b/>
          <w:color w:val="71BE9A"/>
          <w:sz w:val="26"/>
        </w:rPr>
        <w:t xml:space="preserve">Who can attend the meeting? </w:t>
      </w:r>
    </w:p>
    <w:p>
      <w:pPr>
        <w:pStyle w:val="TextBody"/>
        <w:spacing w:before="120" w:after="0"/>
        <w:jc w:val="left"/>
        <w:rPr>
          <w:rFonts w:ascii="ARIAL" w:hAnsi="ARIAL"/>
          <w:sz w:val="20"/>
        </w:rPr>
      </w:pPr>
      <w:r>
        <w:rPr>
          <w:rFonts w:ascii="ARIAL" w:hAnsi="ARIAL"/>
          <w:sz w:val="20"/>
        </w:rPr>
        <w:t xml:space="preserve">All shareholders as of the record date, or their duly appointed proxies, beneficial owners presenting satisfactory evidence of ownership as of the record date, and invited guests of Martin Marietta may attend the meeting. </w:t>
      </w:r>
    </w:p>
    <w:p>
      <w:pPr>
        <w:pStyle w:val="TextBody"/>
        <w:spacing w:before="240" w:after="0"/>
        <w:jc w:val="left"/>
        <w:rPr>
          <w:rFonts w:ascii="ARIAL" w:hAnsi="ARIAL"/>
          <w:b/>
          <w:color w:val="71BE9A"/>
          <w:sz w:val="26"/>
        </w:rPr>
      </w:pPr>
      <w:r>
        <w:rPr>
          <w:rFonts w:ascii="ARIAL" w:hAnsi="ARIAL"/>
          <w:b/>
          <w:color w:val="71BE9A"/>
          <w:sz w:val="26"/>
        </w:rPr>
        <w:t xml:space="preserve">What constitutes a quorum? </w:t>
      </w:r>
    </w:p>
    <w:p>
      <w:pPr>
        <w:pStyle w:val="TextBody"/>
        <w:spacing w:before="120" w:after="0"/>
        <w:jc w:val="left"/>
        <w:rPr>
          <w:rFonts w:ascii="ARIAL" w:hAnsi="ARIAL"/>
          <w:sz w:val="20"/>
        </w:rPr>
      </w:pPr>
      <w:r>
        <w:rPr>
          <w:rFonts w:ascii="ARIAL" w:hAnsi="ARIAL"/>
          <w:sz w:val="20"/>
        </w:rPr>
        <w:t xml:space="preserve">The presence at the meeting, in person or by proxy, of the holders of a majority of the common stock outstanding on the record date constitutes a quorum, permitting shareholders to take action at the meeting. On March 6, 2023, there were 61,996,967 shares outstanding of Martin Marietta’s common stock, $.01 par value per share, and each share of common stock is entitled to one vote per share. </w:t>
      </w:r>
    </w:p>
    <w:p>
      <w:pPr>
        <w:pStyle w:val="TextBody"/>
        <w:spacing w:before="240" w:after="0"/>
        <w:jc w:val="left"/>
        <w:rPr>
          <w:rFonts w:ascii="ARIAL" w:hAnsi="ARIAL"/>
          <w:b/>
          <w:color w:val="71BE9A"/>
          <w:sz w:val="26"/>
        </w:rPr>
      </w:pPr>
      <w:r>
        <w:rPr>
          <w:rFonts w:ascii="ARIAL" w:hAnsi="ARIAL"/>
          <w:b/>
          <w:color w:val="71BE9A"/>
          <w:sz w:val="26"/>
        </w:rPr>
        <w:t xml:space="preserve">Who will oversee the voting results? </w:t>
      </w:r>
    </w:p>
    <w:p>
      <w:pPr>
        <w:pStyle w:val="TextBody"/>
        <w:spacing w:before="120" w:after="0"/>
        <w:jc w:val="left"/>
        <w:rPr>
          <w:rFonts w:ascii="ARIAL" w:hAnsi="ARIAL"/>
          <w:sz w:val="20"/>
        </w:rPr>
      </w:pPr>
      <w:r>
        <w:rPr>
          <w:rFonts w:ascii="ARIAL" w:hAnsi="ARIAL"/>
          <w:sz w:val="20"/>
        </w:rPr>
        <w:t xml:space="preserve">Votes cast by proxy or in person at the Annual Meeting will be tabulated by an independent inspector of election appointed by Martin Marietta’s Board of Directors for the Annual Meeting. The inspector of election will determine whether a quorum is present. For purposes of determining the presence of a quorum, abstentions and broker non-votes (which are described below) will be counted as shares that are present and entitled to vote. </w:t>
      </w:r>
    </w:p>
    <w:p>
      <w:pPr>
        <w:pStyle w:val="TextBody"/>
        <w:spacing w:before="240" w:after="0"/>
        <w:jc w:val="left"/>
        <w:rPr>
          <w:rFonts w:ascii="ARIAL" w:hAnsi="ARIAL"/>
          <w:b/>
          <w:color w:val="71BE9A"/>
          <w:sz w:val="26"/>
        </w:rPr>
      </w:pPr>
      <w:r>
        <w:rPr>
          <w:rFonts w:ascii="ARIAL" w:hAnsi="ARIAL"/>
          <w:b/>
          <w:color w:val="71BE9A"/>
          <w:sz w:val="26"/>
        </w:rPr>
        <w:t xml:space="preserve">How do I vote? </w:t>
      </w:r>
    </w:p>
    <w:p>
      <w:pPr>
        <w:pStyle w:val="TextBody"/>
        <w:spacing w:before="120" w:after="0"/>
        <w:jc w:val="left"/>
        <w:rPr>
          <w:rFonts w:ascii="ARIAL" w:hAnsi="ARIAL"/>
          <w:sz w:val="20"/>
        </w:rPr>
      </w:pPr>
      <w:r>
        <w:rPr>
          <w:rFonts w:ascii="ARIAL" w:hAnsi="ARIAL"/>
          <w:i/>
          <w:sz w:val="20"/>
        </w:rPr>
        <w:t>Registered shareholders</w:t>
      </w:r>
      <w:r>
        <w:rPr>
          <w:rFonts w:ascii="ARIAL" w:hAnsi="ARIAL"/>
          <w:sz w:val="20"/>
        </w:rPr>
        <w:t xml:space="preserve">: Registered shareholders have four voting options: </w:t>
      </w:r>
    </w:p>
    <w:p>
      <w:pPr>
        <w:pStyle w:val="TextBody"/>
        <w:spacing w:before="0" w:after="0"/>
        <w:jc w:val="left"/>
        <w:rPr/>
      </w:pPr>
      <w:r>
        <w:rPr/>
        <w:t> </w:t>
      </w:r>
    </w:p>
    <w:tbl>
      <w:tblPr>
        <w:tblW w:w="6865" w:type="dxa"/>
        <w:jc w:val="left"/>
        <w:tblInd w:w="0" w:type="dxa"/>
        <w:tblCellMar>
          <w:top w:w="0" w:type="dxa"/>
          <w:left w:w="0" w:type="dxa"/>
          <w:bottom w:w="0" w:type="dxa"/>
          <w:right w:w="0" w:type="dxa"/>
        </w:tblCellMar>
      </w:tblPr>
      <w:tblGrid>
        <w:gridCol w:w="125"/>
        <w:gridCol w:w="60"/>
        <w:gridCol w:w="668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680" w:type="dxa"/>
            <w:tcBorders/>
            <w:shd w:fill="auto" w:val="clear"/>
            <w:vAlign w:val="center"/>
          </w:tcPr>
          <w:p>
            <w:pPr>
              <w:pStyle w:val="TableContents"/>
              <w:spacing w:before="0" w:after="0"/>
              <w:jc w:val="left"/>
              <w:rPr>
                <w:rFonts w:ascii="ARIAL" w:hAnsi="ARIAL"/>
                <w:sz w:val="20"/>
              </w:rPr>
            </w:pPr>
            <w:r>
              <w:rPr>
                <w:rFonts w:ascii="ARIAL" w:hAnsi="ARIAL"/>
                <w:sz w:val="20"/>
              </w:rPr>
              <w:t xml:space="preserve">over the Internet at the internet address shown on the enclosed Proxy Card; </w:t>
            </w:r>
          </w:p>
        </w:tc>
      </w:tr>
    </w:tbl>
    <w:p>
      <w:pPr>
        <w:pStyle w:val="TextBody"/>
        <w:spacing w:before="0" w:after="0"/>
        <w:jc w:val="left"/>
        <w:rPr/>
      </w:pPr>
      <w:r>
        <w:rPr/>
        <w:t> </w:t>
      </w:r>
    </w:p>
    <w:tbl>
      <w:tblPr>
        <w:tblW w:w="6280" w:type="dxa"/>
        <w:jc w:val="left"/>
        <w:tblInd w:w="0" w:type="dxa"/>
        <w:tblCellMar>
          <w:top w:w="0" w:type="dxa"/>
          <w:left w:w="0" w:type="dxa"/>
          <w:bottom w:w="0" w:type="dxa"/>
          <w:right w:w="0" w:type="dxa"/>
        </w:tblCellMar>
      </w:tblPr>
      <w:tblGrid>
        <w:gridCol w:w="125"/>
        <w:gridCol w:w="60"/>
        <w:gridCol w:w="609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6095" w:type="dxa"/>
            <w:tcBorders/>
            <w:shd w:fill="auto" w:val="clear"/>
            <w:vAlign w:val="center"/>
          </w:tcPr>
          <w:p>
            <w:pPr>
              <w:pStyle w:val="TableContents"/>
              <w:spacing w:before="0" w:after="0"/>
              <w:jc w:val="left"/>
              <w:rPr>
                <w:rFonts w:ascii="ARIAL" w:hAnsi="ARIAL"/>
                <w:sz w:val="20"/>
              </w:rPr>
            </w:pPr>
            <w:r>
              <w:rPr>
                <w:rFonts w:ascii="ARIAL" w:hAnsi="ARIAL"/>
                <w:sz w:val="20"/>
              </w:rPr>
              <w:t xml:space="preserve">by telephone through the number shown on the enclosed Proxy Card; </w:t>
            </w:r>
          </w:p>
        </w:tc>
      </w:tr>
    </w:tbl>
    <w:p>
      <w:pPr>
        <w:pStyle w:val="TextBody"/>
        <w:spacing w:before="0" w:after="0"/>
        <w:jc w:val="left"/>
        <w:rPr/>
      </w:pPr>
      <w:r>
        <w:rPr/>
        <w:t> </w:t>
      </w:r>
    </w:p>
    <w:tbl>
      <w:tblPr>
        <w:tblW w:w="7240" w:type="dxa"/>
        <w:jc w:val="left"/>
        <w:tblInd w:w="0" w:type="dxa"/>
        <w:tblCellMar>
          <w:top w:w="0" w:type="dxa"/>
          <w:left w:w="0" w:type="dxa"/>
          <w:bottom w:w="0" w:type="dxa"/>
          <w:right w:w="0" w:type="dxa"/>
        </w:tblCellMar>
      </w:tblPr>
      <w:tblGrid>
        <w:gridCol w:w="125"/>
        <w:gridCol w:w="60"/>
        <w:gridCol w:w="705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7055" w:type="dxa"/>
            <w:tcBorders/>
            <w:shd w:fill="auto" w:val="clear"/>
            <w:vAlign w:val="center"/>
          </w:tcPr>
          <w:p>
            <w:pPr>
              <w:pStyle w:val="TableContents"/>
              <w:spacing w:before="0" w:after="0"/>
              <w:jc w:val="left"/>
              <w:rPr>
                <w:rFonts w:ascii="ARIAL" w:hAnsi="ARIAL"/>
                <w:sz w:val="20"/>
              </w:rPr>
            </w:pPr>
            <w:r>
              <w:rPr>
                <w:rFonts w:ascii="ARIAL" w:hAnsi="ARIAL"/>
                <w:sz w:val="20"/>
              </w:rPr>
              <w:t xml:space="preserve">by completing, signing, dating and returning the enclosed Proxy Card by mail; or </w:t>
            </w:r>
          </w:p>
        </w:tc>
      </w:tr>
    </w:tbl>
    <w:p>
      <w:pPr>
        <w:pStyle w:val="TextBody"/>
        <w:spacing w:before="0" w:after="0"/>
        <w:jc w:val="left"/>
        <w:rPr/>
      </w:pPr>
      <w:r>
        <w:rPr/>
        <w:t> </w:t>
      </w:r>
    </w:p>
    <w:tbl>
      <w:tblPr>
        <w:tblW w:w="2440" w:type="dxa"/>
        <w:jc w:val="left"/>
        <w:tblInd w:w="0" w:type="dxa"/>
        <w:tblCellMar>
          <w:top w:w="0" w:type="dxa"/>
          <w:left w:w="0" w:type="dxa"/>
          <w:bottom w:w="0" w:type="dxa"/>
          <w:right w:w="0" w:type="dxa"/>
        </w:tblCellMar>
      </w:tblPr>
      <w:tblGrid>
        <w:gridCol w:w="125"/>
        <w:gridCol w:w="60"/>
        <w:gridCol w:w="2255"/>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jc w:val="left"/>
              <w:rPr>
                <w:rFonts w:ascii="ARIAL" w:hAnsi="ARIAL"/>
                <w:sz w:val="20"/>
              </w:rPr>
            </w:pPr>
            <w:r>
              <w:rPr>
                <w:rFonts w:ascii="ARIAL" w:hAnsi="ARIAL"/>
                <w:sz w:val="20"/>
              </w:rPr>
              <w:t xml:space="preserve">in person at the meeting. </w:t>
            </w:r>
          </w:p>
        </w:tc>
      </w:tr>
    </w:tbl>
    <w:p>
      <w:pPr>
        <w:pStyle w:val="TextBody"/>
        <w:spacing w:before="240" w:after="0"/>
        <w:jc w:val="left"/>
        <w:rPr>
          <w:rFonts w:ascii="ARIAL" w:hAnsi="ARIAL"/>
          <w:sz w:val="20"/>
        </w:rPr>
      </w:pPr>
      <w:r>
        <w:rPr>
          <w:rFonts w:ascii="ARIAL" w:hAnsi="ARIAL"/>
          <w:sz w:val="20"/>
        </w:rPr>
        <w:t xml:space="preserve">Even if you plan to attend the meeting, we encourage you to vote your shares by submitting your proxy. If you choose to vote your shares at the meeting, please bring proof of stock ownership and proof of your identity for entrance to the meeting. </w:t>
      </w:r>
    </w:p>
    <w:p>
      <w:pPr>
        <w:pStyle w:val="TextBody"/>
        <w:spacing w:before="240" w:after="0"/>
        <w:jc w:val="left"/>
        <w:rPr>
          <w:rFonts w:ascii="ARIAL" w:hAnsi="ARIAL"/>
          <w:sz w:val="20"/>
        </w:rPr>
      </w:pPr>
      <w:r>
        <w:rPr>
          <w:rFonts w:ascii="ARIAL" w:hAnsi="ARIAL"/>
          <w:i/>
          <w:sz w:val="20"/>
        </w:rPr>
        <w:t>Beneficial shareholders:</w:t>
      </w:r>
      <w:r>
        <w:rPr>
          <w:rFonts w:ascii="ARIAL" w:hAnsi="ARIAL"/>
          <w:sz w:val="20"/>
        </w:rPr>
        <w:t xml:space="preserve"> If you hold your Martin Marietta shares in street name, your ability to vote by internet or telephone depends on the voting process of the bank, broker or other nominee through which you hold the shares. Please follow their directions carefully. If you want to vote at the meeting, you must request a legal proxy from your bank, broker or other nominee and present that proxy, together with proof of your identity, for entrance to the meeting. </w:t>
      </w:r>
    </w:p>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3410"/>
        <w:gridCol w:w="60"/>
        <w:gridCol w:w="132"/>
        <w:gridCol w:w="60"/>
        <w:gridCol w:w="38"/>
      </w:tblGrid>
      <w:tr>
        <w:trPr/>
        <w:tc>
          <w:tcPr>
            <w:tcW w:w="3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b/>
              </w:rPr>
              <w:t>98</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59"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43" descr=""/>
                          <pic:cNvPicPr>
                            <a:picLocks noChangeAspect="1" noChangeArrowheads="1"/>
                          </pic:cNvPicPr>
                        </pic:nvPicPr>
                        <pic:blipFill>
                          <a:blip r:embed="rId24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ANNUAL MEETING AND VOTING INFORMATION</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 </w:t>
      </w:r>
    </w:p>
    <w:p>
      <w:pPr>
        <w:pStyle w:val="TextBody"/>
        <w:spacing w:before="360" w:after="0"/>
        <w:jc w:val="left"/>
        <w:rPr>
          <w:rFonts w:ascii="ARIAL" w:hAnsi="ARIAL"/>
          <w:b/>
          <w:color w:val="71BE9A"/>
          <w:sz w:val="26"/>
        </w:rPr>
      </w:pPr>
      <w:r>
        <w:rPr>
          <w:rFonts w:ascii="ARIAL" w:hAnsi="ARIAL"/>
          <w:b/>
          <w:color w:val="71BE9A"/>
          <w:sz w:val="26"/>
        </w:rPr>
        <w:t xml:space="preserve">What can I do if I change my mind after I vote my shares? </w:t>
      </w:r>
    </w:p>
    <w:p>
      <w:pPr>
        <w:pStyle w:val="TextBody"/>
        <w:spacing w:before="120" w:after="0"/>
        <w:jc w:val="left"/>
        <w:rPr>
          <w:rFonts w:ascii="ARIAL" w:hAnsi="ARIAL"/>
          <w:sz w:val="20"/>
        </w:rPr>
      </w:pPr>
      <w:r>
        <w:rPr>
          <w:rFonts w:ascii="ARIAL" w:hAnsi="ARIAL"/>
          <w:sz w:val="20"/>
        </w:rPr>
        <w:t xml:space="preserve">Even if you have submitted your vote, you may revoke your proxy and change your vote at any time before voting begins at the Annual Meeting. </w:t>
      </w:r>
    </w:p>
    <w:p>
      <w:pPr>
        <w:pStyle w:val="TextBody"/>
        <w:spacing w:before="240" w:after="0"/>
        <w:jc w:val="left"/>
        <w:rPr>
          <w:rFonts w:ascii="ARIAL" w:hAnsi="ARIAL"/>
          <w:sz w:val="20"/>
        </w:rPr>
      </w:pPr>
      <w:r>
        <w:rPr>
          <w:rFonts w:ascii="ARIAL" w:hAnsi="ARIAL"/>
          <w:i/>
          <w:sz w:val="20"/>
        </w:rPr>
        <w:t>Registered shareholders:</w:t>
      </w:r>
      <w:r>
        <w:rPr>
          <w:rFonts w:ascii="ARIAL" w:hAnsi="ARIAL"/>
          <w:sz w:val="20"/>
        </w:rPr>
        <w:t xml:space="preserve"> Registered shareholders may change their votes in one of two ways: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by voting on a later date by telephone or over the Internet (only your last dated Proxy Card or telephone or Internet vote is counted);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007CBA"/>
              </w:rPr>
            </w:pPr>
            <w:r>
              <w:rPr>
                <w:color w:val="007CBA"/>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by delivering a later dated Proxy Card to our Secretary, either prior to or at the meeting; or by voting your shares in person at the meeting. In order to vote your shares at the meeting, you must specifically revoke a previously submitted proxy. </w:t>
            </w:r>
          </w:p>
        </w:tc>
      </w:tr>
    </w:tbl>
    <w:p>
      <w:pPr>
        <w:pStyle w:val="TextBody"/>
        <w:spacing w:before="240" w:after="0"/>
        <w:jc w:val="left"/>
        <w:rPr>
          <w:rFonts w:ascii="ARIAL" w:hAnsi="ARIAL"/>
          <w:sz w:val="20"/>
        </w:rPr>
      </w:pPr>
      <w:r>
        <w:rPr>
          <w:rFonts w:ascii="ARIAL" w:hAnsi="ARIAL"/>
          <w:i/>
          <w:sz w:val="20"/>
        </w:rPr>
        <w:t>Beneficial shareholders:</w:t>
      </w:r>
      <w:r>
        <w:rPr>
          <w:rFonts w:ascii="ARIAL" w:hAnsi="ARIAL"/>
          <w:sz w:val="20"/>
        </w:rPr>
        <w:t xml:space="preserve"> If you hold your shares in street name, you should contact your bank, broker or other nominee to find out how to revoke your proxy. </w:t>
      </w:r>
    </w:p>
    <w:p>
      <w:pPr>
        <w:pStyle w:val="TextBody"/>
        <w:spacing w:before="240" w:after="0"/>
        <w:jc w:val="left"/>
        <w:rPr>
          <w:rFonts w:ascii="ARIAL" w:hAnsi="ARIAL"/>
          <w:b/>
          <w:color w:val="71BE9A"/>
          <w:sz w:val="26"/>
        </w:rPr>
      </w:pPr>
      <w:r>
        <w:rPr>
          <w:rFonts w:ascii="ARIAL" w:hAnsi="ARIAL"/>
          <w:b/>
          <w:color w:val="71BE9A"/>
          <w:sz w:val="26"/>
        </w:rPr>
        <w:t xml:space="preserve">How do I vote my 401(k) shares? </w:t>
      </w:r>
    </w:p>
    <w:p>
      <w:pPr>
        <w:pStyle w:val="TextBody"/>
        <w:spacing w:before="120" w:after="0"/>
        <w:jc w:val="left"/>
        <w:rPr>
          <w:rFonts w:ascii="ARIAL" w:hAnsi="ARIAL"/>
          <w:sz w:val="20"/>
        </w:rPr>
      </w:pPr>
      <w:r>
        <w:rPr>
          <w:rFonts w:ascii="ARIAL" w:hAnsi="ARIAL"/>
          <w:sz w:val="20"/>
        </w:rPr>
        <w:t xml:space="preserve">Each participant in Martin Marietta’s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 </w:t>
      </w:r>
    </w:p>
    <w:p>
      <w:pPr>
        <w:pStyle w:val="TextBody"/>
        <w:spacing w:before="240" w:after="0"/>
        <w:jc w:val="left"/>
        <w:rPr>
          <w:rFonts w:ascii="ARIAL" w:hAnsi="ARIAL"/>
          <w:b/>
          <w:color w:val="71BE9A"/>
          <w:sz w:val="26"/>
        </w:rPr>
      </w:pPr>
      <w:r>
        <w:rPr>
          <w:rFonts w:ascii="ARIAL" w:hAnsi="ARIAL"/>
          <w:b/>
          <w:color w:val="71BE9A"/>
          <w:sz w:val="26"/>
        </w:rPr>
        <w:t xml:space="preserve">Will my broker vote my shares for me if I do not give voting instructions? What are “broker non-votes”? </w:t>
      </w:r>
    </w:p>
    <w:p>
      <w:pPr>
        <w:pStyle w:val="TextBody"/>
        <w:spacing w:before="120" w:after="0"/>
        <w:jc w:val="left"/>
        <w:rPr>
          <w:rFonts w:ascii="ARIAL" w:hAnsi="ARIAL"/>
          <w:sz w:val="20"/>
        </w:rPr>
      </w:pPr>
      <w:r>
        <w:rPr>
          <w:rFonts w:ascii="ARIAL" w:hAnsi="ARIAL"/>
          <w:sz w:val="20"/>
        </w:rPr>
        <w:t xml:space="preserve">Brokers holding shares for beneficial owners must vote those shares according to the specific instructions they receive from the beneficial owners. If specific instructions are not received, brokers may generally vote these shares at their discretion. However, the NYSE rules preclude brokers from exercising their voting discretion on certain proposals, such as the election of Directors and executive compensation matters.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or, the approval on an advisory basis of the compensation of our named executive officers, and the approval on an advisory basis of the frequency of voting on our executive compensation,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 </w:t>
      </w:r>
    </w:p>
    <w:p>
      <w:pPr>
        <w:pStyle w:val="TextBody"/>
        <w:spacing w:before="240" w:after="0"/>
        <w:jc w:val="left"/>
        <w:rPr>
          <w:rFonts w:ascii="ARIAL" w:hAnsi="ARIAL"/>
          <w:b/>
          <w:color w:val="71BE9A"/>
          <w:sz w:val="26"/>
        </w:rPr>
      </w:pPr>
      <w:r>
        <w:rPr>
          <w:rFonts w:ascii="ARIAL" w:hAnsi="ARIAL"/>
          <w:b/>
          <w:color w:val="71BE9A"/>
          <w:sz w:val="26"/>
        </w:rPr>
        <w:t xml:space="preserve">What vote is required to approve each item? </w:t>
      </w:r>
    </w:p>
    <w:p>
      <w:pPr>
        <w:pStyle w:val="TextBody"/>
        <w:spacing w:before="120" w:after="0"/>
        <w:jc w:val="left"/>
        <w:rPr>
          <w:rFonts w:ascii="ARIAL" w:hAnsi="ARIAL"/>
          <w:sz w:val="20"/>
        </w:rPr>
      </w:pPr>
      <w:r>
        <w:rPr>
          <w:rFonts w:ascii="ARIAL" w:hAnsi="ARIAL"/>
          <w:sz w:val="20"/>
        </w:rPr>
        <w:t xml:space="preserve">Martin Marietta amended its Articles of Incorporation following the 2013 Annual Meeting of Shareholders to provide for majority voting in the election of Directors. As a result, in an uncontested Director election (i.e., an election where the only nominees are those proposed by our Board of Directors, such as at the 2023 Annual Meeting), Directors are elected by a majority of the votes cast by holders of our common stock present in person or by proxy at the meeting. For purposes of uncontested Director elections, a majority of votes cast means that the number of votes cast “for” a nominee’s election exceeds the number of votes cast “against” that nominee’s election. Abstentions and broker non-votes will not be counted as votes cast in the election of Directors and will have no effect on the outcome of the election of Directors. </w:t>
      </w:r>
    </w:p>
    <w:p>
      <w:pPr>
        <w:pStyle w:val="TextBody"/>
        <w:spacing w:before="240" w:after="0"/>
        <w:jc w:val="left"/>
        <w:rPr>
          <w:rFonts w:ascii="ARIAL" w:hAnsi="ARIAL"/>
          <w:sz w:val="20"/>
        </w:rPr>
      </w:pPr>
      <w:r>
        <w:rPr>
          <w:rFonts w:ascii="ARIAL" w:hAnsi="ARIAL"/>
          <w:sz w:val="20"/>
        </w:rPr>
        <w:t xml:space="preserve">Under North Carolina law, if an incumbent director is not re-elected at an Annual Meeting, then, even though his or her term has expired, the incumbent director continues to serve in office as a holdover director until his or her successor is elected or until there is a decrease in the number of directors. </w:t>
      </w:r>
    </w:p>
    <w:p>
      <w:pPr>
        <w:pStyle w:val="TextBody"/>
        <w:spacing w:before="0" w:after="0"/>
        <w:jc w:val="left"/>
        <w:rPr/>
      </w:pPr>
      <w:r>
        <w:rPr/>
        <w:t> </w:t>
      </w:r>
    </w:p>
    <w:tbl>
      <w:tblPr>
        <w:tblW w:w="3085" w:type="dxa"/>
        <w:jc w:val="left"/>
        <w:tblInd w:w="0" w:type="dxa"/>
        <w:tblCellMar>
          <w:top w:w="0" w:type="dxa"/>
          <w:left w:w="0" w:type="dxa"/>
          <w:bottom w:w="0" w:type="dxa"/>
          <w:right w:w="0" w:type="dxa"/>
        </w:tblCellMar>
      </w:tblPr>
      <w:tblGrid>
        <w:gridCol w:w="38"/>
        <w:gridCol w:w="60"/>
        <w:gridCol w:w="132"/>
        <w:gridCol w:w="6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60"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44" descr=""/>
                          <pic:cNvPicPr>
                            <a:picLocks noChangeAspect="1" noChangeArrowheads="1"/>
                          </pic:cNvPicPr>
                        </pic:nvPicPr>
                        <pic:blipFill>
                          <a:blip r:embed="rId24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right"/>
              <w:rPr/>
            </w:pPr>
            <w:r>
              <w:rPr>
                <w:color w:val="007CBA"/>
              </w:rPr>
              <w:t>MARTIN MARIETTA    </w:t>
            </w:r>
            <w:r>
              <w:rPr>
                <w:b/>
              </w:rPr>
              <w:t>99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ARIAL" w:hAnsi="ARIAL"/>
          <w:sz w:val="16"/>
        </w:rPr>
      </w:pPr>
      <w:r>
        <w:rPr>
          <w:rFonts w:ascii="ARIAL" w:hAnsi="ARIAL"/>
          <w:color w:val="007CBA"/>
          <w:sz w:val="16"/>
        </w:rPr>
        <w:t>ANNUAL MEETING AND VOTING INFORMATION  ◆</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North Carolina law further provides that if the shareholders fail to elect the full authorized number of directors, a board of directors may fill the vacancy by electing a successor. Accordingly, Martin Marietta’s Articles of Incorporation provide that if a nominee is not elected by a vote of the majority of the votes cast with respect to that nominee’s election, the Board of Directors may decrease the number of Directors, fill any vacancy or take other appropriate action. </w:t>
      </w:r>
    </w:p>
    <w:p>
      <w:pPr>
        <w:pStyle w:val="TextBody"/>
        <w:spacing w:before="240" w:after="0"/>
        <w:jc w:val="left"/>
        <w:rPr>
          <w:rFonts w:ascii="ARIAL" w:hAnsi="ARIAL"/>
          <w:sz w:val="20"/>
        </w:rPr>
      </w:pPr>
      <w:r>
        <w:rPr>
          <w:rFonts w:ascii="ARIAL" w:hAnsi="ARIAL"/>
          <w:sz w:val="20"/>
        </w:rPr>
        <w:t xml:space="preserve">The ratification of the selection of independent auditors, the advisory vote to approve the compensation of the named executive officers, and any other proposal presented at the meeting, will be approved if more votes are cast by proxy or in person in favor of the proposal than are cast against it. With respect to the vote on the frequency of future advisory votes on executive compensation the period receiving the greatest number of votes (every 1 year, every 2 years or every 3 years) will be considered the preference selected by the shareholders. </w:t>
      </w:r>
    </w:p>
    <w:p>
      <w:pPr>
        <w:pStyle w:val="TextBody"/>
        <w:spacing w:before="240" w:after="0"/>
        <w:jc w:val="left"/>
        <w:rPr>
          <w:rFonts w:ascii="ARIAL" w:hAnsi="ARIAL"/>
          <w:sz w:val="20"/>
        </w:rPr>
      </w:pPr>
      <w:r>
        <w:rPr>
          <w:rFonts w:ascii="ARIAL" w:hAnsi="ARIAL"/>
          <w:sz w:val="20"/>
        </w:rPr>
        <w:t xml:space="preserve">Abstentions and broker non-votes, if any, will not be counted “for” or “against” any of these proposals. </w:t>
      </w:r>
    </w:p>
    <w:p>
      <w:pPr>
        <w:pStyle w:val="TextBody"/>
        <w:spacing w:before="240" w:after="0"/>
        <w:jc w:val="left"/>
        <w:rPr>
          <w:rFonts w:ascii="ARIAL" w:hAnsi="ARIAL"/>
          <w:b/>
          <w:color w:val="71BE9A"/>
          <w:sz w:val="26"/>
        </w:rPr>
      </w:pPr>
      <w:r>
        <w:rPr>
          <w:rFonts w:ascii="ARIAL" w:hAnsi="ARIAL"/>
          <w:b/>
          <w:color w:val="71BE9A"/>
          <w:sz w:val="26"/>
        </w:rPr>
        <w:t xml:space="preserve">What is required to attend the meeting? </w:t>
      </w:r>
    </w:p>
    <w:p>
      <w:pPr>
        <w:pStyle w:val="TextBody"/>
        <w:spacing w:before="120" w:after="0"/>
        <w:jc w:val="left"/>
        <w:rPr>
          <w:rFonts w:ascii="ARIAL" w:hAnsi="ARIAL"/>
          <w:sz w:val="20"/>
        </w:rPr>
      </w:pPr>
      <w:r>
        <w:rPr>
          <w:rFonts w:ascii="ARIAL" w:hAnsi="ARIAL"/>
          <w:sz w:val="20"/>
        </w:rPr>
        <w:t xml:space="preserve">Attendance at the Annual Meeting will be limited to our shareholders as of the record date of March 6, 2023 and their proxies. If you are a shareholder and plan to attend the Annual Meeting and your shares are held in street name (for example, if your shares are held through an account maintained by a bank or securities broker), you must present evidence of your stock ownership as of March 6, 2023 in order to be admitted to the Annual Meeting. You can obtain this evidence from your bank or brokerage firm. If your shares are held in street name as of March 6, 2023 and you intend to vote your shares at the Annual Meeting, you must also request a legal proxy appointment from your bank, broker or other nominee and present that proxy appointment at the Annual Meeting’s registration desk. Whether you are a registered shareholder, your shares are held in street name, or you are a duly authorized proxy for a shareholder, a government-issued identification will be required to obtain admittance to the Annual Meeting. </w:t>
      </w:r>
    </w:p>
    <w:p>
      <w:pPr>
        <w:pStyle w:val="TextBody"/>
        <w:spacing w:before="240" w:after="0"/>
        <w:jc w:val="left"/>
        <w:rPr>
          <w:rFonts w:ascii="ARIAL" w:hAnsi="ARIAL"/>
          <w:sz w:val="20"/>
        </w:rPr>
      </w:pPr>
      <w:r>
        <w:rPr>
          <w:rFonts w:ascii="ARIAL" w:hAnsi="ARIAL"/>
          <w:sz w:val="20"/>
        </w:rPr>
        <w:t xml:space="preserve">We speak to almost all of our largest shareholders each year and we rarely have any shareholders in attendance at our shareholders’ meetings. In addition, the proposals to be considered at the 2023 Annual Meeting are routine. For these reasons, we currently intend to hold the Annual Meeting in person. In the event that alternative arrangements for the Annual Meeting are required, we intend to promptly advise our shareholders. Please monitor our website, https://ir.martinmarietta.com/events-presentations, for updated information if you are planning to attend the Annual Meeting. To assist with logistical planning for the Annual Meeting, we request that shareholders planning on attending the Annual Meeting notify us by email at corporatesecretary@martinmarietta.com. Providing such notice is not required for attendance at the Annual Meeting and is requested solely to assist in our planning. </w:t>
      </w:r>
    </w:p>
    <w:p>
      <w:pPr>
        <w:pStyle w:val="TextBody"/>
        <w:spacing w:before="240" w:after="0"/>
        <w:jc w:val="left"/>
        <w:rPr>
          <w:rFonts w:ascii="ARIAL" w:hAnsi="ARIAL"/>
          <w:b/>
          <w:color w:val="71BE9A"/>
          <w:sz w:val="26"/>
        </w:rPr>
      </w:pPr>
      <w:r>
        <w:rPr>
          <w:rFonts w:ascii="ARIAL" w:hAnsi="ARIAL"/>
          <w:b/>
          <w:color w:val="71BE9A"/>
          <w:sz w:val="26"/>
        </w:rPr>
        <w:t xml:space="preserve">Where can I find voting results for the Annual Meeting? </w:t>
      </w:r>
    </w:p>
    <w:p>
      <w:pPr>
        <w:pStyle w:val="TextBody"/>
        <w:spacing w:before="120" w:after="0"/>
        <w:jc w:val="left"/>
        <w:rPr>
          <w:rFonts w:ascii="ARIAL" w:hAnsi="ARIAL"/>
          <w:sz w:val="20"/>
        </w:rPr>
      </w:pPr>
      <w:r>
        <w:rPr>
          <w:rFonts w:ascii="ARIAL" w:hAnsi="ARIAL"/>
          <w:sz w:val="20"/>
        </w:rPr>
        <w:t xml:space="preserve">We will announce preliminary voting results at the conclusion of the meeting and publish final results in a Current Report on Form 8-K filed with the SEC within four business days after the Annual Meeting. </w:t>
      </w:r>
    </w:p>
    <w:p>
      <w:pPr>
        <w:pStyle w:val="TextBody"/>
        <w:spacing w:before="240" w:after="0"/>
        <w:jc w:val="left"/>
        <w:rPr>
          <w:rFonts w:ascii="ARIAL" w:hAnsi="ARIAL"/>
          <w:b/>
          <w:color w:val="71BE9A"/>
          <w:sz w:val="26"/>
        </w:rPr>
      </w:pPr>
      <w:r>
        <w:rPr>
          <w:rFonts w:ascii="ARIAL" w:hAnsi="ARIAL"/>
          <w:b/>
          <w:color w:val="71BE9A"/>
          <w:sz w:val="26"/>
        </w:rPr>
        <w:t xml:space="preserve">Where can I find out more information about Martin Marietta? </w:t>
      </w:r>
    </w:p>
    <w:p>
      <w:pPr>
        <w:pStyle w:val="TextBody"/>
        <w:spacing w:before="120" w:after="0"/>
        <w:jc w:val="left"/>
        <w:rPr>
          <w:rFonts w:ascii="ARIAL" w:hAnsi="ARIAL"/>
          <w:sz w:val="20"/>
        </w:rPr>
      </w:pPr>
      <w:r>
        <w:rPr>
          <w:rFonts w:ascii="ARIAL" w:hAnsi="ARIAL"/>
          <w:sz w:val="20"/>
        </w:rPr>
        <w:t xml:space="preserve">We maintain a website at </w:t>
      </w:r>
      <w:r>
        <w:rPr>
          <w:rFonts w:ascii="ARIAL" w:hAnsi="ARIAL"/>
          <w:i/>
          <w:sz w:val="20"/>
        </w:rPr>
        <w:t>www.martinmarietta.com</w:t>
      </w:r>
      <w:r>
        <w:rPr>
          <w:rFonts w:ascii="ARIAL" w:hAnsi="ARIAL"/>
          <w:sz w:val="20"/>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 Governance Guidelines, as well as our Code of Ethical Business Conduct are all available through the website. Alternatively, our shareholders and other interested parties may obtain, without charge, copies of all of these documents by writing to the Corporate Secretary, Martin Marietta, 4123 Parklake Avenue, Raleigh, NC 27612. Please note that the information contained on Martin Marietta’s website is not incorporated by reference in, or considered to be a part of, this document. </w:t>
      </w:r>
    </w:p>
    <w:p>
      <w:pPr>
        <w:pStyle w:val="TextBody"/>
        <w:spacing w:before="240" w:after="0"/>
        <w:jc w:val="left"/>
        <w:rPr>
          <w:rFonts w:ascii="ARIAL" w:hAnsi="ARIAL"/>
          <w:b/>
          <w:color w:val="71BE9A"/>
          <w:sz w:val="26"/>
        </w:rPr>
      </w:pPr>
      <w:r>
        <w:rPr>
          <w:rFonts w:ascii="ARIAL" w:hAnsi="ARIAL"/>
          <w:b/>
          <w:color w:val="71BE9A"/>
          <w:sz w:val="26"/>
        </w:rPr>
        <w:t xml:space="preserve">Who is paying for this Proxy Statement? </w:t>
      </w:r>
    </w:p>
    <w:p>
      <w:pPr>
        <w:pStyle w:val="TextBody"/>
        <w:spacing w:before="120" w:after="0"/>
        <w:jc w:val="left"/>
        <w:rPr>
          <w:rFonts w:ascii="ARIAL" w:hAnsi="ARIAL"/>
          <w:sz w:val="20"/>
        </w:rPr>
      </w:pPr>
      <w:r>
        <w:rPr>
          <w:rFonts w:ascii="ARIAL" w:hAnsi="ARIAL"/>
          <w:sz w:val="20"/>
        </w:rPr>
        <w:t xml:space="preserve">The entire cost of preparing, assembling, printing, and mailing the Notice of Meeting, this Proxy Statement, and proxies, and the cost of soliciting proxies relating to the meeting, if any, has been or will be paid by Martin Marietta. In addition to </w:t>
      </w:r>
    </w:p>
    <w:p>
      <w:pPr>
        <w:pStyle w:val="TextBody"/>
        <w:spacing w:before="0" w:after="0"/>
        <w:jc w:val="left"/>
        <w:rPr/>
      </w:pPr>
      <w:r>
        <w:rPr/>
        <w:t> </w:t>
      </w:r>
    </w:p>
    <w:tbl>
      <w:tblPr>
        <w:tblW w:w="3820" w:type="dxa"/>
        <w:jc w:val="left"/>
        <w:tblInd w:w="0" w:type="dxa"/>
        <w:tblCellMar>
          <w:top w:w="0" w:type="dxa"/>
          <w:left w:w="0" w:type="dxa"/>
          <w:bottom w:w="0" w:type="dxa"/>
          <w:right w:w="0" w:type="dxa"/>
        </w:tblCellMar>
      </w:tblPr>
      <w:tblGrid>
        <w:gridCol w:w="3530"/>
        <w:gridCol w:w="60"/>
        <w:gridCol w:w="132"/>
        <w:gridCol w:w="60"/>
        <w:gridCol w:w="38"/>
      </w:tblGrid>
      <w:tr>
        <w:trPr/>
        <w:tc>
          <w:tcPr>
            <w:tcW w:w="3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530" w:type="dxa"/>
            <w:tcBorders/>
            <w:shd w:fill="auto" w:val="clear"/>
            <w:vAlign w:val="center"/>
          </w:tcPr>
          <w:p>
            <w:pPr>
              <w:pStyle w:val="TableContents"/>
              <w:spacing w:before="0" w:after="283"/>
              <w:rPr/>
            </w:pPr>
            <w:r>
              <w:rPr>
                <w:b/>
              </w:rPr>
              <w:t>100</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61"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45" descr=""/>
                          <pic:cNvPicPr>
                            <a:picLocks noChangeAspect="1" noChangeArrowheads="1"/>
                          </pic:cNvPicPr>
                        </pic:nvPicPr>
                        <pic:blipFill>
                          <a:blip r:embed="rId24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t>  </w:t>
      </w:r>
      <w:r>
        <w:rPr>
          <w:color w:val="007CBA"/>
        </w:rPr>
        <w:t>◆  </w:t>
      </w:r>
      <w:r>
        <w:rPr>
          <w:rFonts w:ascii="ARIAL" w:hAnsi="ARIAL"/>
          <w:color w:val="007CBA"/>
          <w:sz w:val="16"/>
        </w:rPr>
        <w:t>ANNUAL MEETING AND VOTING INFORMATION</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use of the mail, proxies may be solicited by Directors, officers, and other regular employees of Martin Marietta by telephone, facsimile, or personal solicitation, and no additional compensation will be paid to such individuals. Martin Marietta will use the services of Morrow Sodali LLC, 470 West Avenue, Stamford, CT 06902, a professional soliciting organization, to assist in obtaining in person or by proxy shareholder votes. Martin Marietta estimates its expenses for solicitation services will not exceed $10,000. Martin Marietta will, if requested, reimburse banks, brokerage houses and other custodians, nominees and certain fiduciaries for their reasonable expenses incurred in mailing proxy materials to their principals. </w:t>
      </w:r>
    </w:p>
    <w:p>
      <w:pPr>
        <w:pStyle w:val="TextBody"/>
        <w:spacing w:before="240" w:after="0"/>
        <w:jc w:val="left"/>
        <w:rPr>
          <w:rFonts w:ascii="ARIAL" w:hAnsi="ARIAL"/>
          <w:b/>
          <w:color w:val="71BE9A"/>
          <w:sz w:val="26"/>
        </w:rPr>
      </w:pPr>
      <w:bookmarkStart w:id="84" w:name="toc390557_75"/>
      <w:bookmarkEnd w:id="84"/>
      <w:r>
        <w:rPr>
          <w:rFonts w:ascii="ARIAL" w:hAnsi="ARIAL"/>
          <w:b/>
          <w:color w:val="71BE9A"/>
          <w:sz w:val="26"/>
        </w:rPr>
        <w:t xml:space="preserve">Incorporation by Reference </w:t>
      </w:r>
    </w:p>
    <w:p>
      <w:pPr>
        <w:pStyle w:val="TextBody"/>
        <w:spacing w:before="120" w:after="0"/>
        <w:jc w:val="left"/>
        <w:rPr>
          <w:rFonts w:ascii="ARIAL" w:hAnsi="ARIAL"/>
          <w:sz w:val="20"/>
        </w:rPr>
      </w:pPr>
      <w:r>
        <w:rPr>
          <w:rFonts w:ascii="ARIAL" w:hAnsi="ARIAL"/>
          <w:sz w:val="20"/>
        </w:rPr>
        <w:t xml:space="preserve">The Audit Committee Report on page 39 and the Management Development and Compensation Committee Report on page 40 do not constitute soliciting material and should not be deemed filed or incorporated by reference into any other filing by Martin Marietta under the Securities Act of 1933 or the Exchange Act, or subject to Regulation 14A or to the liabilities of Section 18 of the Exchange Act, except to the extent that Martin Marietta specifically requests that the information be treated as soliciting material or specifically incorporates such information by reference. </w:t>
      </w:r>
    </w:p>
    <w:p>
      <w:pPr>
        <w:pStyle w:val="TextBody"/>
        <w:spacing w:before="240" w:after="0"/>
        <w:jc w:val="left"/>
        <w:rPr>
          <w:rFonts w:ascii="ARIAL" w:hAnsi="ARIAL"/>
          <w:b/>
          <w:color w:val="71BE9A"/>
          <w:sz w:val="26"/>
        </w:rPr>
      </w:pPr>
      <w:bookmarkStart w:id="85" w:name="toc390557_76"/>
      <w:bookmarkEnd w:id="85"/>
      <w:r>
        <w:rPr>
          <w:rFonts w:ascii="ARIAL" w:hAnsi="ARIAL"/>
          <w:b/>
          <w:color w:val="71BE9A"/>
          <w:sz w:val="26"/>
        </w:rPr>
        <w:t xml:space="preserve">Shareholders’ Proposals for 2024 Annual Meeting </w:t>
      </w:r>
    </w:p>
    <w:p>
      <w:pPr>
        <w:pStyle w:val="TextBody"/>
        <w:spacing w:before="120" w:after="0"/>
        <w:jc w:val="left"/>
        <w:rPr>
          <w:rFonts w:ascii="ARIAL" w:hAnsi="ARIAL"/>
          <w:sz w:val="20"/>
        </w:rPr>
      </w:pPr>
      <w:r>
        <w:rPr>
          <w:rFonts w:ascii="ARIAL" w:hAnsi="ARIAL"/>
          <w:sz w:val="20"/>
        </w:rPr>
        <w:t xml:space="preserve">Proposals by shareholders intended to be presented at the 2024 Annual Meeting of Shareholders of Martin Marietta must be received by the Secretary of Martin Marietta no later than December 15, 2023 in order to be included in the Proxy Statement and on the Proxy Card that will be solicited by the Board of Directors in connection with that meeting. The inclusion of any proposal will be subject to applicable rules of the SEC. In addition, the Bylaws of Martin Marietta establish an advance notice requirement for any proposal of business to be considered at an Annual Meeting, including the nomination of any person for election as Director. In general, written notice must be received by the Secretary of Martin Marietta at its principal executive office, 4123 Parklake Avenue, Raleigh, North Carolina 27612,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2024 Annual Meeting, proposals must be received by the Secretary of Martin Marietta no earlier than January 14, 2024 and no later than February 13, 2024. Any waiver by Martin Marietta of these requirements with respect to the submission of a particular shareholder proposal shall not constitute a waiver with respect to the submission of any other shareholder proposal nor shall it obligate Martin Marietta to waive these requirements with respect to future submissions of the shareholder proposal or any other shareholder proposal. Our Bylaws provide a proxy access right to permit a shareholder, or a group of up to 20 shareholders, owning at least 3% of our outstanding common stock continuously for at least three years, to nominate and include in our proxy materials director nominees constituting up to 25% of the Board of Directors or two Directors, whichever is greater, provided that the shareholder(s) and the nominee(s) satisfy the requirements specified in our Bylaws. Under our Bylaws, compliant notice of proxy access Director nominations for the 2024 Annual Meeting must be submitted to the Corporate Secretary of Martin Marietta no earlier than November 15, 2023 and no later than December 15, 2023. The notice must contain the information required by the Bylaws. Any shareholder desiring a copy of the Bylaws of Martin Marietta will be furnished one without charge upon written request to the Secretary of Martin Marietta at its principal executive office, 4123 Parklake Avenue, Raleigh, North Carolina 27612. In addition to satisfying the foregoing requirements under our Bylaws, to comply with the SEC’s universal proxy rules, shareholders who intend to solicit proxies in support of director nominees other than the Board of Directors’ nominees must provide notice that sets forth the information required by SEC Rule 14a-19 no later than March 12, 2024 and comply with the other requirements of our Bylaws applicable to such solicitations. </w:t>
      </w:r>
    </w:p>
    <w:p>
      <w:pPr>
        <w:pStyle w:val="TextBody"/>
        <w:spacing w:before="240" w:after="0"/>
        <w:jc w:val="left"/>
        <w:rPr>
          <w:rFonts w:ascii="ARIAL" w:hAnsi="ARIAL"/>
          <w:b/>
          <w:color w:val="007CBA"/>
          <w:sz w:val="36"/>
        </w:rPr>
      </w:pPr>
      <w:r>
        <w:rPr>
          <w:rFonts w:ascii="ARIAL" w:hAnsi="ARIAL"/>
          <w:b/>
          <w:color w:val="007CBA"/>
          <w:sz w:val="36"/>
        </w:rPr>
        <w:t xml:space="preserve">Martin Marietta Materials, Inc. </w:t>
      </w:r>
    </w:p>
    <w:p>
      <w:pPr>
        <w:pStyle w:val="TextBody"/>
        <w:spacing w:before="120" w:after="0"/>
        <w:jc w:val="left"/>
        <w:rPr>
          <w:rFonts w:ascii="ARIAL" w:hAnsi="ARIAL"/>
          <w:sz w:val="20"/>
        </w:rPr>
      </w:pPr>
      <w:r>
        <w:rPr>
          <w:rFonts w:ascii="ARIAL" w:hAnsi="ARIAL"/>
          <w:sz w:val="20"/>
        </w:rPr>
        <w:t xml:space="preserve">April 13, 2023 </w:t>
      </w:r>
    </w:p>
    <w:p>
      <w:pPr>
        <w:pStyle w:val="TextBody"/>
        <w:spacing w:before="0" w:after="0"/>
        <w:jc w:val="left"/>
        <w:rPr/>
      </w:pPr>
      <w:r>
        <w:rPr/>
        <w:t> </w:t>
      </w:r>
    </w:p>
    <w:p>
      <w:pPr>
        <w:pStyle w:val="TextBody"/>
        <w:spacing w:before="0" w:after="0"/>
        <w:jc w:val="left"/>
        <w:rPr/>
      </w:pPr>
      <w:r>
        <w:rPr/>
        <w:t> </w:t>
      </w:r>
    </w:p>
    <w:tbl>
      <w:tblPr>
        <w:tblW w:w="3205" w:type="dxa"/>
        <w:jc w:val="left"/>
        <w:tblInd w:w="0" w:type="dxa"/>
        <w:tblCellMar>
          <w:top w:w="0" w:type="dxa"/>
          <w:left w:w="0" w:type="dxa"/>
          <w:bottom w:w="0" w:type="dxa"/>
          <w:right w:w="0" w:type="dxa"/>
        </w:tblCellMar>
      </w:tblPr>
      <w:tblGrid>
        <w:gridCol w:w="38"/>
        <w:gridCol w:w="60"/>
        <w:gridCol w:w="132"/>
        <w:gridCol w:w="60"/>
        <w:gridCol w:w="291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1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62"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46" descr=""/>
                          <pic:cNvPicPr>
                            <a:picLocks noChangeAspect="1" noChangeArrowheads="1"/>
                          </pic:cNvPicPr>
                        </pic:nvPicPr>
                        <pic:blipFill>
                          <a:blip r:embed="rId24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jc w:val="right"/>
              <w:rPr/>
            </w:pPr>
            <w:r>
              <w:rPr>
                <w:color w:val="007CBA"/>
              </w:rPr>
              <w:t>MARTIN MARIETTA    </w:t>
            </w:r>
            <w:r>
              <w:rPr>
                <w:b/>
              </w:rPr>
              <w:t>101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7CBA"/>
          <w:sz w:val="42"/>
        </w:rPr>
      </w:pPr>
      <w:bookmarkStart w:id="86" w:name="toc390557_77"/>
      <w:bookmarkEnd w:id="86"/>
      <w:r>
        <w:rPr>
          <w:rFonts w:ascii="ARIAL" w:hAnsi="ARIAL"/>
          <w:b/>
          <w:color w:val="007CBA"/>
          <w:sz w:val="42"/>
        </w:rPr>
        <w:t xml:space="preserve">Appendix A </w:t>
      </w:r>
    </w:p>
    <w:p>
      <w:pPr>
        <w:pStyle w:val="TextBody"/>
        <w:spacing w:before="240" w:after="0"/>
        <w:jc w:val="center"/>
        <w:rPr>
          <w:rFonts w:ascii="ARIAL" w:hAnsi="ARIAL"/>
          <w:b/>
          <w:color w:val="71BE9A"/>
          <w:sz w:val="26"/>
        </w:rPr>
      </w:pPr>
      <w:r>
        <w:rPr>
          <w:rFonts w:ascii="ARIAL" w:hAnsi="ARIAL"/>
          <w:b/>
          <w:color w:val="71BE9A"/>
          <w:sz w:val="26"/>
        </w:rPr>
        <w:t xml:space="preserve">Martin Marietta </w:t>
      </w:r>
    </w:p>
    <w:p>
      <w:pPr>
        <w:pStyle w:val="TextBody"/>
        <w:spacing w:before="0" w:after="0"/>
        <w:jc w:val="center"/>
        <w:rPr>
          <w:rFonts w:ascii="ARIAL" w:hAnsi="ARIAL"/>
          <w:b/>
          <w:color w:val="71BE9A"/>
          <w:sz w:val="26"/>
        </w:rPr>
      </w:pPr>
      <w:r>
        <w:rPr>
          <w:rFonts w:ascii="ARIAL" w:hAnsi="ARIAL"/>
          <w:b/>
          <w:color w:val="71BE9A"/>
          <w:sz w:val="26"/>
        </w:rPr>
        <w:t xml:space="preserve">Guidelines for Potential New Board Members </w:t>
      </w:r>
    </w:p>
    <w:p>
      <w:pPr>
        <w:pStyle w:val="TextBody"/>
        <w:spacing w:before="120" w:after="0"/>
        <w:jc w:val="left"/>
        <w:rPr>
          <w:rFonts w:ascii="ARIAL" w:hAnsi="ARIAL"/>
          <w:i/>
          <w:sz w:val="20"/>
        </w:rPr>
      </w:pPr>
      <w:r>
        <w:rPr>
          <w:rFonts w:ascii="ARIAL" w:hAnsi="ARIAL"/>
          <w:i/>
          <w:sz w:val="20"/>
          <w:u w:val="single"/>
        </w:rPr>
        <w:t>Preamble</w:t>
      </w:r>
      <w:r>
        <w:rPr>
          <w:rFonts w:ascii="ARIAL" w:hAnsi="ARIAL"/>
          <w:i/>
          <w:sz w:val="20"/>
        </w:rPr>
        <w:t xml:space="preserve">: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Corporate Governance Guidelines.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283"/>
              <w:jc w:val="left"/>
              <w:rPr/>
            </w:pPr>
            <w:r>
              <w:rPr/>
              <w:t>1.</w:t>
            </w:r>
          </w:p>
        </w:tc>
        <w:tc>
          <w:tcPr>
            <w:tcW w:w="9999" w:type="dxa"/>
            <w:tcBorders/>
            <w:shd w:fill="auto" w:val="clear"/>
            <w:vAlign w:val="center"/>
          </w:tcPr>
          <w:p>
            <w:pPr>
              <w:pStyle w:val="TableContents"/>
              <w:spacing w:before="0" w:after="0"/>
              <w:jc w:val="left"/>
              <w:rPr>
                <w:rFonts w:ascii="ARIAL" w:hAnsi="ARIAL"/>
                <w:sz w:val="20"/>
              </w:rPr>
            </w:pPr>
            <w:r>
              <w:rPr>
                <w:rFonts w:ascii="ARIAL" w:hAnsi="ARIAL"/>
                <w:sz w:val="20"/>
              </w:rPr>
              <w:t xml:space="preserve">Candidates should have a long-term history of the highest integrity and should ascribe fully to the ethics program of Martin Marietta.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283"/>
              <w:jc w:val="left"/>
              <w:rPr/>
            </w:pPr>
            <w:r>
              <w:rPr/>
              <w:t>2.</w:t>
            </w:r>
          </w:p>
        </w:tc>
        <w:tc>
          <w:tcPr>
            <w:tcW w:w="10003" w:type="dxa"/>
            <w:tcBorders/>
            <w:shd w:fill="auto" w:val="clear"/>
            <w:vAlign w:val="center"/>
          </w:tcPr>
          <w:p>
            <w:pPr>
              <w:pStyle w:val="TableContents"/>
              <w:spacing w:before="0" w:after="0"/>
              <w:jc w:val="left"/>
              <w:rPr>
                <w:rFonts w:ascii="ARIAL" w:hAnsi="ARIAL"/>
                <w:sz w:val="20"/>
              </w:rPr>
            </w:pPr>
            <w:r>
              <w:rPr>
                <w:rFonts w:ascii="ARIAL" w:hAnsi="ARIAL"/>
                <w:sz w:val="20"/>
              </w:rPr>
              <w:t xml:space="preserve">Candidates should be experienced, seasoned and have mature business judgment. It would be desirable if they are still active in their careers.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283"/>
              <w:jc w:val="left"/>
              <w:rPr/>
            </w:pPr>
            <w:r>
              <w:rPr/>
              <w:t>3.</w:t>
            </w:r>
          </w:p>
        </w:tc>
        <w:tc>
          <w:tcPr>
            <w:tcW w:w="9998" w:type="dxa"/>
            <w:tcBorders/>
            <w:shd w:fill="auto" w:val="clear"/>
            <w:vAlign w:val="center"/>
          </w:tcPr>
          <w:p>
            <w:pPr>
              <w:pStyle w:val="TableContents"/>
              <w:spacing w:before="0" w:after="0"/>
              <w:jc w:val="left"/>
              <w:rPr>
                <w:rFonts w:ascii="ARIAL" w:hAnsi="ARIAL"/>
                <w:sz w:val="20"/>
              </w:rPr>
            </w:pPr>
            <w:r>
              <w:rPr>
                <w:rFonts w:ascii="ARIAL" w:hAnsi="ARIAL"/>
                <w:sz w:val="20"/>
              </w:rPr>
              <w:t xml:space="preserve">Consideration should be given to matching the geographic base of the candidate with the geographic coverage of Martin Marietta.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283"/>
              <w:jc w:val="left"/>
              <w:rPr/>
            </w:pPr>
            <w:r>
              <w:rPr/>
              <w:t>4.</w:t>
            </w:r>
          </w:p>
        </w:tc>
        <w:tc>
          <w:tcPr>
            <w:tcW w:w="10024" w:type="dxa"/>
            <w:tcBorders/>
            <w:shd w:fill="auto" w:val="clear"/>
            <w:vAlign w:val="center"/>
          </w:tcPr>
          <w:p>
            <w:pPr>
              <w:pStyle w:val="TableContents"/>
              <w:spacing w:before="0" w:after="0"/>
              <w:jc w:val="left"/>
              <w:rPr>
                <w:rFonts w:ascii="ARIAL" w:hAnsi="ARIAL"/>
                <w:sz w:val="20"/>
              </w:rPr>
            </w:pPr>
            <w:r>
              <w:rPr>
                <w:rFonts w:ascii="ARIAL" w:hAnsi="ARIAL"/>
                <w:sz w:val="20"/>
              </w:rPr>
              <w:t xml:space="preserve">Consideration should be given to diversity on the Board. Such diversity may include type of experience, education, skill sets, ethnic origin, gender and other items that will enable the Board to have a broad knowledge base and diverse viewpoints.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283"/>
              <w:jc w:val="left"/>
              <w:rPr/>
            </w:pPr>
            <w:r>
              <w:rPr/>
              <w:t>5.</w:t>
            </w:r>
          </w:p>
        </w:tc>
        <w:tc>
          <w:tcPr>
            <w:tcW w:w="10006" w:type="dxa"/>
            <w:tcBorders/>
            <w:shd w:fill="auto" w:val="clear"/>
            <w:vAlign w:val="center"/>
          </w:tcPr>
          <w:p>
            <w:pPr>
              <w:pStyle w:val="TableContents"/>
              <w:spacing w:before="0" w:after="0"/>
              <w:jc w:val="left"/>
              <w:rPr>
                <w:rFonts w:ascii="ARIAL" w:hAnsi="ARIAL"/>
                <w:sz w:val="20"/>
              </w:rPr>
            </w:pPr>
            <w:r>
              <w:rPr>
                <w:rFonts w:ascii="ARIAL" w:hAnsi="ARIAL"/>
                <w:sz w:val="20"/>
              </w:rPr>
              <w:t xml:space="preserve">Generally, candidates should not come from firms or companies that are significant sellers or buyers of goods and services to or from Martin Marietta.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2"/>
        <w:gridCol w:w="10033"/>
      </w:tblGrid>
      <w:tr>
        <w:trPr/>
        <w:tc>
          <w:tcPr>
            <w:tcW w:w="172" w:type="dxa"/>
            <w:tcBorders/>
            <w:shd w:fill="auto" w:val="clear"/>
            <w:vAlign w:val="center"/>
          </w:tcPr>
          <w:p>
            <w:pPr>
              <w:pStyle w:val="TableContents"/>
              <w:spacing w:before="0" w:after="283"/>
              <w:jc w:val="left"/>
              <w:rPr/>
            </w:pPr>
            <w:r>
              <w:rPr/>
              <w:t>6.</w:t>
            </w:r>
          </w:p>
        </w:tc>
        <w:tc>
          <w:tcPr>
            <w:tcW w:w="10033" w:type="dxa"/>
            <w:tcBorders/>
            <w:shd w:fill="auto" w:val="clear"/>
            <w:vAlign w:val="center"/>
          </w:tcPr>
          <w:p>
            <w:pPr>
              <w:pStyle w:val="TableContents"/>
              <w:spacing w:before="0" w:after="0"/>
              <w:jc w:val="left"/>
              <w:rPr>
                <w:rFonts w:ascii="ARIAL" w:hAnsi="ARIAL"/>
                <w:sz w:val="20"/>
              </w:rPr>
            </w:pPr>
            <w:r>
              <w:rPr>
                <w:rFonts w:ascii="ARIAL" w:hAnsi="ARIAL"/>
                <w:sz w:val="20"/>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Corporate Governance Guidelines.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1"/>
        <w:gridCol w:w="10034"/>
      </w:tblGrid>
      <w:tr>
        <w:trPr/>
        <w:tc>
          <w:tcPr>
            <w:tcW w:w="171" w:type="dxa"/>
            <w:tcBorders/>
            <w:shd w:fill="auto" w:val="clear"/>
            <w:vAlign w:val="center"/>
          </w:tcPr>
          <w:p>
            <w:pPr>
              <w:pStyle w:val="TableContents"/>
              <w:spacing w:before="0" w:after="283"/>
              <w:jc w:val="left"/>
              <w:rPr/>
            </w:pPr>
            <w:r>
              <w:rPr/>
              <w:t>7.</w:t>
            </w:r>
          </w:p>
        </w:tc>
        <w:tc>
          <w:tcPr>
            <w:tcW w:w="10034" w:type="dxa"/>
            <w:tcBorders/>
            <w:shd w:fill="auto" w:val="clear"/>
            <w:vAlign w:val="center"/>
          </w:tcPr>
          <w:p>
            <w:pPr>
              <w:pStyle w:val="TableContents"/>
              <w:spacing w:before="0" w:after="0"/>
              <w:jc w:val="left"/>
              <w:rPr>
                <w:rFonts w:ascii="ARIAL" w:hAnsi="ARIAL"/>
                <w:sz w:val="20"/>
              </w:rPr>
            </w:pPr>
            <w:r>
              <w:rPr>
                <w:rFonts w:ascii="ARIAL" w:hAnsi="ARIAL"/>
                <w:sz w:val="20"/>
              </w:rPr>
              <w:t xml:space="preserve">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1"/>
        <w:gridCol w:w="10034"/>
      </w:tblGrid>
      <w:tr>
        <w:trPr/>
        <w:tc>
          <w:tcPr>
            <w:tcW w:w="171" w:type="dxa"/>
            <w:tcBorders/>
            <w:shd w:fill="auto" w:val="clear"/>
            <w:vAlign w:val="center"/>
          </w:tcPr>
          <w:p>
            <w:pPr>
              <w:pStyle w:val="TableContents"/>
              <w:spacing w:before="0" w:after="283"/>
              <w:jc w:val="left"/>
              <w:rPr/>
            </w:pPr>
            <w:r>
              <w:rPr/>
              <w:t>8.</w:t>
            </w:r>
          </w:p>
        </w:tc>
        <w:tc>
          <w:tcPr>
            <w:tcW w:w="10034" w:type="dxa"/>
            <w:tcBorders/>
            <w:shd w:fill="auto" w:val="clear"/>
            <w:vAlign w:val="center"/>
          </w:tcPr>
          <w:p>
            <w:pPr>
              <w:pStyle w:val="TableContents"/>
              <w:spacing w:before="0" w:after="0"/>
              <w:jc w:val="left"/>
              <w:rPr>
                <w:rFonts w:ascii="ARIAL" w:hAnsi="ARIAL"/>
                <w:sz w:val="20"/>
              </w:rPr>
            </w:pPr>
            <w:r>
              <w:rPr>
                <w:rFonts w:ascii="ARIAL" w:hAnsi="ARIAL"/>
                <w:sz w:val="20"/>
              </w:rPr>
              <w:t xml:space="preserve">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 </w:t>
            </w:r>
          </w:p>
        </w:tc>
      </w:tr>
    </w:tbl>
    <w:p>
      <w:pPr>
        <w:pStyle w:val="TextBody"/>
        <w:spacing w:before="0" w:after="0"/>
        <w:jc w:val="left"/>
        <w:rPr/>
      </w:pPr>
      <w:r>
        <w:rPr/>
        <w:t> </w:t>
      </w:r>
    </w:p>
    <w:tbl>
      <w:tblPr>
        <w:tblW w:w="4390" w:type="dxa"/>
        <w:jc w:val="left"/>
        <w:tblInd w:w="0" w:type="dxa"/>
        <w:tblCellMar>
          <w:top w:w="0" w:type="dxa"/>
          <w:left w:w="0" w:type="dxa"/>
          <w:bottom w:w="0" w:type="dxa"/>
          <w:right w:w="0" w:type="dxa"/>
        </w:tblCellMar>
      </w:tblPr>
      <w:tblGrid>
        <w:gridCol w:w="215"/>
        <w:gridCol w:w="4175"/>
      </w:tblGrid>
      <w:tr>
        <w:trPr/>
        <w:tc>
          <w:tcPr>
            <w:tcW w:w="215" w:type="dxa"/>
            <w:tcBorders/>
            <w:shd w:fill="auto" w:val="clear"/>
            <w:vAlign w:val="center"/>
          </w:tcPr>
          <w:p>
            <w:pPr>
              <w:pStyle w:val="TableContents"/>
              <w:spacing w:before="0" w:after="283"/>
              <w:jc w:val="left"/>
              <w:rPr/>
            </w:pPr>
            <w:r>
              <w:rPr/>
              <w:t>9.</w:t>
            </w:r>
          </w:p>
        </w:tc>
        <w:tc>
          <w:tcPr>
            <w:tcW w:w="4175" w:type="dxa"/>
            <w:tcBorders/>
            <w:shd w:fill="auto" w:val="clear"/>
            <w:vAlign w:val="center"/>
          </w:tcPr>
          <w:p>
            <w:pPr>
              <w:pStyle w:val="TableContents"/>
              <w:spacing w:before="0" w:after="0"/>
              <w:jc w:val="left"/>
              <w:rPr>
                <w:rFonts w:ascii="ARIAL" w:hAnsi="ARIAL"/>
                <w:sz w:val="20"/>
              </w:rPr>
            </w:pPr>
            <w:r>
              <w:rPr>
                <w:rFonts w:ascii="ARIAL" w:hAnsi="ARIAL"/>
                <w:sz w:val="20"/>
              </w:rPr>
              <w:t xml:space="preserve">Public company experience is highly desirable.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283"/>
              <w:jc w:val="left"/>
              <w:rPr/>
            </w:pPr>
            <w:r>
              <w:rPr/>
              <w:t>10.</w:t>
            </w:r>
          </w:p>
        </w:tc>
        <w:tc>
          <w:tcPr>
            <w:tcW w:w="9894" w:type="dxa"/>
            <w:tcBorders/>
            <w:shd w:fill="auto" w:val="clear"/>
            <w:vAlign w:val="center"/>
          </w:tcPr>
          <w:p>
            <w:pPr>
              <w:pStyle w:val="TableContents"/>
              <w:spacing w:before="0" w:after="0"/>
              <w:jc w:val="left"/>
              <w:rPr>
                <w:rFonts w:ascii="ARIAL" w:hAnsi="ARIAL"/>
                <w:sz w:val="20"/>
              </w:rPr>
            </w:pPr>
            <w:r>
              <w:rPr>
                <w:rFonts w:ascii="ARIAL" w:hAnsi="ARIAL"/>
                <w:sz w:val="20"/>
              </w:rPr>
              <w:t xml:space="preserve">Candidates from education or nonprofit organizations will be considered where there is a specific priority need identified by the Board and where such a candidate can add value.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10"/>
        <w:gridCol w:w="9895"/>
      </w:tblGrid>
      <w:tr>
        <w:trPr/>
        <w:tc>
          <w:tcPr>
            <w:tcW w:w="310" w:type="dxa"/>
            <w:tcBorders/>
            <w:shd w:fill="auto" w:val="clear"/>
            <w:vAlign w:val="center"/>
          </w:tcPr>
          <w:p>
            <w:pPr>
              <w:pStyle w:val="TableContents"/>
              <w:spacing w:before="0" w:after="283"/>
              <w:jc w:val="left"/>
              <w:rPr/>
            </w:pPr>
            <w:r>
              <w:rPr/>
              <w:t>11.</w:t>
            </w:r>
          </w:p>
        </w:tc>
        <w:tc>
          <w:tcPr>
            <w:tcW w:w="9895" w:type="dxa"/>
            <w:tcBorders/>
            <w:shd w:fill="auto" w:val="clear"/>
            <w:vAlign w:val="center"/>
          </w:tcPr>
          <w:p>
            <w:pPr>
              <w:pStyle w:val="TableContents"/>
              <w:spacing w:before="0" w:after="0"/>
              <w:jc w:val="left"/>
              <w:rPr>
                <w:rFonts w:ascii="ARIAL" w:hAnsi="ARIAL"/>
                <w:sz w:val="20"/>
              </w:rPr>
            </w:pPr>
            <w:r>
              <w:rPr>
                <w:rFonts w:ascii="ARIAL" w:hAnsi="ARIAL"/>
                <w:sz w:val="20"/>
              </w:rPr>
              <w:t xml:space="preserve">Board candidates ideally would serve on no more than three for-profit boards inclusive of Martin Marietta Materials to assure adequate time to discharge the duties of a Board member. </w:t>
            </w:r>
          </w:p>
        </w:tc>
      </w:tr>
    </w:tbl>
    <w:p>
      <w:pPr>
        <w:pStyle w:val="TextBody"/>
        <w:spacing w:before="0" w:after="0"/>
        <w:jc w:val="left"/>
        <w:rPr/>
      </w:pPr>
      <w:r>
        <w:rPr/>
        <w:t> </w:t>
      </w:r>
    </w:p>
    <w:p>
      <w:pPr>
        <w:pStyle w:val="TextBody"/>
        <w:spacing w:before="0" w:after="0"/>
        <w:jc w:val="left"/>
        <w:rPr/>
      </w:pPr>
      <w:r>
        <w:rPr/>
        <w:t> </w:t>
      </w:r>
    </w:p>
    <w:tbl>
      <w:tblPr>
        <w:tblW w:w="3220" w:type="dxa"/>
        <w:jc w:val="left"/>
        <w:tblInd w:w="0" w:type="dxa"/>
        <w:tblCellMar>
          <w:top w:w="0" w:type="dxa"/>
          <w:left w:w="0" w:type="dxa"/>
          <w:bottom w:w="0" w:type="dxa"/>
          <w:right w:w="0" w:type="dxa"/>
        </w:tblCellMar>
      </w:tblPr>
      <w:tblGrid>
        <w:gridCol w:w="38"/>
        <w:gridCol w:w="60"/>
        <w:gridCol w:w="132"/>
        <w:gridCol w:w="60"/>
        <w:gridCol w:w="293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3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63"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47" descr=""/>
                          <pic:cNvPicPr>
                            <a:picLocks noChangeAspect="1" noChangeArrowheads="1"/>
                          </pic:cNvPicPr>
                        </pic:nvPicPr>
                        <pic:blipFill>
                          <a:blip r:embed="rId24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jc w:val="right"/>
              <w:rPr/>
            </w:pPr>
            <w:r>
              <w:rPr>
                <w:color w:val="007CBA"/>
              </w:rPr>
              <w:t>MARTIN MARIETTA    </w:t>
            </w:r>
            <w:r>
              <w:rPr>
                <w:b/>
              </w:rPr>
              <w:t>A-1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7CBA"/>
          <w:sz w:val="42"/>
        </w:rPr>
      </w:pPr>
      <w:bookmarkStart w:id="87" w:name="toc390557_78"/>
      <w:bookmarkEnd w:id="87"/>
      <w:r>
        <w:rPr>
          <w:rFonts w:ascii="ARIAL" w:hAnsi="ARIAL"/>
          <w:b/>
          <w:color w:val="007CBA"/>
          <w:sz w:val="42"/>
        </w:rPr>
        <w:t xml:space="preserve">Appendix B </w:t>
      </w:r>
    </w:p>
    <w:p>
      <w:pPr>
        <w:pStyle w:val="TextBody"/>
        <w:spacing w:before="120" w:after="0"/>
        <w:jc w:val="center"/>
        <w:rPr>
          <w:rFonts w:ascii="ARIAL" w:hAnsi="ARIAL"/>
          <w:b/>
          <w:color w:val="71BE9A"/>
          <w:sz w:val="26"/>
        </w:rPr>
      </w:pPr>
      <w:r>
        <w:rPr>
          <w:rFonts w:ascii="ARIAL" w:hAnsi="ARIAL"/>
          <w:b/>
          <w:color w:val="71BE9A"/>
          <w:sz w:val="26"/>
        </w:rPr>
        <w:t xml:space="preserve">Non-GAAP Measures </w:t>
      </w:r>
    </w:p>
    <w:p>
      <w:pPr>
        <w:pStyle w:val="TextBody"/>
        <w:spacing w:before="120" w:after="0"/>
        <w:jc w:val="left"/>
        <w:rPr>
          <w:rFonts w:ascii="ARIAL" w:hAnsi="ARIAL"/>
          <w:sz w:val="20"/>
        </w:rPr>
      </w:pPr>
      <w:r>
        <w:rPr>
          <w:rFonts w:ascii="ARIAL" w:hAnsi="ARIAL"/>
          <w:sz w:val="20"/>
        </w:rPr>
        <w:t xml:space="preserve">Non-GAAP financial measures disclosed by management are provided as additional information to investors in order to provide them with an alternative method for assessing our financial condition and operating results, and are often requested by investors. These measures are not in accordance with, or a substitute for, generally accepted accounting principles (GAAP) and may be different from or inconsistent with non-GAAP financial measures used by other companies. Adjusted EBITDA is an indicator used by the Company and investors to evaluate the Company’s operating performance period to period. </w:t>
      </w:r>
    </w:p>
    <w:p>
      <w:pPr>
        <w:pStyle w:val="TextBody"/>
        <w:spacing w:before="120" w:after="0"/>
        <w:jc w:val="left"/>
        <w:rPr>
          <w:rFonts w:ascii="ARIAL" w:hAnsi="ARIAL"/>
          <w:sz w:val="20"/>
        </w:rPr>
      </w:pPr>
      <w:r>
        <w:rPr>
          <w:rFonts w:ascii="ARIAL" w:hAnsi="ARIAL"/>
          <w:sz w:val="20"/>
        </w:rPr>
        <w:t xml:space="preserve">EBITDA is a widely accepted financial indicator of a company’s ability to service and/or incur indebtedness. EBITDA is not defined by GAAP and, as such, should not be construed as an alternative to earnings from operations, net earnings or operating cash flow. </w:t>
      </w:r>
    </w:p>
    <w:p>
      <w:pPr>
        <w:pStyle w:val="TextBody"/>
        <w:spacing w:before="120" w:after="0"/>
        <w:jc w:val="left"/>
        <w:rPr>
          <w:rFonts w:ascii="ARIAL" w:hAnsi="ARIAL"/>
          <w:sz w:val="20"/>
        </w:rPr>
      </w:pPr>
      <w:r>
        <w:rPr>
          <w:rFonts w:ascii="ARIAL" w:hAnsi="ARIAL"/>
          <w:sz w:val="20"/>
        </w:rPr>
        <w:t xml:space="preserve">The following presents a reconciliation of net earnings from continuing operations attributable to Martin Marietta to consolidated Adjusted EBITDA from continuing operations for the years ended December 31, 2022, 2021, 2020, 2015 and 2010. </w:t>
      </w:r>
    </w:p>
    <w:p>
      <w:pPr>
        <w:pStyle w:val="TextBody"/>
        <w:spacing w:before="120" w:after="0"/>
        <w:jc w:val="left"/>
        <w:rPr>
          <w:rFonts w:ascii="ARIAL" w:hAnsi="ARIAL"/>
          <w:b/>
          <w:color w:val="71BE9A"/>
          <w:sz w:val="26"/>
        </w:rPr>
      </w:pPr>
      <w:r>
        <w:rPr>
          <w:rFonts w:ascii="ARIAL" w:hAnsi="ARIAL"/>
          <w:b/>
          <w:color w:val="71BE9A"/>
          <w:sz w:val="26"/>
        </w:rPr>
        <w:t xml:space="preserve">Consolidated Adjusted EBITDA for year ended December 31: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15"/>
        <w:gridCol w:w="120"/>
        <w:gridCol w:w="140"/>
        <w:gridCol w:w="740"/>
        <w:gridCol w:w="275"/>
        <w:gridCol w:w="120"/>
        <w:gridCol w:w="140"/>
        <w:gridCol w:w="740"/>
        <w:gridCol w:w="275"/>
        <w:gridCol w:w="120"/>
        <w:gridCol w:w="140"/>
        <w:gridCol w:w="740"/>
        <w:gridCol w:w="275"/>
        <w:gridCol w:w="120"/>
        <w:gridCol w:w="140"/>
        <w:gridCol w:w="740"/>
        <w:gridCol w:w="275"/>
        <w:gridCol w:w="120"/>
        <w:gridCol w:w="140"/>
        <w:gridCol w:w="740"/>
        <w:gridCol w:w="290"/>
      </w:tblGrid>
      <w:tr>
        <w:trPr/>
        <w:tc>
          <w:tcPr>
            <w:tcW w:w="3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815" w:type="dxa"/>
            <w:tcBorders/>
            <w:shd w:fill="DBDBDB" w:val="clear"/>
            <w:vAlign w:val="center"/>
          </w:tcPr>
          <w:p>
            <w:pPr>
              <w:pStyle w:val="TableContents"/>
              <w:spacing w:before="0" w:after="283"/>
              <w:rPr>
                <w:sz w:val="4"/>
                <w:szCs w:val="4"/>
              </w:rPr>
            </w:pPr>
            <w:r>
              <w:rPr>
                <w:sz w:val="4"/>
                <w:szCs w:val="4"/>
              </w:rPr>
            </w:r>
          </w:p>
        </w:tc>
        <w:tc>
          <w:tcPr>
            <w:tcW w:w="1275" w:type="dxa"/>
            <w:gridSpan w:val="4"/>
            <w:tcBorders/>
            <w:shd w:fill="DBDBDB" w:val="clear"/>
            <w:vAlign w:val="center"/>
          </w:tcPr>
          <w:p>
            <w:pPr>
              <w:pStyle w:val="TableContents"/>
              <w:spacing w:before="0" w:after="283"/>
              <w:rPr>
                <w:sz w:val="4"/>
                <w:szCs w:val="4"/>
              </w:rPr>
            </w:pPr>
            <w:r>
              <w:rPr>
                <w:sz w:val="4"/>
                <w:szCs w:val="4"/>
              </w:rPr>
            </w:r>
          </w:p>
        </w:tc>
        <w:tc>
          <w:tcPr>
            <w:tcW w:w="1275" w:type="dxa"/>
            <w:gridSpan w:val="4"/>
            <w:tcBorders/>
            <w:shd w:fill="DBDBDB" w:val="clear"/>
            <w:vAlign w:val="center"/>
          </w:tcPr>
          <w:p>
            <w:pPr>
              <w:pStyle w:val="TableContents"/>
              <w:spacing w:before="0" w:after="283"/>
              <w:rPr>
                <w:sz w:val="4"/>
                <w:szCs w:val="4"/>
              </w:rPr>
            </w:pPr>
            <w:r>
              <w:rPr>
                <w:sz w:val="4"/>
                <w:szCs w:val="4"/>
              </w:rPr>
            </w:r>
          </w:p>
        </w:tc>
        <w:tc>
          <w:tcPr>
            <w:tcW w:w="1275" w:type="dxa"/>
            <w:gridSpan w:val="4"/>
            <w:tcBorders/>
            <w:shd w:fill="DBDBDB" w:val="clear"/>
            <w:vAlign w:val="center"/>
          </w:tcPr>
          <w:p>
            <w:pPr>
              <w:pStyle w:val="TableContents"/>
              <w:spacing w:before="0" w:after="283"/>
              <w:rPr>
                <w:sz w:val="4"/>
                <w:szCs w:val="4"/>
              </w:rPr>
            </w:pPr>
            <w:r>
              <w:rPr>
                <w:sz w:val="4"/>
                <w:szCs w:val="4"/>
              </w:rPr>
            </w:r>
          </w:p>
        </w:tc>
        <w:tc>
          <w:tcPr>
            <w:tcW w:w="1275" w:type="dxa"/>
            <w:gridSpan w:val="4"/>
            <w:tcBorders/>
            <w:shd w:fill="DBDBDB" w:val="clear"/>
            <w:vAlign w:val="center"/>
          </w:tcPr>
          <w:p>
            <w:pPr>
              <w:pStyle w:val="TableContents"/>
              <w:spacing w:before="0" w:after="283"/>
              <w:rPr>
                <w:sz w:val="4"/>
                <w:szCs w:val="4"/>
              </w:rPr>
            </w:pPr>
            <w:r>
              <w:rPr>
                <w:sz w:val="4"/>
                <w:szCs w:val="4"/>
              </w:rPr>
            </w:r>
          </w:p>
        </w:tc>
        <w:tc>
          <w:tcPr>
            <w:tcW w:w="1290" w:type="dxa"/>
            <w:gridSpan w:val="4"/>
            <w:tcBorders/>
            <w:shd w:fill="DBDBDB" w:val="clear"/>
            <w:vAlign w:val="center"/>
          </w:tcPr>
          <w:p>
            <w:pPr>
              <w:pStyle w:val="TableContents"/>
              <w:spacing w:before="0" w:after="283"/>
              <w:rPr>
                <w:sz w:val="4"/>
                <w:szCs w:val="4"/>
              </w:rPr>
            </w:pPr>
            <w:r>
              <w:rPr>
                <w:sz w:val="4"/>
                <w:szCs w:val="4"/>
              </w:rPr>
            </w:r>
          </w:p>
        </w:tc>
      </w:tr>
      <w:tr>
        <w:trPr/>
        <w:tc>
          <w:tcPr>
            <w:tcW w:w="3815" w:type="dxa"/>
            <w:tcBorders/>
            <w:shd w:fill="DBDBDB" w:val="clear"/>
            <w:vAlign w:val="center"/>
          </w:tcPr>
          <w:p>
            <w:pPr>
              <w:pStyle w:val="TableContents"/>
              <w:spacing w:before="0" w:after="0"/>
              <w:rPr>
                <w:rFonts w:ascii="ARIAL" w:hAnsi="ARIAL"/>
                <w:b/>
                <w:sz w:val="18"/>
              </w:rPr>
            </w:pPr>
            <w:r>
              <w:rPr>
                <w:rFonts w:ascii="ARIAL" w:hAnsi="ARIAL"/>
                <w:b/>
                <w:sz w:val="18"/>
              </w:rPr>
              <w:t>(dollars in millions)</w:t>
            </w:r>
          </w:p>
        </w:tc>
        <w:tc>
          <w:tcPr>
            <w:tcW w:w="120" w:type="dxa"/>
            <w:tcBorders/>
            <w:shd w:fill="DBDBDB" w:val="clear"/>
            <w:vAlign w:val="center"/>
          </w:tcPr>
          <w:p>
            <w:pPr>
              <w:pStyle w:val="TableContents"/>
              <w:spacing w:before="0" w:after="283"/>
              <w:rPr/>
            </w:pPr>
            <w:r>
              <w:rPr/>
              <w:t>  </w:t>
            </w:r>
          </w:p>
        </w:tc>
        <w:tc>
          <w:tcPr>
            <w:tcW w:w="880" w:type="dxa"/>
            <w:gridSpan w:val="2"/>
            <w:tcBorders/>
            <w:shd w:fill="DBDBDB" w:val="clear"/>
            <w:vAlign w:val="center"/>
          </w:tcPr>
          <w:p>
            <w:pPr>
              <w:pStyle w:val="TableContents"/>
              <w:spacing w:before="0" w:after="283"/>
              <w:rPr>
                <w:b/>
              </w:rPr>
            </w:pPr>
            <w:r>
              <w:rPr>
                <w:b/>
              </w:rPr>
              <w:t>2022</w:t>
            </w:r>
          </w:p>
        </w:tc>
        <w:tc>
          <w:tcPr>
            <w:tcW w:w="275"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880" w:type="dxa"/>
            <w:gridSpan w:val="2"/>
            <w:tcBorders/>
            <w:shd w:fill="DBDBDB" w:val="clear"/>
            <w:vAlign w:val="center"/>
          </w:tcPr>
          <w:p>
            <w:pPr>
              <w:pStyle w:val="TableContents"/>
              <w:spacing w:before="0" w:after="283"/>
              <w:rPr>
                <w:b/>
              </w:rPr>
            </w:pPr>
            <w:r>
              <w:rPr>
                <w:b/>
              </w:rPr>
              <w:t>2021</w:t>
            </w:r>
          </w:p>
        </w:tc>
        <w:tc>
          <w:tcPr>
            <w:tcW w:w="275"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880" w:type="dxa"/>
            <w:gridSpan w:val="2"/>
            <w:tcBorders/>
            <w:shd w:fill="DBDBDB" w:val="clear"/>
            <w:vAlign w:val="center"/>
          </w:tcPr>
          <w:p>
            <w:pPr>
              <w:pStyle w:val="TableContents"/>
              <w:spacing w:before="0" w:after="283"/>
              <w:rPr>
                <w:b/>
              </w:rPr>
            </w:pPr>
            <w:r>
              <w:rPr>
                <w:b/>
              </w:rPr>
              <w:t>2020</w:t>
            </w:r>
          </w:p>
        </w:tc>
        <w:tc>
          <w:tcPr>
            <w:tcW w:w="275"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880" w:type="dxa"/>
            <w:gridSpan w:val="2"/>
            <w:tcBorders/>
            <w:shd w:fill="DBDBDB" w:val="clear"/>
            <w:vAlign w:val="center"/>
          </w:tcPr>
          <w:p>
            <w:pPr>
              <w:pStyle w:val="TableContents"/>
              <w:spacing w:before="0" w:after="283"/>
              <w:rPr>
                <w:b/>
              </w:rPr>
            </w:pPr>
            <w:r>
              <w:rPr>
                <w:b/>
              </w:rPr>
              <w:t>2015</w:t>
            </w:r>
          </w:p>
        </w:tc>
        <w:tc>
          <w:tcPr>
            <w:tcW w:w="275"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880" w:type="dxa"/>
            <w:gridSpan w:val="2"/>
            <w:tcBorders/>
            <w:shd w:fill="DBDBDB" w:val="clear"/>
            <w:vAlign w:val="center"/>
          </w:tcPr>
          <w:p>
            <w:pPr>
              <w:pStyle w:val="TableContents"/>
              <w:spacing w:before="0" w:after="283"/>
              <w:rPr>
                <w:b/>
              </w:rPr>
            </w:pPr>
            <w:r>
              <w:rPr>
                <w:b/>
              </w:rPr>
              <w:t>2010</w:t>
            </w:r>
          </w:p>
        </w:tc>
        <w:tc>
          <w:tcPr>
            <w:tcW w:w="290" w:type="dxa"/>
            <w:tcBorders/>
            <w:shd w:fill="DBDBDB" w:val="cle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r>
      <w:tr>
        <w:trPr/>
        <w:tc>
          <w:tcPr>
            <w:tcW w:w="381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Net earnings from continuing operations attributable to Martin Marietta</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856.3</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702.0</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721.0</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288.8</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96.8</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r>
      <w:tr>
        <w:trPr/>
        <w:tc>
          <w:tcPr>
            <w:tcW w:w="381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Add back:</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28" w:type="dxa"/>
            </w:tcMar>
            <w:vAlign w:val="center"/>
          </w:tcPr>
          <w:p>
            <w:pPr>
              <w:pStyle w:val="TableContents"/>
              <w:spacing w:before="0" w:after="283"/>
              <w:rPr/>
            </w:pPr>
            <w:r>
              <w:rPr/>
              <w:t> </w:t>
            </w:r>
          </w:p>
        </w:tc>
        <w:tc>
          <w:tcPr>
            <w:tcW w:w="740" w:type="dxa"/>
            <w:tcBorders>
              <w:bottom w:val="dotted" w:sz="8" w:space="0" w:color="000000"/>
            </w:tcBorders>
            <w:shd w:fill="auto" w:val="clear"/>
            <w:tcMar>
              <w:bottom w:w="28" w:type="dxa"/>
            </w:tcMar>
            <w:vAlign w:val="center"/>
          </w:tcPr>
          <w:p>
            <w:pPr>
              <w:pStyle w:val="TableContents"/>
              <w:spacing w:before="0" w:after="283"/>
              <w:rPr/>
            </w:pPr>
            <w:r>
              <w:rPr/>
              <w:t> </w:t>
            </w:r>
          </w:p>
        </w:tc>
        <w:tc>
          <w:tcPr>
            <w:tcW w:w="275"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28" w:type="dxa"/>
            </w:tcMar>
            <w:vAlign w:val="center"/>
          </w:tcPr>
          <w:p>
            <w:pPr>
              <w:pStyle w:val="TableContents"/>
              <w:spacing w:before="0" w:after="283"/>
              <w:rPr/>
            </w:pPr>
            <w:r>
              <w:rPr/>
              <w:t> </w:t>
            </w:r>
          </w:p>
        </w:tc>
        <w:tc>
          <w:tcPr>
            <w:tcW w:w="740" w:type="dxa"/>
            <w:tcBorders>
              <w:bottom w:val="dotted" w:sz="8" w:space="0" w:color="000000"/>
            </w:tcBorders>
            <w:shd w:fill="auto" w:val="clear"/>
            <w:tcMar>
              <w:bottom w:w="28" w:type="dxa"/>
            </w:tcMar>
            <w:vAlign w:val="center"/>
          </w:tcPr>
          <w:p>
            <w:pPr>
              <w:pStyle w:val="TableContents"/>
              <w:spacing w:before="0" w:after="283"/>
              <w:rPr/>
            </w:pPr>
            <w:r>
              <w:rPr/>
              <w:t> </w:t>
            </w:r>
          </w:p>
        </w:tc>
        <w:tc>
          <w:tcPr>
            <w:tcW w:w="275"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28" w:type="dxa"/>
            </w:tcMar>
            <w:vAlign w:val="center"/>
          </w:tcPr>
          <w:p>
            <w:pPr>
              <w:pStyle w:val="TableContents"/>
              <w:spacing w:before="0" w:after="283"/>
              <w:rPr/>
            </w:pPr>
            <w:r>
              <w:rPr/>
              <w:t> </w:t>
            </w:r>
          </w:p>
        </w:tc>
        <w:tc>
          <w:tcPr>
            <w:tcW w:w="740" w:type="dxa"/>
            <w:tcBorders>
              <w:bottom w:val="dotted" w:sz="8" w:space="0" w:color="000000"/>
            </w:tcBorders>
            <w:shd w:fill="auto" w:val="clear"/>
            <w:tcMar>
              <w:bottom w:w="28" w:type="dxa"/>
            </w:tcMar>
            <w:vAlign w:val="center"/>
          </w:tcPr>
          <w:p>
            <w:pPr>
              <w:pStyle w:val="TableContents"/>
              <w:spacing w:before="0" w:after="283"/>
              <w:rPr/>
            </w:pPr>
            <w:r>
              <w:rPr/>
              <w:t> </w:t>
            </w:r>
          </w:p>
        </w:tc>
        <w:tc>
          <w:tcPr>
            <w:tcW w:w="275"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28" w:type="dxa"/>
            </w:tcMar>
            <w:vAlign w:val="center"/>
          </w:tcPr>
          <w:p>
            <w:pPr>
              <w:pStyle w:val="TableContents"/>
              <w:spacing w:before="0" w:after="283"/>
              <w:rPr/>
            </w:pPr>
            <w:r>
              <w:rPr/>
              <w:t> </w:t>
            </w:r>
          </w:p>
        </w:tc>
        <w:tc>
          <w:tcPr>
            <w:tcW w:w="740" w:type="dxa"/>
            <w:tcBorders>
              <w:bottom w:val="dotted" w:sz="8" w:space="0" w:color="000000"/>
            </w:tcBorders>
            <w:shd w:fill="auto" w:val="clear"/>
            <w:tcMar>
              <w:bottom w:w="28" w:type="dxa"/>
            </w:tcMar>
            <w:vAlign w:val="center"/>
          </w:tcPr>
          <w:p>
            <w:pPr>
              <w:pStyle w:val="TableContents"/>
              <w:spacing w:before="0" w:after="283"/>
              <w:rPr/>
            </w:pPr>
            <w:r>
              <w:rPr/>
              <w:t> </w:t>
            </w:r>
          </w:p>
        </w:tc>
        <w:tc>
          <w:tcPr>
            <w:tcW w:w="275"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28" w:type="dxa"/>
            </w:tcMar>
            <w:vAlign w:val="center"/>
          </w:tcPr>
          <w:p>
            <w:pPr>
              <w:pStyle w:val="TableContents"/>
              <w:spacing w:before="0" w:after="283"/>
              <w:rPr/>
            </w:pPr>
            <w:r>
              <w:rPr/>
              <w:t> </w:t>
            </w:r>
          </w:p>
        </w:tc>
        <w:tc>
          <w:tcPr>
            <w:tcW w:w="740" w:type="dxa"/>
            <w:tcBorders>
              <w:bottom w:val="dotted" w:sz="8" w:space="0" w:color="000000"/>
            </w:tcBorders>
            <w:shd w:fill="auto" w:val="clear"/>
            <w:tcMar>
              <w:bottom w:w="28" w:type="dxa"/>
            </w:tcMar>
            <w:vAlign w:val="center"/>
          </w:tcPr>
          <w:p>
            <w:pPr>
              <w:pStyle w:val="TableContents"/>
              <w:spacing w:before="0" w:after="283"/>
              <w:rPr/>
            </w:pPr>
            <w:r>
              <w:rPr/>
              <w:t> </w:t>
            </w:r>
          </w:p>
        </w:tc>
        <w:tc>
          <w:tcPr>
            <w:tcW w:w="290" w:type="dxa"/>
            <w:tcBorders>
              <w:bottom w:val="dotted" w:sz="8" w:space="0" w:color="000000"/>
            </w:tcBorders>
            <w:shd w:fill="auto" w:val="clear"/>
            <w:tcMar>
              <w:bottom w:w="28" w:type="dxa"/>
            </w:tcM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r>
      <w:tr>
        <w:trPr/>
        <w:tc>
          <w:tcPr>
            <w:tcW w:w="381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Interest expense, net of interest income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155.4</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142.4</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117.6</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75.9</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67.4</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r>
      <w:tr>
        <w:trPr/>
        <w:tc>
          <w:tcPr>
            <w:tcW w:w="381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Income tax expense for controlling interests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234.8</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153.1</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168.2</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124.8</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29.2</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r>
      <w:tr>
        <w:trPr/>
        <w:tc>
          <w:tcPr>
            <w:tcW w:w="381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Depreciation, depletion and amortization expense and earnings/loss from nonconsolidated equity affiliates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496.6</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442.5</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386.0</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253.8</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179.0</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r>
      <w:tr>
        <w:trPr/>
        <w:tc>
          <w:tcPr>
            <w:tcW w:w="381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Acquisition and integration expenses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9.1</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57.9</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r>
      <w:tr>
        <w:trPr/>
        <w:tc>
          <w:tcPr>
            <w:tcW w:w="381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Impact of selling acquired inventory after markup to fair value as part of acquisition accounting</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30.6</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r>
      <w:tr>
        <w:trPr/>
        <w:tc>
          <w:tcPr>
            <w:tcW w:w="381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Nonrecurring gain on divestiture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(151.9</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r>
      <w:tr>
        <w:trPr/>
        <w:tc>
          <w:tcPr>
            <w:tcW w:w="381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Consolidated Adjusted EBITDA from continuing operations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1,600.3</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1,528.5</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1,392.8</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743.3</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372.4</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r>
      <w:tr>
        <w:trPr/>
        <w:tc>
          <w:tcPr>
            <w:tcW w:w="3815"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Total revenues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6,160.7</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5,414.0</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4,729.0</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3,539.6</w:t>
            </w:r>
          </w:p>
        </w:tc>
        <w:tc>
          <w:tcPr>
            <w:tcW w:w="27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1,782.9</w:t>
            </w:r>
          </w:p>
        </w:tc>
        <w:tc>
          <w:tcPr>
            <w:tcW w:w="29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75" w:type="dxa"/>
            <w:gridSpan w:val="4"/>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r>
      <w:tr>
        <w:trPr/>
        <w:tc>
          <w:tcPr>
            <w:tcW w:w="3815" w:type="dxa"/>
            <w:tcBorders>
              <w:bottom w:val="single" w:sz="6"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Adjusted EBITDA margin</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 </w:t>
            </w:r>
          </w:p>
        </w:tc>
        <w:tc>
          <w:tcPr>
            <w:tcW w:w="740" w:type="dxa"/>
            <w:tcBorders>
              <w:bottom w:val="single" w:sz="6" w:space="0" w:color="000000"/>
            </w:tcBorders>
            <w:shd w:fill="auto" w:val="clear"/>
            <w:tcMar>
              <w:bottom w:w="100" w:type="dxa"/>
            </w:tcMar>
            <w:vAlign w:val="center"/>
          </w:tcPr>
          <w:p>
            <w:pPr>
              <w:pStyle w:val="TableContents"/>
              <w:spacing w:before="0" w:after="283"/>
              <w:jc w:val="right"/>
              <w:rPr/>
            </w:pPr>
            <w:r>
              <w:rPr/>
              <w:t>26.0</w:t>
            </w:r>
          </w:p>
        </w:tc>
        <w:tc>
          <w:tcPr>
            <w:tcW w:w="275"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 </w:t>
            </w:r>
          </w:p>
        </w:tc>
        <w:tc>
          <w:tcPr>
            <w:tcW w:w="740" w:type="dxa"/>
            <w:tcBorders>
              <w:bottom w:val="single" w:sz="6" w:space="0" w:color="000000"/>
            </w:tcBorders>
            <w:shd w:fill="auto" w:val="clear"/>
            <w:tcMar>
              <w:bottom w:w="100" w:type="dxa"/>
            </w:tcMar>
            <w:vAlign w:val="center"/>
          </w:tcPr>
          <w:p>
            <w:pPr>
              <w:pStyle w:val="TableContents"/>
              <w:spacing w:before="0" w:after="283"/>
              <w:jc w:val="right"/>
              <w:rPr/>
            </w:pPr>
            <w:r>
              <w:rPr/>
              <w:t>28.2</w:t>
            </w:r>
          </w:p>
        </w:tc>
        <w:tc>
          <w:tcPr>
            <w:tcW w:w="275"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 </w:t>
            </w:r>
          </w:p>
        </w:tc>
        <w:tc>
          <w:tcPr>
            <w:tcW w:w="740" w:type="dxa"/>
            <w:tcBorders>
              <w:bottom w:val="single" w:sz="6" w:space="0" w:color="000000"/>
            </w:tcBorders>
            <w:shd w:fill="auto" w:val="clear"/>
            <w:tcMar>
              <w:bottom w:w="100" w:type="dxa"/>
            </w:tcMar>
            <w:vAlign w:val="center"/>
          </w:tcPr>
          <w:p>
            <w:pPr>
              <w:pStyle w:val="TableContents"/>
              <w:spacing w:before="0" w:after="283"/>
              <w:jc w:val="right"/>
              <w:rPr/>
            </w:pPr>
            <w:r>
              <w:rPr/>
              <w:t>29.4</w:t>
            </w:r>
          </w:p>
        </w:tc>
        <w:tc>
          <w:tcPr>
            <w:tcW w:w="275"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 </w:t>
            </w:r>
          </w:p>
        </w:tc>
        <w:tc>
          <w:tcPr>
            <w:tcW w:w="740" w:type="dxa"/>
            <w:tcBorders>
              <w:bottom w:val="single" w:sz="6" w:space="0" w:color="000000"/>
            </w:tcBorders>
            <w:shd w:fill="auto" w:val="clear"/>
            <w:tcMar>
              <w:bottom w:w="100" w:type="dxa"/>
            </w:tcMar>
            <w:vAlign w:val="center"/>
          </w:tcPr>
          <w:p>
            <w:pPr>
              <w:pStyle w:val="TableContents"/>
              <w:spacing w:before="0" w:after="283"/>
              <w:jc w:val="right"/>
              <w:rPr/>
            </w:pPr>
            <w:r>
              <w:rPr/>
              <w:t>21.0</w:t>
            </w:r>
          </w:p>
        </w:tc>
        <w:tc>
          <w:tcPr>
            <w:tcW w:w="275"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 </w:t>
            </w:r>
          </w:p>
        </w:tc>
        <w:tc>
          <w:tcPr>
            <w:tcW w:w="740" w:type="dxa"/>
            <w:tcBorders>
              <w:bottom w:val="single" w:sz="6" w:space="0" w:color="000000"/>
            </w:tcBorders>
            <w:shd w:fill="auto" w:val="clear"/>
            <w:tcMar>
              <w:bottom w:w="100" w:type="dxa"/>
            </w:tcMar>
            <w:vAlign w:val="center"/>
          </w:tcPr>
          <w:p>
            <w:pPr>
              <w:pStyle w:val="TableContents"/>
              <w:spacing w:before="0" w:after="283"/>
              <w:jc w:val="right"/>
              <w:rPr/>
            </w:pPr>
            <w:r>
              <w:rPr/>
              <w:t>20.9</w:t>
            </w:r>
          </w:p>
        </w:tc>
        <w:tc>
          <w:tcPr>
            <w:tcW w:w="290"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120" w:after="0"/>
        <w:jc w:val="left"/>
        <w:rPr>
          <w:rFonts w:ascii="ARIAL" w:hAnsi="ARIAL"/>
          <w:sz w:val="20"/>
        </w:rPr>
      </w:pPr>
      <w:r>
        <w:rPr>
          <w:rFonts w:ascii="ARIAL" w:hAnsi="ARIAL"/>
          <w:sz w:val="20"/>
        </w:rPr>
        <w:t xml:space="preserve">The Company Selected Measure of Adjusted EBITDA for Pay Versus Performance on page 83 includes continuing operations and discontinued operations. The following presents a reconciliation of Consolidated Adjusted EBITDA from continuing operations to Adjusted EBITDA for Pay for Performance for the years ended December 31, 2022, 2021 and 2020.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010"/>
        <w:gridCol w:w="120"/>
        <w:gridCol w:w="140"/>
        <w:gridCol w:w="740"/>
        <w:gridCol w:w="60"/>
        <w:gridCol w:w="120"/>
        <w:gridCol w:w="140"/>
        <w:gridCol w:w="740"/>
        <w:gridCol w:w="60"/>
        <w:gridCol w:w="120"/>
        <w:gridCol w:w="140"/>
        <w:gridCol w:w="740"/>
        <w:gridCol w:w="75"/>
      </w:tblGrid>
      <w:tr>
        <w:trPr/>
        <w:tc>
          <w:tcPr>
            <w:tcW w:w="7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010" w:type="dxa"/>
            <w:tcBorders/>
            <w:shd w:fill="DBDBDB" w:val="clear"/>
            <w:vAlign w:val="center"/>
          </w:tcPr>
          <w:p>
            <w:pPr>
              <w:pStyle w:val="TableContents"/>
              <w:spacing w:before="0" w:after="283"/>
              <w:rPr>
                <w:sz w:val="4"/>
                <w:szCs w:val="4"/>
              </w:rPr>
            </w:pPr>
            <w:r>
              <w:rPr>
                <w:sz w:val="4"/>
                <w:szCs w:val="4"/>
              </w:rPr>
            </w:r>
          </w:p>
        </w:tc>
        <w:tc>
          <w:tcPr>
            <w:tcW w:w="1060" w:type="dxa"/>
            <w:gridSpan w:val="4"/>
            <w:tcBorders/>
            <w:shd w:fill="DBDBDB" w:val="clear"/>
            <w:vAlign w:val="center"/>
          </w:tcPr>
          <w:p>
            <w:pPr>
              <w:pStyle w:val="TableContents"/>
              <w:spacing w:before="0" w:after="283"/>
              <w:rPr>
                <w:sz w:val="4"/>
                <w:szCs w:val="4"/>
              </w:rPr>
            </w:pPr>
            <w:r>
              <w:rPr>
                <w:sz w:val="4"/>
                <w:szCs w:val="4"/>
              </w:rPr>
            </w:r>
          </w:p>
        </w:tc>
        <w:tc>
          <w:tcPr>
            <w:tcW w:w="1060" w:type="dxa"/>
            <w:gridSpan w:val="4"/>
            <w:tcBorders/>
            <w:shd w:fill="DBDBDB" w:val="clear"/>
            <w:vAlign w:val="center"/>
          </w:tcPr>
          <w:p>
            <w:pPr>
              <w:pStyle w:val="TableContents"/>
              <w:spacing w:before="0" w:after="283"/>
              <w:rPr>
                <w:sz w:val="4"/>
                <w:szCs w:val="4"/>
              </w:rPr>
            </w:pPr>
            <w:r>
              <w:rPr>
                <w:sz w:val="4"/>
                <w:szCs w:val="4"/>
              </w:rPr>
            </w:r>
          </w:p>
        </w:tc>
        <w:tc>
          <w:tcPr>
            <w:tcW w:w="1075" w:type="dxa"/>
            <w:gridSpan w:val="4"/>
            <w:tcBorders/>
            <w:shd w:fill="DBDBDB" w:val="clear"/>
            <w:vAlign w:val="center"/>
          </w:tcPr>
          <w:p>
            <w:pPr>
              <w:pStyle w:val="TableContents"/>
              <w:spacing w:before="0" w:after="283"/>
              <w:rPr>
                <w:sz w:val="4"/>
                <w:szCs w:val="4"/>
              </w:rPr>
            </w:pPr>
            <w:r>
              <w:rPr>
                <w:sz w:val="4"/>
                <w:szCs w:val="4"/>
              </w:rPr>
            </w:r>
          </w:p>
        </w:tc>
      </w:tr>
      <w:tr>
        <w:trPr/>
        <w:tc>
          <w:tcPr>
            <w:tcW w:w="7010" w:type="dxa"/>
            <w:tcBorders/>
            <w:shd w:fill="DBDBDB" w:val="clear"/>
            <w:vAlign w:val="center"/>
          </w:tcPr>
          <w:p>
            <w:pPr>
              <w:pStyle w:val="TableContents"/>
              <w:spacing w:before="0" w:after="0"/>
              <w:rPr>
                <w:rFonts w:ascii="ARIAL" w:hAnsi="ARIAL"/>
                <w:b/>
                <w:sz w:val="18"/>
              </w:rPr>
            </w:pPr>
            <w:r>
              <w:rPr>
                <w:rFonts w:ascii="ARIAL" w:hAnsi="ARIAL"/>
                <w:b/>
                <w:sz w:val="18"/>
              </w:rPr>
              <w:t>(dollars in millions)</w:t>
            </w:r>
          </w:p>
        </w:tc>
        <w:tc>
          <w:tcPr>
            <w:tcW w:w="120" w:type="dxa"/>
            <w:tcBorders/>
            <w:shd w:fill="DBDBDB" w:val="clear"/>
            <w:vAlign w:val="center"/>
          </w:tcPr>
          <w:p>
            <w:pPr>
              <w:pStyle w:val="TableContents"/>
              <w:spacing w:before="0" w:after="283"/>
              <w:rPr/>
            </w:pPr>
            <w:r>
              <w:rPr/>
              <w:t>  </w:t>
            </w:r>
          </w:p>
        </w:tc>
        <w:tc>
          <w:tcPr>
            <w:tcW w:w="880" w:type="dxa"/>
            <w:gridSpan w:val="2"/>
            <w:tcBorders/>
            <w:shd w:fill="DBDBDB" w:val="clear"/>
            <w:vAlign w:val="center"/>
          </w:tcPr>
          <w:p>
            <w:pPr>
              <w:pStyle w:val="TableContents"/>
              <w:spacing w:before="0" w:after="283"/>
              <w:rPr>
                <w:b/>
              </w:rPr>
            </w:pPr>
            <w:r>
              <w:rPr>
                <w:b/>
              </w:rPr>
              <w:t>2022</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880" w:type="dxa"/>
            <w:gridSpan w:val="2"/>
            <w:tcBorders/>
            <w:shd w:fill="DBDBDB" w:val="clear"/>
            <w:vAlign w:val="center"/>
          </w:tcPr>
          <w:p>
            <w:pPr>
              <w:pStyle w:val="TableContents"/>
              <w:spacing w:before="0" w:after="283"/>
              <w:rPr>
                <w:b/>
              </w:rPr>
            </w:pPr>
            <w:r>
              <w:rPr>
                <w:b/>
              </w:rPr>
              <w:t>2021</w:t>
            </w:r>
          </w:p>
        </w:tc>
        <w:tc>
          <w:tcPr>
            <w:tcW w:w="60"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880" w:type="dxa"/>
            <w:gridSpan w:val="2"/>
            <w:tcBorders/>
            <w:shd w:fill="DBDBDB" w:val="clear"/>
            <w:vAlign w:val="center"/>
          </w:tcPr>
          <w:p>
            <w:pPr>
              <w:pStyle w:val="TableContents"/>
              <w:spacing w:before="0" w:after="283"/>
              <w:rPr>
                <w:b/>
              </w:rPr>
            </w:pPr>
            <w:r>
              <w:rPr>
                <w:b/>
              </w:rPr>
              <w:t>2020</w:t>
            </w:r>
          </w:p>
        </w:tc>
        <w:tc>
          <w:tcPr>
            <w:tcW w:w="75" w:type="dxa"/>
            <w:tcBorders/>
            <w:shd w:fill="DBDBDB" w:val="cle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Net earnings from discontinued operations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10.5</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0.5</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Add back:</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28" w:type="dxa"/>
            </w:tcMar>
            <w:vAlign w:val="center"/>
          </w:tcPr>
          <w:p>
            <w:pPr>
              <w:pStyle w:val="TableContents"/>
              <w:spacing w:before="0" w:after="283"/>
              <w:rPr/>
            </w:pPr>
            <w:r>
              <w:rPr/>
              <w:t> </w:t>
            </w:r>
          </w:p>
        </w:tc>
        <w:tc>
          <w:tcPr>
            <w:tcW w:w="74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28" w:type="dxa"/>
            </w:tcMar>
            <w:vAlign w:val="center"/>
          </w:tcPr>
          <w:p>
            <w:pPr>
              <w:pStyle w:val="TableContents"/>
              <w:spacing w:before="0" w:after="283"/>
              <w:rPr/>
            </w:pPr>
            <w:r>
              <w:rPr/>
              <w:t> </w:t>
            </w:r>
          </w:p>
        </w:tc>
        <w:tc>
          <w:tcPr>
            <w:tcW w:w="740" w:type="dxa"/>
            <w:tcBorders>
              <w:bottom w:val="dotted" w:sz="8" w:space="0" w:color="000000"/>
            </w:tcBorders>
            <w:shd w:fill="auto" w:val="clear"/>
            <w:tcMar>
              <w:bottom w:w="28" w:type="dxa"/>
            </w:tcMar>
            <w:vAlign w:val="center"/>
          </w:tcPr>
          <w:p>
            <w:pPr>
              <w:pStyle w:val="TableContents"/>
              <w:spacing w:before="0" w:after="283"/>
              <w:rPr/>
            </w:pPr>
            <w:r>
              <w:rPr/>
              <w:t> </w:t>
            </w:r>
          </w:p>
        </w:tc>
        <w:tc>
          <w:tcPr>
            <w:tcW w:w="60"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28" w:type="dxa"/>
            </w:tcMar>
            <w:vAlign w:val="center"/>
          </w:tcPr>
          <w:p>
            <w:pPr>
              <w:pStyle w:val="TableContents"/>
              <w:spacing w:before="0" w:after="283"/>
              <w:rPr/>
            </w:pPr>
            <w:r>
              <w:rPr/>
              <w:t> </w:t>
            </w:r>
          </w:p>
        </w:tc>
        <w:tc>
          <w:tcPr>
            <w:tcW w:w="740" w:type="dxa"/>
            <w:tcBorders>
              <w:bottom w:val="dotted" w:sz="8" w:space="0" w:color="000000"/>
            </w:tcBorders>
            <w:shd w:fill="auto" w:val="clear"/>
            <w:tcMar>
              <w:bottom w:w="28" w:type="dxa"/>
            </w:tcMar>
            <w:vAlign w:val="center"/>
          </w:tcPr>
          <w:p>
            <w:pPr>
              <w:pStyle w:val="TableContents"/>
              <w:spacing w:before="0" w:after="283"/>
              <w:rPr/>
            </w:pPr>
            <w:r>
              <w:rPr/>
              <w:t> </w:t>
            </w:r>
          </w:p>
        </w:tc>
        <w:tc>
          <w:tcPr>
            <w:tcW w:w="75" w:type="dxa"/>
            <w:tcBorders>
              <w:bottom w:val="dotted" w:sz="8" w:space="0" w:color="000000"/>
            </w:tcBorders>
            <w:shd w:fill="auto" w:val="clear"/>
            <w:tcMar>
              <w:bottom w:w="28" w:type="dxa"/>
            </w:tcM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Interest expense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0.2</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0.2</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Income tax expense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5.0</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0.1</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Depreciation, depletion and amortization expense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0.3</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0.8</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Nonrecurring loss on divestiture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0.7</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Impact of selling acquired inventory after mark up to fair value as part of acquisition accounting</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3.1</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bottom w:val="dotted" w:sz="8" w:space="0" w:color="000000"/>
            </w:tcBorders>
            <w:shd w:fill="auto" w:val="clear"/>
            <w:tcMar>
              <w:bottom w:w="100" w:type="dxa"/>
            </w:tcMar>
            <w:vAlign w:val="center"/>
          </w:tcPr>
          <w:p>
            <w:pPr>
              <w:pStyle w:val="TableContents"/>
              <w:spacing w:before="0" w:after="20"/>
              <w:rPr>
                <w:rFonts w:ascii="ARIAL" w:hAnsi="ARIAL"/>
                <w:sz w:val="18"/>
              </w:rPr>
            </w:pPr>
            <w:r>
              <w:rPr>
                <w:rFonts w:ascii="ARIAL" w:hAnsi="ARIAL"/>
                <w:sz w:val="18"/>
              </w:rPr>
              <w:t>Adjusted EBITDA from discontinued operations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16.7</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4.7</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Consolidated Adjusted EBITDA from continuing operations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1,600.3</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1,528.5</w:t>
            </w:r>
          </w:p>
        </w:tc>
        <w:tc>
          <w:tcPr>
            <w:tcW w:w="60"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740" w:type="dxa"/>
            <w:tcBorders>
              <w:bottom w:val="dotted" w:sz="8" w:space="0" w:color="000000"/>
            </w:tcBorders>
            <w:shd w:fill="auto" w:val="clear"/>
            <w:tcMar>
              <w:bottom w:w="100" w:type="dxa"/>
            </w:tcMar>
            <w:vAlign w:val="center"/>
          </w:tcPr>
          <w:p>
            <w:pPr>
              <w:pStyle w:val="TableContents"/>
              <w:spacing w:before="0" w:after="283"/>
              <w:jc w:val="right"/>
              <w:rPr/>
            </w:pPr>
            <w:r>
              <w:rPr/>
              <w:t>1,392.8</w:t>
            </w:r>
          </w:p>
        </w:tc>
        <w:tc>
          <w:tcPr>
            <w:tcW w:w="75"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bottom w:val="single" w:sz="6"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Adjusted EBITDA for Pay for Performance</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w:t>
            </w:r>
          </w:p>
        </w:tc>
        <w:tc>
          <w:tcPr>
            <w:tcW w:w="740" w:type="dxa"/>
            <w:tcBorders>
              <w:bottom w:val="single" w:sz="6" w:space="0" w:color="000000"/>
            </w:tcBorders>
            <w:shd w:fill="auto" w:val="clear"/>
            <w:tcMar>
              <w:bottom w:w="100" w:type="dxa"/>
            </w:tcMar>
            <w:vAlign w:val="center"/>
          </w:tcPr>
          <w:p>
            <w:pPr>
              <w:pStyle w:val="TableContents"/>
              <w:spacing w:before="0" w:after="283"/>
              <w:jc w:val="right"/>
              <w:rPr/>
            </w:pPr>
            <w:r>
              <w:rPr/>
              <w:t>1,617.0</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w:t>
            </w:r>
          </w:p>
        </w:tc>
        <w:tc>
          <w:tcPr>
            <w:tcW w:w="740" w:type="dxa"/>
            <w:tcBorders>
              <w:bottom w:val="single" w:sz="6" w:space="0" w:color="000000"/>
            </w:tcBorders>
            <w:shd w:fill="auto" w:val="clear"/>
            <w:tcMar>
              <w:bottom w:w="100" w:type="dxa"/>
            </w:tcMar>
            <w:vAlign w:val="center"/>
          </w:tcPr>
          <w:p>
            <w:pPr>
              <w:pStyle w:val="TableContents"/>
              <w:spacing w:before="0" w:after="283"/>
              <w:jc w:val="right"/>
              <w:rPr/>
            </w:pPr>
            <w:r>
              <w:rPr/>
              <w:t>1,533.2</w:t>
            </w:r>
          </w:p>
        </w:tc>
        <w:tc>
          <w:tcPr>
            <w:tcW w:w="60"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w:t>
            </w:r>
          </w:p>
        </w:tc>
        <w:tc>
          <w:tcPr>
            <w:tcW w:w="740" w:type="dxa"/>
            <w:tcBorders>
              <w:bottom w:val="single" w:sz="6" w:space="0" w:color="000000"/>
            </w:tcBorders>
            <w:shd w:fill="auto" w:val="clear"/>
            <w:tcMar>
              <w:bottom w:w="100" w:type="dxa"/>
            </w:tcMar>
            <w:vAlign w:val="center"/>
          </w:tcPr>
          <w:p>
            <w:pPr>
              <w:pStyle w:val="TableContents"/>
              <w:spacing w:before="0" w:after="283"/>
              <w:jc w:val="right"/>
              <w:rPr/>
            </w:pPr>
            <w:r>
              <w:rPr/>
              <w:t>1,392.8</w:t>
            </w:r>
          </w:p>
        </w:tc>
        <w:tc>
          <w:tcPr>
            <w:tcW w:w="75"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tbl>
      <w:tblPr>
        <w:tblW w:w="3820" w:type="dxa"/>
        <w:jc w:val="left"/>
        <w:tblInd w:w="0" w:type="dxa"/>
        <w:tblCellMar>
          <w:top w:w="0" w:type="dxa"/>
          <w:left w:w="0" w:type="dxa"/>
          <w:bottom w:w="0" w:type="dxa"/>
          <w:right w:w="0" w:type="dxa"/>
        </w:tblCellMar>
      </w:tblPr>
      <w:tblGrid>
        <w:gridCol w:w="38"/>
        <w:gridCol w:w="60"/>
        <w:gridCol w:w="132"/>
        <w:gridCol w:w="60"/>
        <w:gridCol w:w="353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3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6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8" descr=""/>
                          <pic:cNvPicPr>
                            <a:picLocks noChangeAspect="1" noChangeArrowheads="1"/>
                          </pic:cNvPicPr>
                        </pic:nvPicPr>
                        <pic:blipFill>
                          <a:blip r:embed="rId24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jc w:val="right"/>
              <w:rPr/>
            </w:pPr>
            <w:r>
              <w:rPr>
                <w:color w:val="007CBA"/>
              </w:rPr>
              <w:t>2023 PROXY STATEMENT    </w:t>
            </w:r>
            <w:r>
              <w:rPr>
                <w:b/>
              </w:rPr>
              <w:t>B-1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rFonts w:ascii="ARIAL" w:hAnsi="ARIAL"/>
          <w:sz w:val="16"/>
        </w:rPr>
      </w:pPr>
      <w:r>
        <w:rPr>
          <w:rFonts w:ascii="ARIAL" w:hAnsi="ARIAL"/>
          <w:color w:val="007CBA"/>
          <w:sz w:val="16"/>
        </w:rPr>
        <w:t>APPENDIX B  ◆</w:t>
      </w:r>
      <w:r>
        <w:rPr>
          <w:rFonts w:ascii="ARIAL" w:hAnsi="ARIAL"/>
          <w:sz w:val="16"/>
        </w:rPr>
        <w:t xml:space="preserve">   </w:t>
      </w:r>
    </w:p>
    <w:p>
      <w:pPr>
        <w:pStyle w:val="TextBody"/>
        <w:spacing w:before="0" w:after="0"/>
        <w:jc w:val="left"/>
        <w:rPr/>
      </w:pPr>
      <w:r>
        <w:rPr/>
        <w:t> </w:t>
      </w:r>
    </w:p>
    <w:p>
      <w:pPr>
        <w:pStyle w:val="TextBody"/>
        <w:spacing w:before="0" w:after="0"/>
        <w:jc w:val="left"/>
        <w:rPr>
          <w:rFonts w:ascii="ARIAL" w:hAnsi="ARIAL"/>
          <w:b/>
          <w:color w:val="71BE9A"/>
          <w:sz w:val="26"/>
        </w:rPr>
      </w:pPr>
      <w:r>
        <w:rPr>
          <w:rFonts w:ascii="ARIAL" w:hAnsi="ARIAL"/>
          <w:b/>
          <w:color w:val="71BE9A"/>
          <w:sz w:val="26"/>
        </w:rPr>
        <w:t xml:space="preserve">Leverage Ratio </w:t>
      </w:r>
    </w:p>
    <w:p>
      <w:pPr>
        <w:pStyle w:val="TextBody"/>
        <w:spacing w:before="120" w:after="0"/>
        <w:jc w:val="left"/>
        <w:rPr>
          <w:rFonts w:ascii="ARIAL" w:hAnsi="ARIAL"/>
          <w:sz w:val="20"/>
        </w:rPr>
      </w:pPr>
      <w:r>
        <w:rPr>
          <w:rFonts w:ascii="ARIAL" w:hAnsi="ARIAL"/>
          <w:sz w:val="20"/>
        </w:rPr>
        <w:t xml:space="preserve">The leverage ratio is our consolidated net debt-to-consolidated Adjusted EBITDA from continuing operations for the trailing twelve months. Management uses this ratio to assess its capacity for additional borrowings. The following calculations as of December 31, 2022 and 2021 are not intended to be a substitute for the Company’s leverage covenant under its credit facility: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610"/>
        <w:gridCol w:w="120"/>
        <w:gridCol w:w="140"/>
        <w:gridCol w:w="875"/>
        <w:gridCol w:w="155"/>
        <w:gridCol w:w="120"/>
        <w:gridCol w:w="140"/>
        <w:gridCol w:w="875"/>
        <w:gridCol w:w="170"/>
      </w:tblGrid>
      <w:tr>
        <w:trPr/>
        <w:tc>
          <w:tcPr>
            <w:tcW w:w="7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610" w:type="dxa"/>
            <w:tcBorders/>
            <w:shd w:fill="DBDBDB" w:val="clear"/>
            <w:vAlign w:val="center"/>
          </w:tcPr>
          <w:p>
            <w:pPr>
              <w:pStyle w:val="TableContents"/>
              <w:spacing w:before="0" w:after="283"/>
              <w:rPr>
                <w:sz w:val="4"/>
                <w:szCs w:val="4"/>
              </w:rPr>
            </w:pPr>
            <w:r>
              <w:rPr>
                <w:sz w:val="4"/>
                <w:szCs w:val="4"/>
              </w:rPr>
            </w:r>
          </w:p>
        </w:tc>
        <w:tc>
          <w:tcPr>
            <w:tcW w:w="1290" w:type="dxa"/>
            <w:gridSpan w:val="4"/>
            <w:tcBorders/>
            <w:shd w:fill="DBDBDB" w:val="clear"/>
            <w:vAlign w:val="center"/>
          </w:tcPr>
          <w:p>
            <w:pPr>
              <w:pStyle w:val="TableContents"/>
              <w:spacing w:before="0" w:after="283"/>
              <w:rPr>
                <w:sz w:val="4"/>
                <w:szCs w:val="4"/>
              </w:rPr>
            </w:pPr>
            <w:r>
              <w:rPr>
                <w:sz w:val="4"/>
                <w:szCs w:val="4"/>
              </w:rPr>
            </w:r>
          </w:p>
        </w:tc>
        <w:tc>
          <w:tcPr>
            <w:tcW w:w="1305" w:type="dxa"/>
            <w:gridSpan w:val="4"/>
            <w:tcBorders/>
            <w:shd w:fill="DBDBDB" w:val="clear"/>
            <w:vAlign w:val="center"/>
          </w:tcPr>
          <w:p>
            <w:pPr>
              <w:pStyle w:val="TableContents"/>
              <w:spacing w:before="0" w:after="283"/>
              <w:rPr>
                <w:sz w:val="4"/>
                <w:szCs w:val="4"/>
              </w:rPr>
            </w:pPr>
            <w:r>
              <w:rPr>
                <w:sz w:val="4"/>
                <w:szCs w:val="4"/>
              </w:rPr>
            </w:r>
          </w:p>
        </w:tc>
      </w:tr>
      <w:tr>
        <w:trPr/>
        <w:tc>
          <w:tcPr>
            <w:tcW w:w="7610" w:type="dxa"/>
            <w:tcBorders/>
            <w:shd w:fill="DBDBDB" w:val="clear"/>
            <w:vAlign w:val="center"/>
          </w:tcPr>
          <w:p>
            <w:pPr>
              <w:pStyle w:val="TableContents"/>
              <w:spacing w:before="0" w:after="0"/>
              <w:rPr>
                <w:rFonts w:ascii="ARIAL" w:hAnsi="ARIAL"/>
                <w:b/>
                <w:sz w:val="18"/>
              </w:rPr>
            </w:pPr>
            <w:r>
              <w:rPr>
                <w:rFonts w:ascii="ARIAL" w:hAnsi="ARIAL"/>
                <w:b/>
                <w:sz w:val="18"/>
              </w:rPr>
              <w:t>(dollars in millions)</w:t>
            </w:r>
          </w:p>
        </w:tc>
        <w:tc>
          <w:tcPr>
            <w:tcW w:w="120" w:type="dxa"/>
            <w:tcBorders/>
            <w:shd w:fill="DBDBDB" w:val="clear"/>
            <w:vAlign w:val="center"/>
          </w:tcPr>
          <w:p>
            <w:pPr>
              <w:pStyle w:val="TableContents"/>
              <w:spacing w:before="0" w:after="283"/>
              <w:rPr/>
            </w:pPr>
            <w:r>
              <w:rPr/>
              <w:t>  </w:t>
            </w:r>
          </w:p>
        </w:tc>
        <w:tc>
          <w:tcPr>
            <w:tcW w:w="1015" w:type="dxa"/>
            <w:gridSpan w:val="2"/>
            <w:tcBorders/>
            <w:shd w:fill="DBDBDB" w:val="clear"/>
            <w:vAlign w:val="center"/>
          </w:tcPr>
          <w:p>
            <w:pPr>
              <w:pStyle w:val="TableContents"/>
              <w:spacing w:before="0" w:after="283"/>
              <w:rPr>
                <w:b/>
              </w:rPr>
            </w:pPr>
            <w:r>
              <w:rPr>
                <w:b/>
              </w:rPr>
              <w:t>2022</w:t>
            </w:r>
          </w:p>
        </w:tc>
        <w:tc>
          <w:tcPr>
            <w:tcW w:w="155"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015" w:type="dxa"/>
            <w:gridSpan w:val="2"/>
            <w:tcBorders/>
            <w:shd w:fill="DBDBDB" w:val="clear"/>
            <w:vAlign w:val="center"/>
          </w:tcPr>
          <w:p>
            <w:pPr>
              <w:pStyle w:val="TableContents"/>
              <w:spacing w:before="0" w:after="283"/>
              <w:rPr>
                <w:b/>
              </w:rPr>
            </w:pPr>
            <w:r>
              <w:rPr>
                <w:b/>
              </w:rPr>
              <w:t>2021</w:t>
            </w:r>
          </w:p>
        </w:tc>
        <w:tc>
          <w:tcPr>
            <w:tcW w:w="170" w:type="dxa"/>
            <w:tcBorders/>
            <w:shd w:fill="DBDBDB" w:val="cle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Net earnings from continuing operations attributable to Martin Marietta</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856.3</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702.0</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Add back:</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28" w:type="dxa"/>
            </w:tcMar>
            <w:vAlign w:val="center"/>
          </w:tcPr>
          <w:p>
            <w:pPr>
              <w:pStyle w:val="TableContents"/>
              <w:spacing w:before="0" w:after="283"/>
              <w:rPr/>
            </w:pPr>
            <w:r>
              <w:rPr/>
              <w:t> </w:t>
            </w:r>
          </w:p>
        </w:tc>
        <w:tc>
          <w:tcPr>
            <w:tcW w:w="875" w:type="dxa"/>
            <w:tcBorders>
              <w:bottom w:val="dotted" w:sz="8" w:space="0" w:color="000000"/>
            </w:tcBorders>
            <w:shd w:fill="auto" w:val="clear"/>
            <w:tcMar>
              <w:bottom w:w="28" w:type="dxa"/>
            </w:tcMar>
            <w:vAlign w:val="center"/>
          </w:tcPr>
          <w:p>
            <w:pPr>
              <w:pStyle w:val="TableContents"/>
              <w:spacing w:before="0" w:after="283"/>
              <w:rPr/>
            </w:pPr>
            <w:r>
              <w:rPr/>
              <w:t> </w:t>
            </w:r>
          </w:p>
        </w:tc>
        <w:tc>
          <w:tcPr>
            <w:tcW w:w="155"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28" w:type="dxa"/>
            </w:tcMar>
            <w:vAlign w:val="center"/>
          </w:tcPr>
          <w:p>
            <w:pPr>
              <w:pStyle w:val="TableContents"/>
              <w:spacing w:before="0" w:after="283"/>
              <w:rPr/>
            </w:pPr>
            <w:r>
              <w:rPr/>
              <w:t> </w:t>
            </w:r>
          </w:p>
        </w:tc>
        <w:tc>
          <w:tcPr>
            <w:tcW w:w="875" w:type="dxa"/>
            <w:tcBorders>
              <w:bottom w:val="dotted" w:sz="8" w:space="0" w:color="000000"/>
            </w:tcBorders>
            <w:shd w:fill="auto" w:val="clear"/>
            <w:tcMar>
              <w:bottom w:w="28" w:type="dxa"/>
            </w:tcMar>
            <w:vAlign w:val="center"/>
          </w:tcPr>
          <w:p>
            <w:pPr>
              <w:pStyle w:val="TableContents"/>
              <w:spacing w:before="0" w:after="283"/>
              <w:rPr/>
            </w:pPr>
            <w:r>
              <w:rPr/>
              <w:t> </w:t>
            </w:r>
          </w:p>
        </w:tc>
        <w:tc>
          <w:tcPr>
            <w:tcW w:w="170" w:type="dxa"/>
            <w:tcBorders>
              <w:bottom w:val="dotted" w:sz="8" w:space="0" w:color="000000"/>
            </w:tcBorders>
            <w:shd w:fill="auto" w:val="clear"/>
            <w:tcMar>
              <w:bottom w:w="28"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Interest expense, net of interest income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155.4</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142.4</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Income tax expense for controlling interests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234.8</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153.1</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Depreciation, depletion and amortization expense and earnings/loss from nonconsolidated equity affiliates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496.6</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442.5</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Acquisition and integration expenses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9.1</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57.9</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Nonrecurring gain on divestiture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(151.9</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Impact of selling acquired inventory after markup to fair value as part of acquisition accounting</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30.6</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Consolidated Adjusted EBITDA from continuing operations for the twelve months ended December 31</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1,600.3</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1,528.5</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Consolidated debt at December 31, (2022 excludes the discharged $700 million Notes that mature in 2023)</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4,340.9</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5,100.9</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Less: Unrestricted cash at December 31</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(358.0</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 </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(258.4</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Consolidated net debt at December 31</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3,982.9</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875" w:type="dxa"/>
            <w:tcBorders>
              <w:bottom w:val="dotted" w:sz="8" w:space="0" w:color="000000"/>
            </w:tcBorders>
            <w:shd w:fill="auto" w:val="clear"/>
            <w:tcMar>
              <w:bottom w:w="100" w:type="dxa"/>
            </w:tcMar>
            <w:vAlign w:val="center"/>
          </w:tcPr>
          <w:p>
            <w:pPr>
              <w:pStyle w:val="TableContents"/>
              <w:spacing w:before="0" w:after="283"/>
              <w:jc w:val="right"/>
              <w:rPr/>
            </w:pPr>
            <w:r>
              <w:rPr/>
              <w:t>4,842.5</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7610" w:type="dxa"/>
            <w:tcBorders/>
            <w:shd w:fill="auto" w:val="clear"/>
            <w:vAlign w:val="center"/>
          </w:tcPr>
          <w:p>
            <w:pPr>
              <w:pStyle w:val="TableContents"/>
              <w:spacing w:before="0" w:after="283"/>
              <w:rPr>
                <w:sz w:val="4"/>
                <w:szCs w:val="4"/>
              </w:rPr>
            </w:pPr>
            <w:r>
              <w:rPr>
                <w:sz w:val="4"/>
                <w:szCs w:val="4"/>
              </w:rPr>
            </w:r>
          </w:p>
        </w:tc>
        <w:tc>
          <w:tcPr>
            <w:tcW w:w="1290" w:type="dxa"/>
            <w:gridSpan w:val="4"/>
            <w:tcBorders/>
            <w:shd w:fill="auto" w:val="clear"/>
            <w:vAlign w:val="center"/>
          </w:tcPr>
          <w:p>
            <w:pPr>
              <w:pStyle w:val="TableContents"/>
              <w:spacing w:before="0" w:after="283"/>
              <w:rPr>
                <w:sz w:val="4"/>
                <w:szCs w:val="4"/>
              </w:rPr>
            </w:pPr>
            <w:r>
              <w:rPr>
                <w:sz w:val="4"/>
                <w:szCs w:val="4"/>
              </w:rPr>
            </w:r>
          </w:p>
        </w:tc>
        <w:tc>
          <w:tcPr>
            <w:tcW w:w="1305" w:type="dxa"/>
            <w:gridSpan w:val="4"/>
            <w:tcBorders/>
            <w:shd w:fill="auto" w:val="clear"/>
            <w:vAlign w:val="center"/>
          </w:tcPr>
          <w:p>
            <w:pPr>
              <w:pStyle w:val="TableContents"/>
              <w:spacing w:before="0" w:after="283"/>
              <w:rPr>
                <w:sz w:val="4"/>
                <w:szCs w:val="4"/>
              </w:rPr>
            </w:pPr>
            <w:r>
              <w:rPr>
                <w:sz w:val="4"/>
                <w:szCs w:val="4"/>
              </w:rPr>
            </w:r>
          </w:p>
        </w:tc>
      </w:tr>
      <w:tr>
        <w:trPr/>
        <w:tc>
          <w:tcPr>
            <w:tcW w:w="7610" w:type="dxa"/>
            <w:tcBorders>
              <w:bottom w:val="single" w:sz="6"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Consolidated net debt-to-consolidated EBITDA at December 31 for trailing-twelve months Consolidated Adjusted EBTIDA from continuing operations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 </w:t>
            </w:r>
          </w:p>
        </w:tc>
        <w:tc>
          <w:tcPr>
            <w:tcW w:w="875" w:type="dxa"/>
            <w:tcBorders>
              <w:bottom w:val="single" w:sz="6" w:space="0" w:color="000000"/>
            </w:tcBorders>
            <w:shd w:fill="auto" w:val="clear"/>
            <w:tcMar>
              <w:bottom w:w="100" w:type="dxa"/>
            </w:tcMar>
            <w:vAlign w:val="center"/>
          </w:tcPr>
          <w:p>
            <w:pPr>
              <w:pStyle w:val="TableContents"/>
              <w:spacing w:before="0" w:after="283"/>
              <w:jc w:val="right"/>
              <w:rPr/>
            </w:pPr>
            <w:r>
              <w:rPr/>
              <w:t>2.5 times</w:t>
            </w:r>
          </w:p>
        </w:tc>
        <w:tc>
          <w:tcPr>
            <w:tcW w:w="155" w:type="dxa"/>
            <w:tcBorders>
              <w:bottom w:val="single" w:sz="6" w:space="0" w:color="000000"/>
            </w:tcBorders>
            <w:shd w:fill="auto" w:val="clear"/>
            <w:tcMar>
              <w:bottom w:w="10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100" w:type="dxa"/>
            </w:tcMar>
            <w:vAlign w:val="center"/>
          </w:tcPr>
          <w:p>
            <w:pPr>
              <w:pStyle w:val="TableContents"/>
              <w:spacing w:before="0" w:after="283"/>
              <w:rPr/>
            </w:pPr>
            <w:r>
              <w:rPr/>
              <w:t> </w:t>
            </w:r>
          </w:p>
        </w:tc>
        <w:tc>
          <w:tcPr>
            <w:tcW w:w="875" w:type="dxa"/>
            <w:tcBorders>
              <w:bottom w:val="single" w:sz="6" w:space="0" w:color="000000"/>
            </w:tcBorders>
            <w:shd w:fill="auto" w:val="clear"/>
            <w:tcMar>
              <w:bottom w:w="100" w:type="dxa"/>
            </w:tcMar>
            <w:vAlign w:val="center"/>
          </w:tcPr>
          <w:p>
            <w:pPr>
              <w:pStyle w:val="TableContents"/>
              <w:spacing w:before="0" w:after="283"/>
              <w:jc w:val="right"/>
              <w:rPr/>
            </w:pPr>
            <w:r>
              <w:rPr/>
              <w:t>3.2 times</w:t>
            </w:r>
          </w:p>
        </w:tc>
        <w:tc>
          <w:tcPr>
            <w:tcW w:w="170"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240" w:after="0"/>
        <w:jc w:val="left"/>
        <w:rPr>
          <w:rFonts w:ascii="ARIAL" w:hAnsi="ARIAL"/>
          <w:b/>
          <w:color w:val="71BE9A"/>
          <w:sz w:val="26"/>
        </w:rPr>
      </w:pPr>
      <w:r>
        <w:rPr>
          <w:rFonts w:ascii="ARIAL" w:hAnsi="ARIAL"/>
          <w:b/>
          <w:color w:val="71BE9A"/>
          <w:sz w:val="26"/>
        </w:rPr>
        <w:t xml:space="preserve">Adjusted Earnings Per Diluted Share from Continuing Operations </w:t>
      </w:r>
    </w:p>
    <w:p>
      <w:pPr>
        <w:pStyle w:val="TextBody"/>
        <w:spacing w:before="120" w:after="0"/>
        <w:jc w:val="left"/>
        <w:rPr>
          <w:rFonts w:ascii="ARIAL" w:hAnsi="ARIAL"/>
          <w:sz w:val="20"/>
        </w:rPr>
      </w:pPr>
      <w:r>
        <w:rPr>
          <w:rFonts w:ascii="ARIAL" w:hAnsi="ARIAL"/>
          <w:sz w:val="20"/>
        </w:rPr>
        <w:t xml:space="preserve">Adjusted earnings per diluted share from continuing operations (Adjusted EPS) for the year ended December 31, 2022 excludes the impacts of the nonrecurring gain on divestiture and acquisition and integration expenses. </w:t>
      </w:r>
    </w:p>
    <w:p>
      <w:pPr>
        <w:pStyle w:val="TextBody"/>
        <w:spacing w:before="120" w:after="0"/>
        <w:jc w:val="left"/>
        <w:rPr>
          <w:rFonts w:ascii="ARIAL" w:hAnsi="ARIAL"/>
          <w:sz w:val="20"/>
        </w:rPr>
      </w:pPr>
      <w:r>
        <w:rPr>
          <w:rFonts w:ascii="ARIAL" w:hAnsi="ARIAL"/>
          <w:sz w:val="20"/>
        </w:rPr>
        <w:t xml:space="preserve">Management presents this non-GAAP measure to more accurately report the performance of the Company excluding these nonrecurring items. </w:t>
      </w:r>
    </w:p>
    <w:p>
      <w:pPr>
        <w:pStyle w:val="TextBody"/>
        <w:spacing w:before="120" w:after="0"/>
        <w:jc w:val="left"/>
        <w:rPr>
          <w:rFonts w:ascii="ARIAL" w:hAnsi="ARIAL"/>
          <w:sz w:val="20"/>
        </w:rPr>
      </w:pPr>
      <w:r>
        <w:rPr>
          <w:rFonts w:ascii="ARIAL" w:hAnsi="ARIAL"/>
          <w:sz w:val="20"/>
        </w:rPr>
        <w:t xml:space="preserve">The following reconciles reported earnings per diluted share from continuing operations to Adjusted EPS from continuing operations for the year ended December 31,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000"/>
        <w:gridCol w:w="120"/>
        <w:gridCol w:w="140"/>
        <w:gridCol w:w="635"/>
        <w:gridCol w:w="155"/>
        <w:gridCol w:w="120"/>
        <w:gridCol w:w="298"/>
        <w:gridCol w:w="937"/>
        <w:gridCol w:w="155"/>
        <w:gridCol w:w="120"/>
        <w:gridCol w:w="187"/>
        <w:gridCol w:w="853"/>
        <w:gridCol w:w="155"/>
        <w:gridCol w:w="120"/>
        <w:gridCol w:w="208"/>
        <w:gridCol w:w="832"/>
        <w:gridCol w:w="170"/>
      </w:tblGrid>
      <w:tr>
        <w:trPr/>
        <w:tc>
          <w:tcPr>
            <w:tcW w:w="50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DBDBDB" w:val="clear"/>
            <w:vAlign w:val="center"/>
          </w:tcPr>
          <w:p>
            <w:pPr>
              <w:pStyle w:val="TableContents"/>
              <w:spacing w:before="0" w:after="283"/>
              <w:rPr>
                <w:sz w:val="4"/>
                <w:szCs w:val="4"/>
              </w:rPr>
            </w:pPr>
            <w:r>
              <w:rPr>
                <w:sz w:val="4"/>
                <w:szCs w:val="4"/>
              </w:rPr>
            </w:r>
          </w:p>
        </w:tc>
        <w:tc>
          <w:tcPr>
            <w:tcW w:w="1050" w:type="dxa"/>
            <w:gridSpan w:val="4"/>
            <w:tcBorders/>
            <w:shd w:fill="DBDBDB" w:val="clear"/>
            <w:vAlign w:val="center"/>
          </w:tcPr>
          <w:p>
            <w:pPr>
              <w:pStyle w:val="TableContents"/>
              <w:spacing w:before="0" w:after="283"/>
              <w:rPr>
                <w:sz w:val="4"/>
                <w:szCs w:val="4"/>
              </w:rPr>
            </w:pPr>
            <w:r>
              <w:rPr>
                <w:sz w:val="4"/>
                <w:szCs w:val="4"/>
              </w:rPr>
            </w:r>
          </w:p>
        </w:tc>
        <w:tc>
          <w:tcPr>
            <w:tcW w:w="1510" w:type="dxa"/>
            <w:gridSpan w:val="4"/>
            <w:tcBorders/>
            <w:shd w:fill="DBDBDB" w:val="clear"/>
            <w:vAlign w:val="center"/>
          </w:tcPr>
          <w:p>
            <w:pPr>
              <w:pStyle w:val="TableContents"/>
              <w:spacing w:before="0" w:after="283"/>
              <w:rPr>
                <w:sz w:val="4"/>
                <w:szCs w:val="4"/>
              </w:rPr>
            </w:pPr>
            <w:r>
              <w:rPr>
                <w:sz w:val="4"/>
                <w:szCs w:val="4"/>
              </w:rPr>
            </w:r>
          </w:p>
        </w:tc>
        <w:tc>
          <w:tcPr>
            <w:tcW w:w="1315" w:type="dxa"/>
            <w:gridSpan w:val="4"/>
            <w:tcBorders/>
            <w:shd w:fill="DBDBDB" w:val="clear"/>
            <w:vAlign w:val="center"/>
          </w:tcPr>
          <w:p>
            <w:pPr>
              <w:pStyle w:val="TableContents"/>
              <w:spacing w:before="0" w:after="283"/>
              <w:rPr>
                <w:sz w:val="4"/>
                <w:szCs w:val="4"/>
              </w:rPr>
            </w:pPr>
            <w:r>
              <w:rPr>
                <w:sz w:val="4"/>
                <w:szCs w:val="4"/>
              </w:rPr>
            </w:r>
          </w:p>
        </w:tc>
        <w:tc>
          <w:tcPr>
            <w:tcW w:w="1330" w:type="dxa"/>
            <w:gridSpan w:val="4"/>
            <w:tcBorders/>
            <w:shd w:fill="DBDBDB" w:val="clear"/>
            <w:vAlign w:val="center"/>
          </w:tcPr>
          <w:p>
            <w:pPr>
              <w:pStyle w:val="TableContents"/>
              <w:spacing w:before="0" w:after="283"/>
              <w:rPr>
                <w:sz w:val="4"/>
                <w:szCs w:val="4"/>
              </w:rPr>
            </w:pPr>
            <w:r>
              <w:rPr>
                <w:sz w:val="4"/>
                <w:szCs w:val="4"/>
              </w:rPr>
            </w:r>
          </w:p>
        </w:tc>
      </w:tr>
      <w:tr>
        <w:trPr/>
        <w:tc>
          <w:tcPr>
            <w:tcW w:w="5000" w:type="dxa"/>
            <w:tcBorders/>
            <w:shd w:fill="DBDBDB" w:val="clear"/>
            <w:vAlign w:val="center"/>
          </w:tcPr>
          <w:p>
            <w:pPr>
              <w:pStyle w:val="TableContents"/>
              <w:spacing w:before="0" w:after="0"/>
              <w:rPr>
                <w:rFonts w:ascii="ARIAL" w:hAnsi="ARIAL"/>
                <w:b/>
                <w:sz w:val="18"/>
              </w:rPr>
            </w:pPr>
            <w:r>
              <w:rPr>
                <w:rFonts w:ascii="ARIAL" w:hAnsi="ARIAL"/>
                <w:b/>
                <w:sz w:val="18"/>
              </w:rPr>
              <w:t>(dollars in millions, except per share)</w:t>
            </w:r>
          </w:p>
        </w:tc>
        <w:tc>
          <w:tcPr>
            <w:tcW w:w="120" w:type="dxa"/>
            <w:tcBorders/>
            <w:shd w:fill="DBDBDB" w:val="clear"/>
            <w:vAlign w:val="center"/>
          </w:tcPr>
          <w:p>
            <w:pPr>
              <w:pStyle w:val="TableContents"/>
              <w:spacing w:before="0" w:after="283"/>
              <w:rPr/>
            </w:pPr>
            <w:r>
              <w:rPr/>
              <w:t>  </w:t>
            </w:r>
          </w:p>
        </w:tc>
        <w:tc>
          <w:tcPr>
            <w:tcW w:w="775" w:type="dxa"/>
            <w:gridSpan w:val="2"/>
            <w:tcBorders/>
            <w:shd w:fill="DBDBDB" w:val="clear"/>
            <w:vAlign w:val="center"/>
          </w:tcPr>
          <w:p>
            <w:pPr>
              <w:pStyle w:val="TableContents"/>
              <w:spacing w:before="0" w:after="283"/>
              <w:rPr>
                <w:b/>
              </w:rPr>
            </w:pPr>
            <w:r>
              <w:rPr>
                <w:b/>
              </w:rPr>
              <w:t>Pretax</w:t>
            </w:r>
          </w:p>
        </w:tc>
        <w:tc>
          <w:tcPr>
            <w:tcW w:w="155"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235" w:type="dxa"/>
            <w:gridSpan w:val="2"/>
            <w:tcBorders/>
            <w:shd w:fill="DBDBDB" w:val="clear"/>
            <w:vAlign w:val="center"/>
          </w:tcPr>
          <w:p>
            <w:pPr>
              <w:pStyle w:val="TableContents"/>
              <w:spacing w:before="0" w:after="283"/>
              <w:rPr>
                <w:b/>
              </w:rPr>
            </w:pPr>
            <w:r>
              <w:rPr>
                <w:b/>
              </w:rPr>
              <w:t>Income Tax</w:t>
            </w:r>
          </w:p>
        </w:tc>
        <w:tc>
          <w:tcPr>
            <w:tcW w:w="155"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040" w:type="dxa"/>
            <w:gridSpan w:val="2"/>
            <w:tcBorders/>
            <w:shd w:fill="DBDBDB" w:val="clear"/>
            <w:vAlign w:val="center"/>
          </w:tcPr>
          <w:p>
            <w:pPr>
              <w:pStyle w:val="TableContents"/>
              <w:spacing w:before="0" w:after="283"/>
              <w:rPr>
                <w:b/>
              </w:rPr>
            </w:pPr>
            <w:r>
              <w:rPr>
                <w:b/>
              </w:rPr>
              <w:t>After-Tax</w:t>
            </w:r>
          </w:p>
        </w:tc>
        <w:tc>
          <w:tcPr>
            <w:tcW w:w="155" w:type="dxa"/>
            <w:tcBorders/>
            <w:shd w:fill="DBDBDB" w:val="clear"/>
            <w:vAlign w:val="center"/>
          </w:tcPr>
          <w:p>
            <w:pPr>
              <w:pStyle w:val="TableContents"/>
              <w:spacing w:before="0" w:after="283"/>
              <w:rPr/>
            </w:pPr>
            <w:r>
              <w:rPr/>
              <w:t> </w:t>
            </w:r>
          </w:p>
        </w:tc>
        <w:tc>
          <w:tcPr>
            <w:tcW w:w="120" w:type="dxa"/>
            <w:tcBorders/>
            <w:shd w:fill="DBDBDB" w:val="clear"/>
            <w:vAlign w:val="center"/>
          </w:tcPr>
          <w:p>
            <w:pPr>
              <w:pStyle w:val="TableContents"/>
              <w:spacing w:before="0" w:after="283"/>
              <w:rPr/>
            </w:pPr>
            <w:r>
              <w:rPr/>
              <w:t>  </w:t>
            </w:r>
          </w:p>
        </w:tc>
        <w:tc>
          <w:tcPr>
            <w:tcW w:w="1040" w:type="dxa"/>
            <w:gridSpan w:val="2"/>
            <w:tcBorders/>
            <w:shd w:fill="DBDBDB" w:val="clear"/>
            <w:vAlign w:val="center"/>
          </w:tcPr>
          <w:p>
            <w:pPr>
              <w:pStyle w:val="TableContents"/>
              <w:spacing w:before="0" w:after="283"/>
              <w:rPr>
                <w:b/>
              </w:rPr>
            </w:pPr>
            <w:r>
              <w:rPr>
                <w:b/>
              </w:rPr>
              <w:t>Per Share</w:t>
            </w:r>
          </w:p>
        </w:tc>
        <w:tc>
          <w:tcPr>
            <w:tcW w:w="170" w:type="dxa"/>
            <w:tcBorders/>
            <w:shd w:fill="DBDBDB"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c>
          <w:tcPr>
            <w:tcW w:w="151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500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Earnings per diluted share from continuing operations in accordance with GAAP</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28" w:type="dxa"/>
            </w:tcMar>
            <w:vAlign w:val="center"/>
          </w:tcPr>
          <w:p>
            <w:pPr>
              <w:pStyle w:val="TableContents"/>
              <w:spacing w:before="0" w:after="283"/>
              <w:rPr/>
            </w:pPr>
            <w:r>
              <w:rPr/>
              <w:t> </w:t>
            </w:r>
          </w:p>
        </w:tc>
        <w:tc>
          <w:tcPr>
            <w:tcW w:w="635" w:type="dxa"/>
            <w:tcBorders>
              <w:bottom w:val="dotted" w:sz="8" w:space="0" w:color="000000"/>
            </w:tcBorders>
            <w:shd w:fill="auto" w:val="clear"/>
            <w:tcMar>
              <w:bottom w:w="28" w:type="dxa"/>
            </w:tcMar>
            <w:vAlign w:val="center"/>
          </w:tcPr>
          <w:p>
            <w:pPr>
              <w:pStyle w:val="TableContents"/>
              <w:spacing w:before="0" w:after="283"/>
              <w:rPr/>
            </w:pPr>
            <w:r>
              <w:rPr/>
              <w:t> </w:t>
            </w:r>
          </w:p>
        </w:tc>
        <w:tc>
          <w:tcPr>
            <w:tcW w:w="155"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298" w:type="dxa"/>
            <w:tcBorders>
              <w:bottom w:val="dotted" w:sz="8" w:space="0" w:color="000000"/>
            </w:tcBorders>
            <w:shd w:fill="auto" w:val="clear"/>
            <w:tcMar>
              <w:bottom w:w="28" w:type="dxa"/>
            </w:tcMar>
            <w:vAlign w:val="center"/>
          </w:tcPr>
          <w:p>
            <w:pPr>
              <w:pStyle w:val="TableContents"/>
              <w:spacing w:before="0" w:after="283"/>
              <w:rPr/>
            </w:pPr>
            <w:r>
              <w:rPr/>
              <w:t> </w:t>
            </w:r>
          </w:p>
        </w:tc>
        <w:tc>
          <w:tcPr>
            <w:tcW w:w="937" w:type="dxa"/>
            <w:tcBorders>
              <w:bottom w:val="dotted" w:sz="8" w:space="0" w:color="000000"/>
            </w:tcBorders>
            <w:shd w:fill="auto" w:val="clear"/>
            <w:tcMar>
              <w:bottom w:w="28" w:type="dxa"/>
            </w:tcMar>
            <w:vAlign w:val="center"/>
          </w:tcPr>
          <w:p>
            <w:pPr>
              <w:pStyle w:val="TableContents"/>
              <w:spacing w:before="0" w:after="283"/>
              <w:rPr/>
            </w:pPr>
            <w:r>
              <w:rPr/>
              <w:t> </w:t>
            </w:r>
          </w:p>
        </w:tc>
        <w:tc>
          <w:tcPr>
            <w:tcW w:w="155"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87" w:type="dxa"/>
            <w:tcBorders>
              <w:bottom w:val="dotted" w:sz="8" w:space="0" w:color="000000"/>
            </w:tcBorders>
            <w:shd w:fill="auto" w:val="clear"/>
            <w:tcMar>
              <w:bottom w:w="28" w:type="dxa"/>
            </w:tcMar>
            <w:vAlign w:val="center"/>
          </w:tcPr>
          <w:p>
            <w:pPr>
              <w:pStyle w:val="TableContents"/>
              <w:spacing w:before="0" w:after="283"/>
              <w:rPr/>
            </w:pPr>
            <w:r>
              <w:rPr/>
              <w:t> </w:t>
            </w:r>
          </w:p>
        </w:tc>
        <w:tc>
          <w:tcPr>
            <w:tcW w:w="853" w:type="dxa"/>
            <w:tcBorders>
              <w:bottom w:val="dotted" w:sz="8" w:space="0" w:color="000000"/>
            </w:tcBorders>
            <w:shd w:fill="auto" w:val="clear"/>
            <w:tcMar>
              <w:bottom w:w="28" w:type="dxa"/>
            </w:tcMar>
            <w:vAlign w:val="center"/>
          </w:tcPr>
          <w:p>
            <w:pPr>
              <w:pStyle w:val="TableContents"/>
              <w:spacing w:before="0" w:after="283"/>
              <w:rPr/>
            </w:pPr>
            <w:r>
              <w:rPr/>
              <w:t> </w:t>
            </w:r>
          </w:p>
        </w:tc>
        <w:tc>
          <w:tcPr>
            <w:tcW w:w="155" w:type="dxa"/>
            <w:tcBorders>
              <w:bottom w:val="dotted" w:sz="8" w:space="0" w:color="000000"/>
            </w:tcBorders>
            <w:shd w:fill="auto" w:val="clear"/>
            <w:tcMar>
              <w:bottom w:w="28"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208" w:type="dxa"/>
            <w:tcBorders>
              <w:bottom w:val="dotted" w:sz="8" w:space="0" w:color="000000"/>
            </w:tcBorders>
            <w:shd w:fill="auto" w:val="clear"/>
            <w:tcMar>
              <w:bottom w:w="100" w:type="dxa"/>
            </w:tcMar>
            <w:vAlign w:val="center"/>
          </w:tcPr>
          <w:p>
            <w:pPr>
              <w:pStyle w:val="TableContents"/>
              <w:spacing w:before="0" w:after="283"/>
              <w:rPr/>
            </w:pPr>
            <w:r>
              <w:rPr/>
              <w:t>$</w:t>
            </w:r>
          </w:p>
        </w:tc>
        <w:tc>
          <w:tcPr>
            <w:tcW w:w="832" w:type="dxa"/>
            <w:tcBorders>
              <w:bottom w:val="dotted" w:sz="8" w:space="0" w:color="000000"/>
            </w:tcBorders>
            <w:shd w:fill="auto" w:val="clear"/>
            <w:tcMar>
              <w:bottom w:w="100" w:type="dxa"/>
            </w:tcMar>
            <w:vAlign w:val="center"/>
          </w:tcPr>
          <w:p>
            <w:pPr>
              <w:pStyle w:val="TableContents"/>
              <w:spacing w:before="0" w:after="283"/>
              <w:jc w:val="right"/>
              <w:rPr/>
            </w:pPr>
            <w:r>
              <w:rPr/>
              <w:t>13.70</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c>
          <w:tcPr>
            <w:tcW w:w="151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500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Impact of nonrecurring gain on divestiture</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635" w:type="dxa"/>
            <w:tcBorders>
              <w:bottom w:val="dotted" w:sz="8" w:space="0" w:color="000000"/>
            </w:tcBorders>
            <w:shd w:fill="auto" w:val="clear"/>
            <w:tcMar>
              <w:bottom w:w="100" w:type="dxa"/>
            </w:tcMar>
            <w:vAlign w:val="center"/>
          </w:tcPr>
          <w:p>
            <w:pPr>
              <w:pStyle w:val="TableContents"/>
              <w:spacing w:before="0" w:after="283"/>
              <w:jc w:val="right"/>
              <w:rPr/>
            </w:pPr>
            <w:r>
              <w:rPr/>
              <w:t>(151.9</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298" w:type="dxa"/>
            <w:tcBorders>
              <w:bottom w:val="dotted" w:sz="8" w:space="0" w:color="000000"/>
            </w:tcBorders>
            <w:shd w:fill="auto" w:val="clear"/>
            <w:tcMar>
              <w:bottom w:w="100" w:type="dxa"/>
            </w:tcMar>
            <w:vAlign w:val="center"/>
          </w:tcPr>
          <w:p>
            <w:pPr>
              <w:pStyle w:val="TableContents"/>
              <w:spacing w:before="0" w:after="283"/>
              <w:rPr/>
            </w:pPr>
            <w:r>
              <w:rPr/>
              <w:t>$</w:t>
            </w:r>
          </w:p>
        </w:tc>
        <w:tc>
          <w:tcPr>
            <w:tcW w:w="937" w:type="dxa"/>
            <w:tcBorders>
              <w:bottom w:val="dotted" w:sz="8" w:space="0" w:color="000000"/>
            </w:tcBorders>
            <w:shd w:fill="auto" w:val="clear"/>
            <w:tcMar>
              <w:bottom w:w="100" w:type="dxa"/>
            </w:tcMar>
            <w:vAlign w:val="center"/>
          </w:tcPr>
          <w:p>
            <w:pPr>
              <w:pStyle w:val="TableContents"/>
              <w:spacing w:before="0" w:after="283"/>
              <w:jc w:val="right"/>
              <w:rPr/>
            </w:pPr>
            <w:r>
              <w:rPr/>
              <w:t>43.1</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87" w:type="dxa"/>
            <w:tcBorders>
              <w:bottom w:val="dotted" w:sz="8" w:space="0" w:color="000000"/>
            </w:tcBorders>
            <w:shd w:fill="auto" w:val="clear"/>
            <w:tcMar>
              <w:bottom w:w="100" w:type="dxa"/>
            </w:tcMar>
            <w:vAlign w:val="center"/>
          </w:tcPr>
          <w:p>
            <w:pPr>
              <w:pStyle w:val="TableContents"/>
              <w:spacing w:before="0" w:after="283"/>
              <w:rPr/>
            </w:pPr>
            <w:r>
              <w:rPr/>
              <w:t>$</w:t>
            </w:r>
          </w:p>
        </w:tc>
        <w:tc>
          <w:tcPr>
            <w:tcW w:w="853" w:type="dxa"/>
            <w:tcBorders>
              <w:bottom w:val="dotted" w:sz="8" w:space="0" w:color="000000"/>
            </w:tcBorders>
            <w:shd w:fill="auto" w:val="clear"/>
            <w:tcMar>
              <w:bottom w:w="100" w:type="dxa"/>
            </w:tcMar>
            <w:vAlign w:val="center"/>
          </w:tcPr>
          <w:p>
            <w:pPr>
              <w:pStyle w:val="TableContents"/>
              <w:spacing w:before="0" w:after="283"/>
              <w:jc w:val="right"/>
              <w:rPr/>
            </w:pPr>
            <w:r>
              <w:rPr/>
              <w:t>(108.8</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208" w:type="dxa"/>
            <w:tcBorders>
              <w:bottom w:val="dotted" w:sz="8" w:space="0" w:color="000000"/>
            </w:tcBorders>
            <w:shd w:fill="auto" w:val="clear"/>
            <w:tcMar>
              <w:bottom w:w="100" w:type="dxa"/>
            </w:tcMar>
            <w:vAlign w:val="center"/>
          </w:tcPr>
          <w:p>
            <w:pPr>
              <w:pStyle w:val="TableContents"/>
              <w:spacing w:before="0" w:after="283"/>
              <w:rPr/>
            </w:pPr>
            <w:r>
              <w:rPr/>
              <w:t> </w:t>
            </w:r>
          </w:p>
        </w:tc>
        <w:tc>
          <w:tcPr>
            <w:tcW w:w="832" w:type="dxa"/>
            <w:tcBorders>
              <w:bottom w:val="dotted" w:sz="8" w:space="0" w:color="000000"/>
            </w:tcBorders>
            <w:shd w:fill="auto" w:val="clear"/>
            <w:tcMar>
              <w:bottom w:w="100" w:type="dxa"/>
            </w:tcMar>
            <w:vAlign w:val="center"/>
          </w:tcPr>
          <w:p>
            <w:pPr>
              <w:pStyle w:val="TableContents"/>
              <w:spacing w:before="0" w:after="283"/>
              <w:jc w:val="right"/>
              <w:rPr/>
            </w:pPr>
            <w:r>
              <w:rPr/>
              <w:t>(1.74</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c>
          <w:tcPr>
            <w:tcW w:w="151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5000" w:type="dxa"/>
            <w:tcBorders>
              <w:bottom w:val="dotted" w:sz="8"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Acquisition and integration expenses</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40" w:type="dxa"/>
            <w:tcBorders>
              <w:bottom w:val="dotted" w:sz="8" w:space="0" w:color="000000"/>
            </w:tcBorders>
            <w:shd w:fill="auto" w:val="clear"/>
            <w:tcMar>
              <w:bottom w:w="100" w:type="dxa"/>
            </w:tcMar>
            <w:vAlign w:val="center"/>
          </w:tcPr>
          <w:p>
            <w:pPr>
              <w:pStyle w:val="TableContents"/>
              <w:spacing w:before="0" w:after="283"/>
              <w:rPr/>
            </w:pPr>
            <w:r>
              <w:rPr/>
              <w:t>$</w:t>
            </w:r>
          </w:p>
        </w:tc>
        <w:tc>
          <w:tcPr>
            <w:tcW w:w="635" w:type="dxa"/>
            <w:tcBorders>
              <w:bottom w:val="dotted" w:sz="8" w:space="0" w:color="000000"/>
            </w:tcBorders>
            <w:shd w:fill="auto" w:val="clear"/>
            <w:tcMar>
              <w:bottom w:w="100" w:type="dxa"/>
            </w:tcMar>
            <w:vAlign w:val="center"/>
          </w:tcPr>
          <w:p>
            <w:pPr>
              <w:pStyle w:val="TableContents"/>
              <w:spacing w:before="0" w:after="283"/>
              <w:jc w:val="right"/>
              <w:rPr/>
            </w:pPr>
            <w:r>
              <w:rPr/>
              <w:t>9.1</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298" w:type="dxa"/>
            <w:tcBorders>
              <w:bottom w:val="dotted" w:sz="8" w:space="0" w:color="000000"/>
            </w:tcBorders>
            <w:shd w:fill="auto" w:val="clear"/>
            <w:tcMar>
              <w:bottom w:w="100" w:type="dxa"/>
            </w:tcMar>
            <w:vAlign w:val="center"/>
          </w:tcPr>
          <w:p>
            <w:pPr>
              <w:pStyle w:val="TableContents"/>
              <w:spacing w:before="0" w:after="283"/>
              <w:rPr/>
            </w:pPr>
            <w:r>
              <w:rPr/>
              <w:t>$</w:t>
            </w:r>
          </w:p>
        </w:tc>
        <w:tc>
          <w:tcPr>
            <w:tcW w:w="937" w:type="dxa"/>
            <w:tcBorders>
              <w:bottom w:val="dotted" w:sz="8" w:space="0" w:color="000000"/>
            </w:tcBorders>
            <w:shd w:fill="auto" w:val="clear"/>
            <w:tcMar>
              <w:bottom w:w="100" w:type="dxa"/>
            </w:tcMar>
            <w:vAlign w:val="center"/>
          </w:tcPr>
          <w:p>
            <w:pPr>
              <w:pStyle w:val="TableContents"/>
              <w:spacing w:before="0" w:after="283"/>
              <w:jc w:val="right"/>
              <w:rPr/>
            </w:pPr>
            <w:r>
              <w:rPr/>
              <w:t>(2.2</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187" w:type="dxa"/>
            <w:tcBorders>
              <w:bottom w:val="dotted" w:sz="8" w:space="0" w:color="000000"/>
            </w:tcBorders>
            <w:shd w:fill="auto" w:val="clear"/>
            <w:tcMar>
              <w:bottom w:w="100" w:type="dxa"/>
            </w:tcMar>
            <w:vAlign w:val="center"/>
          </w:tcPr>
          <w:p>
            <w:pPr>
              <w:pStyle w:val="TableContents"/>
              <w:spacing w:before="0" w:after="283"/>
              <w:rPr/>
            </w:pPr>
            <w:r>
              <w:rPr/>
              <w:t>$</w:t>
            </w:r>
          </w:p>
        </w:tc>
        <w:tc>
          <w:tcPr>
            <w:tcW w:w="853" w:type="dxa"/>
            <w:tcBorders>
              <w:bottom w:val="dotted" w:sz="8" w:space="0" w:color="000000"/>
            </w:tcBorders>
            <w:shd w:fill="auto" w:val="clear"/>
            <w:tcMar>
              <w:bottom w:w="100" w:type="dxa"/>
            </w:tcMar>
            <w:vAlign w:val="center"/>
          </w:tcPr>
          <w:p>
            <w:pPr>
              <w:pStyle w:val="TableContents"/>
              <w:spacing w:before="0" w:after="283"/>
              <w:jc w:val="right"/>
              <w:rPr/>
            </w:pPr>
            <w:r>
              <w:rPr/>
              <w:t>6.9</w:t>
            </w:r>
          </w:p>
        </w:tc>
        <w:tc>
          <w:tcPr>
            <w:tcW w:w="155" w:type="dxa"/>
            <w:tcBorders>
              <w:bottom w:val="dotted" w:sz="8" w:space="0" w:color="000000"/>
            </w:tcBorders>
            <w:shd w:fill="auto" w:val="clear"/>
            <w:tcMar>
              <w:bottom w:w="100" w:type="dxa"/>
            </w:tcMar>
            <w:vAlign w:val="center"/>
          </w:tcPr>
          <w:p>
            <w:pPr>
              <w:pStyle w:val="TableContents"/>
              <w:spacing w:before="0" w:after="283"/>
              <w:rPr/>
            </w:pPr>
            <w:r>
              <w:rPr/>
              <w:t> </w:t>
            </w:r>
          </w:p>
        </w:tc>
        <w:tc>
          <w:tcPr>
            <w:tcW w:w="120" w:type="dxa"/>
            <w:tcBorders>
              <w:bottom w:val="dotted" w:sz="8" w:space="0" w:color="000000"/>
            </w:tcBorders>
            <w:shd w:fill="auto" w:val="clear"/>
            <w:tcMar>
              <w:bottom w:w="28" w:type="dxa"/>
            </w:tcMar>
            <w:vAlign w:val="center"/>
          </w:tcPr>
          <w:p>
            <w:pPr>
              <w:pStyle w:val="TableContents"/>
              <w:spacing w:before="0" w:after="283"/>
              <w:rPr/>
            </w:pPr>
            <w:r>
              <w:rPr/>
              <w:t>  </w:t>
            </w:r>
          </w:p>
        </w:tc>
        <w:tc>
          <w:tcPr>
            <w:tcW w:w="208" w:type="dxa"/>
            <w:tcBorders>
              <w:bottom w:val="dotted" w:sz="8" w:space="0" w:color="000000"/>
            </w:tcBorders>
            <w:shd w:fill="auto" w:val="clear"/>
            <w:tcMar>
              <w:bottom w:w="100" w:type="dxa"/>
            </w:tcMar>
            <w:vAlign w:val="center"/>
          </w:tcPr>
          <w:p>
            <w:pPr>
              <w:pStyle w:val="TableContents"/>
              <w:spacing w:before="0" w:after="283"/>
              <w:rPr/>
            </w:pPr>
            <w:r>
              <w:rPr/>
              <w:t> </w:t>
            </w:r>
          </w:p>
        </w:tc>
        <w:tc>
          <w:tcPr>
            <w:tcW w:w="832" w:type="dxa"/>
            <w:tcBorders>
              <w:bottom w:val="dotted" w:sz="8" w:space="0" w:color="000000"/>
            </w:tcBorders>
            <w:shd w:fill="auto" w:val="clear"/>
            <w:tcMar>
              <w:bottom w:w="100" w:type="dxa"/>
            </w:tcMar>
            <w:vAlign w:val="center"/>
          </w:tcPr>
          <w:p>
            <w:pPr>
              <w:pStyle w:val="TableContents"/>
              <w:spacing w:before="0" w:after="283"/>
              <w:jc w:val="right"/>
              <w:rPr/>
            </w:pPr>
            <w:r>
              <w:rPr/>
              <w:t>0.11</w:t>
            </w:r>
          </w:p>
        </w:tc>
        <w:tc>
          <w:tcPr>
            <w:tcW w:w="170" w:type="dxa"/>
            <w:tcBorders>
              <w:bottom w:val="dotted" w:sz="8" w:space="0" w:color="000000"/>
            </w:tcBorders>
            <w:shd w:fill="auto" w:val="clear"/>
            <w:tcMar>
              <w:bottom w:w="100" w:type="dxa"/>
            </w:tcM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c>
          <w:tcPr>
            <w:tcW w:w="151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5000" w:type="dxa"/>
            <w:tcBorders>
              <w:bottom w:val="single" w:sz="6" w:space="0" w:color="000000"/>
            </w:tcBorders>
            <w:shd w:fill="auto" w:val="clear"/>
            <w:tcMar>
              <w:bottom w:w="100" w:type="dxa"/>
            </w:tcMar>
            <w:vAlign w:val="center"/>
          </w:tcPr>
          <w:p>
            <w:pPr>
              <w:pStyle w:val="TableContents"/>
              <w:spacing w:before="0" w:after="0"/>
              <w:rPr>
                <w:rFonts w:ascii="ARIAL" w:hAnsi="ARIAL"/>
                <w:sz w:val="18"/>
              </w:rPr>
            </w:pPr>
            <w:r>
              <w:rPr>
                <w:rFonts w:ascii="ARIAL" w:hAnsi="ARIAL"/>
                <w:sz w:val="18"/>
              </w:rPr>
              <w:t>Adjusted earnings per diluted share from continuing operations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40" w:type="dxa"/>
            <w:tcBorders>
              <w:bottom w:val="single" w:sz="6" w:space="0" w:color="000000"/>
            </w:tcBorders>
            <w:shd w:fill="auto" w:val="clear"/>
            <w:tcMar>
              <w:bottom w:w="28" w:type="dxa"/>
            </w:tcMar>
            <w:vAlign w:val="center"/>
          </w:tcPr>
          <w:p>
            <w:pPr>
              <w:pStyle w:val="TableContents"/>
              <w:spacing w:before="0" w:after="283"/>
              <w:rPr/>
            </w:pPr>
            <w:r>
              <w:rPr/>
              <w:t> </w:t>
            </w:r>
          </w:p>
        </w:tc>
        <w:tc>
          <w:tcPr>
            <w:tcW w:w="635" w:type="dxa"/>
            <w:tcBorders>
              <w:bottom w:val="single" w:sz="6" w:space="0" w:color="000000"/>
            </w:tcBorders>
            <w:shd w:fill="auto" w:val="clear"/>
            <w:tcMar>
              <w:bottom w:w="28" w:type="dxa"/>
            </w:tcMar>
            <w:vAlign w:val="center"/>
          </w:tcPr>
          <w:p>
            <w:pPr>
              <w:pStyle w:val="TableContents"/>
              <w:spacing w:before="0" w:after="283"/>
              <w:rPr/>
            </w:pPr>
            <w:r>
              <w:rPr/>
              <w:t> </w:t>
            </w:r>
          </w:p>
        </w:tc>
        <w:tc>
          <w:tcPr>
            <w:tcW w:w="155"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298" w:type="dxa"/>
            <w:tcBorders>
              <w:bottom w:val="single" w:sz="6" w:space="0" w:color="000000"/>
            </w:tcBorders>
            <w:shd w:fill="auto" w:val="clear"/>
            <w:tcMar>
              <w:bottom w:w="28" w:type="dxa"/>
            </w:tcMar>
            <w:vAlign w:val="center"/>
          </w:tcPr>
          <w:p>
            <w:pPr>
              <w:pStyle w:val="TableContents"/>
              <w:spacing w:before="0" w:after="283"/>
              <w:rPr/>
            </w:pPr>
            <w:r>
              <w:rPr/>
              <w:t> </w:t>
            </w:r>
          </w:p>
        </w:tc>
        <w:tc>
          <w:tcPr>
            <w:tcW w:w="937" w:type="dxa"/>
            <w:tcBorders>
              <w:bottom w:val="single" w:sz="6" w:space="0" w:color="000000"/>
            </w:tcBorders>
            <w:shd w:fill="auto" w:val="clear"/>
            <w:tcMar>
              <w:bottom w:w="28" w:type="dxa"/>
            </w:tcMar>
            <w:vAlign w:val="center"/>
          </w:tcPr>
          <w:p>
            <w:pPr>
              <w:pStyle w:val="TableContents"/>
              <w:spacing w:before="0" w:after="283"/>
              <w:rPr/>
            </w:pPr>
            <w:r>
              <w:rPr/>
              <w:t> </w:t>
            </w:r>
          </w:p>
        </w:tc>
        <w:tc>
          <w:tcPr>
            <w:tcW w:w="155"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87" w:type="dxa"/>
            <w:tcBorders>
              <w:bottom w:val="single" w:sz="6" w:space="0" w:color="000000"/>
            </w:tcBorders>
            <w:shd w:fill="auto" w:val="clear"/>
            <w:tcMar>
              <w:bottom w:w="28" w:type="dxa"/>
            </w:tcMar>
            <w:vAlign w:val="center"/>
          </w:tcPr>
          <w:p>
            <w:pPr>
              <w:pStyle w:val="TableContents"/>
              <w:spacing w:before="0" w:after="283"/>
              <w:rPr/>
            </w:pPr>
            <w:r>
              <w:rPr/>
              <w:t> </w:t>
            </w:r>
          </w:p>
        </w:tc>
        <w:tc>
          <w:tcPr>
            <w:tcW w:w="853" w:type="dxa"/>
            <w:tcBorders>
              <w:bottom w:val="single" w:sz="6" w:space="0" w:color="000000"/>
            </w:tcBorders>
            <w:shd w:fill="auto" w:val="clear"/>
            <w:tcMar>
              <w:bottom w:w="28" w:type="dxa"/>
            </w:tcMar>
            <w:vAlign w:val="center"/>
          </w:tcPr>
          <w:p>
            <w:pPr>
              <w:pStyle w:val="TableContents"/>
              <w:spacing w:before="0" w:after="283"/>
              <w:rPr/>
            </w:pPr>
            <w:r>
              <w:rPr/>
              <w:t> </w:t>
            </w:r>
          </w:p>
        </w:tc>
        <w:tc>
          <w:tcPr>
            <w:tcW w:w="155"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208" w:type="dxa"/>
            <w:tcBorders>
              <w:bottom w:val="single" w:sz="6" w:space="0" w:color="000000"/>
            </w:tcBorders>
            <w:shd w:fill="auto" w:val="clear"/>
            <w:tcMar>
              <w:bottom w:w="100" w:type="dxa"/>
            </w:tcMar>
            <w:vAlign w:val="center"/>
          </w:tcPr>
          <w:p>
            <w:pPr>
              <w:pStyle w:val="TableContents"/>
              <w:spacing w:before="0" w:after="283"/>
              <w:rPr/>
            </w:pPr>
            <w:r>
              <w:rPr/>
              <w:t>$</w:t>
            </w:r>
          </w:p>
        </w:tc>
        <w:tc>
          <w:tcPr>
            <w:tcW w:w="832" w:type="dxa"/>
            <w:tcBorders>
              <w:bottom w:val="single" w:sz="6" w:space="0" w:color="000000"/>
            </w:tcBorders>
            <w:shd w:fill="auto" w:val="clear"/>
            <w:tcMar>
              <w:bottom w:w="100" w:type="dxa"/>
            </w:tcMar>
            <w:vAlign w:val="center"/>
          </w:tcPr>
          <w:p>
            <w:pPr>
              <w:pStyle w:val="TableContents"/>
              <w:spacing w:before="0" w:after="283"/>
              <w:jc w:val="right"/>
              <w:rPr/>
            </w:pPr>
            <w:r>
              <w:rPr/>
              <w:t>12.07</w:t>
            </w:r>
          </w:p>
        </w:tc>
        <w:tc>
          <w:tcPr>
            <w:tcW w:w="170" w:type="dxa"/>
            <w:tcBorders>
              <w:bottom w:val="single" w:sz="6" w:space="0" w:color="000000"/>
            </w:tcBorders>
            <w:shd w:fill="auto" w:val="clear"/>
            <w:tcMar>
              <w:bottom w:w="100" w:type="dxa"/>
            </w:tcMar>
            <w:vAlign w:val="center"/>
          </w:tcPr>
          <w:p>
            <w:pPr>
              <w:pStyle w:val="TableContents"/>
              <w:spacing w:before="0" w:after="283"/>
              <w:rPr/>
            </w:pPr>
            <w:r>
              <w:rPr/>
              <w:t> </w:t>
            </w:r>
          </w:p>
        </w:tc>
      </w:tr>
    </w:tbl>
    <w:p>
      <w:pPr>
        <w:pStyle w:val="TextBody"/>
        <w:spacing w:before="0" w:after="0"/>
        <w:jc w:val="left"/>
        <w:rPr/>
      </w:pPr>
      <w:r>
        <w:rPr/>
        <w:t> </w:t>
      </w:r>
    </w:p>
    <w:tbl>
      <w:tblPr>
        <w:tblW w:w="3820" w:type="dxa"/>
        <w:jc w:val="left"/>
        <w:tblInd w:w="0" w:type="dxa"/>
        <w:tblCellMar>
          <w:top w:w="0" w:type="dxa"/>
          <w:left w:w="0" w:type="dxa"/>
          <w:bottom w:w="0" w:type="dxa"/>
          <w:right w:w="0" w:type="dxa"/>
        </w:tblCellMar>
      </w:tblPr>
      <w:tblGrid>
        <w:gridCol w:w="3530"/>
        <w:gridCol w:w="60"/>
        <w:gridCol w:w="132"/>
        <w:gridCol w:w="60"/>
        <w:gridCol w:w="38"/>
      </w:tblGrid>
      <w:tr>
        <w:trPr/>
        <w:tc>
          <w:tcPr>
            <w:tcW w:w="3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530" w:type="dxa"/>
            <w:tcBorders/>
            <w:shd w:fill="auto" w:val="clear"/>
            <w:vAlign w:val="center"/>
          </w:tcPr>
          <w:p>
            <w:pPr>
              <w:pStyle w:val="TableContents"/>
              <w:spacing w:before="0" w:after="283"/>
              <w:rPr/>
            </w:pPr>
            <w:r>
              <w:rPr>
                <w:b/>
              </w:rPr>
              <w:t>B-2</w:t>
            </w:r>
            <w:r>
              <w:rPr>
                <w:color w:val="007CBA"/>
              </w:rPr>
              <w:t>    2023 PROXY STATEMENT</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jc w:val="center"/>
              <w:rPr/>
            </w:pPr>
            <w:r>
              <w:rPr/>
              <w:drawing>
                <wp:inline distT="0" distB="0" distL="0" distR="0">
                  <wp:extent cx="45720" cy="27940"/>
                  <wp:effectExtent l="0" t="0" r="0" b="0"/>
                  <wp:docPr id="265"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9" descr=""/>
                          <pic:cNvPicPr>
                            <a:picLocks noChangeAspect="1" noChangeArrowheads="1"/>
                          </pic:cNvPicPr>
                        </pic:nvPicPr>
                        <pic:blipFill>
                          <a:blip r:embed="rId25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7019925" cy="9144000"/>
            <wp:effectExtent l="0" t="0" r="0" b="0"/>
            <wp:docPr id="266"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50" descr=""/>
                    <pic:cNvPicPr>
                      <a:picLocks noChangeAspect="1" noChangeArrowheads="1"/>
                    </pic:cNvPicPr>
                  </pic:nvPicPr>
                  <pic:blipFill>
                    <a:blip r:embed="rId251"/>
                    <a:stretch>
                      <a:fillRect/>
                    </a:stretch>
                  </pic:blipFill>
                  <pic:spPr bwMode="auto">
                    <a:xfrm>
                      <a:off x="0" y="0"/>
                      <a:ext cx="7019925" cy="9144000"/>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Martin Marietta 4123 Parklake Avenue Raleigh, NC 27612 (919) 781-4550 www.martinmarietta.com NYSE Stock Symbol. MLM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7067550" cy="9144000"/>
            <wp:effectExtent l="0" t="0" r="0" b="0"/>
            <wp:docPr id="267"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51" descr=""/>
                    <pic:cNvPicPr>
                      <a:picLocks noChangeAspect="1" noChangeArrowheads="1"/>
                    </pic:cNvPicPr>
                  </pic:nvPicPr>
                  <pic:blipFill>
                    <a:blip r:embed="rId252"/>
                    <a:stretch>
                      <a:fillRect/>
                    </a:stretch>
                  </pic:blipFill>
                  <pic:spPr bwMode="auto">
                    <a:xfrm>
                      <a:off x="0" y="0"/>
                      <a:ext cx="7067550" cy="9144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MARTINANNUALMARIETTAMEETING OF SHAREHOLDERSMATERIALS,OF INC. May 11, 2023 PROXY VOTING INSTRUCTIONS INTERNET - Access “www.voteproxy.com” and follow the on-screen instructions or scan the QR code with your smartphone. Have your proxy card available when you access the web page. Vote online until 11:59 PM ET the day before the meeting. MAIL - Sign, date and mail your proxy card in the envelope provided as soon as possible. IN PERSON - You may vote your shares in person by attending the Annual Meeting. GO GREEN - e-Consent makes it easy to go paperless. With e-Consent, you can quickly access your proxy material, statements and other eligible documents online, while reducing costs, clutter and paper waste. Enroll today via www.astfinancial.com to enjoy online access. company number ACCOUNT NUMBER NOTICE OF INTERNET AVAILABILITY OF PROXY MATERIAL: The proxy statement, form of proxy card and 2022 Annual Report to Shareholders are available for review on the Internet at http://ir.martinmarietta.com/reports-filings Please detach along perforated line and mail in the envelope provided IF you are not voting via the Internet. THE BOARD OF DIRECTORS RECOMMENDS YOU VOTE “FOR” ITEMS 1, 2, 3, “EVERY 1 YEAR” ON PROPOSAL 4 AND “AGAINST” PROPOSAL 5. PLEASE SIGN, DATE AND RETURN PROMPTLY IN THE ENCLOSED ENVELOPE. PLEASE MARK YOUR VOTE IN BLUE OR BLACK INK AS SHOWN HERE 1. Election of Directors: Dorothy M. Ables Sue W. Cole Anthony R. Foxx John J. Koraleski C. Howard Nye Laree E. Perez Thomas H. Pike Michael J. Quillen Donald W. Slager David C. Wajsgras 2. Ratification of appointment of PricewaterhouseCoopers as independent auditors. 3. Approval, by a non-binding advisory vote, of the compensation of Martin Marietta Materials, Inc.’s named executive officers. 1 YEAR 2 YEARS 3 YEARS ABSTAIN 4.Selection, by a non-binding advisory vote, of the frequency of future shareholder votes to approve the compensation of Martin Marietta Materials, Inc.’s named executive officers. 5. Shareholder proposal, if properly presented at the meeting, requesting the establishment within a year of GHG reduction targets.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The Board of Directors recommends that you vote FOR Proposals 2 and 3 The Board of Directors recommends that you vote EVERY 1 YEAR on Proposal 4 The Board of Directors recommends that you vote AGAINST Proposal 5 This proxy is solicited by the Board of Directors of Martin Marietta Materials, Inc. and when properly executed will be voted as specified herein and, unless otherwise directed, will be voted FOR the election of all nominees as Directors, FOR the ratification of the selection of PricewaterhouseCoopers as independent auditors, FOR the approval, by a non-binding advisory vote, of the compensation of our named executive officers, EVERY 1 YEAR on the selection, by a non-binding advisory vote, of the frequency of votes for the approval of the compensation of our named executive officers, and AGAINST the shareholder proposal. In their discretion, the proxies are authorized to vote upon such other business as may properly come before the meeting, or any adjournments thereof. Receipt of Notice of Annual Meeting of Shareholders and accompanying Proxy Statement is hereby acknowledged. 00033333333333343000 5 051123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3749040" cy="4850765"/>
            <wp:effectExtent l="0" t="0" r="0" b="0"/>
            <wp:docPr id="268"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52" descr=""/>
                    <pic:cNvPicPr>
                      <a:picLocks noChangeAspect="1" noChangeArrowheads="1"/>
                    </pic:cNvPicPr>
                  </pic:nvPicPr>
                  <pic:blipFill>
                    <a:blip r:embed="rId253"/>
                    <a:stretch>
                      <a:fillRect/>
                    </a:stretch>
                  </pic:blipFill>
                  <pic:spPr bwMode="auto">
                    <a:xfrm>
                      <a:off x="0" y="0"/>
                      <a:ext cx="3749040" cy="4850765"/>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May 11, 2023 GO GREEN e-Consent makes it easy to go paperless. With e-Consent, you can quickly access your proxy material, statements and other eligible documents online, while reducing costs, clutter and paper waste. Enroll today via www.astfinancial.com to enjoy online access. NOTICE OF INTERNET AVAILABILITY OF PROXY MATERIAL: The proxy statement, form of proxy card and 2022 Annual Report to Shareholders are available for review on the Internet at http://ir.martinmarietta.com/reports-filings Please sign, date and mail your proxy card in the envelope provided as soon as possible. Please detach along perforated line and mail in the envelope provided. ANNUAL MEETING OF SHAREHOLDERS OFNOTICE OF INTERNET AVAILABILITY OF PROXY MATERIAL: The proxy statement, form of proxy card and 2022 Annual Report to Shareholders are available for review on the Internet at http://ir.martinmarietta.com/reports-filings Please detach along perforated line and mail in the envelope provided IF you are not voting via the Internet. THE BOARD OF DIRECTORS RECOMMENDS YOU VOTE “FOR” ITEMS 1, 2, 3, “EVERY 1 YEAR” ON PROPOSAL 4 AND “AGAINST” PROPOSAL 5. PLEASE SIGN, DATE AND RETURN PROMPTLY IN THE ENCLOSED ENVELOPE. PLEASE MARK YOUR VOTE IN BLUE OR BLACK INK AS SHOWN HERE 1. Election of Directors: Dorothy M. Ables Sue W. Cole Anthony R. Foxx John J. Koraleski C. Howard Nye Laree E. Perez Thomas H. Pike Michael J. Quillen Donald W. Slager David C. Wajsgras 2. Ratification of appointment of PricewaterhouseCoopers as independent auditors. 3. Approval, by a non-binding advisory vote, of the compensation of Martin Marietta Materials, Inc.’s named executive officers. 1 YEAR 2 YEARS 3 YEARS ABSTAIN 4.Selection, by a non-binding advisory vote, of the frequency of future shareholder votes to approve the compensation of Martin Marietta Materials, Inc.’s named executive officers. 5. Shareholder proposal, if properly presented at the meeting, requesting the establishment within a year of GHG reduction targets.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The Board of Directors recommends that you vote FOR Proposals 2 and 3 The Board of Directors recommends that you vote EVERY 1 YEAR on Proposal 4 The Board of Directors recommends that you vote AGAINST Proposal 5 This proxy is solicited by the Board of Directors of Martin Marietta Materials, Inc. and when properly executed will be voted as specified herein and, unless otherwise directed, will be voted FOR the election of all nominees as Directors, FOR the ratification of the selection of PricewaterhouseCoopers as independent auditors, FOR the approval, by a non-binding advisory vote, of the compensation of our named executive officers, EVERY 1 YEAR on the selection, by a non-binding advisory vote, of the frequency of votes for the approval of the compensation of our named executive officers, and AGAINST the shareholder proposal. In their discretion, the proxies are authorized to vote upon such other business as may properly come before the meeting, or any adjournments thereof. Receipt of Notice of Annual Meeting of Shareholders and accompanying Proxy Statement is hereby acknowledged. 00033333333333343000 5 051123 MARTIN MARIETTA MATERIALS, INC.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3749040" cy="4850765"/>
            <wp:effectExtent l="0" t="0" r="0" b="0"/>
            <wp:docPr id="269"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53" descr=""/>
                    <pic:cNvPicPr>
                      <a:picLocks noChangeAspect="1" noChangeArrowheads="1"/>
                    </pic:cNvPicPr>
                  </pic:nvPicPr>
                  <pic:blipFill>
                    <a:blip r:embed="rId254"/>
                    <a:stretch>
                      <a:fillRect/>
                    </a:stretch>
                  </pic:blipFill>
                  <pic:spPr bwMode="auto">
                    <a:xfrm>
                      <a:off x="0" y="0"/>
                      <a:ext cx="3749040" cy="4850765"/>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MARTIN MARIETTA MATERIALS, INC. Proxy solicited by the Board of Directors for the Annual Meeting to be held May 11, 2023 The undersigned hereby appoints C. Howard Nye and James A. J. Nickolas,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11, 2023, and at any adjournment thereof. (Continued and to be signed on the reverse side) 0 1.1 14475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fontTable" Target="fontTable.xml"/><Relationship Id="rId2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110</Pages>
  <Words>52604</Words>
  <CharactersWithSpaces>351446</CharactersWithSpaces>
  <Paragraphs>9958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