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0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right="3680" w:firstLine="8"/>
        <w:spacing w:after="0" w:line="338" w:lineRule="auto"/>
        <w:tabs>
          <w:tab w:leader="none" w:pos="675" w:val="left"/>
        </w:tabs>
        <w:numPr>
          <w:ilvl w:val="0"/>
          <w:numId w:val="1"/>
        </w:numPr>
        <w:rPr>
          <w:rFonts w:ascii="Arial" w:cs="Arial" w:eastAsia="Arial" w:hAnsi="Arial"/>
          <w:sz w:val="14"/>
          <w:szCs w:val="14"/>
          <w:b w:val="1"/>
          <w:bCs w:val="1"/>
          <w:color w:val="auto"/>
        </w:rPr>
      </w:pPr>
      <w:r>
        <w:rPr>
          <w:rFonts w:ascii="Arial" w:cs="Arial" w:eastAsia="Arial" w:hAnsi="Arial"/>
          <w:sz w:val="14"/>
          <w:szCs w:val="14"/>
          <w:color w:val="auto"/>
        </w:rPr>
        <w:t xml:space="preserve">ANNUAL REPORT PURSUANT TO SECTION 13 OR 15(d) OF THE SECURITIES EXCHANGE ACT OF 1934 For the fiscal year ended </w:t>
      </w:r>
      <w:r>
        <w:rPr>
          <w:rFonts w:ascii="Arial" w:cs="Arial" w:eastAsia="Arial" w:hAnsi="Arial"/>
          <w:sz w:val="14"/>
          <w:szCs w:val="14"/>
          <w:b w:val="1"/>
          <w:bCs w:val="1"/>
          <w:color w:val="auto"/>
        </w:rPr>
        <w:t>December 31,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82" w:lineRule="exact"/>
        <w:rPr>
          <w:sz w:val="24"/>
          <w:szCs w:val="24"/>
          <w:color w:val="auto"/>
        </w:rPr>
      </w:pPr>
    </w:p>
    <w:p>
      <w:pPr>
        <w:ind w:left="220" w:hanging="212"/>
        <w:spacing w:after="0"/>
        <w:tabs>
          <w:tab w:leader="none" w:pos="22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w:t>
      </w:r>
      <w:r>
        <w:rPr>
          <w:rFonts w:ascii="Arial" w:cs="Arial" w:eastAsia="Arial" w:hAnsi="Arial"/>
          <w:sz w:val="14"/>
          <w:szCs w:val="14"/>
          <w:color w:val="auto"/>
        </w:rPr>
        <w:t>TRANSITION REPORT PURSUANT TO SECTION 13 OR 15(d) OF THE SECURITIES EXCHANGE ACT OF 1934</w:t>
      </w:r>
    </w:p>
    <w:p>
      <w:pPr>
        <w:spacing w:after="0" w:line="87" w:lineRule="exact"/>
        <w:rPr>
          <w:sz w:val="24"/>
          <w:szCs w:val="24"/>
          <w:color w:val="auto"/>
        </w:rPr>
      </w:pPr>
    </w:p>
    <w:p>
      <w:pPr>
        <w:spacing w:after="0"/>
        <w:tabs>
          <w:tab w:leader="none" w:pos="2200" w:val="left"/>
        </w:tabs>
        <w:rPr>
          <w:sz w:val="20"/>
          <w:szCs w:val="20"/>
          <w:color w:val="auto"/>
        </w:rPr>
      </w:pPr>
      <w:r>
        <w:rPr>
          <w:rFonts w:ascii="Arial" w:cs="Arial" w:eastAsia="Arial" w:hAnsi="Arial"/>
          <w:sz w:val="14"/>
          <w:szCs w:val="14"/>
          <w:color w:val="auto"/>
        </w:rPr>
        <w:t>For the transition period from</w:t>
      </w:r>
      <w:r>
        <w:rPr>
          <w:sz w:val="20"/>
          <w:szCs w:val="20"/>
          <w:color w:val="auto"/>
        </w:rPr>
        <w:tab/>
      </w:r>
      <w:r>
        <w:rPr>
          <w:rFonts w:ascii="Arial" w:cs="Arial" w:eastAsia="Arial" w:hAnsi="Arial"/>
          <w:sz w:val="14"/>
          <w:szCs w:val="14"/>
          <w:color w:val="auto"/>
        </w:rPr>
        <w:t>to</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Commission file number </w:t>
      </w:r>
      <w:r>
        <w:rPr>
          <w:rFonts w:ascii="Arial" w:cs="Arial" w:eastAsia="Arial" w:hAnsi="Arial"/>
          <w:sz w:val="14"/>
          <w:szCs w:val="14"/>
          <w:b w:val="1"/>
          <w:bCs w:val="1"/>
          <w:color w:val="auto"/>
        </w:rPr>
        <w:t>1-12744</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MARTIN MARIETTA MATERIALS, INC.</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60" w:type="dxa"/>
            <w:vAlign w:val="bottom"/>
            <w:gridSpan w:val="3"/>
          </w:tcPr>
          <w:p>
            <w:pPr>
              <w:jc w:val="center"/>
              <w:ind w:right="60"/>
              <w:spacing w:after="0"/>
              <w:rPr>
                <w:sz w:val="20"/>
                <w:szCs w:val="20"/>
                <w:color w:val="auto"/>
              </w:rPr>
            </w:pPr>
            <w:r>
              <w:rPr>
                <w:rFonts w:ascii="Arial" w:cs="Arial" w:eastAsia="Arial" w:hAnsi="Arial"/>
                <w:sz w:val="14"/>
                <w:szCs w:val="14"/>
                <w:color w:val="auto"/>
              </w:rPr>
              <w:t>(Exact name of registrant as specified in its charter)</w:t>
            </w:r>
          </w:p>
        </w:tc>
        <w:tc>
          <w:tcPr>
            <w:tcW w:w="2500" w:type="dxa"/>
            <w:vAlign w:val="bottom"/>
          </w:tcPr>
          <w:p>
            <w:pPr>
              <w:spacing w:after="0"/>
              <w:rPr>
                <w:sz w:val="14"/>
                <w:szCs w:val="14"/>
                <w:color w:val="auto"/>
              </w:rPr>
            </w:pPr>
          </w:p>
        </w:tc>
      </w:tr>
      <w:tr>
        <w:trPr>
          <w:trHeight w:val="233"/>
        </w:trPr>
        <w:tc>
          <w:tcPr>
            <w:tcW w:w="2320" w:type="dxa"/>
            <w:vAlign w:val="bottom"/>
          </w:tcPr>
          <w:p>
            <w:pPr>
              <w:spacing w:after="0"/>
              <w:rPr>
                <w:sz w:val="20"/>
                <w:szCs w:val="20"/>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North Carolina</w:t>
            </w:r>
          </w:p>
        </w:tc>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00" w:type="dxa"/>
            <w:vAlign w:val="bottom"/>
          </w:tcPr>
          <w:p>
            <w:pPr>
              <w:jc w:val="center"/>
              <w:ind w:right="228"/>
              <w:spacing w:after="0"/>
              <w:rPr>
                <w:sz w:val="20"/>
                <w:szCs w:val="20"/>
                <w:color w:val="auto"/>
              </w:rPr>
            </w:pPr>
            <w:r>
              <w:rPr>
                <w:rFonts w:ascii="Arial" w:cs="Arial" w:eastAsia="Arial" w:hAnsi="Arial"/>
                <w:sz w:val="14"/>
                <w:szCs w:val="14"/>
                <w:b w:val="1"/>
                <w:bCs w:val="1"/>
                <w:color w:val="auto"/>
              </w:rPr>
              <w:t>56-1848578</w:t>
            </w:r>
          </w:p>
        </w:tc>
      </w:tr>
      <w:tr>
        <w:trPr>
          <w:trHeight w:val="162"/>
        </w:trPr>
        <w:tc>
          <w:tcPr>
            <w:tcW w:w="3920" w:type="dxa"/>
            <w:vAlign w:val="bottom"/>
            <w:gridSpan w:val="3"/>
          </w:tcPr>
          <w:p>
            <w:pPr>
              <w:jc w:val="center"/>
              <w:ind w:left="1728"/>
              <w:spacing w:after="0"/>
              <w:rPr>
                <w:sz w:val="20"/>
                <w:szCs w:val="20"/>
                <w:color w:val="auto"/>
              </w:rPr>
            </w:pPr>
            <w:r>
              <w:rPr>
                <w:rFonts w:ascii="Arial" w:cs="Arial" w:eastAsia="Arial" w:hAnsi="Arial"/>
                <w:sz w:val="14"/>
                <w:szCs w:val="14"/>
                <w:color w:val="auto"/>
              </w:rPr>
              <w:t>(State or other jurisdiction of</w:t>
            </w: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jc w:val="center"/>
              <w:ind w:right="228"/>
              <w:spacing w:after="0"/>
              <w:rPr>
                <w:sz w:val="20"/>
                <w:szCs w:val="20"/>
                <w:color w:val="auto"/>
              </w:rPr>
            </w:pPr>
            <w:r>
              <w:rPr>
                <w:rFonts w:ascii="Arial" w:cs="Arial" w:eastAsia="Arial" w:hAnsi="Arial"/>
                <w:sz w:val="14"/>
                <w:szCs w:val="14"/>
                <w:color w:val="auto"/>
              </w:rPr>
              <w:t>(I.R.S. Employer</w:t>
            </w:r>
          </w:p>
        </w:tc>
      </w:tr>
      <w:tr>
        <w:trPr>
          <w:trHeight w:val="172"/>
        </w:trPr>
        <w:tc>
          <w:tcPr>
            <w:tcW w:w="3920" w:type="dxa"/>
            <w:vAlign w:val="bottom"/>
            <w:gridSpan w:val="3"/>
          </w:tcPr>
          <w:p>
            <w:pPr>
              <w:jc w:val="center"/>
              <w:ind w:left="1728"/>
              <w:spacing w:after="0"/>
              <w:rPr>
                <w:sz w:val="20"/>
                <w:szCs w:val="20"/>
                <w:color w:val="auto"/>
              </w:rPr>
            </w:pPr>
            <w:r>
              <w:rPr>
                <w:rFonts w:ascii="Arial" w:cs="Arial" w:eastAsia="Arial" w:hAnsi="Arial"/>
                <w:sz w:val="14"/>
                <w:szCs w:val="14"/>
                <w:color w:val="auto"/>
              </w:rPr>
              <w:t>incorporation or organization)</w:t>
            </w: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jc w:val="center"/>
              <w:ind w:right="228"/>
              <w:spacing w:after="0"/>
              <w:rPr>
                <w:sz w:val="20"/>
                <w:szCs w:val="20"/>
                <w:color w:val="auto"/>
              </w:rPr>
            </w:pPr>
            <w:r>
              <w:rPr>
                <w:rFonts w:ascii="Arial" w:cs="Arial" w:eastAsia="Arial" w:hAnsi="Arial"/>
                <w:sz w:val="14"/>
                <w:szCs w:val="14"/>
                <w:color w:val="auto"/>
              </w:rPr>
              <w:t>Identification No.)</w:t>
            </w:r>
          </w:p>
        </w:tc>
      </w:tr>
      <w:tr>
        <w:trPr>
          <w:trHeight w:val="246"/>
        </w:trPr>
        <w:tc>
          <w:tcPr>
            <w:tcW w:w="7140" w:type="dxa"/>
            <w:vAlign w:val="bottom"/>
            <w:gridSpan w:val="4"/>
          </w:tcPr>
          <w:p>
            <w:pPr>
              <w:jc w:val="center"/>
              <w:ind w:right="1328"/>
              <w:spacing w:after="0"/>
              <w:rPr>
                <w:sz w:val="20"/>
                <w:szCs w:val="20"/>
                <w:color w:val="auto"/>
              </w:rPr>
            </w:pPr>
            <w:r>
              <w:rPr>
                <w:rFonts w:ascii="Arial" w:cs="Arial" w:eastAsia="Arial" w:hAnsi="Arial"/>
                <w:sz w:val="14"/>
                <w:szCs w:val="14"/>
                <w:b w:val="1"/>
                <w:bCs w:val="1"/>
                <w:color w:val="auto"/>
              </w:rPr>
              <w:t>2710 Wycliff Road, Raleigh, North Carolina</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500" w:type="dxa"/>
            <w:vAlign w:val="bottom"/>
          </w:tcPr>
          <w:p>
            <w:pPr>
              <w:jc w:val="center"/>
              <w:ind w:right="228"/>
              <w:spacing w:after="0"/>
              <w:rPr>
                <w:sz w:val="20"/>
                <w:szCs w:val="20"/>
                <w:color w:val="auto"/>
              </w:rPr>
            </w:pPr>
            <w:r>
              <w:rPr>
                <w:rFonts w:ascii="Arial" w:cs="Arial" w:eastAsia="Arial" w:hAnsi="Arial"/>
                <w:sz w:val="14"/>
                <w:szCs w:val="14"/>
                <w:b w:val="1"/>
                <w:bCs w:val="1"/>
                <w:color w:val="auto"/>
              </w:rPr>
              <w:t>27607-3033</w:t>
            </w:r>
          </w:p>
        </w:tc>
      </w:tr>
      <w:tr>
        <w:trPr>
          <w:trHeight w:val="172"/>
        </w:trPr>
        <w:tc>
          <w:tcPr>
            <w:tcW w:w="7140" w:type="dxa"/>
            <w:vAlign w:val="bottom"/>
            <w:gridSpan w:val="4"/>
          </w:tcPr>
          <w:p>
            <w:pPr>
              <w:jc w:val="center"/>
              <w:ind w:right="1328"/>
              <w:spacing w:after="0"/>
              <w:rPr>
                <w:sz w:val="20"/>
                <w:szCs w:val="20"/>
                <w:color w:val="auto"/>
              </w:rPr>
            </w:pPr>
            <w:r>
              <w:rPr>
                <w:rFonts w:ascii="Arial" w:cs="Arial" w:eastAsia="Arial" w:hAnsi="Arial"/>
                <w:sz w:val="14"/>
                <w:szCs w:val="14"/>
                <w:color w:val="auto"/>
              </w:rPr>
              <w:t>(Address of principal executive offices)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jc w:val="center"/>
              <w:ind w:right="228"/>
              <w:spacing w:after="0"/>
              <w:rPr>
                <w:sz w:val="20"/>
                <w:szCs w:val="20"/>
                <w:color w:val="auto"/>
              </w:rPr>
            </w:pPr>
            <w:r>
              <w:rPr>
                <w:rFonts w:ascii="Arial" w:cs="Arial" w:eastAsia="Arial" w:hAnsi="Arial"/>
                <w:sz w:val="14"/>
                <w:szCs w:val="14"/>
                <w:color w:val="auto"/>
              </w:rPr>
              <w:t>(Zip Code)</w:t>
            </w:r>
          </w:p>
        </w:tc>
      </w:tr>
      <w:tr>
        <w:trPr>
          <w:trHeight w:val="233"/>
        </w:trPr>
        <w:tc>
          <w:tcPr>
            <w:tcW w:w="2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20" w:type="dxa"/>
            <w:vAlign w:val="bottom"/>
          </w:tcPr>
          <w:p>
            <w:pPr>
              <w:jc w:val="center"/>
              <w:ind w:left="288"/>
              <w:spacing w:after="0"/>
              <w:rPr>
                <w:sz w:val="20"/>
                <w:szCs w:val="20"/>
                <w:color w:val="auto"/>
              </w:rPr>
            </w:pPr>
            <w:r>
              <w:rPr>
                <w:rFonts w:ascii="Arial" w:cs="Arial" w:eastAsia="Arial" w:hAnsi="Arial"/>
                <w:sz w:val="14"/>
                <w:szCs w:val="14"/>
                <w:b w:val="1"/>
                <w:bCs w:val="1"/>
                <w:color w:val="auto"/>
              </w:rPr>
              <w:t>(919) 781-4550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172"/>
        </w:trPr>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60" w:type="dxa"/>
            <w:vAlign w:val="bottom"/>
            <w:gridSpan w:val="3"/>
          </w:tcPr>
          <w:p>
            <w:pPr>
              <w:jc w:val="center"/>
              <w:ind w:right="80"/>
              <w:spacing w:after="0"/>
              <w:rPr>
                <w:sz w:val="20"/>
                <w:szCs w:val="20"/>
                <w:color w:val="auto"/>
              </w:rPr>
            </w:pPr>
            <w:r>
              <w:rPr>
                <w:rFonts w:ascii="Arial" w:cs="Arial" w:eastAsia="Arial" w:hAnsi="Arial"/>
                <w:sz w:val="14"/>
                <w:szCs w:val="14"/>
                <w:color w:val="auto"/>
              </w:rPr>
              <w:t>(Registrant’s telephone number, including area code)</w:t>
            </w:r>
          </w:p>
        </w:tc>
        <w:tc>
          <w:tcPr>
            <w:tcW w:w="2500" w:type="dxa"/>
            <w:vAlign w:val="bottom"/>
          </w:tcPr>
          <w:p>
            <w:pPr>
              <w:spacing w:after="0"/>
              <w:rPr>
                <w:sz w:val="14"/>
                <w:szCs w:val="14"/>
                <w:color w:val="auto"/>
              </w:rPr>
            </w:pPr>
          </w:p>
        </w:tc>
      </w:tr>
      <w:tr>
        <w:trPr>
          <w:trHeight w:val="230"/>
        </w:trPr>
        <w:tc>
          <w:tcPr>
            <w:tcW w:w="392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28"/>
        </w:trPr>
        <w:tc>
          <w:tcPr>
            <w:tcW w:w="2320" w:type="dxa"/>
            <w:vAlign w:val="bottom"/>
          </w:tcPr>
          <w:p>
            <w:pPr>
              <w:spacing w:after="0"/>
              <w:rPr>
                <w:sz w:val="19"/>
                <w:szCs w:val="19"/>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color w:val="auto"/>
              </w:rPr>
              <w:t>Title of each class</w:t>
            </w:r>
          </w:p>
        </w:tc>
        <w:tc>
          <w:tcPr>
            <w:tcW w:w="3220" w:type="dxa"/>
            <w:vAlign w:val="bottom"/>
          </w:tcPr>
          <w:p>
            <w:pPr>
              <w:spacing w:after="0"/>
              <w:rPr>
                <w:sz w:val="19"/>
                <w:szCs w:val="19"/>
                <w:color w:val="auto"/>
              </w:rPr>
            </w:pPr>
          </w:p>
        </w:tc>
        <w:tc>
          <w:tcPr>
            <w:tcW w:w="2940" w:type="dxa"/>
            <w:vAlign w:val="bottom"/>
            <w:gridSpan w:val="3"/>
          </w:tcPr>
          <w:p>
            <w:pPr>
              <w:jc w:val="center"/>
              <w:ind w:left="8"/>
              <w:spacing w:after="0"/>
              <w:rPr>
                <w:sz w:val="20"/>
                <w:szCs w:val="20"/>
                <w:color w:val="auto"/>
              </w:rPr>
            </w:pPr>
            <w:r>
              <w:rPr>
                <w:rFonts w:ascii="Arial" w:cs="Arial" w:eastAsia="Arial" w:hAnsi="Arial"/>
                <w:sz w:val="14"/>
                <w:szCs w:val="14"/>
                <w:color w:val="auto"/>
              </w:rPr>
              <w:t>Name of each exchange on which registered</w:t>
            </w:r>
          </w:p>
        </w:tc>
      </w:tr>
      <w:tr>
        <w:trPr>
          <w:trHeight w:val="20"/>
        </w:trPr>
        <w:tc>
          <w:tcPr>
            <w:tcW w:w="2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r>
        <w:trPr>
          <w:trHeight w:val="184"/>
        </w:trPr>
        <w:tc>
          <w:tcPr>
            <w:tcW w:w="7140" w:type="dxa"/>
            <w:vAlign w:val="bottom"/>
            <w:gridSpan w:val="4"/>
          </w:tcPr>
          <w:p>
            <w:pPr>
              <w:jc w:val="center"/>
              <w:ind w:right="1288"/>
              <w:spacing w:after="0"/>
              <w:rPr>
                <w:sz w:val="20"/>
                <w:szCs w:val="20"/>
                <w:color w:val="auto"/>
              </w:rPr>
            </w:pPr>
            <w:r>
              <w:rPr>
                <w:rFonts w:ascii="Arial" w:cs="Arial" w:eastAsia="Arial" w:hAnsi="Arial"/>
                <w:sz w:val="14"/>
                <w:szCs w:val="14"/>
                <w:b w:val="1"/>
                <w:bCs w:val="1"/>
                <w:color w:val="auto"/>
              </w:rPr>
              <w:t>Common Stock (par value $.01 per share)</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00" w:type="dxa"/>
            <w:vAlign w:val="bottom"/>
          </w:tcPr>
          <w:p>
            <w:pPr>
              <w:jc w:val="center"/>
              <w:ind w:right="288"/>
              <w:spacing w:after="0"/>
              <w:rPr>
                <w:sz w:val="20"/>
                <w:szCs w:val="20"/>
                <w:color w:val="auto"/>
              </w:rPr>
            </w:pPr>
            <w:r>
              <w:rPr>
                <w:rFonts w:ascii="Arial" w:cs="Arial" w:eastAsia="Arial" w:hAnsi="Arial"/>
                <w:sz w:val="14"/>
                <w:szCs w:val="14"/>
                <w:b w:val="1"/>
                <w:bCs w:val="1"/>
                <w:color w:val="auto"/>
              </w:rPr>
              <w:t>New York Stock Exchange</w:t>
            </w:r>
          </w:p>
        </w:tc>
      </w:tr>
      <w:tr>
        <w:trPr>
          <w:trHeight w:val="216"/>
        </w:trPr>
        <w:tc>
          <w:tcPr>
            <w:tcW w:w="392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12(g) of the Act:</w:t>
            </w:r>
          </w:p>
        </w:tc>
        <w:tc>
          <w:tcPr>
            <w:tcW w:w="3220" w:type="dxa"/>
            <w:vAlign w:val="bottom"/>
          </w:tcPr>
          <w:p>
            <w:pPr>
              <w:ind w:left="100"/>
              <w:spacing w:after="0"/>
              <w:rPr>
                <w:sz w:val="20"/>
                <w:szCs w:val="20"/>
                <w:color w:val="auto"/>
              </w:rPr>
            </w:pPr>
            <w:r>
              <w:rPr>
                <w:rFonts w:ascii="Arial" w:cs="Arial" w:eastAsia="Arial" w:hAnsi="Arial"/>
                <w:sz w:val="14"/>
                <w:szCs w:val="14"/>
                <w:b w:val="1"/>
                <w:bCs w:val="1"/>
                <w:color w:val="auto"/>
              </w:rPr>
              <w:t>None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33"/>
        </w:trPr>
        <w:tc>
          <w:tcPr>
            <w:tcW w:w="10080" w:type="dxa"/>
            <w:vAlign w:val="bottom"/>
            <w:gridSpan w:val="7"/>
          </w:tcPr>
          <w:p>
            <w:pPr>
              <w:ind w:left="58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r>
      <w:tr>
        <w:trPr>
          <w:trHeight w:val="172"/>
        </w:trPr>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20" w:type="dxa"/>
            <w:vAlign w:val="bottom"/>
          </w:tcPr>
          <w:p>
            <w:pPr>
              <w:ind w:left="2940"/>
              <w:spacing w:after="0"/>
              <w:rPr>
                <w:sz w:val="20"/>
                <w:szCs w:val="20"/>
                <w:color w:val="auto"/>
              </w:rPr>
            </w:pPr>
            <w:r>
              <w:rPr>
                <w:rFonts w:ascii="Arial" w:cs="Arial" w:eastAsia="Arial" w:hAnsi="Arial"/>
                <w:sz w:val="14"/>
                <w:szCs w:val="14"/>
                <w:color w:val="auto"/>
              </w:rPr>
              <w:t>Yes</w:t>
            </w:r>
          </w:p>
        </w:tc>
        <w:tc>
          <w:tcPr>
            <w:tcW w:w="440" w:type="dxa"/>
            <w:vAlign w:val="bottom"/>
            <w:gridSpan w:val="2"/>
          </w:tcPr>
          <w:p>
            <w:pPr>
              <w:ind w:left="40"/>
              <w:spacing w:after="0"/>
              <w:rPr>
                <w:sz w:val="20"/>
                <w:szCs w:val="20"/>
                <w:color w:val="auto"/>
              </w:rPr>
            </w:pPr>
            <w:r>
              <w:rPr>
                <w:rFonts w:ascii="Arial" w:cs="Arial" w:eastAsia="Arial" w:hAnsi="Arial"/>
                <w:sz w:val="14"/>
                <w:szCs w:val="14"/>
                <w:color w:val="auto"/>
              </w:rPr>
              <w:t>[X]</w:t>
            </w:r>
          </w:p>
        </w:tc>
        <w:tc>
          <w:tcPr>
            <w:tcW w:w="2500" w:type="dxa"/>
            <w:vAlign w:val="bottom"/>
          </w:tcPr>
          <w:p>
            <w:pPr>
              <w:ind w:left="1080"/>
              <w:spacing w:after="0"/>
              <w:rPr>
                <w:sz w:val="20"/>
                <w:szCs w:val="20"/>
                <w:color w:val="auto"/>
              </w:rPr>
            </w:pPr>
            <w:r>
              <w:rPr>
                <w:rFonts w:ascii="Arial" w:cs="Arial" w:eastAsia="Arial" w:hAnsi="Arial"/>
                <w:sz w:val="14"/>
                <w:szCs w:val="14"/>
                <w:color w:val="auto"/>
              </w:rPr>
              <w:t>No [  ]</w:t>
            </w:r>
          </w:p>
        </w:tc>
      </w:tr>
      <w:tr>
        <w:trPr>
          <w:trHeight w:val="219"/>
        </w:trPr>
        <w:tc>
          <w:tcPr>
            <w:tcW w:w="10080" w:type="dxa"/>
            <w:vAlign w:val="bottom"/>
            <w:gridSpan w:val="7"/>
          </w:tcPr>
          <w:p>
            <w:pPr>
              <w:ind w:left="58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Exchange Act.</w:t>
            </w:r>
          </w:p>
        </w:tc>
      </w:tr>
      <w:tr>
        <w:trPr>
          <w:trHeight w:val="172"/>
        </w:trPr>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20" w:type="dxa"/>
            <w:vAlign w:val="bottom"/>
          </w:tcPr>
          <w:p>
            <w:pPr>
              <w:ind w:left="2940"/>
              <w:spacing w:after="0"/>
              <w:rPr>
                <w:sz w:val="20"/>
                <w:szCs w:val="20"/>
                <w:color w:val="auto"/>
              </w:rPr>
            </w:pPr>
            <w:r>
              <w:rPr>
                <w:rFonts w:ascii="Arial" w:cs="Arial" w:eastAsia="Arial" w:hAnsi="Arial"/>
                <w:sz w:val="14"/>
                <w:szCs w:val="14"/>
                <w:color w:val="auto"/>
              </w:rPr>
              <w:t>Yes</w:t>
            </w:r>
          </w:p>
        </w:tc>
        <w:tc>
          <w:tcPr>
            <w:tcW w:w="440" w:type="dxa"/>
            <w:vAlign w:val="bottom"/>
            <w:gridSpan w:val="2"/>
          </w:tcPr>
          <w:p>
            <w:pPr>
              <w:ind w:left="40"/>
              <w:spacing w:after="0"/>
              <w:rPr>
                <w:sz w:val="20"/>
                <w:szCs w:val="20"/>
                <w:color w:val="auto"/>
              </w:rPr>
            </w:pPr>
            <w:r>
              <w:rPr>
                <w:rFonts w:ascii="Arial" w:cs="Arial" w:eastAsia="Arial" w:hAnsi="Arial"/>
                <w:sz w:val="14"/>
                <w:szCs w:val="14"/>
                <w:color w:val="auto"/>
              </w:rPr>
              <w:t>[  ]</w:t>
            </w:r>
          </w:p>
        </w:tc>
        <w:tc>
          <w:tcPr>
            <w:tcW w:w="2500" w:type="dxa"/>
            <w:vAlign w:val="bottom"/>
          </w:tcPr>
          <w:p>
            <w:pPr>
              <w:ind w:left="1060"/>
              <w:spacing w:after="0"/>
              <w:rPr>
                <w:sz w:val="20"/>
                <w:szCs w:val="20"/>
                <w:color w:val="auto"/>
              </w:rPr>
            </w:pPr>
            <w:r>
              <w:rPr>
                <w:rFonts w:ascii="Arial" w:cs="Arial" w:eastAsia="Arial" w:hAnsi="Arial"/>
                <w:sz w:val="14"/>
                <w:szCs w:val="14"/>
                <w:color w:val="auto"/>
              </w:rPr>
              <w:t>No [X]</w:t>
            </w:r>
          </w:p>
        </w:tc>
      </w:tr>
    </w:tbl>
    <w:p>
      <w:pPr>
        <w:spacing w:after="0" w:line="57" w:lineRule="exact"/>
        <w:rPr>
          <w:sz w:val="24"/>
          <w:szCs w:val="24"/>
          <w:color w:val="auto"/>
        </w:rPr>
      </w:pPr>
    </w:p>
    <w:p>
      <w:pPr>
        <w:ind w:firstLine="571"/>
        <w:spacing w:after="0" w:line="24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6860"/>
        <w:spacing w:after="0"/>
        <w:tabs>
          <w:tab w:leader="none" w:pos="8640" w:val="left"/>
          <w:tab w:leader="none" w:pos="906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w:t>
        <w:tab/>
        <w:t>]</w:t>
      </w:r>
    </w:p>
    <w:p>
      <w:pPr>
        <w:spacing w:after="0" w:line="82" w:lineRule="exact"/>
        <w:rPr>
          <w:sz w:val="24"/>
          <w:szCs w:val="24"/>
          <w:color w:val="auto"/>
        </w:rPr>
      </w:pPr>
    </w:p>
    <w:p>
      <w:pPr>
        <w:ind w:firstLine="571"/>
        <w:spacing w:after="0" w:line="241"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ind w:left="6860"/>
        <w:spacing w:after="0"/>
        <w:tabs>
          <w:tab w:leader="none" w:pos="8640" w:val="left"/>
          <w:tab w:leader="none" w:pos="906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w:t>
        <w:tab/>
        <w:t>]</w:t>
      </w:r>
    </w:p>
    <w:p>
      <w:pPr>
        <w:spacing w:after="0" w:line="69" w:lineRule="exact"/>
        <w:rPr>
          <w:sz w:val="24"/>
          <w:szCs w:val="24"/>
          <w:color w:val="auto"/>
        </w:rPr>
      </w:pPr>
    </w:p>
    <w:p>
      <w:pPr>
        <w:ind w:firstLine="571"/>
        <w:spacing w:after="0" w:line="258"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46" w:lineRule="exact"/>
        <w:rPr>
          <w:sz w:val="24"/>
          <w:szCs w:val="24"/>
          <w:color w:val="auto"/>
        </w:rPr>
      </w:pPr>
    </w:p>
    <w:p>
      <w:pPr>
        <w:ind w:firstLine="571"/>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0" w:right="239" w:bottom="1440" w:gutter="0" w:footer="0" w:header="0"/>
        </w:sectPr>
      </w:pPr>
    </w:p>
    <w:p>
      <w:pPr>
        <w:spacing w:after="0" w:line="59"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 [X]</w:t>
      </w:r>
    </w:p>
    <w:p>
      <w:pPr>
        <w:spacing w:after="0" w:line="1" w:lineRule="exact"/>
        <w:rPr>
          <w:sz w:val="24"/>
          <w:szCs w:val="24"/>
          <w:color w:val="auto"/>
        </w:rPr>
      </w:pPr>
    </w:p>
    <w:p>
      <w:pPr>
        <w:spacing w:after="0"/>
        <w:tabs>
          <w:tab w:leader="none" w:pos="1560" w:val="left"/>
        </w:tabs>
        <w:rPr>
          <w:sz w:val="20"/>
          <w:szCs w:val="20"/>
          <w:color w:val="auto"/>
        </w:rPr>
      </w:pPr>
      <w:r>
        <w:rPr>
          <w:rFonts w:ascii="Arial" w:cs="Arial" w:eastAsia="Arial" w:hAnsi="Arial"/>
          <w:sz w:val="14"/>
          <w:szCs w:val="14"/>
          <w:color w:val="auto"/>
        </w:rPr>
        <w:t>Non-accelerated filer [</w:t>
        <w:tab/>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tabs>
          <w:tab w:leader="none" w:pos="1260" w:val="left"/>
        </w:tabs>
        <w:rPr>
          <w:sz w:val="20"/>
          <w:szCs w:val="20"/>
          <w:color w:val="auto"/>
        </w:rPr>
      </w:pPr>
      <w:r>
        <w:rPr>
          <w:rFonts w:ascii="Arial" w:cs="Arial" w:eastAsia="Arial" w:hAnsi="Arial"/>
          <w:sz w:val="14"/>
          <w:szCs w:val="14"/>
          <w:color w:val="auto"/>
        </w:rPr>
        <w:t>Accelerated filer [</w:t>
        <w:tab/>
        <w: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 [</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11" w:lineRule="exact"/>
        <w:rPr>
          <w:sz w:val="24"/>
          <w:szCs w:val="24"/>
          <w:color w:val="auto"/>
        </w:rPr>
      </w:pPr>
    </w:p>
    <w:p>
      <w:pPr>
        <w:sectPr>
          <w:pgSz w:w="11900" w:h="16838" w:orient="portrait"/>
          <w:cols w:equalWidth="0" w:num="3">
            <w:col w:w="5340" w:space="720"/>
            <w:col w:w="1800" w:space="160"/>
            <w:col w:w="3400"/>
          </w:cols>
          <w:pgMar w:left="240" w:top="230" w:right="239" w:bottom="1440" w:gutter="0" w:footer="0" w:header="0"/>
          <w:type w:val="continuous"/>
        </w:sectPr>
      </w:pPr>
    </w:p>
    <w:p>
      <w:pPr>
        <w:spacing w:after="0"/>
        <w:rPr>
          <w:sz w:val="20"/>
          <w:szCs w:val="20"/>
          <w:color w:val="auto"/>
        </w:rPr>
      </w:pPr>
      <w:r>
        <w:rPr>
          <w:rFonts w:ascii="Arial" w:cs="Arial" w:eastAsia="Arial" w:hAnsi="Arial"/>
          <w:sz w:val="14"/>
          <w:szCs w:val="14"/>
          <w:color w:val="auto"/>
        </w:rPr>
        <w:t>Emerging growth company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w:t>
      </w:r>
    </w:p>
    <w:p>
      <w:pPr>
        <w:spacing w:after="0" w:line="72" w:lineRule="exact"/>
        <w:rPr>
          <w:sz w:val="24"/>
          <w:szCs w:val="24"/>
          <w:color w:val="auto"/>
        </w:rPr>
      </w:pPr>
    </w:p>
    <w:p>
      <w:pPr>
        <w:sectPr>
          <w:pgSz w:w="11900" w:h="16838" w:orient="portrait"/>
          <w:cols w:equalWidth="0" w:num="2">
            <w:col w:w="1800" w:space="160"/>
            <w:col w:w="9460"/>
          </w:cols>
          <w:pgMar w:left="240" w:top="230" w:right="239" w:bottom="1440" w:gutter="0" w:footer="0" w:header="0"/>
          <w:type w:val="continuous"/>
        </w:sectPr>
      </w:pPr>
    </w:p>
    <w:p>
      <w:pPr>
        <w:ind w:firstLine="571"/>
        <w:spacing w:after="0" w:line="25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pgSz w:w="11900" w:h="16838" w:orient="portrait"/>
          <w:cols w:equalWidth="0" w:num="1">
            <w:col w:w="11420"/>
          </w:cols>
          <w:pgMar w:left="240" w:top="230" w:right="239" w:bottom="1440" w:gutter="0" w:footer="0" w:header="0"/>
          <w:type w:val="continuous"/>
        </w:sectPr>
      </w:pPr>
    </w:p>
    <w:p>
      <w:pPr>
        <w:spacing w:after="0" w:line="46" w:lineRule="exact"/>
        <w:rPr>
          <w:sz w:val="24"/>
          <w:szCs w:val="24"/>
          <w:color w:val="auto"/>
        </w:rPr>
      </w:pPr>
    </w:p>
    <w:p>
      <w:pPr>
        <w:ind w:left="6860" w:right="140" w:hanging="6276"/>
        <w:spacing w:after="0" w:line="258" w:lineRule="auto"/>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 ]</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4"/>
          <w:szCs w:val="14"/>
          <w:color w:val="auto"/>
        </w:rPr>
        <w:t>No [X]</w:t>
      </w:r>
    </w:p>
    <w:p>
      <w:pPr>
        <w:spacing w:after="0" w:line="69" w:lineRule="exact"/>
        <w:rPr>
          <w:sz w:val="24"/>
          <w:szCs w:val="24"/>
          <w:color w:val="auto"/>
        </w:rPr>
      </w:pPr>
    </w:p>
    <w:p>
      <w:pPr>
        <w:sectPr>
          <w:pgSz w:w="11900" w:h="16838" w:orient="portrait"/>
          <w:cols w:equalWidth="0" w:num="2">
            <w:col w:w="7920" w:space="720"/>
            <w:col w:w="2780"/>
          </w:cols>
          <w:pgMar w:left="240" w:top="230" w:right="239" w:bottom="1440" w:gutter="0" w:footer="0" w:header="0"/>
          <w:type w:val="continuous"/>
        </w:sectPr>
      </w:pPr>
    </w:p>
    <w:p>
      <w:pPr>
        <w:ind w:firstLine="571"/>
        <w:spacing w:after="0" w:line="258" w:lineRule="auto"/>
        <w:rPr>
          <w:sz w:val="20"/>
          <w:szCs w:val="20"/>
          <w:color w:val="auto"/>
        </w:rPr>
      </w:pPr>
      <w:r>
        <w:rPr>
          <w:rFonts w:ascii="Arial" w:cs="Arial" w:eastAsia="Arial" w:hAnsi="Arial"/>
          <w:sz w:val="14"/>
          <w:szCs w:val="14"/>
          <w:color w:val="auto"/>
        </w:rPr>
        <w:t>As of June 29, 2018, the last business day of the registrant’s most recently completed second fiscal quarter, the aggregate market value of the registrant’s common stock held by non-affiliates of the registrant was $11,000,435,608.61 based on the closing sale price as reported on the New York Stock Exchange.</w:t>
      </w:r>
    </w:p>
    <w:p>
      <w:pPr>
        <w:spacing w:after="0" w:line="59" w:lineRule="exact"/>
        <w:rPr>
          <w:sz w:val="24"/>
          <w:szCs w:val="24"/>
          <w:color w:val="auto"/>
        </w:rPr>
      </w:pPr>
    </w:p>
    <w:p>
      <w:pPr>
        <w:ind w:left="580"/>
        <w:spacing w:after="0"/>
        <w:rPr>
          <w:sz w:val="20"/>
          <w:szCs w:val="20"/>
          <w:color w:val="auto"/>
        </w:rPr>
      </w:pPr>
      <w:r>
        <w:rPr>
          <w:rFonts w:ascii="Arial" w:cs="Arial" w:eastAsia="Arial" w:hAnsi="Arial"/>
          <w:sz w:val="14"/>
          <w:szCs w:val="14"/>
          <w:color w:val="auto"/>
        </w:rPr>
        <w:t>Indicate the number of shares outstanding of each of the issuer’s classes of common stock on the latest practicable date.</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7520" w:type="dxa"/>
            <w:vAlign w:val="bottom"/>
            <w:gridSpan w:val="5"/>
          </w:tcPr>
          <w:p>
            <w:pPr>
              <w:jc w:val="center"/>
              <w:ind w:right="1680"/>
              <w:spacing w:after="0"/>
              <w:rPr>
                <w:sz w:val="20"/>
                <w:szCs w:val="20"/>
                <w:color w:val="auto"/>
              </w:rPr>
            </w:pPr>
            <w:r>
              <w:rPr>
                <w:rFonts w:ascii="Arial" w:cs="Arial" w:eastAsia="Arial" w:hAnsi="Arial"/>
                <w:sz w:val="14"/>
                <w:szCs w:val="14"/>
                <w:color w:val="auto"/>
              </w:rPr>
              <w:t>Class</w:t>
            </w:r>
          </w:p>
        </w:tc>
        <w:tc>
          <w:tcPr>
            <w:tcW w:w="3900" w:type="dxa"/>
            <w:vAlign w:val="bottom"/>
            <w:gridSpan w:val="3"/>
          </w:tcPr>
          <w:p>
            <w:pPr>
              <w:jc w:val="center"/>
              <w:ind w:right="1460"/>
              <w:spacing w:after="0"/>
              <w:rPr>
                <w:sz w:val="20"/>
                <w:szCs w:val="20"/>
                <w:color w:val="auto"/>
              </w:rPr>
            </w:pPr>
            <w:r>
              <w:rPr>
                <w:rFonts w:ascii="Arial" w:cs="Arial" w:eastAsia="Arial" w:hAnsi="Arial"/>
                <w:sz w:val="14"/>
                <w:szCs w:val="14"/>
                <w:color w:val="auto"/>
              </w:rPr>
              <w:t>Outstanding at February 15, 2019</w:t>
            </w:r>
          </w:p>
        </w:tc>
      </w:tr>
      <w:tr>
        <w:trPr>
          <w:trHeight w:val="184"/>
        </w:trPr>
        <w:tc>
          <w:tcPr>
            <w:tcW w:w="582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Common Stock, $.01 par value per share</w:t>
            </w:r>
          </w:p>
        </w:tc>
        <w:tc>
          <w:tcPr>
            <w:tcW w:w="24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3900" w:type="dxa"/>
            <w:vAlign w:val="bottom"/>
            <w:tcBorders>
              <w:top w:val="single" w:sz="8" w:color="auto"/>
            </w:tcBorders>
            <w:gridSpan w:val="3"/>
          </w:tcPr>
          <w:p>
            <w:pPr>
              <w:jc w:val="center"/>
              <w:ind w:right="1460"/>
              <w:spacing w:after="0"/>
              <w:rPr>
                <w:sz w:val="20"/>
                <w:szCs w:val="20"/>
                <w:color w:val="auto"/>
              </w:rPr>
            </w:pPr>
            <w:r>
              <w:rPr>
                <w:rFonts w:ascii="Arial" w:cs="Arial" w:eastAsia="Arial" w:hAnsi="Arial"/>
                <w:sz w:val="14"/>
                <w:szCs w:val="14"/>
                <w:b w:val="1"/>
                <w:bCs w:val="1"/>
                <w:color w:val="auto"/>
              </w:rPr>
              <w:t>62,430,548 shares</w:t>
            </w:r>
          </w:p>
        </w:tc>
      </w:tr>
      <w:tr>
        <w:trPr>
          <w:trHeight w:val="216"/>
        </w:trPr>
        <w:tc>
          <w:tcPr>
            <w:tcW w:w="3820" w:type="dxa"/>
            <w:vAlign w:val="bottom"/>
          </w:tcPr>
          <w:p>
            <w:pPr>
              <w:spacing w:after="0"/>
              <w:rPr>
                <w:sz w:val="18"/>
                <w:szCs w:val="18"/>
                <w:color w:val="auto"/>
              </w:rPr>
            </w:pPr>
          </w:p>
        </w:tc>
        <w:tc>
          <w:tcPr>
            <w:tcW w:w="3700" w:type="dxa"/>
            <w:vAlign w:val="bottom"/>
            <w:gridSpan w:val="4"/>
          </w:tcPr>
          <w:p>
            <w:pPr>
              <w:ind w:left="240"/>
              <w:spacing w:after="0"/>
              <w:rPr>
                <w:sz w:val="20"/>
                <w:szCs w:val="20"/>
                <w:color w:val="auto"/>
              </w:rPr>
            </w:pPr>
            <w:r>
              <w:rPr>
                <w:rFonts w:ascii="Arial" w:cs="Arial" w:eastAsia="Arial" w:hAnsi="Arial"/>
                <w:sz w:val="14"/>
                <w:szCs w:val="14"/>
                <w:b w:val="1"/>
                <w:bCs w:val="1"/>
                <w:color w:val="auto"/>
              </w:rPr>
              <w:t>DOCUMENTS INCORPORATED BY REFERENCE</w:t>
            </w:r>
          </w:p>
        </w:tc>
        <w:tc>
          <w:tcPr>
            <w:tcW w:w="1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5"/>
        </w:trPr>
        <w:tc>
          <w:tcPr>
            <w:tcW w:w="7520" w:type="dxa"/>
            <w:vAlign w:val="bottom"/>
            <w:gridSpan w:val="5"/>
          </w:tcPr>
          <w:p>
            <w:pPr>
              <w:ind w:left="3820"/>
              <w:spacing w:after="0"/>
              <w:rPr>
                <w:sz w:val="20"/>
                <w:szCs w:val="20"/>
                <w:color w:val="auto"/>
              </w:rPr>
            </w:pPr>
            <w:r>
              <w:rPr>
                <w:rFonts w:ascii="Arial" w:cs="Arial" w:eastAsia="Arial" w:hAnsi="Arial"/>
                <w:sz w:val="14"/>
                <w:szCs w:val="14"/>
                <w:color w:val="auto"/>
              </w:rPr>
              <w:t>Document</w:t>
            </w:r>
          </w:p>
        </w:tc>
        <w:tc>
          <w:tcPr>
            <w:tcW w:w="1540" w:type="dxa"/>
            <w:vAlign w:val="bottom"/>
          </w:tcPr>
          <w:p>
            <w:pPr>
              <w:spacing w:after="0"/>
              <w:rPr>
                <w:sz w:val="20"/>
                <w:szCs w:val="20"/>
                <w:color w:val="auto"/>
              </w:rPr>
            </w:pPr>
          </w:p>
        </w:tc>
        <w:tc>
          <w:tcPr>
            <w:tcW w:w="2360" w:type="dxa"/>
            <w:vAlign w:val="bottom"/>
            <w:gridSpan w:val="2"/>
          </w:tcPr>
          <w:p>
            <w:pPr>
              <w:jc w:val="center"/>
              <w:ind w:right="460"/>
              <w:spacing w:after="0"/>
              <w:rPr>
                <w:sz w:val="20"/>
                <w:szCs w:val="20"/>
                <w:color w:val="auto"/>
              </w:rPr>
            </w:pPr>
            <w:r>
              <w:rPr>
                <w:rFonts w:ascii="Arial" w:cs="Arial" w:eastAsia="Arial" w:hAnsi="Arial"/>
                <w:sz w:val="14"/>
                <w:szCs w:val="14"/>
                <w:color w:val="auto"/>
              </w:rPr>
              <w:t>Parts Into Which Incorporated</w:t>
            </w:r>
          </w:p>
        </w:tc>
      </w:tr>
      <w:tr>
        <w:trPr>
          <w:trHeight w:val="207"/>
        </w:trPr>
        <w:tc>
          <w:tcPr>
            <w:tcW w:w="7520" w:type="dxa"/>
            <w:vAlign w:val="bottom"/>
            <w:gridSpan w:val="5"/>
          </w:tcPr>
          <w:p>
            <w:pPr>
              <w:ind w:left="460"/>
              <w:spacing w:after="0"/>
              <w:rPr>
                <w:sz w:val="20"/>
                <w:szCs w:val="20"/>
                <w:color w:val="auto"/>
              </w:rPr>
            </w:pPr>
            <w:r>
              <w:rPr>
                <w:rFonts w:ascii="Arial" w:cs="Arial" w:eastAsia="Arial" w:hAnsi="Arial"/>
                <w:sz w:val="14"/>
                <w:szCs w:val="14"/>
                <w:color w:val="auto"/>
              </w:rPr>
              <w:t>Excerpts from Annual Report to Shareholders for the Fiscal Year Ended December 31, 2018 (Annual Report)</w:t>
            </w:r>
          </w:p>
        </w:tc>
        <w:tc>
          <w:tcPr>
            <w:tcW w:w="1540" w:type="dxa"/>
            <w:vAlign w:val="bottom"/>
          </w:tcPr>
          <w:p>
            <w:pPr>
              <w:spacing w:after="0"/>
              <w:rPr>
                <w:sz w:val="18"/>
                <w:szCs w:val="18"/>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Parts I, II, and IV</w:t>
            </w:r>
          </w:p>
        </w:tc>
        <w:tc>
          <w:tcPr>
            <w:tcW w:w="460" w:type="dxa"/>
            <w:vAlign w:val="bottom"/>
          </w:tcPr>
          <w:p>
            <w:pPr>
              <w:spacing w:after="0"/>
              <w:rPr>
                <w:sz w:val="18"/>
                <w:szCs w:val="18"/>
                <w:color w:val="auto"/>
              </w:rPr>
            </w:pPr>
          </w:p>
        </w:tc>
      </w:tr>
      <w:tr>
        <w:trPr>
          <w:trHeight w:val="172"/>
        </w:trPr>
        <w:tc>
          <w:tcPr>
            <w:tcW w:w="7520" w:type="dxa"/>
            <w:vAlign w:val="bottom"/>
            <w:gridSpan w:val="5"/>
          </w:tcPr>
          <w:p>
            <w:pPr>
              <w:ind w:left="460"/>
              <w:spacing w:after="0"/>
              <w:rPr>
                <w:sz w:val="20"/>
                <w:szCs w:val="20"/>
                <w:color w:val="auto"/>
              </w:rPr>
            </w:pPr>
            <w:r>
              <w:rPr>
                <w:rFonts w:ascii="Arial" w:cs="Arial" w:eastAsia="Arial" w:hAnsi="Arial"/>
                <w:sz w:val="14"/>
                <w:szCs w:val="14"/>
                <w:color w:val="auto"/>
              </w:rPr>
              <w:t>Proxy Statement for the Annual Meeting of Shareholders to be held May 9, 2019 (Proxy Statement)</w:t>
            </w:r>
          </w:p>
        </w:tc>
        <w:tc>
          <w:tcPr>
            <w:tcW w:w="1540" w:type="dxa"/>
            <w:vAlign w:val="bottom"/>
          </w:tcPr>
          <w:p>
            <w:pPr>
              <w:spacing w:after="0"/>
              <w:rPr>
                <w:sz w:val="14"/>
                <w:szCs w:val="14"/>
                <w:color w:val="auto"/>
              </w:rPr>
            </w:pPr>
          </w:p>
        </w:tc>
        <w:tc>
          <w:tcPr>
            <w:tcW w:w="2360" w:type="dxa"/>
            <w:vAlign w:val="bottom"/>
            <w:gridSpan w:val="2"/>
          </w:tcPr>
          <w:p>
            <w:pPr>
              <w:jc w:val="center"/>
              <w:ind w:right="460"/>
              <w:spacing w:after="0"/>
              <w:rPr>
                <w:sz w:val="20"/>
                <w:szCs w:val="20"/>
                <w:color w:val="auto"/>
              </w:rPr>
            </w:pPr>
            <w:r>
              <w:rPr>
                <w:rFonts w:ascii="Arial" w:cs="Arial" w:eastAsia="Arial" w:hAnsi="Arial"/>
                <w:sz w:val="14"/>
                <w:szCs w:val="14"/>
                <w:color w:val="auto"/>
              </w:rPr>
              <w:t>Part III</w:t>
            </w:r>
          </w:p>
        </w:tc>
      </w:tr>
      <w:tr>
        <w:trPr>
          <w:trHeight w:val="249"/>
        </w:trPr>
        <w:tc>
          <w:tcPr>
            <w:tcW w:w="38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42"/>
          <w:szCs w:val="42"/>
          <w:color w:val="auto"/>
        </w:rPr>
        <w:t>TABLE OF CONTENTS</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340" w:type="dxa"/>
            <w:vAlign w:val="bottom"/>
            <w:gridSpan w:val="8"/>
          </w:tcPr>
          <w:p>
            <w:pPr>
              <w:spacing w:after="0"/>
              <w:rPr>
                <w:rFonts w:ascii="Arial" w:cs="Arial" w:eastAsia="Arial" w:hAnsi="Arial"/>
                <w:sz w:val="20"/>
                <w:szCs w:val="20"/>
                <w:b w:val="1"/>
                <w:bCs w:val="1"/>
                <w:color w:val="0000EE"/>
              </w:rPr>
            </w:pPr>
            <w:hyperlink w:anchor="page3">
              <w:r>
                <w:rPr>
                  <w:rFonts w:ascii="Arial" w:cs="Arial" w:eastAsia="Arial" w:hAnsi="Arial"/>
                  <w:sz w:val="20"/>
                  <w:szCs w:val="20"/>
                  <w:b w:val="1"/>
                  <w:bCs w:val="1"/>
                  <w:color w:val="0000EE"/>
                </w:rPr>
                <w:t>PART I</w:t>
              </w:r>
            </w:hyperlink>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jc w:val="right"/>
              <w:ind w:right="319"/>
              <w:spacing w:after="0"/>
              <w:rPr>
                <w:sz w:val="20"/>
                <w:szCs w:val="20"/>
                <w:color w:val="auto"/>
              </w:rPr>
            </w:pPr>
            <w:r>
              <w:rPr>
                <w:rFonts w:ascii="Arial" w:cs="Arial" w:eastAsia="Arial" w:hAnsi="Arial"/>
                <w:sz w:val="16"/>
                <w:szCs w:val="16"/>
                <w:b w:val="1"/>
                <w:bCs w:val="1"/>
                <w:color w:val="auto"/>
              </w:rPr>
              <w:t>1</w:t>
            </w:r>
          </w:p>
        </w:tc>
        <w:tc>
          <w:tcPr>
            <w:tcW w:w="1200" w:type="dxa"/>
            <w:vAlign w:val="bottom"/>
            <w:gridSpan w:val="5"/>
          </w:tcPr>
          <w:p>
            <w:pPr>
              <w:spacing w:after="0"/>
              <w:rPr>
                <w:rFonts w:ascii="Arial" w:cs="Arial" w:eastAsia="Arial" w:hAnsi="Arial"/>
                <w:sz w:val="20"/>
                <w:szCs w:val="20"/>
                <w:b w:val="1"/>
                <w:bCs w:val="1"/>
                <w:color w:val="0000EE"/>
              </w:rPr>
            </w:pPr>
            <w:hyperlink w:anchor="page35">
              <w:r>
                <w:rPr>
                  <w:rFonts w:ascii="Arial" w:cs="Arial" w:eastAsia="Arial" w:hAnsi="Arial"/>
                  <w:sz w:val="20"/>
                  <w:szCs w:val="20"/>
                  <w:b w:val="1"/>
                  <w:bCs w:val="1"/>
                  <w:color w:val="0000EE"/>
                </w:rPr>
                <w:t>PART IV</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1020" w:type="dxa"/>
            <w:vAlign w:val="bottom"/>
            <w:gridSpan w:val="7"/>
          </w:tcPr>
          <w:p>
            <w:pPr>
              <w:spacing w:after="0"/>
              <w:rPr>
                <w:sz w:val="20"/>
                <w:szCs w:val="20"/>
                <w:color w:val="auto"/>
              </w:rPr>
            </w:pPr>
            <w:r>
              <w:rPr>
                <w:rFonts w:ascii="Arial" w:cs="Arial" w:eastAsia="Arial" w:hAnsi="Arial"/>
                <w:sz w:val="16"/>
                <w:szCs w:val="16"/>
                <w:b w:val="1"/>
                <w:bCs w:val="1"/>
                <w:color w:val="auto"/>
              </w:rPr>
              <w:t>ITEM 1.</w:t>
            </w:r>
          </w:p>
        </w:tc>
        <w:tc>
          <w:tcPr>
            <w:tcW w:w="840" w:type="dxa"/>
            <w:vAlign w:val="bottom"/>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BUSINESS</w:t>
              </w:r>
            </w:hyperlink>
          </w:p>
        </w:tc>
        <w:tc>
          <w:tcPr>
            <w:tcW w:w="2980" w:type="dxa"/>
            <w:vAlign w:val="bottom"/>
            <w:gridSpan w:val="29"/>
          </w:tcPr>
          <w:p>
            <w:pPr>
              <w:spacing w:after="0"/>
              <w:rPr>
                <w:sz w:val="20"/>
                <w:szCs w:val="20"/>
                <w:color w:val="auto"/>
              </w:rPr>
            </w:pPr>
          </w:p>
        </w:tc>
        <w:tc>
          <w:tcPr>
            <w:tcW w:w="640" w:type="dxa"/>
            <w:vAlign w:val="bottom"/>
          </w:tcPr>
          <w:p>
            <w:pPr>
              <w:jc w:val="right"/>
              <w:ind w:right="319"/>
              <w:spacing w:after="0"/>
              <w:rPr>
                <w:sz w:val="20"/>
                <w:szCs w:val="20"/>
                <w:color w:val="auto"/>
              </w:rPr>
            </w:pPr>
            <w:r>
              <w:rPr>
                <w:rFonts w:ascii="Arial" w:cs="Arial" w:eastAsia="Arial" w:hAnsi="Arial"/>
                <w:sz w:val="16"/>
                <w:szCs w:val="16"/>
                <w:b w:val="1"/>
                <w:bCs w:val="1"/>
                <w:color w:val="auto"/>
              </w:rPr>
              <w:t>1</w:t>
            </w:r>
          </w:p>
        </w:tc>
        <w:tc>
          <w:tcPr>
            <w:tcW w:w="1200" w:type="dxa"/>
            <w:vAlign w:val="bottom"/>
            <w:gridSpan w:val="5"/>
          </w:tcPr>
          <w:p>
            <w:pPr>
              <w:ind w:left="340"/>
              <w:spacing w:after="0"/>
              <w:rPr>
                <w:rFonts w:ascii="Arial" w:cs="Arial" w:eastAsia="Arial" w:hAnsi="Arial"/>
                <w:sz w:val="16"/>
                <w:szCs w:val="16"/>
                <w:b w:val="1"/>
                <w:bCs w:val="1"/>
                <w:color w:val="0000EE"/>
              </w:rPr>
            </w:pPr>
            <w:hyperlink w:anchor="page35">
              <w:r>
                <w:rPr>
                  <w:rFonts w:ascii="Arial" w:cs="Arial" w:eastAsia="Arial" w:hAnsi="Arial"/>
                  <w:sz w:val="16"/>
                  <w:szCs w:val="16"/>
                  <w:b w:val="1"/>
                  <w:bCs w:val="1"/>
                  <w:color w:val="0000EE"/>
                </w:rPr>
                <w:t>ITEM 15.</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1020" w:type="dxa"/>
            <w:vAlign w:val="bottom"/>
            <w:gridSpan w:val="7"/>
          </w:tcPr>
          <w:p>
            <w:pPr>
              <w:spacing w:after="0"/>
              <w:rPr>
                <w:sz w:val="20"/>
                <w:szCs w:val="20"/>
                <w:color w:val="auto"/>
              </w:rPr>
            </w:pPr>
            <w:r>
              <w:rPr>
                <w:rFonts w:ascii="Arial" w:cs="Arial" w:eastAsia="Arial" w:hAnsi="Arial"/>
                <w:sz w:val="16"/>
                <w:szCs w:val="16"/>
                <w:b w:val="1"/>
                <w:bCs w:val="1"/>
                <w:color w:val="auto"/>
              </w:rPr>
              <w:t>ITEM 1A.</w:t>
            </w:r>
          </w:p>
        </w:tc>
        <w:tc>
          <w:tcPr>
            <w:tcW w:w="3820" w:type="dxa"/>
            <w:vAlign w:val="bottom"/>
            <w:gridSpan w:val="30"/>
          </w:tcPr>
          <w:p>
            <w:pPr>
              <w:spacing w:after="0"/>
              <w:rPr>
                <w:rFonts w:ascii="Arial" w:cs="Arial" w:eastAsia="Arial" w:hAnsi="Arial"/>
                <w:sz w:val="16"/>
                <w:szCs w:val="16"/>
                <w:b w:val="1"/>
                <w:bCs w:val="1"/>
                <w:color w:val="0000EE"/>
              </w:rPr>
            </w:pPr>
            <w:hyperlink w:anchor="page15">
              <w:r>
                <w:rPr>
                  <w:rFonts w:ascii="Arial" w:cs="Arial" w:eastAsia="Arial" w:hAnsi="Arial"/>
                  <w:sz w:val="16"/>
                  <w:szCs w:val="16"/>
                  <w:b w:val="1"/>
                  <w:bCs w:val="1"/>
                  <w:color w:val="0000EE"/>
                </w:rPr>
                <w:t>RISK FACTORS</w:t>
              </w:r>
            </w:hyperlink>
          </w:p>
        </w:tc>
        <w:tc>
          <w:tcPr>
            <w:tcW w:w="640" w:type="dxa"/>
            <w:vAlign w:val="bottom"/>
          </w:tcPr>
          <w:p>
            <w:pPr>
              <w:jc w:val="right"/>
              <w:ind w:right="319"/>
              <w:spacing w:after="0"/>
              <w:rPr>
                <w:sz w:val="20"/>
                <w:szCs w:val="20"/>
                <w:color w:val="auto"/>
              </w:rPr>
            </w:pPr>
            <w:r>
              <w:rPr>
                <w:rFonts w:ascii="Arial" w:cs="Arial" w:eastAsia="Arial" w:hAnsi="Arial"/>
                <w:sz w:val="16"/>
                <w:szCs w:val="16"/>
                <w:b w:val="1"/>
                <w:bCs w:val="1"/>
                <w:color w:val="auto"/>
              </w:rPr>
              <w:t>13</w:t>
            </w:r>
          </w:p>
        </w:tc>
        <w:tc>
          <w:tcPr>
            <w:tcW w:w="1200" w:type="dxa"/>
            <w:vAlign w:val="bottom"/>
            <w:gridSpan w:val="5"/>
            <w:vMerge w:val="restart"/>
          </w:tcPr>
          <w:p>
            <w:pPr>
              <w:ind w:left="340"/>
              <w:spacing w:after="0"/>
              <w:rPr>
                <w:rFonts w:ascii="Arial" w:cs="Arial" w:eastAsia="Arial" w:hAnsi="Arial"/>
                <w:sz w:val="16"/>
                <w:szCs w:val="16"/>
                <w:b w:val="1"/>
                <w:bCs w:val="1"/>
                <w:color w:val="0000EE"/>
              </w:rPr>
            </w:pPr>
            <w:hyperlink w:anchor="page40">
              <w:r>
                <w:rPr>
                  <w:rFonts w:ascii="Arial" w:cs="Arial" w:eastAsia="Arial" w:hAnsi="Arial"/>
                  <w:sz w:val="16"/>
                  <w:szCs w:val="16"/>
                  <w:b w:val="1"/>
                  <w:bCs w:val="1"/>
                  <w:color w:val="0000EE"/>
                </w:rPr>
                <w:t>ITEM 16.</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1020" w:type="dxa"/>
            <w:vAlign w:val="bottom"/>
            <w:gridSpan w:val="7"/>
            <w:vMerge w:val="restart"/>
          </w:tcPr>
          <w:p>
            <w:pPr>
              <w:spacing w:after="0"/>
              <w:rPr>
                <w:sz w:val="20"/>
                <w:szCs w:val="20"/>
                <w:color w:val="auto"/>
              </w:rPr>
            </w:pPr>
            <w:r>
              <w:rPr>
                <w:rFonts w:ascii="Arial" w:cs="Arial" w:eastAsia="Arial" w:hAnsi="Arial"/>
                <w:sz w:val="16"/>
                <w:szCs w:val="16"/>
                <w:b w:val="1"/>
                <w:bCs w:val="1"/>
                <w:color w:val="auto"/>
              </w:rPr>
              <w:t>ITEM 1B.</w:t>
            </w:r>
          </w:p>
        </w:tc>
        <w:tc>
          <w:tcPr>
            <w:tcW w:w="3820" w:type="dxa"/>
            <w:vAlign w:val="bottom"/>
            <w:gridSpan w:val="30"/>
            <w:vMerge w:val="restart"/>
          </w:tcPr>
          <w:p>
            <w:pPr>
              <w:spacing w:after="0"/>
              <w:rPr>
                <w:rFonts w:ascii="Arial" w:cs="Arial" w:eastAsia="Arial" w:hAnsi="Arial"/>
                <w:sz w:val="16"/>
                <w:szCs w:val="16"/>
                <w:b w:val="1"/>
                <w:bCs w:val="1"/>
                <w:color w:val="0000EE"/>
              </w:rPr>
            </w:pPr>
            <w:hyperlink w:anchor="page25">
              <w:r>
                <w:rPr>
                  <w:rFonts w:ascii="Arial" w:cs="Arial" w:eastAsia="Arial" w:hAnsi="Arial"/>
                  <w:sz w:val="16"/>
                  <w:szCs w:val="16"/>
                  <w:b w:val="1"/>
                  <w:bCs w:val="1"/>
                  <w:color w:val="0000EE"/>
                </w:rPr>
                <w:t>UNRESOLVED STAFF COMMENTS</w:t>
              </w:r>
            </w:hyperlink>
          </w:p>
        </w:tc>
        <w:tc>
          <w:tcPr>
            <w:tcW w:w="6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23</w:t>
            </w:r>
          </w:p>
        </w:tc>
        <w:tc>
          <w:tcPr>
            <w:tcW w:w="12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20" w:type="dxa"/>
            <w:vAlign w:val="bottom"/>
          </w:tcPr>
          <w:p>
            <w:pPr>
              <w:spacing w:after="0"/>
              <w:rPr>
                <w:sz w:val="4"/>
                <w:szCs w:val="4"/>
                <w:color w:val="auto"/>
              </w:rPr>
            </w:pPr>
          </w:p>
        </w:tc>
        <w:tc>
          <w:tcPr>
            <w:tcW w:w="1020" w:type="dxa"/>
            <w:vAlign w:val="bottom"/>
            <w:gridSpan w:val="7"/>
            <w:vMerge w:val="continue"/>
          </w:tcPr>
          <w:p>
            <w:pPr>
              <w:spacing w:after="0"/>
              <w:rPr>
                <w:sz w:val="4"/>
                <w:szCs w:val="4"/>
                <w:color w:val="auto"/>
              </w:rPr>
            </w:pPr>
          </w:p>
        </w:tc>
        <w:tc>
          <w:tcPr>
            <w:tcW w:w="3820" w:type="dxa"/>
            <w:vAlign w:val="bottom"/>
            <w:gridSpan w:val="30"/>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1020" w:type="dxa"/>
            <w:vAlign w:val="bottom"/>
            <w:gridSpan w:val="7"/>
          </w:tcPr>
          <w:p>
            <w:pPr>
              <w:spacing w:after="0"/>
              <w:rPr>
                <w:sz w:val="20"/>
                <w:szCs w:val="20"/>
                <w:color w:val="auto"/>
              </w:rPr>
            </w:pPr>
            <w:r>
              <w:rPr>
                <w:rFonts w:ascii="Arial" w:cs="Arial" w:eastAsia="Arial" w:hAnsi="Arial"/>
                <w:sz w:val="16"/>
                <w:szCs w:val="16"/>
                <w:b w:val="1"/>
                <w:bCs w:val="1"/>
                <w:color w:val="auto"/>
              </w:rPr>
              <w:t>ITEM 2.</w:t>
            </w:r>
          </w:p>
        </w:tc>
        <w:tc>
          <w:tcPr>
            <w:tcW w:w="2660" w:type="dxa"/>
            <w:vAlign w:val="bottom"/>
            <w:tcBorders>
              <w:top w:val="single" w:sz="8" w:color="0000EE"/>
            </w:tcBorders>
            <w:gridSpan w:val="15"/>
          </w:tcPr>
          <w:p>
            <w:pPr>
              <w:spacing w:after="0"/>
              <w:rPr>
                <w:rFonts w:ascii="Arial" w:cs="Arial" w:eastAsia="Arial" w:hAnsi="Arial"/>
                <w:sz w:val="16"/>
                <w:szCs w:val="16"/>
                <w:b w:val="1"/>
                <w:bCs w:val="1"/>
                <w:color w:val="0000EE"/>
              </w:rPr>
            </w:pPr>
            <w:hyperlink w:anchor="page25">
              <w:r>
                <w:rPr>
                  <w:rFonts w:ascii="Arial" w:cs="Arial" w:eastAsia="Arial" w:hAnsi="Arial"/>
                  <w:sz w:val="16"/>
                  <w:szCs w:val="16"/>
                  <w:b w:val="1"/>
                  <w:bCs w:val="1"/>
                  <w:color w:val="0000EE"/>
                </w:rPr>
                <w:t>PROPERTIES</w:t>
              </w:r>
            </w:hyperlink>
          </w:p>
        </w:tc>
        <w:tc>
          <w:tcPr>
            <w:tcW w:w="1160" w:type="dxa"/>
            <w:vAlign w:val="bottom"/>
            <w:gridSpan w:val="15"/>
          </w:tcPr>
          <w:p>
            <w:pPr>
              <w:spacing w:after="0"/>
              <w:rPr>
                <w:sz w:val="20"/>
                <w:szCs w:val="20"/>
                <w:color w:val="auto"/>
              </w:rPr>
            </w:pPr>
          </w:p>
        </w:tc>
        <w:tc>
          <w:tcPr>
            <w:tcW w:w="640" w:type="dxa"/>
            <w:vAlign w:val="bottom"/>
          </w:tcPr>
          <w:p>
            <w:pPr>
              <w:jc w:val="right"/>
              <w:ind w:right="319"/>
              <w:spacing w:after="0"/>
              <w:rPr>
                <w:sz w:val="20"/>
                <w:szCs w:val="20"/>
                <w:color w:val="auto"/>
              </w:rPr>
            </w:pPr>
            <w:r>
              <w:rPr>
                <w:rFonts w:ascii="Arial" w:cs="Arial" w:eastAsia="Arial" w:hAnsi="Arial"/>
                <w:sz w:val="16"/>
                <w:szCs w:val="16"/>
                <w:b w:val="1"/>
                <w:bCs w:val="1"/>
                <w:color w:val="auto"/>
              </w:rPr>
              <w:t>23</w:t>
            </w:r>
          </w:p>
        </w:tc>
        <w:tc>
          <w:tcPr>
            <w:tcW w:w="1180" w:type="dxa"/>
            <w:vAlign w:val="bottom"/>
            <w:gridSpan w:val="4"/>
            <w:vMerge w:val="restart"/>
          </w:tcPr>
          <w:p>
            <w:pPr>
              <w:spacing w:after="0"/>
              <w:rPr>
                <w:rFonts w:ascii="Arial" w:cs="Arial" w:eastAsia="Arial" w:hAnsi="Arial"/>
                <w:sz w:val="18"/>
                <w:szCs w:val="18"/>
                <w:b w:val="1"/>
                <w:bCs w:val="1"/>
                <w:color w:val="0000EE"/>
                <w:w w:val="98"/>
              </w:rPr>
            </w:pPr>
            <w:hyperlink w:anchor="page41">
              <w:r>
                <w:rPr>
                  <w:rFonts w:ascii="Arial" w:cs="Arial" w:eastAsia="Arial" w:hAnsi="Arial"/>
                  <w:sz w:val="18"/>
                  <w:szCs w:val="18"/>
                  <w:b w:val="1"/>
                  <w:bCs w:val="1"/>
                  <w:color w:val="0000EE"/>
                  <w:w w:val="98"/>
                </w:rPr>
                <w:t>SIGNATURES</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gridSpan w:val="4"/>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0" w:type="dxa"/>
            <w:vAlign w:val="bottom"/>
          </w:tcPr>
          <w:p>
            <w:pPr>
              <w:spacing w:after="0"/>
              <w:rPr>
                <w:sz w:val="15"/>
                <w:szCs w:val="15"/>
                <w:color w:val="auto"/>
              </w:rPr>
            </w:pPr>
          </w:p>
        </w:tc>
        <w:tc>
          <w:tcPr>
            <w:tcW w:w="1020" w:type="dxa"/>
            <w:vAlign w:val="bottom"/>
            <w:gridSpan w:val="7"/>
            <w:vMerge w:val="restart"/>
          </w:tcPr>
          <w:p>
            <w:pPr>
              <w:spacing w:after="0"/>
              <w:rPr>
                <w:sz w:val="20"/>
                <w:szCs w:val="20"/>
                <w:color w:val="auto"/>
              </w:rPr>
            </w:pPr>
            <w:r>
              <w:rPr>
                <w:rFonts w:ascii="Arial" w:cs="Arial" w:eastAsia="Arial" w:hAnsi="Arial"/>
                <w:sz w:val="16"/>
                <w:szCs w:val="16"/>
                <w:b w:val="1"/>
                <w:bCs w:val="1"/>
                <w:color w:val="auto"/>
              </w:rPr>
              <w:t>ITEM 3.</w:t>
            </w:r>
          </w:p>
        </w:tc>
        <w:tc>
          <w:tcPr>
            <w:tcW w:w="1800" w:type="dxa"/>
            <w:vAlign w:val="bottom"/>
            <w:gridSpan w:val="7"/>
            <w:vMerge w:val="restart"/>
          </w:tcPr>
          <w:p>
            <w:pPr>
              <w:spacing w:after="0"/>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LEGAL PROCEEDINGS</w:t>
              </w:r>
            </w:hyperlink>
          </w:p>
        </w:tc>
        <w:tc>
          <w:tcPr>
            <w:tcW w:w="2020" w:type="dxa"/>
            <w:vAlign w:val="bottom"/>
            <w:gridSpan w:val="23"/>
            <w:vMerge w:val="restart"/>
          </w:tcPr>
          <w:p>
            <w:pPr>
              <w:spacing w:after="0"/>
              <w:rPr>
                <w:sz w:val="15"/>
                <w:szCs w:val="15"/>
                <w:color w:val="auto"/>
              </w:rPr>
            </w:pPr>
          </w:p>
        </w:tc>
        <w:tc>
          <w:tcPr>
            <w:tcW w:w="6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27</w:t>
            </w:r>
          </w:p>
        </w:tc>
        <w:tc>
          <w:tcPr>
            <w:tcW w:w="1180" w:type="dxa"/>
            <w:vAlign w:val="bottom"/>
            <w:tcBorders>
              <w:bottom w:val="single" w:sz="8" w:color="0000EE"/>
            </w:tcBorders>
            <w:gridSpan w:val="4"/>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320" w:type="dxa"/>
            <w:vAlign w:val="bottom"/>
          </w:tcPr>
          <w:p>
            <w:pPr>
              <w:spacing w:after="0"/>
              <w:rPr>
                <w:sz w:val="2"/>
                <w:szCs w:val="2"/>
                <w:color w:val="auto"/>
              </w:rPr>
            </w:pPr>
          </w:p>
        </w:tc>
        <w:tc>
          <w:tcPr>
            <w:tcW w:w="1020" w:type="dxa"/>
            <w:vAlign w:val="bottom"/>
            <w:gridSpan w:val="7"/>
            <w:vMerge w:val="continue"/>
          </w:tcPr>
          <w:p>
            <w:pPr>
              <w:spacing w:after="0"/>
              <w:rPr>
                <w:sz w:val="2"/>
                <w:szCs w:val="2"/>
                <w:color w:val="auto"/>
              </w:rPr>
            </w:pPr>
          </w:p>
        </w:tc>
        <w:tc>
          <w:tcPr>
            <w:tcW w:w="1800" w:type="dxa"/>
            <w:vAlign w:val="bottom"/>
            <w:tcBorders>
              <w:bottom w:val="single" w:sz="8" w:color="0000EE"/>
            </w:tcBorders>
            <w:gridSpan w:val="7"/>
            <w:vMerge w:val="continue"/>
          </w:tcPr>
          <w:p>
            <w:pPr>
              <w:spacing w:after="0"/>
              <w:rPr>
                <w:sz w:val="2"/>
                <w:szCs w:val="2"/>
                <w:color w:val="auto"/>
              </w:rPr>
            </w:pPr>
          </w:p>
        </w:tc>
        <w:tc>
          <w:tcPr>
            <w:tcW w:w="2020" w:type="dxa"/>
            <w:vAlign w:val="bottom"/>
            <w:gridSpan w:val="23"/>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180" w:type="dxa"/>
            <w:vAlign w:val="bottom"/>
            <w:gridSpan w:val="4"/>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1020" w:type="dxa"/>
            <w:vAlign w:val="bottom"/>
            <w:gridSpan w:val="7"/>
          </w:tcPr>
          <w:p>
            <w:pPr>
              <w:spacing w:after="0"/>
              <w:rPr>
                <w:sz w:val="20"/>
                <w:szCs w:val="20"/>
                <w:color w:val="auto"/>
              </w:rPr>
            </w:pPr>
            <w:r>
              <w:rPr>
                <w:rFonts w:ascii="Arial" w:cs="Arial" w:eastAsia="Arial" w:hAnsi="Arial"/>
                <w:sz w:val="16"/>
                <w:szCs w:val="16"/>
                <w:b w:val="1"/>
                <w:bCs w:val="1"/>
                <w:color w:val="auto"/>
              </w:rPr>
              <w:t>ITEM 4.</w:t>
            </w:r>
          </w:p>
        </w:tc>
        <w:tc>
          <w:tcPr>
            <w:tcW w:w="3820" w:type="dxa"/>
            <w:vAlign w:val="bottom"/>
            <w:gridSpan w:val="30"/>
          </w:tcPr>
          <w:p>
            <w:pPr>
              <w:spacing w:after="0"/>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MINE SAFETY DISCLOSURES</w:t>
              </w:r>
            </w:hyperlink>
          </w:p>
        </w:tc>
        <w:tc>
          <w:tcPr>
            <w:tcW w:w="640" w:type="dxa"/>
            <w:vAlign w:val="bottom"/>
          </w:tcPr>
          <w:p>
            <w:pPr>
              <w:jc w:val="right"/>
              <w:ind w:right="319"/>
              <w:spacing w:after="0"/>
              <w:rPr>
                <w:sz w:val="20"/>
                <w:szCs w:val="20"/>
                <w:color w:val="auto"/>
              </w:rPr>
            </w:pPr>
            <w:r>
              <w:rPr>
                <w:rFonts w:ascii="Arial" w:cs="Arial" w:eastAsia="Arial" w:hAnsi="Arial"/>
                <w:sz w:val="16"/>
                <w:szCs w:val="16"/>
                <w:b w:val="1"/>
                <w:bCs w:val="1"/>
                <w:color w:val="auto"/>
              </w:rPr>
              <w:t>27</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3520" w:type="dxa"/>
            <w:vAlign w:val="bottom"/>
            <w:tcBorders>
              <w:bottom w:val="single" w:sz="8" w:color="0000EE"/>
            </w:tcBorders>
            <w:gridSpan w:val="20"/>
          </w:tcPr>
          <w:p>
            <w:pPr>
              <w:spacing w:after="0"/>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EXECUTIVE OFFICERS OF THE REGISTRANT</w:t>
              </w:r>
            </w:hyperlink>
          </w:p>
        </w:tc>
        <w:tc>
          <w:tcPr>
            <w:tcW w:w="1320" w:type="dxa"/>
            <w:vAlign w:val="bottom"/>
            <w:gridSpan w:val="17"/>
          </w:tcPr>
          <w:p>
            <w:pPr>
              <w:spacing w:after="0"/>
              <w:rPr>
                <w:sz w:val="20"/>
                <w:szCs w:val="20"/>
                <w:color w:val="auto"/>
              </w:rPr>
            </w:pPr>
          </w:p>
        </w:tc>
        <w:tc>
          <w:tcPr>
            <w:tcW w:w="640" w:type="dxa"/>
            <w:vAlign w:val="bottom"/>
          </w:tcPr>
          <w:p>
            <w:pPr>
              <w:jc w:val="right"/>
              <w:ind w:right="319"/>
              <w:spacing w:after="0"/>
              <w:rPr>
                <w:sz w:val="20"/>
                <w:szCs w:val="20"/>
                <w:color w:val="auto"/>
              </w:rPr>
            </w:pPr>
            <w:r>
              <w:rPr>
                <w:rFonts w:ascii="Arial" w:cs="Arial" w:eastAsia="Arial" w:hAnsi="Arial"/>
                <w:sz w:val="16"/>
                <w:szCs w:val="16"/>
                <w:b w:val="1"/>
                <w:bCs w:val="1"/>
                <w:color w:val="auto"/>
              </w:rPr>
              <w:t>28</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1340" w:type="dxa"/>
            <w:vAlign w:val="bottom"/>
            <w:gridSpan w:val="8"/>
          </w:tcPr>
          <w:p>
            <w:pPr>
              <w:spacing w:after="0"/>
              <w:rPr>
                <w:rFonts w:ascii="Arial" w:cs="Arial" w:eastAsia="Arial" w:hAnsi="Arial"/>
                <w:sz w:val="20"/>
                <w:szCs w:val="20"/>
                <w:b w:val="1"/>
                <w:bCs w:val="1"/>
                <w:color w:val="0000EE"/>
              </w:rPr>
            </w:pPr>
            <w:hyperlink w:anchor="page31">
              <w:r>
                <w:rPr>
                  <w:rFonts w:ascii="Arial" w:cs="Arial" w:eastAsia="Arial" w:hAnsi="Arial"/>
                  <w:sz w:val="20"/>
                  <w:szCs w:val="20"/>
                  <w:b w:val="1"/>
                  <w:bCs w:val="1"/>
                  <w:color w:val="0000EE"/>
                </w:rPr>
                <w:t>PART II</w:t>
              </w:r>
            </w:hyperlink>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jc w:val="right"/>
              <w:ind w:right="319"/>
              <w:spacing w:after="0"/>
              <w:rPr>
                <w:sz w:val="20"/>
                <w:szCs w:val="20"/>
                <w:color w:val="auto"/>
              </w:rPr>
            </w:pPr>
            <w:r>
              <w:rPr>
                <w:rFonts w:ascii="Arial" w:cs="Arial" w:eastAsia="Arial" w:hAnsi="Arial"/>
                <w:sz w:val="16"/>
                <w:szCs w:val="16"/>
                <w:b w:val="1"/>
                <w:bCs w:val="1"/>
                <w:color w:val="auto"/>
              </w:rPr>
              <w:t>29</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1020" w:type="dxa"/>
            <w:vAlign w:val="bottom"/>
            <w:gridSpan w:val="7"/>
          </w:tcPr>
          <w:p>
            <w:pPr>
              <w:spacing w:after="0"/>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ITEM 5.</w:t>
              </w:r>
            </w:hyperlink>
          </w:p>
        </w:tc>
        <w:tc>
          <w:tcPr>
            <w:tcW w:w="3820" w:type="dxa"/>
            <w:vAlign w:val="bottom"/>
            <w:gridSpan w:val="30"/>
          </w:tcPr>
          <w:p>
            <w:pPr>
              <w:spacing w:after="0"/>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MARKET FOR REGISTRANT’S COMMON</w:t>
              </w:r>
            </w:hyperlink>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gridSpan w:val="30"/>
          </w:tcPr>
          <w:p>
            <w:pPr>
              <w:spacing w:after="0" w:line="169" w:lineRule="exact"/>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EQUITY, RELATED STOCKHOLDER MATTERS</w:t>
              </w:r>
            </w:hyperlink>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540" w:type="dxa"/>
            <w:vAlign w:val="bottom"/>
            <w:tcBorders>
              <w:top w:val="single" w:sz="8" w:color="0000EE"/>
            </w:tcBorders>
            <w:gridSpan w:val="25"/>
          </w:tcPr>
          <w:p>
            <w:pPr>
              <w:spacing w:after="0" w:line="169" w:lineRule="exact"/>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AND ISSUER PURCHASES OF EQUITY</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29</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SECURITIES</w:t>
              </w:r>
            </w:hyperlink>
          </w:p>
        </w:tc>
        <w:tc>
          <w:tcPr>
            <w:tcW w:w="1940" w:type="dxa"/>
            <w:vAlign w:val="bottom"/>
            <w:tcBorders>
              <w:top w:val="single" w:sz="8" w:color="0000EE"/>
            </w:tcBorders>
            <w:gridSpan w:val="17"/>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1020" w:type="dxa"/>
            <w:vAlign w:val="bottom"/>
            <w:gridSpan w:val="7"/>
          </w:tcPr>
          <w:p>
            <w:pPr>
              <w:spacing w:after="0"/>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ITEM 6.</w:t>
              </w:r>
            </w:hyperlink>
          </w:p>
        </w:tc>
        <w:tc>
          <w:tcPr>
            <w:tcW w:w="3820" w:type="dxa"/>
            <w:vAlign w:val="bottom"/>
            <w:gridSpan w:val="30"/>
          </w:tcPr>
          <w:p>
            <w:pPr>
              <w:spacing w:after="0"/>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SELECTED FINANCIAL DATA</w:t>
              </w:r>
            </w:hyperlink>
          </w:p>
        </w:tc>
        <w:tc>
          <w:tcPr>
            <w:tcW w:w="640" w:type="dxa"/>
            <w:vAlign w:val="bottom"/>
          </w:tcPr>
          <w:p>
            <w:pPr>
              <w:jc w:val="right"/>
              <w:ind w:right="319"/>
              <w:spacing w:after="0"/>
              <w:rPr>
                <w:sz w:val="20"/>
                <w:szCs w:val="20"/>
                <w:color w:val="auto"/>
              </w:rPr>
            </w:pPr>
            <w:r>
              <w:rPr>
                <w:rFonts w:ascii="Arial" w:cs="Arial" w:eastAsia="Arial" w:hAnsi="Arial"/>
                <w:sz w:val="16"/>
                <w:szCs w:val="16"/>
                <w:b w:val="1"/>
                <w:bCs w:val="1"/>
                <w:color w:val="auto"/>
              </w:rPr>
              <w:t>29</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1020" w:type="dxa"/>
            <w:vAlign w:val="bottom"/>
            <w:gridSpan w:val="7"/>
          </w:tcPr>
          <w:p>
            <w:pPr>
              <w:spacing w:after="0"/>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ITEM 7.</w:t>
              </w:r>
            </w:hyperlink>
          </w:p>
        </w:tc>
        <w:tc>
          <w:tcPr>
            <w:tcW w:w="3820" w:type="dxa"/>
            <w:vAlign w:val="bottom"/>
            <w:gridSpan w:val="30"/>
          </w:tcPr>
          <w:p>
            <w:pPr>
              <w:spacing w:after="0"/>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MANAGEMENT’S DISCUSSION AND ANALYSIS</w:t>
              </w:r>
            </w:hyperlink>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tcBorders>
              <w:top w:val="single" w:sz="8" w:color="0000EE"/>
            </w:tcBorders>
            <w:gridSpan w:val="27"/>
          </w:tcPr>
          <w:p>
            <w:pPr>
              <w:spacing w:after="0" w:line="169" w:lineRule="exact"/>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OF FINANCIAL CONDITION AND RESULTS OF</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29</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560" w:type="dxa"/>
            <w:vAlign w:val="bottom"/>
            <w:tcBorders>
              <w:top w:val="single" w:sz="8" w:color="0000EE"/>
            </w:tcBorders>
            <w:gridSpan w:val="26"/>
          </w:tcPr>
          <w:p>
            <w:pPr>
              <w:spacing w:after="0" w:line="169" w:lineRule="exact"/>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OPERATIONS</w:t>
              </w:r>
            </w:hyperlink>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1020" w:type="dxa"/>
            <w:vAlign w:val="bottom"/>
            <w:gridSpan w:val="7"/>
          </w:tcPr>
          <w:p>
            <w:pPr>
              <w:spacing w:after="0"/>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ITEM 7A.</w:t>
              </w:r>
            </w:hyperlink>
          </w:p>
        </w:tc>
        <w:tc>
          <w:tcPr>
            <w:tcW w:w="3820" w:type="dxa"/>
            <w:vAlign w:val="bottom"/>
            <w:gridSpan w:val="30"/>
          </w:tcPr>
          <w:p>
            <w:pPr>
              <w:spacing w:after="0"/>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QUANTITATIVE AND QUALITATIVE</w:t>
              </w:r>
            </w:hyperlink>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tcBorders>
              <w:top w:val="single" w:sz="8" w:color="0000EE"/>
            </w:tcBorders>
            <w:gridSpan w:val="16"/>
          </w:tcPr>
          <w:p>
            <w:pPr>
              <w:spacing w:after="0" w:line="169" w:lineRule="exact"/>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DISCLOSURES ABOUT MARKET</w:t>
              </w:r>
            </w:hyperlink>
          </w:p>
        </w:tc>
        <w:tc>
          <w:tcPr>
            <w:tcW w:w="1140" w:type="dxa"/>
            <w:vAlign w:val="bottom"/>
            <w:gridSpan w:val="14"/>
          </w:tcPr>
          <w:p>
            <w:pPr>
              <w:spacing w:after="0" w:line="169" w:lineRule="exact"/>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RISK</w:t>
              </w:r>
            </w:hyperlink>
          </w:p>
        </w:tc>
        <w:tc>
          <w:tcPr>
            <w:tcW w:w="640" w:type="dxa"/>
            <w:vAlign w:val="bottom"/>
          </w:tcPr>
          <w:p>
            <w:pPr>
              <w:jc w:val="right"/>
              <w:ind w:right="319"/>
              <w:spacing w:after="0" w:line="169" w:lineRule="exact"/>
              <w:rPr>
                <w:sz w:val="20"/>
                <w:szCs w:val="20"/>
                <w:color w:val="auto"/>
              </w:rPr>
            </w:pPr>
            <w:r>
              <w:rPr>
                <w:rFonts w:ascii="Arial" w:cs="Arial" w:eastAsia="Arial" w:hAnsi="Arial"/>
                <w:sz w:val="16"/>
                <w:szCs w:val="16"/>
                <w:b w:val="1"/>
                <w:bCs w:val="1"/>
                <w:color w:val="auto"/>
              </w:rPr>
              <w:t>29</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1020" w:type="dxa"/>
            <w:vAlign w:val="bottom"/>
            <w:gridSpan w:val="7"/>
          </w:tcPr>
          <w:p>
            <w:pPr>
              <w:spacing w:after="0"/>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ITEM 8.</w:t>
              </w:r>
            </w:hyperlink>
          </w:p>
        </w:tc>
        <w:tc>
          <w:tcPr>
            <w:tcW w:w="2960" w:type="dxa"/>
            <w:vAlign w:val="bottom"/>
            <w:tcBorders>
              <w:top w:val="single" w:sz="8" w:color="0000EE"/>
            </w:tcBorders>
            <w:gridSpan w:val="18"/>
          </w:tcPr>
          <w:p>
            <w:pPr>
              <w:spacing w:after="0"/>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FINANCIAL STATEMENTS AND</w:t>
              </w:r>
            </w:hyperlink>
          </w:p>
        </w:tc>
        <w:tc>
          <w:tcPr>
            <w:tcW w:w="860" w:type="dxa"/>
            <w:vAlign w:val="bottom"/>
            <w:gridSpan w:val="12"/>
          </w:tcPr>
          <w:p>
            <w:pPr>
              <w:spacing w:after="0"/>
              <w:rPr>
                <w:sz w:val="20"/>
                <w:szCs w:val="20"/>
                <w:color w:val="auto"/>
              </w:rPr>
            </w:pPr>
          </w:p>
        </w:tc>
        <w:tc>
          <w:tcPr>
            <w:tcW w:w="6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30</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tcBorders>
              <w:top w:val="single" w:sz="8" w:color="0000EE"/>
            </w:tcBorders>
            <w:gridSpan w:val="12"/>
          </w:tcPr>
          <w:p>
            <w:pPr>
              <w:spacing w:after="0" w:line="169" w:lineRule="exact"/>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SUPPLEMENTARY DATA</w:t>
              </w:r>
            </w:hyperlink>
          </w:p>
        </w:tc>
        <w:tc>
          <w:tcPr>
            <w:tcW w:w="220" w:type="dxa"/>
            <w:vAlign w:val="bottom"/>
            <w:gridSpan w:val="2"/>
          </w:tcPr>
          <w:p>
            <w:pPr>
              <w:spacing w:after="0"/>
              <w:rPr>
                <w:sz w:val="14"/>
                <w:szCs w:val="14"/>
                <w:color w:val="auto"/>
              </w:rPr>
            </w:pPr>
          </w:p>
        </w:tc>
        <w:tc>
          <w:tcPr>
            <w:tcW w:w="240" w:type="dxa"/>
            <w:vAlign w:val="bottom"/>
            <w:gridSpan w:val="3"/>
          </w:tcPr>
          <w:p>
            <w:pPr>
              <w:spacing w:after="0"/>
              <w:rPr>
                <w:sz w:val="14"/>
                <w:szCs w:val="14"/>
                <w:color w:val="auto"/>
              </w:rPr>
            </w:pPr>
          </w:p>
        </w:tc>
        <w:tc>
          <w:tcPr>
            <w:tcW w:w="200" w:type="dxa"/>
            <w:vAlign w:val="bottom"/>
            <w:gridSpan w:val="3"/>
          </w:tcPr>
          <w:p>
            <w:pPr>
              <w:spacing w:after="0"/>
              <w:rPr>
                <w:sz w:val="14"/>
                <w:szCs w:val="14"/>
                <w:color w:val="auto"/>
              </w:rPr>
            </w:pPr>
          </w:p>
        </w:tc>
        <w:tc>
          <w:tcPr>
            <w:tcW w:w="1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1020" w:type="dxa"/>
            <w:vAlign w:val="bottom"/>
            <w:gridSpan w:val="7"/>
          </w:tcPr>
          <w:p>
            <w:pPr>
              <w:spacing w:after="0"/>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ITEM 9.</w:t>
              </w:r>
            </w:hyperlink>
          </w:p>
        </w:tc>
        <w:tc>
          <w:tcPr>
            <w:tcW w:w="3820" w:type="dxa"/>
            <w:vAlign w:val="bottom"/>
            <w:gridSpan w:val="30"/>
          </w:tcPr>
          <w:p>
            <w:pPr>
              <w:spacing w:after="0"/>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CHANGES IN AND DISAGREEMENTS WITH</w:t>
              </w:r>
            </w:hyperlink>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40" w:type="dxa"/>
            <w:vAlign w:val="bottom"/>
            <w:tcBorders>
              <w:top w:val="single" w:sz="8" w:color="0000EE"/>
            </w:tcBorders>
            <w:gridSpan w:val="24"/>
          </w:tcPr>
          <w:p>
            <w:pPr>
              <w:spacing w:after="0" w:line="169" w:lineRule="exact"/>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ACCOUNTANTS ON ACCOUNTING AND</w:t>
              </w:r>
            </w:hyperlink>
          </w:p>
        </w:tc>
        <w:tc>
          <w:tcPr>
            <w:tcW w:w="4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30</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60" w:type="dxa"/>
            <w:vAlign w:val="bottom"/>
            <w:tcBorders>
              <w:top w:val="single" w:sz="8" w:color="0000EE"/>
            </w:tcBorders>
            <w:gridSpan w:val="20"/>
          </w:tcPr>
          <w:p>
            <w:pPr>
              <w:spacing w:after="0" w:line="169" w:lineRule="exact"/>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FINANCIAL DISCLOSURE</w:t>
              </w:r>
            </w:hyperlink>
          </w:p>
        </w:tc>
        <w:tc>
          <w:tcPr>
            <w:tcW w:w="1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700" w:type="dxa"/>
            <w:vAlign w:val="bottom"/>
            <w:tcBorders>
              <w:bottom w:val="single" w:sz="8" w:color="0000EE"/>
            </w:tcBorders>
            <w:gridSpan w:val="6"/>
          </w:tcPr>
          <w:p>
            <w:pPr>
              <w:spacing w:after="0"/>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ITEM 9A.</w:t>
              </w:r>
            </w:hyperlink>
          </w:p>
        </w:tc>
        <w:tc>
          <w:tcPr>
            <w:tcW w:w="320" w:type="dxa"/>
            <w:vAlign w:val="bottom"/>
          </w:tcPr>
          <w:p>
            <w:pPr>
              <w:spacing w:after="0"/>
              <w:rPr>
                <w:sz w:val="20"/>
                <w:szCs w:val="20"/>
                <w:color w:val="auto"/>
              </w:rPr>
            </w:pPr>
          </w:p>
        </w:tc>
        <w:tc>
          <w:tcPr>
            <w:tcW w:w="2500" w:type="dxa"/>
            <w:vAlign w:val="bottom"/>
            <w:tcBorders>
              <w:bottom w:val="single" w:sz="8" w:color="0000EE"/>
            </w:tcBorders>
            <w:gridSpan w:val="13"/>
          </w:tcPr>
          <w:p>
            <w:pPr>
              <w:spacing w:after="0"/>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CONTROLS AND PROCEDURES</w:t>
              </w:r>
            </w:hyperlink>
          </w:p>
        </w:tc>
        <w:tc>
          <w:tcPr>
            <w:tcW w:w="1320" w:type="dxa"/>
            <w:vAlign w:val="bottom"/>
            <w:gridSpan w:val="17"/>
          </w:tcPr>
          <w:p>
            <w:pPr>
              <w:spacing w:after="0"/>
              <w:rPr>
                <w:sz w:val="20"/>
                <w:szCs w:val="20"/>
                <w:color w:val="auto"/>
              </w:rPr>
            </w:pPr>
          </w:p>
        </w:tc>
        <w:tc>
          <w:tcPr>
            <w:tcW w:w="640" w:type="dxa"/>
            <w:vAlign w:val="bottom"/>
          </w:tcPr>
          <w:p>
            <w:pPr>
              <w:jc w:val="right"/>
              <w:ind w:right="319"/>
              <w:spacing w:after="0"/>
              <w:rPr>
                <w:sz w:val="20"/>
                <w:szCs w:val="20"/>
                <w:color w:val="auto"/>
              </w:rPr>
            </w:pPr>
            <w:r>
              <w:rPr>
                <w:rFonts w:ascii="Arial" w:cs="Arial" w:eastAsia="Arial" w:hAnsi="Arial"/>
                <w:sz w:val="16"/>
                <w:szCs w:val="16"/>
                <w:b w:val="1"/>
                <w:bCs w:val="1"/>
                <w:color w:val="auto"/>
              </w:rPr>
              <w:t>30</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1020" w:type="dxa"/>
            <w:vAlign w:val="bottom"/>
            <w:gridSpan w:val="7"/>
          </w:tcPr>
          <w:p>
            <w:pPr>
              <w:spacing w:after="0"/>
              <w:rPr>
                <w:rFonts w:ascii="Arial" w:cs="Arial" w:eastAsia="Arial" w:hAnsi="Arial"/>
                <w:sz w:val="16"/>
                <w:szCs w:val="16"/>
                <w:b w:val="1"/>
                <w:bCs w:val="1"/>
                <w:color w:val="0000EE"/>
              </w:rPr>
            </w:pPr>
            <w:hyperlink w:anchor="page33">
              <w:r>
                <w:rPr>
                  <w:rFonts w:ascii="Arial" w:cs="Arial" w:eastAsia="Arial" w:hAnsi="Arial"/>
                  <w:sz w:val="16"/>
                  <w:szCs w:val="16"/>
                  <w:b w:val="1"/>
                  <w:bCs w:val="1"/>
                  <w:color w:val="0000EE"/>
                </w:rPr>
                <w:t>ITEM 9B.</w:t>
              </w:r>
            </w:hyperlink>
          </w:p>
        </w:tc>
        <w:tc>
          <w:tcPr>
            <w:tcW w:w="3820" w:type="dxa"/>
            <w:vAlign w:val="bottom"/>
            <w:gridSpan w:val="30"/>
          </w:tcPr>
          <w:p>
            <w:pPr>
              <w:spacing w:after="0"/>
              <w:rPr>
                <w:rFonts w:ascii="Arial" w:cs="Arial" w:eastAsia="Arial" w:hAnsi="Arial"/>
                <w:sz w:val="16"/>
                <w:szCs w:val="16"/>
                <w:b w:val="1"/>
                <w:bCs w:val="1"/>
                <w:color w:val="0000EE"/>
              </w:rPr>
            </w:pPr>
            <w:hyperlink w:anchor="page33">
              <w:r>
                <w:rPr>
                  <w:rFonts w:ascii="Arial" w:cs="Arial" w:eastAsia="Arial" w:hAnsi="Arial"/>
                  <w:sz w:val="16"/>
                  <w:szCs w:val="16"/>
                  <w:b w:val="1"/>
                  <w:bCs w:val="1"/>
                  <w:color w:val="0000EE"/>
                </w:rPr>
                <w:t>OTHER INFORMATION</w:t>
              </w:r>
            </w:hyperlink>
          </w:p>
        </w:tc>
        <w:tc>
          <w:tcPr>
            <w:tcW w:w="640" w:type="dxa"/>
            <w:vAlign w:val="bottom"/>
          </w:tcPr>
          <w:p>
            <w:pPr>
              <w:jc w:val="right"/>
              <w:ind w:right="319"/>
              <w:spacing w:after="0"/>
              <w:rPr>
                <w:sz w:val="20"/>
                <w:szCs w:val="20"/>
                <w:color w:val="auto"/>
              </w:rPr>
            </w:pPr>
            <w:r>
              <w:rPr>
                <w:rFonts w:ascii="Arial" w:cs="Arial" w:eastAsia="Arial" w:hAnsi="Arial"/>
                <w:sz w:val="16"/>
                <w:szCs w:val="16"/>
                <w:b w:val="1"/>
                <w:bCs w:val="1"/>
                <w:color w:val="auto"/>
              </w:rPr>
              <w:t>31</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40" w:type="dxa"/>
            <w:vAlign w:val="bottom"/>
            <w:tcBorders>
              <w:bottom w:val="single" w:sz="8" w:color="0000EE"/>
            </w:tcBorders>
            <w:gridSpan w:val="4"/>
          </w:tcPr>
          <w:p>
            <w:pPr>
              <w:spacing w:after="0"/>
              <w:rPr>
                <w:rFonts w:ascii="Arial" w:cs="Arial" w:eastAsia="Arial" w:hAnsi="Arial"/>
                <w:sz w:val="20"/>
                <w:szCs w:val="20"/>
                <w:b w:val="1"/>
                <w:bCs w:val="1"/>
                <w:color w:val="0000EE"/>
                <w:w w:val="93"/>
              </w:rPr>
            </w:pPr>
            <w:hyperlink w:anchor="page34">
              <w:r>
                <w:rPr>
                  <w:rFonts w:ascii="Arial" w:cs="Arial" w:eastAsia="Arial" w:hAnsi="Arial"/>
                  <w:sz w:val="20"/>
                  <w:szCs w:val="20"/>
                  <w:b w:val="1"/>
                  <w:bCs w:val="1"/>
                  <w:color w:val="0000EE"/>
                  <w:w w:val="93"/>
                </w:rPr>
                <w:t>PART III</w:t>
              </w:r>
            </w:hyperlink>
          </w:p>
        </w:tc>
        <w:tc>
          <w:tcPr>
            <w:tcW w:w="60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jc w:val="right"/>
              <w:ind w:right="319"/>
              <w:spacing w:after="0"/>
              <w:rPr>
                <w:sz w:val="20"/>
                <w:szCs w:val="20"/>
                <w:color w:val="auto"/>
              </w:rPr>
            </w:pPr>
            <w:r>
              <w:rPr>
                <w:rFonts w:ascii="Arial" w:cs="Arial" w:eastAsia="Arial" w:hAnsi="Arial"/>
                <w:sz w:val="16"/>
                <w:szCs w:val="16"/>
                <w:b w:val="1"/>
                <w:bCs w:val="1"/>
                <w:color w:val="auto"/>
              </w:rPr>
              <w:t>32</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1020" w:type="dxa"/>
            <w:vAlign w:val="bottom"/>
            <w:gridSpan w:val="7"/>
          </w:tcPr>
          <w:p>
            <w:pPr>
              <w:spacing w:after="0"/>
              <w:rPr>
                <w:rFonts w:ascii="Arial" w:cs="Arial" w:eastAsia="Arial" w:hAnsi="Arial"/>
                <w:sz w:val="16"/>
                <w:szCs w:val="16"/>
                <w:b w:val="1"/>
                <w:bCs w:val="1"/>
                <w:color w:val="0000EE"/>
              </w:rPr>
            </w:pPr>
            <w:hyperlink w:anchor="page34">
              <w:r>
                <w:rPr>
                  <w:rFonts w:ascii="Arial" w:cs="Arial" w:eastAsia="Arial" w:hAnsi="Arial"/>
                  <w:sz w:val="16"/>
                  <w:szCs w:val="16"/>
                  <w:b w:val="1"/>
                  <w:bCs w:val="1"/>
                  <w:color w:val="0000EE"/>
                </w:rPr>
                <w:t>ITEM 10.</w:t>
              </w:r>
            </w:hyperlink>
          </w:p>
        </w:tc>
        <w:tc>
          <w:tcPr>
            <w:tcW w:w="3820" w:type="dxa"/>
            <w:vAlign w:val="bottom"/>
            <w:gridSpan w:val="30"/>
          </w:tcPr>
          <w:p>
            <w:pPr>
              <w:spacing w:after="0"/>
              <w:rPr>
                <w:rFonts w:ascii="Arial" w:cs="Arial" w:eastAsia="Arial" w:hAnsi="Arial"/>
                <w:sz w:val="16"/>
                <w:szCs w:val="16"/>
                <w:b w:val="1"/>
                <w:bCs w:val="1"/>
                <w:color w:val="0000EE"/>
              </w:rPr>
            </w:pPr>
            <w:hyperlink w:anchor="page34">
              <w:r>
                <w:rPr>
                  <w:rFonts w:ascii="Arial" w:cs="Arial" w:eastAsia="Arial" w:hAnsi="Arial"/>
                  <w:sz w:val="16"/>
                  <w:szCs w:val="16"/>
                  <w:b w:val="1"/>
                  <w:bCs w:val="1"/>
                  <w:color w:val="0000EE"/>
                </w:rPr>
                <w:t>DIRECTORS, EXECUTIVE OFFICERS AND</w:t>
              </w:r>
            </w:hyperlink>
          </w:p>
        </w:tc>
        <w:tc>
          <w:tcPr>
            <w:tcW w:w="6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32</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tcBorders>
              <w:top w:val="single" w:sz="8" w:color="0000EE"/>
              <w:bottom w:val="single" w:sz="8" w:color="0000EE"/>
            </w:tcBorders>
            <w:gridSpan w:val="10"/>
          </w:tcPr>
          <w:p>
            <w:pPr>
              <w:spacing w:after="0" w:line="169" w:lineRule="exact"/>
              <w:rPr>
                <w:rFonts w:ascii="Arial" w:cs="Arial" w:eastAsia="Arial" w:hAnsi="Arial"/>
                <w:sz w:val="16"/>
                <w:szCs w:val="16"/>
                <w:b w:val="1"/>
                <w:bCs w:val="1"/>
                <w:color w:val="0000EE"/>
              </w:rPr>
            </w:pPr>
            <w:hyperlink w:anchor="page34">
              <w:r>
                <w:rPr>
                  <w:rFonts w:ascii="Arial" w:cs="Arial" w:eastAsia="Arial" w:hAnsi="Arial"/>
                  <w:sz w:val="16"/>
                  <w:szCs w:val="16"/>
                  <w:b w:val="1"/>
                  <w:bCs w:val="1"/>
                  <w:color w:val="0000EE"/>
                </w:rPr>
                <w:t>CORPORATE GOVERNANCE</w:t>
              </w:r>
            </w:hyperlink>
          </w:p>
        </w:tc>
        <w:tc>
          <w:tcPr>
            <w:tcW w:w="960" w:type="dxa"/>
            <w:vAlign w:val="bottom"/>
            <w:tcBorders>
              <w:top w:val="single" w:sz="8" w:color="0000EE"/>
            </w:tcBorders>
            <w:gridSpan w:val="12"/>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660" w:type="dxa"/>
            <w:vAlign w:val="bottom"/>
            <w:tcBorders>
              <w:bottom w:val="single" w:sz="8" w:color="0000EE"/>
            </w:tcBorders>
            <w:gridSpan w:val="5"/>
          </w:tcPr>
          <w:p>
            <w:pPr>
              <w:spacing w:after="0"/>
              <w:rPr>
                <w:rFonts w:ascii="Arial" w:cs="Arial" w:eastAsia="Arial" w:hAnsi="Arial"/>
                <w:sz w:val="16"/>
                <w:szCs w:val="16"/>
                <w:b w:val="1"/>
                <w:bCs w:val="1"/>
                <w:color w:val="0000EE"/>
                <w:w w:val="95"/>
              </w:rPr>
            </w:pPr>
            <w:hyperlink w:anchor="page34">
              <w:r>
                <w:rPr>
                  <w:rFonts w:ascii="Arial" w:cs="Arial" w:eastAsia="Arial" w:hAnsi="Arial"/>
                  <w:sz w:val="16"/>
                  <w:szCs w:val="16"/>
                  <w:b w:val="1"/>
                  <w:bCs w:val="1"/>
                  <w:color w:val="0000EE"/>
                  <w:w w:val="95"/>
                </w:rPr>
                <w:t>ITEM 11.</w:t>
              </w:r>
            </w:hyperlink>
          </w:p>
        </w:tc>
        <w:tc>
          <w:tcPr>
            <w:tcW w:w="360" w:type="dxa"/>
            <w:vAlign w:val="bottom"/>
            <w:gridSpan w:val="2"/>
          </w:tcPr>
          <w:p>
            <w:pPr>
              <w:spacing w:after="0"/>
              <w:rPr>
                <w:sz w:val="20"/>
                <w:szCs w:val="20"/>
                <w:color w:val="auto"/>
              </w:rPr>
            </w:pPr>
          </w:p>
        </w:tc>
        <w:tc>
          <w:tcPr>
            <w:tcW w:w="2300" w:type="dxa"/>
            <w:vAlign w:val="bottom"/>
            <w:tcBorders>
              <w:bottom w:val="single" w:sz="8" w:color="0000EE"/>
            </w:tcBorders>
            <w:gridSpan w:val="11"/>
          </w:tcPr>
          <w:p>
            <w:pPr>
              <w:spacing w:after="0"/>
              <w:rPr>
                <w:rFonts w:ascii="Arial" w:cs="Arial" w:eastAsia="Arial" w:hAnsi="Arial"/>
                <w:sz w:val="16"/>
                <w:szCs w:val="16"/>
                <w:b w:val="1"/>
                <w:bCs w:val="1"/>
                <w:color w:val="0000EE"/>
              </w:rPr>
            </w:pPr>
            <w:hyperlink w:anchor="page34">
              <w:r>
                <w:rPr>
                  <w:rFonts w:ascii="Arial" w:cs="Arial" w:eastAsia="Arial" w:hAnsi="Arial"/>
                  <w:sz w:val="16"/>
                  <w:szCs w:val="16"/>
                  <w:b w:val="1"/>
                  <w:bCs w:val="1"/>
                  <w:color w:val="0000EE"/>
                </w:rPr>
                <w:t>EXECUTIVE COMPENSATION</w:t>
              </w:r>
            </w:hyperlink>
          </w:p>
        </w:tc>
        <w:tc>
          <w:tcPr>
            <w:tcW w:w="1520" w:type="dxa"/>
            <w:vAlign w:val="bottom"/>
            <w:gridSpan w:val="19"/>
          </w:tcPr>
          <w:p>
            <w:pPr>
              <w:spacing w:after="0"/>
              <w:rPr>
                <w:sz w:val="20"/>
                <w:szCs w:val="20"/>
                <w:color w:val="auto"/>
              </w:rPr>
            </w:pPr>
          </w:p>
        </w:tc>
        <w:tc>
          <w:tcPr>
            <w:tcW w:w="640" w:type="dxa"/>
            <w:vAlign w:val="bottom"/>
          </w:tcPr>
          <w:p>
            <w:pPr>
              <w:jc w:val="right"/>
              <w:ind w:right="319"/>
              <w:spacing w:after="0"/>
              <w:rPr>
                <w:sz w:val="20"/>
                <w:szCs w:val="20"/>
                <w:color w:val="auto"/>
              </w:rPr>
            </w:pPr>
            <w:r>
              <w:rPr>
                <w:rFonts w:ascii="Arial" w:cs="Arial" w:eastAsia="Arial" w:hAnsi="Arial"/>
                <w:sz w:val="16"/>
                <w:szCs w:val="16"/>
                <w:b w:val="1"/>
                <w:bCs w:val="1"/>
                <w:color w:val="auto"/>
              </w:rPr>
              <w:t>32</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660" w:type="dxa"/>
            <w:vAlign w:val="bottom"/>
            <w:gridSpan w:val="5"/>
          </w:tcPr>
          <w:p>
            <w:pPr>
              <w:spacing w:after="0"/>
              <w:rPr>
                <w:rFonts w:ascii="Arial" w:cs="Arial" w:eastAsia="Arial" w:hAnsi="Arial"/>
                <w:sz w:val="16"/>
                <w:szCs w:val="16"/>
                <w:b w:val="1"/>
                <w:bCs w:val="1"/>
                <w:color w:val="0000EE"/>
                <w:w w:val="95"/>
              </w:rPr>
            </w:pPr>
            <w:hyperlink w:anchor="page34">
              <w:r>
                <w:rPr>
                  <w:rFonts w:ascii="Arial" w:cs="Arial" w:eastAsia="Arial" w:hAnsi="Arial"/>
                  <w:sz w:val="16"/>
                  <w:szCs w:val="16"/>
                  <w:b w:val="1"/>
                  <w:bCs w:val="1"/>
                  <w:color w:val="0000EE"/>
                  <w:w w:val="95"/>
                </w:rPr>
                <w:t>ITEM 12.</w:t>
              </w:r>
            </w:hyperlink>
          </w:p>
        </w:tc>
        <w:tc>
          <w:tcPr>
            <w:tcW w:w="360" w:type="dxa"/>
            <w:vAlign w:val="bottom"/>
            <w:gridSpan w:val="2"/>
          </w:tcPr>
          <w:p>
            <w:pPr>
              <w:spacing w:after="0"/>
              <w:rPr>
                <w:sz w:val="20"/>
                <w:szCs w:val="20"/>
                <w:color w:val="auto"/>
              </w:rPr>
            </w:pPr>
          </w:p>
        </w:tc>
        <w:tc>
          <w:tcPr>
            <w:tcW w:w="3820" w:type="dxa"/>
            <w:vAlign w:val="bottom"/>
            <w:gridSpan w:val="30"/>
          </w:tcPr>
          <w:p>
            <w:pPr>
              <w:spacing w:after="0"/>
              <w:rPr>
                <w:rFonts w:ascii="Arial" w:cs="Arial" w:eastAsia="Arial" w:hAnsi="Arial"/>
                <w:sz w:val="16"/>
                <w:szCs w:val="16"/>
                <w:b w:val="1"/>
                <w:bCs w:val="1"/>
                <w:color w:val="0000EE"/>
              </w:rPr>
            </w:pPr>
            <w:hyperlink w:anchor="page34">
              <w:r>
                <w:rPr>
                  <w:rFonts w:ascii="Arial" w:cs="Arial" w:eastAsia="Arial" w:hAnsi="Arial"/>
                  <w:sz w:val="16"/>
                  <w:szCs w:val="16"/>
                  <w:b w:val="1"/>
                  <w:bCs w:val="1"/>
                  <w:color w:val="0000EE"/>
                </w:rPr>
                <w:t>SECURITY OWNERSHIP OF CERTAIN</w:t>
              </w:r>
            </w:hyperlink>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320" w:type="dxa"/>
            <w:vAlign w:val="bottom"/>
            <w:gridSpan w:val="9"/>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6"/>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gridSpan w:val="30"/>
          </w:tcPr>
          <w:p>
            <w:pPr>
              <w:spacing w:after="0" w:line="169" w:lineRule="exact"/>
              <w:rPr>
                <w:rFonts w:ascii="Arial" w:cs="Arial" w:eastAsia="Arial" w:hAnsi="Arial"/>
                <w:sz w:val="16"/>
                <w:szCs w:val="16"/>
                <w:b w:val="1"/>
                <w:bCs w:val="1"/>
                <w:color w:val="0000EE"/>
              </w:rPr>
            </w:pPr>
            <w:hyperlink w:anchor="page34">
              <w:r>
                <w:rPr>
                  <w:rFonts w:ascii="Arial" w:cs="Arial" w:eastAsia="Arial" w:hAnsi="Arial"/>
                  <w:sz w:val="16"/>
                  <w:szCs w:val="16"/>
                  <w:b w:val="1"/>
                  <w:bCs w:val="1"/>
                  <w:color w:val="0000EE"/>
                </w:rPr>
                <w:t>BENEFICIAL OWNERS AND MANAGEMENT AND</w:t>
              </w:r>
            </w:hyperlink>
          </w:p>
        </w:tc>
        <w:tc>
          <w:tcPr>
            <w:tcW w:w="6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32</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60" w:type="dxa"/>
            <w:vAlign w:val="bottom"/>
            <w:tcBorders>
              <w:top w:val="single" w:sz="8" w:color="0000EE"/>
            </w:tcBorders>
            <w:gridSpan w:val="28"/>
          </w:tcPr>
          <w:p>
            <w:pPr>
              <w:spacing w:after="0" w:line="169" w:lineRule="exact"/>
              <w:rPr>
                <w:rFonts w:ascii="Arial" w:cs="Arial" w:eastAsia="Arial" w:hAnsi="Arial"/>
                <w:sz w:val="16"/>
                <w:szCs w:val="16"/>
                <w:b w:val="1"/>
                <w:bCs w:val="1"/>
                <w:color w:val="0000EE"/>
              </w:rPr>
            </w:pPr>
            <w:hyperlink w:anchor="page34">
              <w:r>
                <w:rPr>
                  <w:rFonts w:ascii="Arial" w:cs="Arial" w:eastAsia="Arial" w:hAnsi="Arial"/>
                  <w:sz w:val="16"/>
                  <w:szCs w:val="16"/>
                  <w:b w:val="1"/>
                  <w:bCs w:val="1"/>
                  <w:color w:val="0000EE"/>
                </w:rPr>
                <w:t>RELATED STOCKHOLDER MATTERS</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320" w:type="dxa"/>
            <w:vAlign w:val="bottom"/>
            <w:gridSpan w:val="9"/>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p>
        </w:tc>
        <w:tc>
          <w:tcPr>
            <w:tcW w:w="1020" w:type="dxa"/>
            <w:vAlign w:val="bottom"/>
            <w:gridSpan w:val="7"/>
          </w:tcPr>
          <w:p>
            <w:pPr>
              <w:spacing w:after="0"/>
              <w:rPr>
                <w:rFonts w:ascii="Arial" w:cs="Arial" w:eastAsia="Arial" w:hAnsi="Arial"/>
                <w:sz w:val="16"/>
                <w:szCs w:val="16"/>
                <w:b w:val="1"/>
                <w:bCs w:val="1"/>
                <w:color w:val="0000EE"/>
              </w:rPr>
            </w:pPr>
            <w:hyperlink w:anchor="page34">
              <w:r>
                <w:rPr>
                  <w:rFonts w:ascii="Arial" w:cs="Arial" w:eastAsia="Arial" w:hAnsi="Arial"/>
                  <w:sz w:val="16"/>
                  <w:szCs w:val="16"/>
                  <w:b w:val="1"/>
                  <w:bCs w:val="1"/>
                  <w:color w:val="0000EE"/>
                </w:rPr>
                <w:t>ITEM 13.</w:t>
              </w:r>
            </w:hyperlink>
          </w:p>
        </w:tc>
        <w:tc>
          <w:tcPr>
            <w:tcW w:w="3820" w:type="dxa"/>
            <w:vAlign w:val="bottom"/>
            <w:gridSpan w:val="30"/>
          </w:tcPr>
          <w:p>
            <w:pPr>
              <w:spacing w:after="0"/>
              <w:rPr>
                <w:rFonts w:ascii="Arial" w:cs="Arial" w:eastAsia="Arial" w:hAnsi="Arial"/>
                <w:sz w:val="16"/>
                <w:szCs w:val="16"/>
                <w:b w:val="1"/>
                <w:bCs w:val="1"/>
                <w:color w:val="0000EE"/>
              </w:rPr>
            </w:pPr>
            <w:hyperlink w:anchor="page34">
              <w:r>
                <w:rPr>
                  <w:rFonts w:ascii="Arial" w:cs="Arial" w:eastAsia="Arial" w:hAnsi="Arial"/>
                  <w:sz w:val="16"/>
                  <w:szCs w:val="16"/>
                  <w:b w:val="1"/>
                  <w:bCs w:val="1"/>
                  <w:color w:val="0000EE"/>
                </w:rPr>
                <w:t>CERTAIN RELATIONSHIPS AND RELATED</w:t>
              </w:r>
            </w:hyperlink>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60" w:type="dxa"/>
            <w:vAlign w:val="bottom"/>
            <w:tcBorders>
              <w:top w:val="single" w:sz="8" w:color="0000EE"/>
            </w:tcBorders>
            <w:gridSpan w:val="23"/>
          </w:tcPr>
          <w:p>
            <w:pPr>
              <w:spacing w:after="0" w:line="169" w:lineRule="exact"/>
              <w:rPr>
                <w:rFonts w:ascii="Arial" w:cs="Arial" w:eastAsia="Arial" w:hAnsi="Arial"/>
                <w:sz w:val="16"/>
                <w:szCs w:val="16"/>
                <w:b w:val="1"/>
                <w:bCs w:val="1"/>
                <w:color w:val="0000EE"/>
              </w:rPr>
            </w:pPr>
            <w:hyperlink w:anchor="page34">
              <w:r>
                <w:rPr>
                  <w:rFonts w:ascii="Arial" w:cs="Arial" w:eastAsia="Arial" w:hAnsi="Arial"/>
                  <w:sz w:val="16"/>
                  <w:szCs w:val="16"/>
                  <w:b w:val="1"/>
                  <w:bCs w:val="1"/>
                  <w:color w:val="0000EE"/>
                </w:rPr>
                <w:t>TRANSACTIONS, AND DIRECTOR</w:t>
              </w:r>
            </w:hyperlink>
          </w:p>
        </w:tc>
        <w:tc>
          <w:tcPr>
            <w:tcW w:w="520" w:type="dxa"/>
            <w:vAlign w:val="bottom"/>
            <w:gridSpan w:val="6"/>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32</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b w:val="1"/>
                <w:bCs w:val="1"/>
                <w:color w:val="0000EE"/>
              </w:rPr>
            </w:pPr>
            <w:hyperlink w:anchor="page34">
              <w:r>
                <w:rPr>
                  <w:rFonts w:ascii="Arial" w:cs="Arial" w:eastAsia="Arial" w:hAnsi="Arial"/>
                  <w:sz w:val="16"/>
                  <w:szCs w:val="16"/>
                  <w:b w:val="1"/>
                  <w:bCs w:val="1"/>
                  <w:color w:val="0000EE"/>
                </w:rPr>
                <w:t>INDEPENDENCE</w:t>
              </w:r>
            </w:hyperlink>
          </w:p>
        </w:tc>
        <w:tc>
          <w:tcPr>
            <w:tcW w:w="1320" w:type="dxa"/>
            <w:vAlign w:val="bottom"/>
            <w:tcBorders>
              <w:top w:val="single" w:sz="8" w:color="0000EE"/>
            </w:tcBorders>
            <w:gridSpan w:val="9"/>
          </w:tcPr>
          <w:p>
            <w:pPr>
              <w:spacing w:after="0"/>
              <w:rPr>
                <w:sz w:val="14"/>
                <w:szCs w:val="14"/>
                <w:color w:val="auto"/>
              </w:rPr>
            </w:pPr>
          </w:p>
        </w:tc>
        <w:tc>
          <w:tcPr>
            <w:tcW w:w="1160" w:type="dxa"/>
            <w:vAlign w:val="bottom"/>
            <w:gridSpan w:val="15"/>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660" w:type="dxa"/>
            <w:vAlign w:val="bottom"/>
            <w:tcBorders>
              <w:bottom w:val="single" w:sz="8" w:color="0000EE"/>
            </w:tcBorders>
            <w:gridSpan w:val="5"/>
          </w:tcPr>
          <w:p>
            <w:pPr>
              <w:spacing w:after="0"/>
              <w:rPr>
                <w:rFonts w:ascii="Arial" w:cs="Arial" w:eastAsia="Arial" w:hAnsi="Arial"/>
                <w:sz w:val="16"/>
                <w:szCs w:val="16"/>
                <w:b w:val="1"/>
                <w:bCs w:val="1"/>
                <w:color w:val="0000EE"/>
                <w:w w:val="95"/>
              </w:rPr>
            </w:pPr>
            <w:hyperlink w:anchor="page34">
              <w:r>
                <w:rPr>
                  <w:rFonts w:ascii="Arial" w:cs="Arial" w:eastAsia="Arial" w:hAnsi="Arial"/>
                  <w:sz w:val="16"/>
                  <w:szCs w:val="16"/>
                  <w:b w:val="1"/>
                  <w:bCs w:val="1"/>
                  <w:color w:val="0000EE"/>
                  <w:w w:val="95"/>
                </w:rPr>
                <w:t>ITEM 14.</w:t>
              </w:r>
            </w:hyperlink>
          </w:p>
        </w:tc>
        <w:tc>
          <w:tcPr>
            <w:tcW w:w="360" w:type="dxa"/>
            <w:vAlign w:val="bottom"/>
            <w:gridSpan w:val="2"/>
          </w:tcPr>
          <w:p>
            <w:pPr>
              <w:spacing w:after="0"/>
              <w:rPr>
                <w:sz w:val="20"/>
                <w:szCs w:val="20"/>
                <w:color w:val="auto"/>
              </w:rPr>
            </w:pPr>
          </w:p>
        </w:tc>
        <w:tc>
          <w:tcPr>
            <w:tcW w:w="3780" w:type="dxa"/>
            <w:vAlign w:val="bottom"/>
            <w:tcBorders>
              <w:bottom w:val="single" w:sz="8" w:color="0000EE"/>
            </w:tcBorders>
            <w:gridSpan w:val="29"/>
          </w:tcPr>
          <w:p>
            <w:pPr>
              <w:spacing w:after="0"/>
              <w:rPr>
                <w:rFonts w:ascii="Arial" w:cs="Arial" w:eastAsia="Arial" w:hAnsi="Arial"/>
                <w:sz w:val="16"/>
                <w:szCs w:val="16"/>
                <w:b w:val="1"/>
                <w:bCs w:val="1"/>
                <w:color w:val="0000EE"/>
              </w:rPr>
            </w:pPr>
            <w:hyperlink w:anchor="page34">
              <w:r>
                <w:rPr>
                  <w:rFonts w:ascii="Arial" w:cs="Arial" w:eastAsia="Arial" w:hAnsi="Arial"/>
                  <w:sz w:val="16"/>
                  <w:szCs w:val="16"/>
                  <w:b w:val="1"/>
                  <w:bCs w:val="1"/>
                  <w:color w:val="0000EE"/>
                </w:rPr>
                <w:t>PRINCIPAL ACCOUNTANT FEES AND SERVICES</w:t>
              </w:r>
            </w:hyperlink>
          </w:p>
        </w:tc>
        <w:tc>
          <w:tcPr>
            <w:tcW w:w="40" w:type="dxa"/>
            <w:vAlign w:val="bottom"/>
          </w:tcPr>
          <w:p>
            <w:pPr>
              <w:spacing w:after="0"/>
              <w:rPr>
                <w:sz w:val="20"/>
                <w:szCs w:val="20"/>
                <w:color w:val="auto"/>
              </w:rPr>
            </w:pPr>
          </w:p>
        </w:tc>
        <w:tc>
          <w:tcPr>
            <w:tcW w:w="640" w:type="dxa"/>
            <w:vAlign w:val="bottom"/>
          </w:tcPr>
          <w:p>
            <w:pPr>
              <w:jc w:val="right"/>
              <w:ind w:right="319"/>
              <w:spacing w:after="0"/>
              <w:rPr>
                <w:sz w:val="20"/>
                <w:szCs w:val="20"/>
                <w:color w:val="auto"/>
              </w:rPr>
            </w:pPr>
            <w:r>
              <w:rPr>
                <w:rFonts w:ascii="Arial" w:cs="Arial" w:eastAsia="Arial" w:hAnsi="Arial"/>
                <w:sz w:val="16"/>
                <w:szCs w:val="16"/>
                <w:b w:val="1"/>
                <w:bCs w:val="1"/>
                <w:color w:val="auto"/>
              </w:rPr>
              <w:t>32</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0" w:type="dxa"/>
            <w:vAlign w:val="bottom"/>
          </w:tcPr>
          <w:p>
            <w:pPr>
              <w:spacing w:after="0"/>
              <w:rPr>
                <w:sz w:val="1"/>
                <w:szCs w:val="1"/>
                <w:color w:val="auto"/>
              </w:rPr>
            </w:pPr>
          </w:p>
        </w:tc>
      </w:tr>
      <w:tr>
        <w:trPr>
          <w:trHeight w:val="222"/>
        </w:trPr>
        <w:tc>
          <w:tcPr>
            <w:tcW w:w="3540" w:type="dxa"/>
            <w:vAlign w:val="bottom"/>
            <w:gridSpan w:val="4"/>
          </w:tcPr>
          <w:p>
            <w:pPr>
              <w:spacing w:after="0"/>
              <w:rPr>
                <w:rFonts w:ascii="Arial" w:cs="Arial" w:eastAsia="Arial" w:hAnsi="Arial"/>
                <w:sz w:val="16"/>
                <w:szCs w:val="16"/>
                <w:b w:val="1"/>
                <w:bCs w:val="1"/>
                <w:color w:val="0000EE"/>
              </w:rPr>
            </w:pPr>
            <w:hyperlink w:anchor="page35">
              <w:r>
                <w:rPr>
                  <w:rFonts w:ascii="Arial" w:cs="Arial" w:eastAsia="Arial" w:hAnsi="Arial"/>
                  <w:sz w:val="16"/>
                  <w:szCs w:val="16"/>
                  <w:b w:val="1"/>
                  <w:bCs w:val="1"/>
                  <w:color w:val="0000EE"/>
                </w:rPr>
                <w:t>EXHIBITS AND FINANCIAL STATEMENT</w:t>
              </w:r>
            </w:hyperlink>
          </w:p>
        </w:tc>
        <w:tc>
          <w:tcPr>
            <w:tcW w:w="6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w:t>
            </w:r>
          </w:p>
        </w:tc>
        <w:tc>
          <w:tcPr>
            <w:tcW w:w="0" w:type="dxa"/>
            <w:vAlign w:val="bottom"/>
          </w:tcPr>
          <w:p>
            <w:pPr>
              <w:spacing w:after="0"/>
              <w:rPr>
                <w:sz w:val="1"/>
                <w:szCs w:val="1"/>
                <w:color w:val="auto"/>
              </w:rPr>
            </w:pPr>
          </w:p>
        </w:tc>
      </w:tr>
      <w:tr>
        <w:trPr>
          <w:trHeight w:val="169"/>
        </w:trPr>
        <w:tc>
          <w:tcPr>
            <w:tcW w:w="3080" w:type="dxa"/>
            <w:vAlign w:val="bottom"/>
            <w:tcBorders>
              <w:top w:val="single" w:sz="8" w:color="0000EE"/>
            </w:tcBorders>
            <w:gridSpan w:val="3"/>
          </w:tcPr>
          <w:p>
            <w:pPr>
              <w:spacing w:after="0" w:line="169" w:lineRule="exact"/>
              <w:rPr>
                <w:rFonts w:ascii="Arial" w:cs="Arial" w:eastAsia="Arial" w:hAnsi="Arial"/>
                <w:sz w:val="16"/>
                <w:szCs w:val="16"/>
                <w:b w:val="1"/>
                <w:bCs w:val="1"/>
                <w:color w:val="0000EE"/>
              </w:rPr>
            </w:pPr>
            <w:hyperlink w:anchor="page35">
              <w:r>
                <w:rPr>
                  <w:rFonts w:ascii="Arial" w:cs="Arial" w:eastAsia="Arial" w:hAnsi="Arial"/>
                  <w:sz w:val="16"/>
                  <w:szCs w:val="16"/>
                  <w:b w:val="1"/>
                  <w:bCs w:val="1"/>
                  <w:color w:val="0000EE"/>
                </w:rPr>
                <w:t>SCHEDULES</w:t>
              </w:r>
            </w:hyperlink>
          </w:p>
        </w:tc>
        <w:tc>
          <w:tcPr>
            <w:tcW w:w="4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gridSpan w:val="4"/>
          </w:tcPr>
          <w:p>
            <w:pPr>
              <w:spacing w:after="0"/>
              <w:rPr>
                <w:sz w:val="20"/>
                <w:szCs w:val="20"/>
                <w:color w:val="auto"/>
              </w:rPr>
            </w:pPr>
            <w:r>
              <w:rPr>
                <w:rFonts w:ascii="Arial" w:cs="Arial" w:eastAsia="Arial" w:hAnsi="Arial"/>
                <w:sz w:val="16"/>
                <w:szCs w:val="16"/>
                <w:b w:val="1"/>
                <w:bCs w:val="1"/>
                <w:color w:val="0000EE"/>
              </w:rPr>
              <w:t>FORM 10-K SUMMARY</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0" w:type="dxa"/>
            <w:vAlign w:val="bottom"/>
          </w:tcPr>
          <w:p>
            <w:pPr>
              <w:spacing w:after="0"/>
              <w:rPr>
                <w:sz w:val="1"/>
                <w:szCs w:val="1"/>
                <w:color w:val="auto"/>
              </w:rPr>
            </w:pPr>
          </w:p>
        </w:tc>
      </w:tr>
      <w:tr>
        <w:trPr>
          <w:trHeight w:val="541"/>
        </w:trPr>
        <w:tc>
          <w:tcPr>
            <w:tcW w:w="10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bl>
    <w:p>
      <w:pPr>
        <w:sectPr>
          <w:pgSz w:w="11900" w:h="16838" w:orient="portrait"/>
          <w:cols w:equalWidth="0" w:num="2">
            <w:col w:w="7000" w:space="200"/>
            <w:col w:w="4160"/>
          </w:cols>
          <w:pgMar w:left="240" w:top="459" w:right="29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Item 1 - Business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Part 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43"/>
          <w:szCs w:val="43"/>
          <w:color w:val="auto"/>
        </w:rPr>
        <w:t>PART I</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 BUSINESS</w:t>
      </w:r>
    </w:p>
    <w:p>
      <w:pPr>
        <w:spacing w:after="0" w:line="185"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General</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Martin Marietta Materials, Inc. (the “Company” or “Martin Marietta”) is a natural resource-based building materials company. The Company supplies aggregates (crushed stone, sand and gravel) through its network of more than 300 quarries, mines and distribution yards to customers in 31 states, Canada, the Bahamas and the Caribbean Islands. In the western United States, Martin Marietta also provides cement and downstream products, namely, ready mixed concrete, asphalt and paving services in markets where the Company has a leading aggregates position. Specifically, the Company has two cement plants in Texas, and ready mixed concrete and asphalt operations in Texas, Colorado, Louisiana and Arkansas. Paving services are exclusively in Colorado. The Company’s heavy-side building materials are used in infrastructure, nonresidential and residential construction projects. Aggregates are also used in agricultural, utility and environmental applications and as railroad ballast. The aggregates, cement, ready mixed concrete, asphalt and paving product lines are reported collectively as the “Building Materials” business. The Company also operates a Magnesia Specialties business with production facilities in Michigan and Ohio. The Magnesia Specialties business produces magnesia-based chemicals products which are used in industrial, agricultural and environmental applications. It also produces dolomitic lime sold primarily to customers in the steel and mining industries. Magnesia Specialties’ products are shipped to customers worldwide.</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was formed in 1993 as a North Carolina corporation to serve as successor to the operations of the materials group of the organization that is now Lockheed Martin Corporation. An initial public offering of a portion of the Company’s Common Stock was completed in 1994, followed by a tax-free exchange transaction in 1996 that resulted in 100% of the Company’s Common Stock being publicly traded.</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completed over 90 smaller acquisitions from the time of its initial public offering until the present, which allowed the Company to enhance and expand its aggregates-led presence in the building materials marketplace. This included an exchange of certain assets in 2011 with Lafarge North America Inc. (“Lafarge”), pursuant to which it received aggregates quarry sites, ready mixed concrete and asphalt plants, and a road paving business in and around the metropolitan Denver, Colorado, and the I-25 corridor, in exchange for which Lafarge received properties consisting of quarries, an asphalt plant and distribution yards operated by the Company along the Mississippi River (called the Company’s “River District Operations”) and a cash payment.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business has developed further through the following transactions over the past five years.</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2014, the Company completed the acquisition of Texas Industries, Inc. (“TXI”), further augmenting its position as a leading supplier of aggregates and heavy building materials. TXI, as a stand-alone entity, was a leading supplier of heavy construction materials in the southwestern United States and a major supplier of natural aggregates and ready mixed concrete in Texas, northern Louisiana and, to a lesser extent, in Oklahoma and Arkansas. TXI was the largest supplier of cement, ready mixed concrete, and concrete products in Texas. TXI enhanced the Company’s position as an aggregates-led, low-cost operator in large and fast-growing geographies in the United States and provided high-quality assets in cement and ready mixed concrete.</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to the cement operations, the Company acquired as part of the TXI acquisition nine quarries and six aggregates distribution terminals located in Texas, Louisiana and Oklahoma. The Company also acquired approximately 120 ready mixed concrete plants, situated primarily in three areas of Texas (the Dallas/Fort Worth/Denton area of north Texas; the Austin area of central Texas; and from Beaumont to Texarkana in east Texas), in north and central Louisiana and in Southwestern Arkansas. As part of an agreement in conjunction with the United States Department of Justice’s review of the transaction, the Company divested its North Troy Quarry in Oklahoma and two related rail distribution yards in Dallas and Frisco, Texas.</w:t>
      </w:r>
    </w:p>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TXI was also a cement producer in California. In 2015, the Company divested its California cement operations acquired from TXI. These operations were not in close proximity to aggregates and other core assets of the Company and, unlike other marketplace competitors, were not vertically integrated with ready mixed concrete production. The divestiture primarily included a cement plant, two distribution terminals, mobile equipment, intangible assets and inventory. The Company also completed the integration of the TXI operations in 2015, and completed three smaller acquisitions, which included three aggregates operations and related assets.</w:t>
      </w:r>
    </w:p>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2016, the Company acquired aggregates, ready mixed concrete and asphalt and paving operations in southern Colorado that provided more than 500 million tons of mineral reserves and expanded the Company’s presence along the Front Range of the Rocky Mountains, home to 80% of Colorado’s population. The Company also acquired the remaining interest it had not previously owned in a ready mixed concrete company that serves the I-35 corridor in central Texas between Dallas and Austin, which enhanced the Company’s position and provided additional vertical integration benefits with the Company’s cement product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206375</wp:posOffset>
            </wp:positionV>
            <wp:extent cx="411480" cy="248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324" w:lineRule="exact"/>
        <w:rPr>
          <w:sz w:val="20"/>
          <w:szCs w:val="20"/>
          <w:color w:val="auto"/>
        </w:rPr>
      </w:pPr>
    </w:p>
    <w:tbl>
      <w:tblPr>
        <w:tblLayout w:type="fixed"/>
        <w:tblInd w:w="9980" w:type="dxa"/>
        <w:tblCellMar>
          <w:top w:w="0" w:type="dxa"/>
          <w:left w:w="0" w:type="dxa"/>
          <w:bottom w:w="0" w:type="dxa"/>
          <w:right w:w="0" w:type="dxa"/>
        </w:tblCellMar>
      </w:tblPr>
      <w:tr>
        <w:trPr>
          <w:trHeight w:val="168"/>
        </w:trPr>
        <w:tc>
          <w:tcPr>
            <w:tcW w:w="1180" w:type="dxa"/>
            <w:vAlign w:val="bottom"/>
          </w:tcPr>
          <w:p>
            <w:pPr>
              <w:spacing w:after="0"/>
              <w:rPr>
                <w:sz w:val="20"/>
                <w:szCs w:val="20"/>
                <w:color w:val="auto"/>
              </w:rPr>
            </w:pPr>
            <w:r>
              <w:rPr>
                <w:rFonts w:ascii="Arial" w:cs="Arial" w:eastAsia="Arial" w:hAnsi="Arial"/>
                <w:sz w:val="13"/>
                <w:szCs w:val="13"/>
                <w:color w:val="007CBA"/>
              </w:rPr>
              <w:t>2018 FORM 10-K</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1</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Part I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Item 1 - Business</w:t>
      </w: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2018, the Company completed the acquisition of Bluegrass Materials Company (“Bluegrass”), the largest privately held, pure-play aggregates business in the United States. With a portfolio of 22 active sites acquired by the Company, the operations provided more than 2.2 billion tons, or 125 years, of strategically-located, high-quality reserves, in Georgia, South Carolina, Tennessee, Maryland, Kentucky and Pennsylvania. These operations complement the Company’s existing southeastern footprint in its Mid-America and Southeast Groups and provide a new growth platform within Maryland and Kentucky. The Company has surpassed its $15 million run rate synergy target.</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Between 2001 and 2018, the Company disposed of or idled a number of underperforming operations, including aggregates, ready mixed concrete, trucking, and asphalt and road paving operations of its Building Materials business and the refractories business of its Magnesia Specialties business. In some of its divestitures, the Company concurrently entered into supply agreements to provide aggregates at market rates to certain of these divested businesses. During 2015, the Company disposed of certain non-core asphalt operations in San Antonio, Texas and divested its California cement operations. Divestitures in 2018 also included those required as part of the governmental approval associated with the acquisition of Bluegrass, consisting of one site owned by Bluegrass and one site operated by the Company. The Company will continue to evaluate opportunities to divest underperforming assets, if appropriate, during 2019 consistent with its strategic plan and in an effort to redeploy capital for other opportunities.</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Business Segment Information</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conducts its Building Materials business through three reportable segments, organized by geography: Mid-America Group, Southeast Group and West Group. The Mid-America and Southeast Groups provide aggregates products only. The West Group provides aggregates, cement and downstream products. Our top 10 states accounted for 85% of the Building Materials business total revenues in 2018: Texas, Colorado, North Carolina, Georgia, Iowa, Florida, South Carolina, Indiana, Maryland and Nebraska. The Company also has the Magnesia Specialties segment, which includes its magnesia-based chemicals and dolomitic lime businesses.</w:t>
      </w:r>
    </w:p>
    <w:p>
      <w:pPr>
        <w:spacing w:after="0" w:line="130"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Building Materials Business</w:t>
      </w:r>
    </w:p>
    <w:p>
      <w:pPr>
        <w:spacing w:after="0" w:line="15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This section describes the product lines of the Building Materials business undertaken by the Company within its Mid-America Group, Southeast Group, and West Group. The Company operates its aggregates product line of business in all of these geographic segments within its Building Materials business. In 2018, the aggregates product line represented 61% of the Company’s consolidated total revenues. The Company’s cement, ready mixed concrete, and asphalt and paving operations are conducted within the Company’s West Group, with its two cement plants in Texas, and the remaining ready mixed concrete and asphalt product lines in Texas, Colorado, Louisiana, and Arkansas. Paving services are exclusively in Colorado. The Company’s cement product line is described below and in greater detail in the next section.</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Building Materials business serves customers in the construction marketplace. The business’ profitability is sensitive to national, regional and local economic conditions and cyclical swings in construction spending, which are in turn affected by fluctuations in levels of public-sector infrastructure funding; interest rates; access to capital markets; and demographic, geographic, employment and population dynamics. The heavy-side construction business, inclusive of much of the Company’s operations, is conducted outdoors. Therefore, precipitation and other weather-related conditions, including flooding, hurricanes, snowstorms and droughts, can significantly affect production schedules, shipments, costs, efficiencies and profitability. Generally, the financial results for the first and fourth quarters are subject to the impacts of winter weather, while the second and third quarters are subject to the impacts of heavy precipitation.</w:t>
      </w:r>
    </w:p>
    <w:p>
      <w:pPr>
        <w:spacing w:after="0" w:line="16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Aggregates are an engineered, granular material consisting of crushed stone, sand and gravel of varying mineralogies, manufactured to specific sizes, grades and chemistry for use primarily in construction applications. The Company’s operations consist primarily of open pit quarries; however, the Company is the largest operator of underground aggregates mines in the United States with 14 active underground mines located in the Mid-America Group. On average, the Company’s aggregates reserves exceed 75 years based on normalized production levels and approximate 100 years at current production rates.</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Cement is the basic binding agent used to bind water, aggregates and sand, in the production of ready mixed concrete. The Company has a strategic and leading cement position in Texas, with production facilities in Midlothian, Texas, south of Dallas/Fort Worth, and Hunter, Texas, north of San Antonio. These plants produce Portland and specialty cements, have a combined annual capacity of 4.5 million tons, and operated at 75% to 80% utilization in 2018. The Midlothian plant permit allows the Company to expand production by up to 800,000 additional tons. In addition to the two production facilities, the Company operates four cement distribution terminals. Calcium carbonate in the form of limestone is the principal raw material used in the production of cement. The Company owns more than 600 million tons of limestone reserves adjacent to its cement production plants.</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Ready mixed concrete, a mixture primarily of cement, water, aggregates, and sand, is measured in cubic yards and specifically batched or produced for customers’ construction projects and then transported and poured at the project site. The aggregates used for ready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80010</wp:posOffset>
            </wp:positionV>
            <wp:extent cx="411480" cy="248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007CBA"/>
        </w:rPr>
        <w:t>2018 FORM 10-K</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ind w:left="9700"/>
        <w:spacing w:after="0" w:line="276" w:lineRule="exact"/>
        <w:rPr>
          <w:sz w:val="20"/>
          <w:szCs w:val="20"/>
          <w:color w:val="auto"/>
        </w:rPr>
      </w:pPr>
      <w:r>
        <w:rPr>
          <w:rFonts w:ascii="Arial" w:cs="Arial" w:eastAsia="Arial" w:hAnsi="Arial"/>
          <w:sz w:val="13"/>
          <w:szCs w:val="13"/>
          <w:color w:val="auto"/>
        </w:rPr>
        <w:t xml:space="preserve">Item 1 - Business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Part I</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mixed concrete is a washed material with limited amounts of fines (such as dirt and clay). The Company operates 140 ready mix plants in Texas, Colorado, Louisiana and Arkansas. Asphalt is most commonly used in surfacing roads and parking lots and consists of liquid asphalt, or bitumen, the binding medium, and aggregates. Similar to ready mixed concrete, each asphalt batch is produced to customer specifications. The Company’s asphalt operations are located primarily in Colorado; additionally, paving services are offered in Colorado. Market dynamics for these downstream product lines include a highly competitive environment and lower barriers to entry compared with aggregates and cement.</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Building Materials business markets its products primarily to the construction industry, with 39% of the aggregates product line shipments in 2018 made to contractors in connection with highway and other public infrastructure projects and the balance of its shipments made primarily to contractors in connection with nonresidential and residential construction projects. The Company believes public-works projects have historically accounted for approximately 50% of the total annual aggregates and cement consumption in the United States. Therefore, these businesses benefit from public-works construction projects. The Company also believes exposure to fluctuations in nonresidential and residential, or private-sector, construction spending is lessened by the business’ mix of public sector-related shipments.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a result of dependence upon the construction industry, the profitability of aggregates and cement producers is sensitive to national, regional and local economic conditions, and particularly to cyclical swings in construction spending, which is affected by fluctuations in interest rates, demographic and population shifts, and changes in the level of infrastructure spending funded by the public sector.</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 xml:space="preserve">The federal highway bill provides annual funding for public-sector highway construction projects. After a decade of 36 short-term funding provisions since the expiration of the prior federal highway bill, </w:t>
      </w:r>
      <w:r>
        <w:rPr>
          <w:rFonts w:ascii="Arial" w:cs="Arial" w:eastAsia="Arial" w:hAnsi="Arial"/>
          <w:sz w:val="16"/>
          <w:szCs w:val="16"/>
          <w:i w:val="1"/>
          <w:iCs w:val="1"/>
          <w:color w:val="auto"/>
        </w:rPr>
        <w:t>Moving Ahead for Progress in the 21</w:t>
      </w:r>
      <w:r>
        <w:rPr>
          <w:rFonts w:ascii="Arial" w:cs="Arial" w:eastAsia="Arial" w:hAnsi="Arial"/>
          <w:sz w:val="27"/>
          <w:szCs w:val="27"/>
          <w:i w:val="1"/>
          <w:iCs w:val="1"/>
          <w:color w:val="auto"/>
          <w:vertAlign w:val="superscript"/>
        </w:rPr>
        <w:t>st</w:t>
      </w:r>
      <w:r>
        <w:rPr>
          <w:rFonts w:ascii="Arial" w:cs="Arial" w:eastAsia="Arial" w:hAnsi="Arial"/>
          <w:sz w:val="16"/>
          <w:szCs w:val="16"/>
          <w:color w:val="auto"/>
        </w:rPr>
        <w:t xml:space="preserve"> </w:t>
      </w:r>
      <w:r>
        <w:rPr>
          <w:rFonts w:ascii="Arial" w:cs="Arial" w:eastAsia="Arial" w:hAnsi="Arial"/>
          <w:sz w:val="16"/>
          <w:szCs w:val="16"/>
          <w:i w:val="1"/>
          <w:iCs w:val="1"/>
          <w:color w:val="auto"/>
        </w:rPr>
        <w:t>Century</w:t>
      </w:r>
      <w:r>
        <w:rPr>
          <w:rFonts w:ascii="Arial" w:cs="Arial" w:eastAsia="Arial" w:hAnsi="Arial"/>
          <w:sz w:val="16"/>
          <w:szCs w:val="16"/>
          <w:color w:val="auto"/>
        </w:rPr>
        <w:t xml:space="preserve"> (“MAP-21”), the five-year, $305 billion highway bill, </w:t>
      </w:r>
      <w:r>
        <w:rPr>
          <w:rFonts w:ascii="Arial" w:cs="Arial" w:eastAsia="Arial" w:hAnsi="Arial"/>
          <w:sz w:val="16"/>
          <w:szCs w:val="16"/>
          <w:i w:val="1"/>
          <w:iCs w:val="1"/>
          <w:color w:val="auto"/>
        </w:rPr>
        <w:t>Fixing America’s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Surface Transportation Act </w:t>
      </w:r>
      <w:r>
        <w:rPr>
          <w:rFonts w:ascii="Arial" w:cs="Arial" w:eastAsia="Arial" w:hAnsi="Arial"/>
          <w:sz w:val="16"/>
          <w:szCs w:val="16"/>
          <w:color w:val="auto"/>
        </w:rPr>
        <w:t>(the “FAST Act” or the “Act”), was signed into law on December 4, 2015. The FAST Act reauthorizes federal highway and public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transportation programs and stabilizes the Highway Trust Fund. The FAST Act retains the programs supported under the predecessor bill, MAP-21, but with some changes. Specifically, </w:t>
      </w:r>
      <w:r>
        <w:rPr>
          <w:rFonts w:ascii="Arial" w:cs="Arial" w:eastAsia="Arial" w:hAnsi="Arial"/>
          <w:sz w:val="16"/>
          <w:szCs w:val="16"/>
          <w:i w:val="1"/>
          <w:iCs w:val="1"/>
          <w:color w:val="auto"/>
        </w:rPr>
        <w:t>Transportation Infrastructure and Innovation Act</w:t>
      </w:r>
      <w:r>
        <w:rPr>
          <w:rFonts w:ascii="Arial" w:cs="Arial" w:eastAsia="Arial" w:hAnsi="Arial"/>
          <w:sz w:val="16"/>
          <w:szCs w:val="16"/>
          <w:color w:val="auto"/>
        </w:rPr>
        <w:t xml:space="preserve"> (“TIFIA”), a U.S. Department of Transportation (“DOT”) alternative funding mechanism, which under MAP-21 provided three types of federal credit assistance for nationally or regionally significant surface transportation projects, now allows more diversification of projects. TIFIA is designed to fill market gaps and leverage substantial private co-investment by providing projects with supplemental or subordinate debt that is not subject to national debt ceiling challenges or sequestration. Since inception, TIFIA has provided more than $25 billion of credit assistance to over 50 projects representing over $90 billion in infrastructure investment. Under the FAST Act, TIFIA annual funding ranges from $275 million to $300 million and no longer requires the 20% matching funds from state DOTs. Consequently, states can advance construction projects immediately with potentially zero upfront outlay of local state DOT dollars. TIFIA requires projects to have a revenue source to pay back the credit assistance within a 30 to 40 year period. The TIFIA program has the ability to significantly leverage construction dollars. Private investment in transportation projects funded through the TIFIA program is particularly attractive, in part due to the subordination of public investment to private. Management believes TIFIA could provide a substantial boost for state DOT construction programs well above what is currently budgeted. As of January 2019, TIFIA financed projects for the Company’s top five sales-generating states (Texas, Colorado, North Carolina, Georgia, and Iowa) exceeded $30 billion since the inception of the program, with TIFIA assistance for such projects exceeding $8 billion, according to TIFIA.</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Public infrastructure activity has not yet experienced the anticipated benefits from funding provided by the FAST Act and the TIFIA program. State and local initiatives that support infrastructure funding, including gas tax increases and other ballot initiatives, are increasing in size and number as these governments recognize the need to play an expanded role in public infrastructure funding. Management believes that funding at the state level will grow at a faster rate than federal funding. State spending on infrastructure generally leads to increased growth opportunities for the Company. The pace of construction should accelerate and shipments to the public infrastructure market should return to historical levels as monies from both the federal government and state and local governments become available. A return to historical shipment volumes should be facilitated by state DOTs and contractors as they address their respective labor constraints. The level of state public-works spending is varied across the nation and dependent upon individual state economies. The degree to which the Company could be affected by a reduction or slowdown in infrastructure spending varies by state. The state economies of the Building Materials business’ five largest sales-generating states may disproportionately affect the Company’s financial performance.</w:t>
      </w:r>
    </w:p>
    <w:p>
      <w:pPr>
        <w:spacing w:after="0" w:line="1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federal highway bill provides spending authorizations, which represent the maximum financial obligation that will result from the immediate or future outlays of federal funds for highway and transit programs. The federal government’s surface transportation programs are financed mostly through the receipts of highway user taxes placed in the Highway Trust Fund, which is divided into the Highway Account and the Mass Transit Account. Revenues credited to the Highway Trust Fund are primarily derived from a federal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84455</wp:posOffset>
            </wp:positionV>
            <wp:extent cx="411480" cy="248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32" w:lineRule="exact"/>
        <w:rPr>
          <w:sz w:val="20"/>
          <w:szCs w:val="20"/>
          <w:color w:val="auto"/>
        </w:rPr>
      </w:pPr>
    </w:p>
    <w:tbl>
      <w:tblPr>
        <w:tblLayout w:type="fixed"/>
        <w:tblInd w:w="9980" w:type="dxa"/>
        <w:tblCellMar>
          <w:top w:w="0" w:type="dxa"/>
          <w:left w:w="0" w:type="dxa"/>
          <w:bottom w:w="0" w:type="dxa"/>
          <w:right w:w="0" w:type="dxa"/>
        </w:tblCellMar>
      </w:tblPr>
      <w:tr>
        <w:trPr>
          <w:trHeight w:val="168"/>
        </w:trPr>
        <w:tc>
          <w:tcPr>
            <w:tcW w:w="1180" w:type="dxa"/>
            <w:vAlign w:val="bottom"/>
          </w:tcPr>
          <w:p>
            <w:pPr>
              <w:spacing w:after="0"/>
              <w:rPr>
                <w:sz w:val="20"/>
                <w:szCs w:val="20"/>
                <w:color w:val="auto"/>
              </w:rPr>
            </w:pPr>
            <w:r>
              <w:rPr>
                <w:rFonts w:ascii="Arial" w:cs="Arial" w:eastAsia="Arial" w:hAnsi="Arial"/>
                <w:sz w:val="13"/>
                <w:szCs w:val="13"/>
                <w:color w:val="007CBA"/>
              </w:rPr>
              <w:t>2018 FORM 10-K</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3</w:t>
            </w: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Part I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Item 1 - Business</w:t>
      </w:r>
    </w:p>
    <w:p>
      <w:pPr>
        <w:spacing w:after="0" w:line="22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tax, a federal tax on certain other motor fuels and interest on the accounts’ accumulated balances. Of the currently imposed federal gas tax of $0.184 per gallon, which has been static since 1993, $0.15 is allocated to the Highway Account of the Highway Trust Fund.</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Transportation investments generally boost the national economy by enhancing mobility and access and by creating jobs, which is a priority of many of the government’s economic plans. According to the Federal Highway Administration, every $1 billion in federal highway investment creates approximately 28,000 jobs. The number of jobs created is often dependent on the nature and aggregates intensity of the projects. Approximately half of the Building Materials business’ total revenues from the infrastructure end-use market come from federal funding authorizations, including matching funds from the states. For each dollar spent on road, highway and bridge improvements, the Federal Highway Administration estimates an average benefit of $5.20 is recognized in the form of reduced vehicle maintenance costs, reduced delays, reduced fuel consumption, improved safety, reduced road and bridge maintenance costs and reduced emissions as a result of improved traffic flow.</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Company’s Building Materials business covers a wide geographic area. The five largest sales-generating states (Texas, Colorado, North Carolina, Georgia, and Iowa) for the Building Materials business accounted for 72% of total revenues by state of destination in 2018. The Company’s Building Materials business is accordingly affected by the economies in these regions and has been adversely affected in part by recessions and weaknesses in these economies from time to time. Recent improvements in the national economy and in some of the states in which the Company operates have led to improvements in profitability in the Company’s Building Materials business.</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Natural aggregates sources can be found in relatively homogeneous deposits in certain areas of the United States. As a general rule, truck shipments from an individual quarry are limited because the cost of transporting processed aggregates to customers is high in relation to the price of the product itself. As described below, the Company’s distribution system mainly uses trucks, but also has access to a river barge and ocean vessel network where the per-mile unit cost of transporting aggregates is much lower. In addition, acquisitions have enabled the Company to extend its customer base through increased access to rail transportation. Proximity of quarry facilities to customers or to long-haul transportation corridors is an important factor in competition for aggregates businesses.</w:t>
      </w:r>
    </w:p>
    <w:p>
      <w:pPr>
        <w:spacing w:after="0" w:line="3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Product shipments are moved by rail, water and truck through the Company’s long-haul distribution network. The Company’s rail network primarily serves its Texas, Florida, Colorado and Gulf Coast markets while the Company’s Bahamas and Nova Scotia locations transport materials via oceangoing ships. The Company’s strategic focus includes expanding inland and offshore capacity and acquiring distribution facilities and port locations to offload transported material. At December 31, 2018, the distribution network available to the Company consisted of 98 distribution facilities. The long-haul distribution network can diversify market risk for locations that engage in long-haul transportation of their aggregates products. Particularly where a producing quarry serves a local market and transports products via rail, water and/or truck to be sold in other markets, the risk of a downturn in one market may be somewhat mitigated by other markets served by the location.</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generally acquires contiguous property around existing quarry locations. This property can serve as buffer property or additional mineral reserve capacity, assuming the underlying geology supports economical aggregates mining. In either instance, the acquisition of additional property around an existing quarry allows the expansion of the quarry footprint and extension of quarry life. Some locations having limited reserves may be unable to expand.</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 long-term capital focus for the Company, primarily in the midwestern United States due to the nature of its indigenous aggregates supply, is underground limestone aggregates mines. The Company operates 14 active underground mines, located in the Mid-America Group, and is the largest operator of underground limestone aggregate mines in the United States. Production costs are generally higher at underground mines than surface quarries since the depth of the aggregate deposits and the access to the reserves result in higher costs related to development, explosives and depreciation costs. However, these locations often possess transportation advantages that can lead to higher average selling prices than more distant surface quarries.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Company’s acquisitions and capital projects have expanded its ability to move material by rail. The Company has added additional capacity in a number of locations that can now accommodate larger unit train movements. These expansion projects have enhanced the Company’s long-haul distribution network. The Company’s process improvement efforts have also improved operational effectiveness through plant automation, mobile fleet modernization, right-sizing and other cost control improvements. Accordingly, the Company has enhanced its reach through its ability to provide cost-effective coverage of coastal markets on the east and gulf coasts, as well as geographic areas that can be accessed economically by the Company’s expanded distribution system. This distribution network moves aggregates materials from domestic and offshore sources, via rail and water, to markets where aggregates supply is limited.</w:t>
      </w:r>
    </w:p>
    <w:p>
      <w:pPr>
        <w:spacing w:after="0" w:line="16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 the Company continues to move more aggregates by rail and water, internal freight costs are expected to reduce gross margin. This typically occurs where the Company transports aggregates from a production location to a distribution location by rail or water,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80010</wp:posOffset>
            </wp:positionV>
            <wp:extent cx="411480" cy="248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3"/>
          <w:szCs w:val="13"/>
          <w:b w:val="1"/>
          <w:bCs w:val="1"/>
          <w:color w:val="auto"/>
        </w:rPr>
      </w:pPr>
      <w:r>
        <w:rPr>
          <w:rFonts w:ascii="Arial" w:cs="Arial" w:eastAsia="Arial" w:hAnsi="Arial"/>
          <w:sz w:val="13"/>
          <w:szCs w:val="13"/>
          <w:color w:val="007CBA"/>
        </w:rPr>
        <w:t>2018 FORM 10-K</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ind w:left="9700"/>
        <w:spacing w:after="0" w:line="276" w:lineRule="exact"/>
        <w:rPr>
          <w:sz w:val="20"/>
          <w:szCs w:val="20"/>
          <w:color w:val="auto"/>
        </w:rPr>
      </w:pPr>
      <w:r>
        <w:rPr>
          <w:rFonts w:ascii="Arial" w:cs="Arial" w:eastAsia="Arial" w:hAnsi="Arial"/>
          <w:sz w:val="13"/>
          <w:szCs w:val="13"/>
          <w:color w:val="auto"/>
        </w:rPr>
        <w:t xml:space="preserve">Item 1 - Business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Part I</w:t>
      </w: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customer pays a selling price that includes a freight component. Margins are negatively affected because the Company typically does not charge the customer a profit associated with the transportation component of the selling price of the materials. Moreover, the Company’s expansion of its rail-based distribution network, coupled with the extensive use of rail service in the Southeast and West Groups, increases the Company’s dependence on and exposure to railroad performance, including track congestion, crew availability, railcar availability, and locomotive availability, and the ability to renegotiate favorable railroad shipping contracts. The waterborne distribution network, primarily located within the Southeast Group, also increases the Company’s exposure to certain risks, including, among other items, meeting minimum tonnage requirements of shipping contracts, demurrage costs, fuel costs, ship availability and weather disruptions. The Company has long-term agreements with shipping companies to provide ships to transport the Company’s aggregates to various coastal ports.</w:t>
      </w:r>
    </w:p>
    <w:p>
      <w:pPr>
        <w:spacing w:after="0" w:line="37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Company’s long-term shipping contracts for shipment by water are generally take-or-pay contracts with minimum and maximum shipping requirements. These contracts have varying expiration dates ranging from 2023 to 2027 and generally contain renewal options. However, there can be no assurance that these contracts can be renewed upon expiration or that terms will continue without significant increases. If the Company fails to ship the annual minimum tonnages under the agreement, it is still obligated to pay the shipping company the contractually-stated minimum amount for that year. In 2018, the Company did not incur these freight costs; however a charge is possible in 2019 if shipment volumes do not meet the contractually-stated minimums.</w:t>
      </w:r>
    </w:p>
    <w:p>
      <w:pPr>
        <w:spacing w:after="0" w:line="16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From time to time, the Company has experienced rail transportation shortages, particularly in the Southwest and Southeast. These shortages were caused by the downsizing in personnel and equipment by certain railroads during economic downturns. Historically, in response to these issues, rail transportation providers focused on increasing the number of cars per unit train under transportation contracts and generally required customers, through the freight rate structure, to accommodate larger unit train movements. A unit train is a freight train moving large tonnages of a single bulk product between two points without intermediate yarding and switching. Certain of the Company’s sales yards have the system capabilities to meet the unit train requirements. Over the last few years, the Company has made capital improvements to a number of its sales yards in order to better accommodate unit train unloadings. Rail availability is seasonal and can impact aggregates shipments depending on competing demands for rail service.</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More recently some railroads have begun emphasizing Precision Scheduled Railroading(“PSR”), which is focused on minimizing railcar dwell time and utilizing general purpose trains by blending existing train services. The Company does not expect the railroads’ shift to PSR to materially impact its operations in 2019. However, if the railroads do not efficiently execute on this change, it could disrupt shipment volumes for the Company.</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From time to time, we have also experienced rail and trucking shortages due to competition from other products. If there are material changes in the availability or cost of rail or trucking services, we may not be able to arrange alternative and timely means to ship our products at a reasonable cost, which could lead to interruptions or slowdowns in our businesses or increases in our costs.</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management expects the multiple transportation modes that have been developed with various rail carriers and via deep-water ships should provide the Company with the flexibility to effectively serve customers in the Southwest and Southeast coastal markets.</w:t>
      </w:r>
    </w:p>
    <w:p>
      <w:pPr>
        <w:spacing w:after="0" w:line="15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construction aggregates industry has been consolidating, and the Company has actively participated in the consolidation of the industry. When acquired, new locations sometimes do not satisfy the Company’s internal safety, maintenance and pit development standards, and may require additional resources before benefits of the acquisitions are fully realized. Industry consolidation slowed several years ago as the number of suitable small- to mid-sized acquisition targets in high-growth markets declined. During that period of fewer acquisition opportunities, the Company focused on investing in internal expansion projects in high-growth markets. The number of acquisition opportunities has increased in the last few years as the economy recovered from the protracted recession. Opportunities include public and larger private, family-owned businesses, as well as asset swaps and divestitures from companies executing their strategic plans, rationalizing non-core assets, and repairing financially-constrained balanced sheets. The Company’s Board of Directors and management continue to review and monitor the Company’s strategic long-term plans, which include assessing business combinations and arrangements with other companies engaged in similar businesses, increasing the Company’s presence in its core businesses, investing in internal expansion projects in high-growth markets, and pursuing new opportunities related to the Company’s existing markets.</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became more vertically integrated through various acquisitions, including the 2014 TXI acquisition, in the West Group, pursuant to which the Company acquired cement, ready mixed concrete, asphalt and paving construction operations, trucking, and other businesses, which complement the Company’s aggregates operations. The Company reports vertically-integrated operations within the Building Materials business segment, and their results are affected by volatile factors, including fuel costs, operating efficiencies, and weather, to an even greater extent than the Company’s aggregates operations. Liquid asphalt and cement serve as key raw materials in the production of hot mix asphalt and ready mixed concrete, respectively. Therefore, fluctuations in prices for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86360</wp:posOffset>
            </wp:positionV>
            <wp:extent cx="411480" cy="248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34" w:lineRule="exact"/>
        <w:rPr>
          <w:sz w:val="20"/>
          <w:szCs w:val="20"/>
          <w:color w:val="auto"/>
        </w:rPr>
      </w:pPr>
    </w:p>
    <w:tbl>
      <w:tblPr>
        <w:tblLayout w:type="fixed"/>
        <w:tblInd w:w="9980" w:type="dxa"/>
        <w:tblCellMar>
          <w:top w:w="0" w:type="dxa"/>
          <w:left w:w="0" w:type="dxa"/>
          <w:bottom w:w="0" w:type="dxa"/>
          <w:right w:w="0" w:type="dxa"/>
        </w:tblCellMar>
      </w:tblPr>
      <w:tr>
        <w:trPr>
          <w:trHeight w:val="168"/>
        </w:trPr>
        <w:tc>
          <w:tcPr>
            <w:tcW w:w="1180" w:type="dxa"/>
            <w:vAlign w:val="bottom"/>
          </w:tcPr>
          <w:p>
            <w:pPr>
              <w:spacing w:after="0"/>
              <w:rPr>
                <w:sz w:val="20"/>
                <w:szCs w:val="20"/>
                <w:color w:val="auto"/>
              </w:rPr>
            </w:pPr>
            <w:r>
              <w:rPr>
                <w:rFonts w:ascii="Arial" w:cs="Arial" w:eastAsia="Arial" w:hAnsi="Arial"/>
                <w:sz w:val="13"/>
                <w:szCs w:val="13"/>
                <w:color w:val="007CBA"/>
              </w:rPr>
              <w:t>2018 FORM 10-K</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5</w:t>
            </w: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Part I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Item 1 - Business</w:t>
      </w:r>
    </w:p>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raw materials directly affect the Company’s operating results. During 2018, prices for liquid asphalt were higher than 2017. Liquid asphalt prices may not always follow other energy products (e.g., oil or diesel fuel) because of complexities in the refining process which converts a barrel of oil into other fuels and petrochemical products. We expect the Company’s gross margin to continue to improve for the legacy TXI aggregates-related downstream operations, similar to the pattern experienced at the Colorado aggregates-related downstream operations.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While aggregates-led, the Company continues to review its operational portfolio to determine if there are opportunities to divest underperforming assets in an effort to redeploy capital for other opportunities. The Company also reviews other independent Building Materials operations to determine if they might present attractive acquisition opportunities in the best interest of the Company, either as part of their own independent operations or operations that might be vertically integrated with other operations owned by the Company. Based on these assessments, the Company completed the acquisitions described under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above, which included ready mixed concrete and asphalt and paving businesses in the Denver, Colorado, and San Antonio, Texas, markets. The 2014 business combination with TXI further expanded the Company’s downstream operations with the addition of TXI’s aggregates and ready mixed concrete operations. The TXI combination also added the cement operations, included in the West Group as the cement product line of the Company. The 2016 transactions described under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above further added ready mixed concrete and asphalt and paving operations along the Front Range in Colorado and ready mixed concrete operations in central Texas. The 2018 acquisition of Bluegrass provided the Company an attractive opportunity to acquire the largest privately-held, pure-play aggregates business in the United States.</w:t>
      </w:r>
    </w:p>
    <w:p>
      <w:pPr>
        <w:spacing w:after="0" w:line="16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Environmental and zoning regulations have made it increasingly difficult for the aggregates industry to expand existing quarries and to develop new quarry operations. Although it cannot be predicted what policies will be adopted in the future by federal, state, and local governmental bodies regarding these matters, the Company anticipates that future restrictions will likely make zoning and permitting more difficult, thereby potentially enhancing the value of the Company’s existing mineral reserves.</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Management believes the aggregates product line’s raw materials, or aggregates reserves, are sufficient to permit production at present operational levels for the foreseeable future. The Company does not anticipate any material difficulty in obtaining the raw materials that it uses for current production in its aggregates product line. The Company’s aggregates reserves on the average exceed 75 years, based on normalized levels of production. However, certain locations may be subject to more limited reserves and may not be able to expand. Moreover, as noted above, environmental and zoning regulations will likely make it harder for the Company to expand its existing quarries or develop new quarry operations. The Company generally sells its aggregates, ready mixed concrete and asphalt products upon receipt of orders or requests from customers. The Company generally maintains inventories of aggregates products in sufficient quantities to meet the requirements of customers.</w:t>
      </w:r>
    </w:p>
    <w:p>
      <w:pPr>
        <w:spacing w:after="0" w:line="149"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Cement Product Line</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cement product line of the Building Materials business produces Portland and specialty cements. Cement is the basic binding agent for concrete, a primary construction material. The principal raw material used in the production of cement is calcium carbonate in the form of limestone. The Company owns more than 600 million tons of limestone reserves adjacent to its two cement production plants in Texas. Similar to aggregates, cement is used in infrastructure projects, nonresidential and residential construction, and the railroad, agricultural, utility and environmental industries. Consequently, the cement industry is cyclical and dependent on the strength of the construction sector.</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has a strategic cement position in Texas, with production facilities in Midlothian, Texas, south of Dallas/Fort Worth, and in Hunter, Texas, north of San Antonio. These plants have a combined annual capacity of 4.5 million tons, as well as a current permit that would allow the Company to expand production by up to 800,000 additional tons at the Midlothian plant. In addition to these production facilities, the Company also operates, directly or through third parties, four cement distribution terminals in Texas.</w:t>
      </w:r>
    </w:p>
    <w:p>
      <w:pPr>
        <w:spacing w:after="0" w:line="16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Cement consumption is dependent on the time of year and prevalent weather conditions. According to the Portland Cement Association, nearly two-thirds of U.S. cement consumption occurs in the six months between May and October. Approximately 75% of all cement shipments are sent to ready-mix concrete operators. The rest are shipped to manufacturers of concrete related products, contractors, materials dealers, oil well/mining/drilling companies, as well as government entities.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Energy, including electricity and fossil fuels, accounted for approximately 23% of the cement production cost profile in 2018. Therefore, profitability of the cement product line is affected by changes in energy prices and the available supply of these products. The Company currently has fixed-price supply contracts for coal but also consumes natural gas, alternative fuel and petroleum coke. Further, profitability of the cement product line is also subject to kiln maintenance. This process typically requires a plant to be shut down for a period of time as repairs are made.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limestone reserves used as a raw material for cement are located on property, owned by the Company, adjacent to each of the cement plants.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Management believes that its reserves of limestone are sufficient to permit production at the current operational levels for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96520</wp:posOffset>
            </wp:positionV>
            <wp:extent cx="411480" cy="248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6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3"/>
          <w:szCs w:val="13"/>
          <w:b w:val="1"/>
          <w:bCs w:val="1"/>
          <w:color w:val="auto"/>
        </w:rPr>
      </w:pPr>
      <w:r>
        <w:rPr>
          <w:rFonts w:ascii="Arial" w:cs="Arial" w:eastAsia="Arial" w:hAnsi="Arial"/>
          <w:sz w:val="13"/>
          <w:szCs w:val="13"/>
          <w:color w:val="007CBA"/>
        </w:rPr>
        <w:t>2018 FORM 10-K</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ind w:left="9700"/>
        <w:spacing w:after="0" w:line="276" w:lineRule="exact"/>
        <w:rPr>
          <w:sz w:val="20"/>
          <w:szCs w:val="20"/>
          <w:color w:val="auto"/>
        </w:rPr>
      </w:pPr>
      <w:r>
        <w:rPr>
          <w:rFonts w:ascii="Arial" w:cs="Arial" w:eastAsia="Arial" w:hAnsi="Arial"/>
          <w:sz w:val="13"/>
          <w:szCs w:val="13"/>
          <w:color w:val="auto"/>
        </w:rPr>
        <w:t xml:space="preserve">Item 1 - Business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Part I</w:t>
      </w:r>
    </w:p>
    <w:p>
      <w:pPr>
        <w:spacing w:after="0" w:line="23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cement product line generally delivers its products upon receipt of orders or requests from customers. Inventory for products is generally maintained in sufficient quantities to meet rapid delivery requirements of customers</w:t>
      </w:r>
      <w:r>
        <w:rPr>
          <w:rFonts w:ascii="Arial" w:cs="Arial" w:eastAsia="Arial" w:hAnsi="Arial"/>
          <w:sz w:val="16"/>
          <w:szCs w:val="16"/>
          <w:b w:val="1"/>
          <w:bCs w:val="1"/>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Magnesia Specialties Business</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Magnesia Specialties business produces and sells dolomitic lime from its Woodville, Ohio facility. Additionally, at its Manistee, Michigan facility, Magnesia Specialties manufactures magnesia-based chemical products for industrial, agricultural and environmental applications. These chemical products have varying uses, including flame retardants, wastewater treatment, pulp and paper production and other environmental applications. In 2018, 70% of Magnesia Specialties’ total revenues were attributable to chemical products, 29% to lime, and 1% to stone sold as construction materials.</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2018, 81% of the lime produced was sold to third-party customers, while the remaining 19% was used internally as a raw material in making the business’ chemical products. Dolomitic lime products sold to external customers are used primarily by the steel industry. Products used in the steel industry, either directly as dolomitic lime or indirectly as a component of other industrial products, accounted for 33% of the Magnesia Specialties’ total revenues in 2018, attributable primarily to the sale of dolomitic lime products. Accordingly, a portion of the revenues and profitability of the Magnesia Specialties business is affected by production and inventory trends in the steel industry. These trends are guided by the rate of consumer consumption, the flow of offshore imports, and other economic factors. The dolomitic lime business runs most profitably at 70% or greater steel capacity utilization; domestic capacity utilization averaged 78% in 2018, according to the American Iron and Steel Institute. Average steel production in 2018 increased 6.2% versus 2017.</w:t>
      </w:r>
    </w:p>
    <w:p>
      <w:pPr>
        <w:spacing w:after="0" w:line="1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Magnesia Specialties business, a significant portion of costs is of a fixed or semi-fixed nature. The production process requires the use of natural gas, coal and petroleum coke. Therefore, fluctuations in their pricing directly affect operating results. To help mitigate this risk, the Magnesia Specialties business has fixed price agreements for 100% of its 2019 coal needs, approximately 50% of its 2019 natural gas needs and 100% of its 2019 petroleum coke needs. For 2018, the Company’s average cost per MCF (thousand cubic feet) for natural gas decreased 4% versus 2017.</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Given high fixed costs, low capacity utilization can negatively affect the segment’s results from operations. Management expects future organic profit growth to result from increased pricing, rationalization of the current product portfolio and/or further cost reductions. Management has shifted the strategic focus of the magnesia-based business to specialty chemicals that can be produced at volume levels that support efficient operations. Accordingly, that product line is not as dependent on the steel industry as the dolomitic lime product line.</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principal raw materials used in the Magnesia Specialties business are dolomitic limestone and magnesium-rich brine. Management believes that its reserves of dolomitic limestone and brine are sufficient to permit production at the current operational levels for the foreseeable future.</w:t>
      </w:r>
    </w:p>
    <w:p>
      <w:pPr>
        <w:spacing w:after="0" w:line="15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After the raw materials are combined to make magnesium hydroxide, the Magnesia Specialties business must dispose of the processed brine. In the past, the business did this by reinjecting the processed brine back into its underground brine reserve network around its facility in Manistee, Michigan. The business has also sold a portion of this processed brine to third parties. In 2003, Magnesia Specialties entered into a long-term processed brine supply agreement with The Dow Chemical Company (“Dow”) pursuant to which Dow purchases processed brine from Magnesia Specialties, at market rates, for use in Dow’s production of calcium chloride products. Magnesia Specialties also entered into a joint venture with Dow to construct, own and operate a processed brine supply pipeline between the Magnesia Specialties facility in Manistee, Michigan, and Dow’s facility in Ludington, Michigan. Construction of the pipeline was completed in 2003, and Dow began purchasing processed brine from Magnesia Specialties through the pipeline. In 2010, Dow sold the assets of its facility in Ludington, Michigan to Occidental Chemical Corporation (“Occidental”) and assigned to Occidental its interests in the long-term processed brine supply agreement and the pipeline venture with Magnesia Specialties.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Magnesia Specialties generally delivers its products upon receipt of orders or requests from customers. Inventory for products is generally maintained in sufficient quantities to meet rapid delivery requirements of customers. A significant portion of the 275,000 ton dolomitic lime capacity from a lime kiln completed in 2012 at Woodville, Ohio is committed under a long-term supply contract.</w:t>
      </w:r>
    </w:p>
    <w:p>
      <w:pPr>
        <w:spacing w:after="0" w:line="16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Magnesia Specialties business is highly dependent on rail transportation, particularly for movement of dolomitic lime from Woodville to Manistee and direct customer shipments of dolomitic lime and magnesia chemicals products from both Woodville and Manistee. The segment can be affected by the specific transportation and other risks and uncertainties outlined under Item IA., Risk Factors, of this Form 10-K.</w:t>
      </w:r>
    </w:p>
    <w:p>
      <w:pPr>
        <w:spacing w:after="0" w:line="129"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Patents and Trademarks</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February 8, 2019, the Company owns, has the right to use, or has pending applications for approximately 23 patents pending or granted by the United States and various countries and approximately 96 trademarks related to business. The Company believes that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80010</wp:posOffset>
            </wp:positionV>
            <wp:extent cx="411480" cy="248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25" w:lineRule="exact"/>
        <w:rPr>
          <w:sz w:val="20"/>
          <w:szCs w:val="20"/>
          <w:color w:val="auto"/>
        </w:rPr>
      </w:pPr>
    </w:p>
    <w:tbl>
      <w:tblPr>
        <w:tblLayout w:type="fixed"/>
        <w:tblInd w:w="9980" w:type="dxa"/>
        <w:tblCellMar>
          <w:top w:w="0" w:type="dxa"/>
          <w:left w:w="0" w:type="dxa"/>
          <w:bottom w:w="0" w:type="dxa"/>
          <w:right w:w="0" w:type="dxa"/>
        </w:tblCellMar>
      </w:tblPr>
      <w:tr>
        <w:trPr>
          <w:trHeight w:val="168"/>
        </w:trPr>
        <w:tc>
          <w:tcPr>
            <w:tcW w:w="1180" w:type="dxa"/>
            <w:vAlign w:val="bottom"/>
          </w:tcPr>
          <w:p>
            <w:pPr>
              <w:spacing w:after="0"/>
              <w:rPr>
                <w:sz w:val="20"/>
                <w:szCs w:val="20"/>
                <w:color w:val="auto"/>
              </w:rPr>
            </w:pPr>
            <w:r>
              <w:rPr>
                <w:rFonts w:ascii="Arial" w:cs="Arial" w:eastAsia="Arial" w:hAnsi="Arial"/>
                <w:sz w:val="13"/>
                <w:szCs w:val="13"/>
                <w:color w:val="007CBA"/>
              </w:rPr>
              <w:t>2018 FORM 10-K</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7</w:t>
            </w: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Part I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Item 1 - Business</w:t>
      </w: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rights under its existing patents, patent applications and trademarks are of value to its operations, but no one patent or trademark or group of patents or trademarks is material to the conduct of the Company’s business as a whole.</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Customers</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No material part of the business of any segment of the Company is dependent upon a single customer or upon a few customers, the loss of any one of which would have a material adverse effect on the segment. The Company’s products are sold principally to commercial customers in private industry. Although large amounts of construction materials are used in public works projects, relatively insignificant sales are made directly to federal, state, county, or municipal governments, or agencies thereof.</w:t>
      </w:r>
    </w:p>
    <w:p>
      <w:pPr>
        <w:spacing w:after="0" w:line="130"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Competition</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Because of the impact of transportation costs on the aggregates industry, competition in the aggregates product line tends to be limited to producers in proximity to each of the Company’s facilities. Although all of the Company’s locations experience competition, the Company believes that it is generally a leading producer in 90% of the areas it serves. Competition is based primarily on quarry or distribution location and price, but quality of aggregates and level of customer service are also factors.</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There are over 5,000 companies in the United States that produce construction aggregates. These include active crushed stone companies and active sand and gravel companies. The largest ten producers account for approximately 35% of the total market. The Company’s ready mixed concrete and asphalt and paving operations are also in markets with numerous operators. A national trade association estimates there are about 5,500 ready mixed concrete plants in the United States owned by over 2,200 companies, with approximately 55,000 mixer trucks delivering ready mixed concrete. Similarly, a national trade association estimates there are approximately 4,000 asphalt plants in the United States owned by over 800 companies. The Company, with its Building Materials business, including its ready mixed concrete and asphalt and paving operations, competes with a number of other large and small producers. The Company believes that its ability to transport materials by ocean vessels and rail have enhanced the Company’s ability to compete in the building materials industry.</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The largest U.S. aggregates producers, including global companies, other than the Company, include: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Cemex S.A.B. de C.V.</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CRH PLC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Heidelberger Druckmaschinen AG/Heidelberg USA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LafargeHolcim Ltd.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Luck Stone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MDU Resources Group,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Summit Materials,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Rogers Group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Vulcan Materials Company</w:t>
      </w:r>
    </w:p>
    <w:p>
      <w:pPr>
        <w:spacing w:after="0" w:line="18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Company’s Magnesia Specialties business competes with various companies in different geographic and product areas principally on the basis of quality, price, technological advances, and technical support for its products. While the revenues of the Magnesia Specialties business in 2018 were predominantly from North America, a small but growing amount was derived from customers located outside the United States.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According to the Portland Cement Association, United States cement production is widely dispersed with the operation of 97 cement plants in 34 states. The top five companies collectively operate 59.5% of U.S. clinker capacity with the largest company representing 18.7% of all domestic clinker capacity. An estimated 86% of U.S. clinker capacity is owned by companies headquartered outside of the United States. In reviewing these figures for cement plants, capacity is often stated in terms of “clinker” capacity. “Clinker” is the initial product of cement production. Cement producers mine materials such as limestone, shale, or other materials, crush and screen the materials, and place them in a cement kiln. After being heated to extremely high temperatures, these materials form marble-sized balls or pellets called “clinker” that are then very finely ground to produce Portland cement.</w:t>
      </w:r>
    </w:p>
    <w:p>
      <w:pPr>
        <w:spacing w:after="0" w:line="16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Company’s cement product line competes with various companies in different geographic and product areas principally on the basis of proximity, quality and price for its products, but level of customer service is also a factor. The cement product line also competes with imported cement because of the higher value of the product and the existence of major ports in some of our markets. Certain of the Company’s competitors in the cement product line have greater financial resources than the Company.</w:t>
      </w:r>
    </w:p>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nature of the Company’s competition varies among its product lines due to the widely differing amounts of capital necessary to build production facilities. Crushed stone production from stone quarries or mines, or sand and gravel production by dredging,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80010</wp:posOffset>
            </wp:positionV>
            <wp:extent cx="411480" cy="248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3"/>
          <w:szCs w:val="13"/>
          <w:b w:val="1"/>
          <w:bCs w:val="1"/>
          <w:color w:val="auto"/>
        </w:rPr>
      </w:pPr>
      <w:r>
        <w:rPr>
          <w:rFonts w:ascii="Arial" w:cs="Arial" w:eastAsia="Arial" w:hAnsi="Arial"/>
          <w:sz w:val="13"/>
          <w:szCs w:val="13"/>
          <w:color w:val="007CBA"/>
        </w:rPr>
        <w:t>2018 FORM 10-K</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ind w:left="9740"/>
        <w:spacing w:after="0" w:line="276" w:lineRule="exact"/>
        <w:rPr>
          <w:sz w:val="20"/>
          <w:szCs w:val="20"/>
          <w:color w:val="auto"/>
        </w:rPr>
      </w:pPr>
      <w:r>
        <w:rPr>
          <w:rFonts w:ascii="Arial" w:cs="Arial" w:eastAsia="Arial" w:hAnsi="Arial"/>
          <w:sz w:val="13"/>
          <w:szCs w:val="13"/>
          <w:color w:val="auto"/>
        </w:rPr>
        <w:t xml:space="preserve">tem 1 - Business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Part I</w:t>
      </w: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moderately capital intensive. The Company’s major competitors in the aggregates markets are typically large, vertically-integrated companies, with international operations. Ready mixed concrete production requires relatively small amounts of capital to build a concrete batching plant and acquire delivery trucks. Accordingly, economics can lead to lower barriers to entry in some markets. As a result, depending on the local market, the Company may face competition from small producers as well as large, vertically-integrated companies with facilities in many markets. Construction of cement production facilities is highly capital intensive and requires long lead times to complete engineering design, obtain regulatory permits, acquire equipment and construct a plant. Most domestic producers of cement are owned by large foreign companies operating in multiple international markets. Many of these producers maintain the capability to import cement from foreign production facilities.</w:t>
      </w:r>
    </w:p>
    <w:p>
      <w:pPr>
        <w:spacing w:after="0" w:line="149"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Research and Development</w:t>
      </w:r>
    </w:p>
    <w:p>
      <w:pPr>
        <w:spacing w:after="0" w:line="15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Company conducts research and development activities, principally for its magnesia-based chemicals business, at its plant in Manistee, Michigan. In general, the Company’s research and development efforts are directed to applied technological development for the use of its chemicals products.</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Environmental and Governmental Regulations</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Company’s operations are subject to and affected by federal, state, and local laws and regulations relating to zoning, land use, air emissions (including greenhouse gases) and water discharges, waste management, noise and dust exposure control, reclamation and other environmental, health and safety, regulatory matters. Certain of the Company’s operations may from time to time involve the use of substances that are classified as toxic or hazardous substances within the meaning of these laws and regulations. Environmental operating permits are, or may be, required for certain of the Company’s operations, and such permits are subject to modification, renewal and revocation.</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records an accrual for environmental remediation liabilities in the period in which it is probable that a liability has been incurred and the amounts can be reasonably estimated. Such accruals are adjusted as further information develops or circumstances change. The accruals are not discounted to their present value or offset for potential insurance or other claims or potential gains from future alternative uses for a site.</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regularly monitors and reviews its operations, procedures, and policies for compliance with existing laws and regulations, changes in interpretations of existing laws and enforcement policies, new laws that are adopted, and new laws that the Company anticipates will be adopted that could affect its operations. The Company has a full time staff of environmental engineers and managers that perform these responsibilities. The direct costs of ongoing environmental compliance were approximately $25.3 million in 2018 and $23.4 million in 2017 and are related to the Company’s environmental staff, ongoing monitoring costs for various matters (including those matters disclosed in this Form 10-K), and asset retirement costs. Capitalized costs related to environmental control facilities were approximately $14 million in 2018 and are expected to be approximately $15 million in 2019 and 2020. The Company’s capital expenditures for environmental matters were not material to its results of operations or financial condition in 2018 and 2017. However, our expenditures for environmental matters generally have increased over time and are likely to increase in the future. Despite our compliance efforts, risk of environmental liability is inherent in the operation of the Company’s businesses, and environmental liabilities could have a material adverse effect on the Company in the future.</w:t>
      </w:r>
    </w:p>
    <w:p>
      <w:pPr>
        <w:spacing w:after="0" w:line="35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Many of the applicable requirements of environmental laws are satisfied by procedures that the Company adopts as best business practices in the ordinary course of its operations. For example, plant equipment that is used to crush aggregates products may, in the ordinary course of operations, have an attached water spray bar that is used to clean the stone. The water spray bar also suffices as a dust control mechanism that complies with applicable environmental laws. The Company does not break out the portion of the cost, depreciation, and other financial information relating to the water spray bar that is attributable only to environmental purposes, as it would be derived from an arbitrary allocation methodology. The incremental portion of such operating costs that is attributable to environmental compliance rather than best operating practices is impractical to quantify. Accordingly, the Company expenses costs in that category when incurred as operating expenses.</w:t>
      </w:r>
    </w:p>
    <w:p>
      <w:pPr>
        <w:spacing w:after="0" w:line="1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environmental accruals recorded by the Company are based on internal studies of the required remediation costs and estimates of potential costs that arise from time to time under federal, state and/or local environmental protection laws. Many of these laws and the regulations promulgated under them are complex, and are subject to challenges and new interpretations by regulators and the courts from time to time. In addition, new laws are adopted from time to time. It is often difficult to accurately and fully quantify the costs to comply with new rules until it is determined to which type of operations they will apply and the manner in which they will be implemented is more accurately defined. This process often takes years to finalize, and the rules often change significantly from the time they are proposed to the time they are final. The Company typically has several appropriate alternatives available to satisfy compliance requirements, which could range from nominal costs to some alternatives that may be satisfied in conjunction with equipment replacement or expansion that also benefits operating efficiencies or capacities and carry significantly higher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87630</wp:posOffset>
            </wp:positionV>
            <wp:extent cx="411480" cy="248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37" w:lineRule="exact"/>
        <w:rPr>
          <w:sz w:val="20"/>
          <w:szCs w:val="20"/>
          <w:color w:val="auto"/>
        </w:rPr>
      </w:pPr>
    </w:p>
    <w:tbl>
      <w:tblPr>
        <w:tblLayout w:type="fixed"/>
        <w:tblInd w:w="9980" w:type="dxa"/>
        <w:tblCellMar>
          <w:top w:w="0" w:type="dxa"/>
          <w:left w:w="0" w:type="dxa"/>
          <w:bottom w:w="0" w:type="dxa"/>
          <w:right w:w="0" w:type="dxa"/>
        </w:tblCellMar>
      </w:tblPr>
      <w:tr>
        <w:trPr>
          <w:trHeight w:val="168"/>
        </w:trPr>
        <w:tc>
          <w:tcPr>
            <w:tcW w:w="1180" w:type="dxa"/>
            <w:vAlign w:val="bottom"/>
          </w:tcPr>
          <w:p>
            <w:pPr>
              <w:spacing w:after="0"/>
              <w:rPr>
                <w:sz w:val="20"/>
                <w:szCs w:val="20"/>
                <w:color w:val="auto"/>
              </w:rPr>
            </w:pPr>
            <w:r>
              <w:rPr>
                <w:rFonts w:ascii="Arial" w:cs="Arial" w:eastAsia="Arial" w:hAnsi="Arial"/>
                <w:sz w:val="13"/>
                <w:szCs w:val="13"/>
                <w:color w:val="007CBA"/>
              </w:rPr>
              <w:t>2018 FORM 10-K</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9</w:t>
            </w: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Part I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Item 1 - Business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Management believes that its current accrual for environmental costs is reasonable, although those amounts may increase or decrease depending on the impact of applicable rules as they are finalized or amended from time to time and changes in facts and circumstances. The Company believes that any additional costs for ongoing environmental compliance would not have a material adverse effect on the Company’s obligations or financial condition.</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is generally required by state or local laws or pursuant to the terms of an applicable lease to reclaim quarry sites after use. Future reclamation costs are estimated using statutory reclamation requirements and management’s experience and knowledge in the industry, and are discounted to their present value using a credit-adjusted, risk-free rate of interest. The future reclamation costs are not offset by potential recoveries. For additional information regarding compliance with legal requirements, see “Note O: Commitments and Contingencies” of the “Notes to Financial Statements” of the Company’s 2018 consolidated financial statements (the “2018 Financial Statements”), which are included in the Company’s 2018 Annual Report to Shareholders (“2018 Annual Report”) filed as Exhibit 13.01 to this Form 10-K. The Company performs activities on an ongoing basis, as an integral part of the normal quarrying process, that may reduce the ultimate reclamation obligations. For example, the perimeter and interior walls of an open pit quarry are sloped and benched as they are developed to prevent erosion and provide stabilization. This sloping and benching meets dual objectives – safety regulations required by the Mine Safety and Health Administration for ongoing operations and final reclamation requirements. Therefore, these types of activities are included in normal operating costs and are not a part of the asset retirement obligation. Historically, the Company has not incurred substantial reclamation costs in connection with the closing of quarries. Reclaimed quarry sites owned by the Company are from time to time available for sale, typically for commercial development or use as reservoirs.</w:t>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believes that its operations and facilities, both owned or leased, are in substantial compliance with applicable laws and regulations and that any noncompliance is not likely to have a material adverse effect on the Company’s operations or financial condition. See “Legal Proceedings” under Item 3 of this Form 10-K, “Note O: Commitments and Contingencies” of the “Notes to Financial Statements” of the 2018 Financial Statements included in the 2018 Annual Report filed as Exhibit 13.01 to this Form 10-K, and “Management’s Discussion and Analysis of Financial Condition and Results of Operations – Environmental Regulation and Litigation” included in the 2018 Annual Report filed as Exhibit 13.01 to this Form 10-K. However, future events, such as changes in or modified interpretations of existing laws and regulations or enforcement policies, or further investigation or evaluation of the potential health hazards of certain products or business activities, may give rise to additional compliance and other costs that could have a material adverse effect on the Company.</w:t>
      </w:r>
    </w:p>
    <w:p>
      <w:pPr>
        <w:spacing w:after="0" w:line="1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general, quarry, mining and production facilities for cement, ready mixed concrete, and asphalt must comply with air quality, water quality, and noise regulations, zoning and special use permitting requirements, applicable mining regulations, and federal health and safety requirements. As new quarry and mining sites and production facilities are located and acquired, the Company works closely with local authorities during the zoning and permitting processes to design new quarries, mines and production facilities in such a way as to minimize disturbances. The Company frequently acquires large tracts of land so that quarry, mine, and production facilities can be situated substantial distances from surrounding property owners. Also, in certain markets the Company’s ability to transport material by rail and ship allows it to locate its facilities further away from residential areas. The Company has established policies designed to minimize disturbances to surrounding property owners from its operations.</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is the case with other companies in the same industry, some of the Company’s products contain varying amounts of crystalline silica, a common mineral also known as quartz. Excessive, prolonged inhalation of very small-sized particles of crystalline silica has been associated with lung diseases, including silicosis, and several scientific organizations and some states, such as California, have reported that crystalline silica can cause lung cancer. The Mine Safety and Health Administration and the Occupational Safety and Health Administration have established occupational thresholds for crystalline silica exposure as respirable dust. The Company monitors occupational exposures at its facilities and implements dust control procedures and/or makes available appropriate respiratory protective equipment to maintain the occupational exposures at or below the appropriate levels. The Company, through safety information sheets and other means, also communicates what it believes to be appropriate warnings and cautions its employees and customers about the risks associated with excessive, prolonged inhalation of mineral dust in general and crystalline silica in particular.</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is the case with others in the cement industry, the Company’s cement operations produce varying quantities of cement kiln dust (“CKD”). This production by-product consists of fine-grained, solid, highly alkaline material removed from cement kiln exhaust gas by air pollution control devices. Because much of the CKD is actually unreacted raw materials, it is generally permissible to recycle the CKD back into the production process, and large amounts often are treated in such manner. CKD that is not returned to the production process or sold as a product itself is disposed in landfills. CKD is currently exempted from federal hazardous waste regulations under Subtitle C of the Resource Conservation and Recovery Act.</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Amid concerns that greenhouse gas (“GHG”) emissions are contributing to climate change, a number of governmental bodies, including the U.S. Congress and various U.S. states, have proposed, enacted or are contemplating legislative and regulatory changes to mitigate or address the potential impacts of climate change, including provisions for emissions reporting or reductions, the use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83820</wp:posOffset>
            </wp:positionV>
            <wp:extent cx="411480" cy="248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4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3"/>
          <w:szCs w:val="13"/>
          <w:b w:val="1"/>
          <w:bCs w:val="1"/>
          <w:color w:val="auto"/>
        </w:rPr>
      </w:pPr>
      <w:r>
        <w:rPr>
          <w:rFonts w:ascii="Arial" w:cs="Arial" w:eastAsia="Arial" w:hAnsi="Arial"/>
          <w:sz w:val="13"/>
          <w:szCs w:val="13"/>
          <w:color w:val="007CBA"/>
        </w:rPr>
        <w:t>2018 FORM 10-K</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ind w:left="9700"/>
        <w:spacing w:after="0" w:line="276" w:lineRule="exact"/>
        <w:rPr>
          <w:sz w:val="20"/>
          <w:szCs w:val="20"/>
          <w:color w:val="auto"/>
        </w:rPr>
      </w:pPr>
      <w:r>
        <w:rPr>
          <w:rFonts w:ascii="Arial" w:cs="Arial" w:eastAsia="Arial" w:hAnsi="Arial"/>
          <w:sz w:val="13"/>
          <w:szCs w:val="13"/>
          <w:color w:val="auto"/>
        </w:rPr>
        <w:t xml:space="preserve">Item 1 - Business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Part I</w:t>
      </w: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alternative fuels, carbon credits (such as a “cap and trade” system) and a carbon tax. For example, in the U.S., the United States Environmental Protection Agency (the “USEPA”) promulgated a rule mandating that sources considered to be large emitters of GHGs report those emissions. The manufacturing operations of the Company’s Magnesia Specialties business release carbon dioxide, methane and nitrous oxides during the production of lime, magnesium oxide and hydroxide products. The Company’s two magnesia-based chemicals facilities, as well as its two cement plants in Texas, file annual reports of their GHG emissions in accordance with the USEPA reporting rule. The primary operations of the Company, however, including its aggregates, ready mixed concrete and asphalt and paving product lines, are not major sources of GHG emissions. In fact, most of the GHG emissions from aggregates plant operations are tailpipe emissions from mobile sources, such as heavy construction and earth-moving equipment.</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2010, the USEPA also issued a GHG emissions permitting rule, referred to as the “Tailoring Rule,” which may require some industrial facilities to obtain permits for GHG emissions under the U.S. Clean Air Act’s Prevention of Significant Deterioration (“PSD”) and Title V operating permit programs. The U.S. Supreme Court ruled in June 2014 that the USEPA exceeded its statutory authority in issuing the Tailoring Rule but upheld the Best Available Control Technology (“BACT”) requirements for GHGs emitted by sources already subject to PSD or Title V permitting requirements for other pollutants. Both of our cement plants, as well as our Magnesia Specialties plants, hold Title V Permits, and each (other than the Manistee, Michigan facility) is also subject to PSD requirements. It is not known whether the USEPA will proceed with revisions of its rules in response to the Court’s decision or what the USEPA would require as BACT. In fact, no technologies or methods of operation for reducing or capturing GHGs have been proven successful in large scale applications, other than improvements in fuel efficiency. Thus, if future modifications to our facilities require PSD review for other pollutants, GHG BACT requirements could be triggered and may require significant additional costs. It is not possible, however, to estimate the cost of any such future requirements at this time.</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believes that climate change legislation is not a priority item in a divided Congress in the near future and that the primary method that GHGs will be regulated is through the USEPA using its rule-making authority. Various states where the Company has operations are also considering climate change initiatives, and the Company may be subject to state regulations in addition to any federal laws and rules that are passed.</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and when Congress passes additional legislation on GHGs, the Woodville, Ohio and Manistee, Michigan Magnesia Specialties operations, as well as the Company’s two cement plants in Texas, which use carbon-based fuels for power equipment, kilns and the Company’s mobile fleet, will likely be subject to any new requirements. The Company anticipates that any increased operating costs or taxes relating to GHG emission limitations at the Woodville or cement operations facilities would be passed on to customers. The magnesium oxide products produced at the Manistee operation, however, compete against other products that emit a lower level of GHGs in their production. These other products include natural magnesites produced around the world by calcining magnesium carbonate, and also naturally occurring and mined magnesium hydroxide powder (brucite) products. Production of magnesium products from these other sources requires less energy, resulting in the generation of fewer GHGs per ton of production. Therefore, the Manistee facility may be required to absorb additional costs due to the regulation of GHG emissions in order to remain competitive in pricing in that market. In light of the various regulatory uncertainties, the Company at this time cannot reasonably predict what the costs of any future compliance requirements may be, but does not believe it will have a material adverse effect on the financial condition or results of the operations of either the Magnesia Specialties or Building Materials businesses. The Company continues to monitor GHG regulations and legislation and its potential impact on our cement business, financial condition and product demand.</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addition to impacts from increased regulation, climate change may result in physical and financial impacts which could have adverse effects on the Company’s operations or financial condition. Physical impacts may include disruptions in production and/or regional supply or product distribution networks due to major storm events, shifts in regional rainfall and temperature patterns and intensities, as well as flooding from sea level changes. In addition, production and shipment levels for the Building Materials business and cement product line correlate with general construction activity, which occurs outdoors and, as a result, is affected by erratic weather patterns, seasonal changes and other unusual or unexpected weather-related conditions, which can significantly affect that business. Excessive rainfall and other severe weather jeopardize production, shipments and profitability in all markets served by the Company. In addition, climate and inclement weather can reduce the useful life of an asset. In particular, the Company’s operations in the southeastern and Gulf Coast regions of the United States and the Bahamas are at risk for hurricane activity, most notably in August, September and October. The last few years brought an unprecedented amount of precipitation to the United States and particularly to Texas and the southeastern United States, notably the Carolinas, Florida, and Georgia, where they impacted the Company’s facilities. For example, according to the National Oceanic and Atmospheric Administration (“NOAA”), Hurricane Florence in the third quarter of 2018 caused catastrophic flooding in portions of North Carolina and South Carolina. NOAA also reported that 2018 marked the wettest year for nine states, including North Carolina, Maryland, Virginia, West Virginia, and Tennessee. These events, along with significant precipitation in Texas, adversely impacted our aggregates production and shipments, as well as our other businesses, in those areas during the year.</w:t>
      </w:r>
    </w:p>
    <w:p>
      <w:pPr>
        <w:spacing w:after="0" w:line="17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businesses also are dependent on reliable sources of electricity and fuels. We could incur increased costs or disruptions in our operations if climate change legislation and regulation or severe weather impacts the price or availability of purchased electricity or fuels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80010</wp:posOffset>
            </wp:positionV>
            <wp:extent cx="411480" cy="248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25" w:lineRule="exact"/>
        <w:rPr>
          <w:sz w:val="20"/>
          <w:szCs w:val="20"/>
          <w:color w:val="auto"/>
        </w:rPr>
      </w:pPr>
    </w:p>
    <w:tbl>
      <w:tblPr>
        <w:tblLayout w:type="fixed"/>
        <w:tblInd w:w="9980" w:type="dxa"/>
        <w:tblCellMar>
          <w:top w:w="0" w:type="dxa"/>
          <w:left w:w="0" w:type="dxa"/>
          <w:bottom w:w="0" w:type="dxa"/>
          <w:right w:w="0" w:type="dxa"/>
        </w:tblCellMar>
      </w:tblPr>
      <w:tr>
        <w:trPr>
          <w:trHeight w:val="168"/>
        </w:trPr>
        <w:tc>
          <w:tcPr>
            <w:tcW w:w="1140" w:type="dxa"/>
            <w:vAlign w:val="bottom"/>
          </w:tcPr>
          <w:p>
            <w:pPr>
              <w:spacing w:after="0"/>
              <w:rPr>
                <w:sz w:val="20"/>
                <w:szCs w:val="20"/>
                <w:color w:val="auto"/>
              </w:rPr>
            </w:pPr>
            <w:r>
              <w:rPr>
                <w:rFonts w:ascii="Arial" w:cs="Arial" w:eastAsia="Arial" w:hAnsi="Arial"/>
                <w:sz w:val="13"/>
                <w:szCs w:val="13"/>
                <w:color w:val="007CBA"/>
              </w:rPr>
              <w:t>2018 FORM 10-K</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11</w:t>
            </w: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Part I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Item 1 - Business</w:t>
      </w: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or other materials used in our operations. These and other climate-related risks also could impact our customers, such as a downturn in the construction sector, which could lead to reduced demand for our products. The Company may not be able to pass on to its customers all the costs relating to these risks.</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Notwithstanding the foregoing risks and uncertainties relating to climate change, there may also be opportunities for the Company to increase its business or revenues. For example, warm and/or moderate temperatures in March and November allows the construction season to start earlier and end later, respectively, which could have meaningful positive impacts on the Company’s first- and fourth-quarter results, respectively. In fact, 2018 marked the 22nd consecutive warmer-than-average year for the contiguous United States, and five states, including North Carolina and South Carolina, had a record warmest year. The extended warmer periods helped the Company deliver record revenues and profitability for the full year. In addition, the Company’s magnesium hydroxide products are used to increase fuel efficiency in various industries, including both coal- and gas-fired electricity generation, which has a direct impact on reducing energy use and GHG emissions by more GHG-intense companies.</w:t>
      </w:r>
    </w:p>
    <w:p>
      <w:pPr>
        <w:spacing w:after="0" w:line="1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an effort to mitigate the risks to the Company associated with GHG emissions while ensuring and improving financial sustainability, the Company has adopted a corporate-wide management strategy that has resulted in multiple operating initiatives to implement or evaluate GHG reduction processes and technologies that also improve operational efficiencies, including: using alternative fuels such as biodiesel; reducing overall fuel use by converting from quarry trucks to conveyor belt systems, right-sizing quarry trucks to marry the appropriately sized truck with the size of production to reduce the number of required trips, and by replacing older rail cars with more efficient, high-capacity models that reduce the number of required trips; adding rail capacity in lieu of truck movements; and installing emissions monitoring equipment and real-time fleet management software. For example, in 2015, the Company’s Midlothian cement plant was recognized by the USEPA as a high-performing, energy-efficient facility following investments in innovative air pollution control technologies and usage of alternative fuels.</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Employees</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of January 31, 2019, the Company has approximately 8,714 employees, of which 6,625 are hourly employees and 2,089 are salaried employees. Included among these employees are 929 hourly employees represented by labor unions (10.7% of the Company’s employees). Of such amount, 10.1% of our Building Materials business’ hourly employees are members of a labor union and 100% of the Magnesia Specialties segment’s hourly employees are represented by labor unions. The Company’s principal union contracts for the Magnesia Specialties business cover employees at the Manistee, Michigan, magnesia-based chemicals plant and the Woodville, Ohio, lime plant. The Woodville collective bargaining agreement expires in June 2022. The Manistee collective bargaining agreement expires in August 2019. The Company believes it has good relations with all of its employees, including its unionized employees. While the Company’s management does not expect significant difficulties in renewing these labor contracts, there can be no assurance that a successor agreement will be reached at any of these locations.</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Available Information</w:t>
      </w:r>
    </w:p>
    <w:p>
      <w:pPr>
        <w:spacing w:after="0" w:line="15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maintains an Internet address at www.martinmarietta.com. The Company makes available free of charge through its Internet web site its Annual Report on Form 10-K, Quarterly Reports on Form 10-Q, Current Reports on Form 8-K, and amendments to those reports, if any, filed or furnished pursuant to Section 13(a) or 15(d) of the Securities Exchange Act of 1934 (the “Exchange Act”). These reports and any amendments are accessed via the Company’s web site through a link with the Electronic Data Gathering, Analysis, and Retrieval (“EDGAR”) system maintained by the Securities and Exchange Commission (the “SEC”) at www.sec.gov. Accordingly, the Company’s referenced reports and any amendments are made available as soon as reasonably practicable after the Company electronically files such material with, or furnishes it to, the SEC, once EDGAR places such material in its database.</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The Company has adopted a </w:t>
      </w:r>
      <w:r>
        <w:rPr>
          <w:rFonts w:ascii="Arial" w:cs="Arial" w:eastAsia="Arial" w:hAnsi="Arial"/>
          <w:sz w:val="16"/>
          <w:szCs w:val="16"/>
          <w:i w:val="1"/>
          <w:iCs w:val="1"/>
          <w:color w:val="auto"/>
        </w:rPr>
        <w:t>Code of Ethical Business Conduct</w:t>
      </w:r>
      <w:r>
        <w:rPr>
          <w:rFonts w:ascii="Arial" w:cs="Arial" w:eastAsia="Arial" w:hAnsi="Arial"/>
          <w:sz w:val="16"/>
          <w:szCs w:val="16"/>
          <w:color w:val="auto"/>
        </w:rPr>
        <w:t xml:space="preserve"> that applies to all of its directors, officers, and employees. The Company’s code of ethics is available on the Company’s web site at www.martinmarietta.com. The Company will disclose on its Internet web site any waivers of or amendments to its code of ethics as it applies to its directors and executive officers.</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The Company has adopted a set of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xml:space="preserve"> to address issues of fundamental importance relating to the corporate governance of the Company, including director qualifications and responsibilities, responsibilities of key board committees, director compensation, and similar issues. Each of the Audit Committee, the Management Development and Compensation Committee, and the Nominating and Corporate Governance Committee of the Board of Directors of the Company has adopted a written charter addressing various issues of importance relating to each committee, including the committee’s purposes and responsibilities, an annual performance evaluation of each committee, and similar issues. These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and the charters of each of these committees, are available on the Company’s web site at www.martinmarietta.com.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84455</wp:posOffset>
            </wp:positionV>
            <wp:extent cx="411480" cy="248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4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3"/>
          <w:szCs w:val="13"/>
          <w:b w:val="1"/>
          <w:bCs w:val="1"/>
          <w:color w:val="auto"/>
        </w:rPr>
      </w:pPr>
      <w:r>
        <w:rPr>
          <w:rFonts w:ascii="Arial" w:cs="Arial" w:eastAsia="Arial" w:hAnsi="Arial"/>
          <w:sz w:val="13"/>
          <w:szCs w:val="13"/>
          <w:color w:val="007CBA"/>
        </w:rPr>
        <w:t>2018 FORM 10-K</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ind w:left="9700"/>
        <w:spacing w:after="0" w:line="276" w:lineRule="exact"/>
        <w:rPr>
          <w:sz w:val="20"/>
          <w:szCs w:val="20"/>
          <w:color w:val="auto"/>
        </w:rPr>
      </w:pPr>
      <w:r>
        <w:rPr>
          <w:rFonts w:ascii="Arial" w:cs="Arial" w:eastAsia="Arial" w:hAnsi="Arial"/>
          <w:sz w:val="13"/>
          <w:szCs w:val="13"/>
          <w:color w:val="auto"/>
        </w:rPr>
        <w:t xml:space="preserve">Item 1 - Business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Part I</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Company’s Chief Executive Officer and Chief Financial Officer are required to file with the SEC each quarter and each year certifications regarding the quality of the Company’s public disclosure of its financial condition. The annual certifications are included as exhibits to this Form 10-K. The Company’s Chief Executive Officer is also required to certify to the New York Stock Exchange each year that he is not aware of any violation by the Company of the New York Stock Exchange corporate governance listing standards.</w:t>
      </w:r>
    </w:p>
    <w:p>
      <w:pPr>
        <w:spacing w:after="0" w:line="26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1A - RISK FACTORS</w:t>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An investment in our common stock or debt securities involves risks and uncertainties. You should consider the following factors carefully, in addition to the other information contained in this Form 10-K, before deciding to purchase or otherwise trade our securities.</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Form 10-K and other written reports and oral statements made from time to time by the Company contain statements which, to the extent they are not recitations of historical fact, constitute forward-looking statements within the meaning of federal securities law. Investors are cautioned that all forward-looking statements involve risks and uncertainties, and are based on assumptions that the Company believes in good faith are reasonable, but which may be materially different from actual results. Investors can identify these statements by the fact that they do not relate only to historic or current facts. The words “may,” “will,” “could,” “should,” “anticipate,” “believe,” “estimate,” “expect,” “forecast,” “intend,” “outlook,” “plan,” “project,” “scheduled,” and similar expressions in connection with future events or future operating or financial performance are intended to identify forward-looking statements. Any or all of the Company’s forward-looking statements in this Form 10-K and in other publications may turn out to be wrong.</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Statements and assumptions on future revenues, income and cash flows, performance, economic trends, the outcome of litigation, regulatory compliance, and environmental remediation cost estimates are examples of forward-looking statements. Numerous factors, including potentially the risk factors described in this section, could affect our forward-looking statements and actual performance.</w:t>
      </w:r>
    </w:p>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Investors are also cautioned that it is not possible to predict or identify all such factors. Consequently, the reader should not consider any such list to be a complete statement of all potential risks or uncertainties. Other factors besides those listed may also adversely affect the Company and may be material to the Company. The Company has listed the known material risks it considers relevant in evaluating the Company and its operations. The forward-looking statements in this document are intended to be subject to the safe harbor protection provided by Sections 27A of the Securities Act of 1933 and Section 21E of the Exchange Act. These forward-looking statements are made as of the date hereof based on management’s current expectations, and the Company does not undertake an obligation to update such statements, whether as a result of new information, future events, or otherwise.</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For a discussion identifying some important factors that could cause actual results to vary materially from those anticipated in the forward-looking statements, see the factors listed below, along with the discussion of “Competition” under Item 1 of this Form 10-K, “Management’s Discussion and Analysis of Financial Condition and Results of Operations” under Item 7 of this Form 10-K and the 2018 Annual Report, and “Note A: Accounting Policies” and “Note O: Commitments and Contingencies” of the “Notes to Financial Statements” of the 2018 Financial Statements included in the 2018 Annual Report, filed as Exhibit 13.01 to this Form 10-K.</w:t>
      </w:r>
    </w:p>
    <w:p>
      <w:pPr>
        <w:spacing w:after="0" w:line="130"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General Risk Factors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Our business is cyclical and depends on activity within the construction industry.</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Economic and political uncertainty can impede growth in the markets in which we operate. Demand for our products, particularly in the private nonresidential and residential construction markets, could fall if companies and consumers are unable to get credit for construction projects or if an economic slowdown causes delays or cancellations of capital projects. State and federal budget issues may also hurt the funding available for infrastructure spending. The lack of available credit may limit the ability of states to issue bonds to finance construction projects. As a result of these issues, several of our top sales generating states, from time-to-time, stop bidding or slow bid projects in their transportation departments.</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sell most of our aggregates products, our primary business, and our cement products, to the construction industry, so our results depend on the strength of the construction industry. Since our businesses depend on construction spending, which can be cyclical, our profits are sensitive to national, regional, and local economic conditions and the intensity of the underlying spending on aggregates and cement products. Construction spending is affected by economic conditions, changes in interest rates, demographic and population shifts, and changes in construction spending by federal, state, and local governments. If economic conditions change, a recession in the construction industry may occur and affect the demand for our products. The Great Recession was an example, and our shipment volumes were significantly reduced. Construction spending can also be disrupted by terrorist activity and armed conflicts.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86360</wp:posOffset>
            </wp:positionV>
            <wp:extent cx="411480" cy="248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34" w:lineRule="exact"/>
        <w:rPr>
          <w:sz w:val="20"/>
          <w:szCs w:val="20"/>
          <w:color w:val="auto"/>
        </w:rPr>
      </w:pPr>
    </w:p>
    <w:tbl>
      <w:tblPr>
        <w:tblLayout w:type="fixed"/>
        <w:tblInd w:w="9980" w:type="dxa"/>
        <w:tblCellMar>
          <w:top w:w="0" w:type="dxa"/>
          <w:left w:w="0" w:type="dxa"/>
          <w:bottom w:w="0" w:type="dxa"/>
          <w:right w:w="0" w:type="dxa"/>
        </w:tblCellMar>
      </w:tblPr>
      <w:tr>
        <w:trPr>
          <w:trHeight w:val="168"/>
        </w:trPr>
        <w:tc>
          <w:tcPr>
            <w:tcW w:w="1140" w:type="dxa"/>
            <w:vAlign w:val="bottom"/>
          </w:tcPr>
          <w:p>
            <w:pPr>
              <w:spacing w:after="0"/>
              <w:rPr>
                <w:sz w:val="20"/>
                <w:szCs w:val="20"/>
                <w:color w:val="auto"/>
              </w:rPr>
            </w:pPr>
            <w:r>
              <w:rPr>
                <w:rFonts w:ascii="Arial" w:cs="Arial" w:eastAsia="Arial" w:hAnsi="Arial"/>
                <w:sz w:val="13"/>
                <w:szCs w:val="13"/>
                <w:color w:val="007CBA"/>
              </w:rPr>
              <w:t>2018 FORM 10-K</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13</w:t>
            </w: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Part I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Item 1A - Risk Factors</w:t>
      </w:r>
    </w:p>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While our business operations cover a wide geographic area, our earnings depend on the strength of the local economies in which we operate because of the high cost to transport our products relative to their price. If economic conditions and construction spending decline significantly in one or more areas, particularly in our top five sales-generating states of our Building Materials business of Texas, Colorado, North Carolina, Georgia, and Iowa our profitability will decrease. We experienced this situation with the Great Recession.</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Great Recession of 2008 resulted in large declines in shipments of aggregates products in our industry. Recent years, however, have shown a slow but steady turnaround in this trend. The United States is currently experiencing the second-longest economic recovery since the Great Depression.</w:t>
      </w:r>
    </w:p>
    <w:p>
      <w:pPr>
        <w:spacing w:after="0" w:line="15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While historical spending on public infrastructure projects has been comparatively more stable as governmental appropriations and expenditures are typically less interest rate-sensitive than private sector spending, we experienced a slight retraction in aggregates product line shipments to the infrastructure market after uncertainty regarding the passage of the federal highway bill in 2014. Contractors were not able to get any certainty on the availability of federal infrastructure funding until late 2015 with the enactment of a new federal highway bill.</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Our Building Materials business is seasonal and subject to the weather, which can significantly impact operations.</w:t>
      </w:r>
    </w:p>
    <w:p>
      <w:pPr>
        <w:spacing w:after="0" w:line="2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Since the heavy-side construction business is conducted outdoors, erratic weather patterns, seasonal changes and other weather-related conditions affect our business. Adverse weather conditions, including hurricanes and tropical storms, cold weather, snow, and heavy or sustained rainfall, reduce construction activity, restrict the demand for our products, and impede our ability to efficiently transport material. Adverse weather conditions also increase our costs and reduce our production output as a result of power loss, needed plant and equipment repairs, time required to remove water from flooded operations, and similar events. Severe drought conditions can restrict available water supplies and restrict production. The Building Materials product lines’ production and shipment levels follow activity in the construction industry, which typically are strongest in the spring, summer and fall. Because of the weather’s effect on the construction industry’s activity, the production and shipment levels for the Company’s Building Materials business, including all of its aggregates-related downstream operations, vary by quarter. The second and third quarters are generally subject to heavy precipitation, and thus are more profitable if precipitation is lighter, while the first and fourth quarters are subject to the impacts of winter weather, and thus are generally the least profitable. Weather-related hindrances were exacerbated over the last few years by record precipitation in many of our key markets, notably the eastern seaboard and Texas. Importantly, inclement weather was most significant during the second and third quarters, which represents the height of the construction season. These weather events reduced the Company’s overall profitability in the last few years, so our results for those years, or in comparison to other years, may not be indicative of our future operating results.</w:t>
      </w:r>
    </w:p>
    <w:p>
      <w:pPr>
        <w:spacing w:after="0" w:line="3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Company’s operations in the southeastern and Gulf Coast regions of the United States and the Bahamas are at risk for hurricane activity, most notably in August, September and October. In September 2018, Hurricane Florence, the second-wettest storm in 70 years and ranking only behind Hurricane Harvey, made landfall in the Carolinas as a Category 4 storm, bringing with it 13 trillion gallons of rain. In Texas, Hurricane Harvey, a Category 4 storm that made landfall in Houston in August 2017, brought nearly 20 trillion gallons of precipitation. In the Southeast, Hurricane Irma, also a Category 4 storm, made landfall in Florida in September 2017 and brought excessive rainfall to the southeastern United States, notably Florida and Georgia. In October 2016, rainfall along the eastern seaboard of the United States from Hurricane Matthew, a Category 5 hurricane, approximated 14 trillion gallons. Hurricane Matthew was the first major hurricane on record to make landfall in the Bahamas, where the Company has a facility. These hurricanes generated winds, rainfall, and flooding which disrupted operations in Texas, Louisiana, Florida, Georgia, the Carolinas, and the Bahamas.</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Competition and Growth Risk Factors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Our Building Materials business depends on the availability of aggregate reserves or deposits and our ability to mine them economically.</w:t>
      </w:r>
    </w:p>
    <w:p>
      <w:pPr>
        <w:spacing w:after="0" w:line="2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challenge is to find aggregates deposits that we can mine economically, with appropriate permits, near either growing markets or long-haul transportation corridors that economically serve growing markets. As communities have grown, they have taken up attractive quarrying locations and have imposed restrictions on mining. We try to meet this challenge by identifying and permitting sites prior to economic expansion, buying more land around our existing quarries to increase our mineral reserves, developing underground mines, and developing a distribution network that transports aggregates products by various methods, including rail and water. While our distribution network allows us to transport our products longer distances than would normally be considered economical, we can give no assurances that we will be successful.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86360</wp:posOffset>
            </wp:positionV>
            <wp:extent cx="411480" cy="248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5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3"/>
          <w:szCs w:val="13"/>
          <w:b w:val="1"/>
          <w:bCs w:val="1"/>
          <w:color w:val="auto"/>
        </w:rPr>
      </w:pPr>
      <w:r>
        <w:rPr>
          <w:rFonts w:ascii="Arial" w:cs="Arial" w:eastAsia="Arial" w:hAnsi="Arial"/>
          <w:sz w:val="13"/>
          <w:szCs w:val="13"/>
          <w:color w:val="007CBA"/>
        </w:rPr>
        <w:t>2018 FORM 10-K</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Item 1A - Risk Factors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Part I</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Our businesses face many competitors.</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businesses have many competitors, some of whom are bigger and have more resources than we do. Some of our competitors operate on a worldwide basis. Our results are affected by the number of competitors in a market, the production capacity that a particular market can accommodate, the pricing practices of other competitors, and the entry of new competitors in a market. We also face competition for some of our products from alternative products. For example, our Magnesia Specialties business may compete with other chemical products that could be used instead of our magnesia-based products. As other examples, our aggregates, ready mix concrete, and asphalt and paving product lines may compete with recycled asphalt and concrete products that could be used instead of new products and our cement product line may compete with international competitors who are importing products to the United States with lower production and regulatory costs.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Our future growth may depend in part on acquiring other businesses in our industry.</w:t>
      </w:r>
    </w:p>
    <w:p>
      <w:pPr>
        <w:spacing w:after="0" w:line="2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expect to continue to grow, in part, by buying other businesses. We will continue to look for strategic businesses to acquire, like our acquisition of TXI in 2014 and our acquisition of Bluegrass in 2018. In the past, we have made acquisitions to strengthen our existing locations, expand our operations and enter new geographic markets. We will continue to pursue selective acquisitions, joint ventures or other business arrangements we believe will help our Company. However, the continued success of our acquisition program will depend on our ability to find and buy other attractive businesses at an appropriate price and our ability to integrate acquired businesses into our existing operations. We cannot assume there will continue to be attractive acquisition opportunities for sale at reasonable prices that we can successfully integrate into our operations.</w:t>
      </w:r>
    </w:p>
    <w:p>
      <w:pPr>
        <w:spacing w:after="0" w:line="16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may decide to pay all or part of the purchase price of any future acquisition with shares of our common stock. For example, we used our common stock for our acquisition of TXI. We may also use our stock to make strategic investments in other companies to complement and expand our operations. If we use our common stock in this way, the ownership interests of our existing shareholders at that time will be diluted and the price of our stock could decline. We operate our businesses with the objective of maximizing long-term shareholder return.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Our integration of the acquisition of or business combination with other businesses may not be as successful as projected.</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a successful history of business combinations and integration of these businesses into our heritage operations. Our largest business acquisition was TXI, which closed in July 2014. In 2015, we completed the integration of TXI’s operations into our own operations ahead of schedule, which allowed us to achieve and exceed the synergies, cost savings, and operating efficiencies we had forecasted at the time of the acquisition. In 2018, we completed the integration of the operations of Bluegrass into our own operations in a manner that surpassed the publicly stated synergy estimates provided at the closing of the transaction. However, in connection with the integration of any other business that we acquire, it is a risk factor that we will not be able to achieve such integration in a successful manner or on the time schedule we have projected or in a way that will achieve the level of synergies, cost savings, or operating efficiencies we forecast from the acquisition.</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Any other significant business acquisition or combination we might choose to do, similar to the acquisition of TXI or Bluegrass, would require that we devote significant management attention and resources to preparing for and then integrating our business practices and operations. Based on our history, we believe we would be successful in this integration process. Nevertheless, we may fail to realize some of the anticipated benefits of any potential acquisition or other business combination that we pursue in the future, if the integration process takes longer than expected or is more costly than expected. Potential difficulties we may encounter in the integration process include:</w:t>
      </w:r>
    </w:p>
    <w:p>
      <w:pPr>
        <w:spacing w:after="0" w:line="109" w:lineRule="exact"/>
        <w:rPr>
          <w:sz w:val="20"/>
          <w:szCs w:val="20"/>
          <w:color w:val="auto"/>
        </w:rPr>
      </w:pPr>
    </w:p>
    <w:p>
      <w:pPr>
        <w:jc w:val="both"/>
        <w:ind w:left="780" w:hanging="326"/>
        <w:spacing w:after="0" w:line="253" w:lineRule="auto"/>
        <w:tabs>
          <w:tab w:leader="none" w:pos="780" w:val="left"/>
        </w:tabs>
        <w:numPr>
          <w:ilvl w:val="0"/>
          <w:numId w:val="10"/>
        </w:numPr>
        <w:rPr>
          <w:rFonts w:ascii="Arial" w:cs="Arial" w:eastAsia="Arial" w:hAnsi="Arial"/>
          <w:sz w:val="16"/>
          <w:szCs w:val="16"/>
          <w:color w:val="007CBA"/>
        </w:rPr>
      </w:pPr>
      <w:r>
        <w:rPr>
          <w:rFonts w:ascii="Arial" w:cs="Arial" w:eastAsia="Arial" w:hAnsi="Arial"/>
          <w:sz w:val="16"/>
          <w:szCs w:val="16"/>
          <w:color w:val="auto"/>
        </w:rPr>
        <w:t>the inability to successfully combine operations in a manner that permits us to achieve the cost savings and revenue synergies anticipated to result from the proposed acquisition or business combination, which would result in the anticipated benefits of the acquisition or business combination not being realized partly or wholly in the time frame currently anticipated or at all;</w:t>
      </w:r>
    </w:p>
    <w:p>
      <w:pPr>
        <w:spacing w:after="0" w:line="106" w:lineRule="exact"/>
        <w:rPr>
          <w:rFonts w:ascii="Arial" w:cs="Arial" w:eastAsia="Arial" w:hAnsi="Arial"/>
          <w:sz w:val="16"/>
          <w:szCs w:val="16"/>
          <w:color w:val="007CBA"/>
        </w:rPr>
      </w:pPr>
    </w:p>
    <w:p>
      <w:pPr>
        <w:ind w:left="780" w:hanging="326"/>
        <w:spacing w:after="0" w:line="260" w:lineRule="auto"/>
        <w:tabs>
          <w:tab w:leader="none" w:pos="780" w:val="left"/>
        </w:tabs>
        <w:numPr>
          <w:ilvl w:val="0"/>
          <w:numId w:val="10"/>
        </w:numPr>
        <w:rPr>
          <w:rFonts w:ascii="Arial" w:cs="Arial" w:eastAsia="Arial" w:hAnsi="Arial"/>
          <w:sz w:val="16"/>
          <w:szCs w:val="16"/>
          <w:color w:val="007CBA"/>
        </w:rPr>
      </w:pPr>
      <w:r>
        <w:rPr>
          <w:rFonts w:ascii="Arial" w:cs="Arial" w:eastAsia="Arial" w:hAnsi="Arial"/>
          <w:sz w:val="16"/>
          <w:szCs w:val="16"/>
          <w:color w:val="auto"/>
        </w:rPr>
        <w:t>lost sales and customers as a result of certain customers of either the Company or former customers of the acquired or combined company deciding not to do business with the Company;</w:t>
      </w:r>
    </w:p>
    <w:p>
      <w:pPr>
        <w:spacing w:after="0" w:line="101" w:lineRule="exact"/>
        <w:rPr>
          <w:rFonts w:ascii="Arial" w:cs="Arial" w:eastAsia="Arial" w:hAnsi="Arial"/>
          <w:sz w:val="16"/>
          <w:szCs w:val="16"/>
          <w:color w:val="007CBA"/>
        </w:rPr>
      </w:pPr>
    </w:p>
    <w:p>
      <w:pPr>
        <w:ind w:left="780" w:hanging="326"/>
        <w:spacing w:after="0"/>
        <w:tabs>
          <w:tab w:leader="none" w:pos="780" w:val="left"/>
        </w:tabs>
        <w:numPr>
          <w:ilvl w:val="0"/>
          <w:numId w:val="10"/>
        </w:numPr>
        <w:rPr>
          <w:rFonts w:ascii="Arial" w:cs="Arial" w:eastAsia="Arial" w:hAnsi="Arial"/>
          <w:sz w:val="16"/>
          <w:szCs w:val="16"/>
          <w:color w:val="007CBA"/>
        </w:rPr>
      </w:pPr>
      <w:r>
        <w:rPr>
          <w:rFonts w:ascii="Arial" w:cs="Arial" w:eastAsia="Arial" w:hAnsi="Arial"/>
          <w:sz w:val="16"/>
          <w:szCs w:val="16"/>
          <w:color w:val="auto"/>
        </w:rPr>
        <w:t>complexities associated with managing the combined operations;</w:t>
      </w:r>
    </w:p>
    <w:p>
      <w:pPr>
        <w:spacing w:after="0" w:line="126" w:lineRule="exact"/>
        <w:rPr>
          <w:rFonts w:ascii="Arial" w:cs="Arial" w:eastAsia="Arial" w:hAnsi="Arial"/>
          <w:sz w:val="16"/>
          <w:szCs w:val="16"/>
          <w:color w:val="007CBA"/>
        </w:rPr>
      </w:pPr>
    </w:p>
    <w:p>
      <w:pPr>
        <w:ind w:left="780" w:hanging="326"/>
        <w:spacing w:after="0"/>
        <w:tabs>
          <w:tab w:leader="none" w:pos="780" w:val="left"/>
        </w:tabs>
        <w:numPr>
          <w:ilvl w:val="0"/>
          <w:numId w:val="10"/>
        </w:numPr>
        <w:rPr>
          <w:rFonts w:ascii="Arial" w:cs="Arial" w:eastAsia="Arial" w:hAnsi="Arial"/>
          <w:sz w:val="16"/>
          <w:szCs w:val="16"/>
          <w:color w:val="007CBA"/>
        </w:rPr>
      </w:pPr>
      <w:r>
        <w:rPr>
          <w:rFonts w:ascii="Arial" w:cs="Arial" w:eastAsia="Arial" w:hAnsi="Arial"/>
          <w:sz w:val="16"/>
          <w:szCs w:val="16"/>
          <w:color w:val="auto"/>
        </w:rPr>
        <w:t>integrating personnel;</w:t>
      </w:r>
    </w:p>
    <w:p>
      <w:pPr>
        <w:spacing w:after="0" w:line="126" w:lineRule="exact"/>
        <w:rPr>
          <w:rFonts w:ascii="Arial" w:cs="Arial" w:eastAsia="Arial" w:hAnsi="Arial"/>
          <w:sz w:val="16"/>
          <w:szCs w:val="16"/>
          <w:color w:val="007CBA"/>
        </w:rPr>
      </w:pPr>
    </w:p>
    <w:p>
      <w:pPr>
        <w:ind w:left="780" w:hanging="326"/>
        <w:spacing w:after="0"/>
        <w:tabs>
          <w:tab w:leader="none" w:pos="780" w:val="left"/>
        </w:tabs>
        <w:numPr>
          <w:ilvl w:val="0"/>
          <w:numId w:val="10"/>
        </w:numPr>
        <w:rPr>
          <w:rFonts w:ascii="Arial" w:cs="Arial" w:eastAsia="Arial" w:hAnsi="Arial"/>
          <w:sz w:val="16"/>
          <w:szCs w:val="16"/>
          <w:color w:val="007CBA"/>
        </w:rPr>
      </w:pPr>
      <w:r>
        <w:rPr>
          <w:rFonts w:ascii="Arial" w:cs="Arial" w:eastAsia="Arial" w:hAnsi="Arial"/>
          <w:sz w:val="16"/>
          <w:szCs w:val="16"/>
          <w:color w:val="auto"/>
        </w:rPr>
        <w:t>creation of uniform standards, internal controls, procedures, policies and information systems;</w:t>
      </w:r>
    </w:p>
    <w:p>
      <w:pPr>
        <w:spacing w:after="0" w:line="126" w:lineRule="exact"/>
        <w:rPr>
          <w:rFonts w:ascii="Arial" w:cs="Arial" w:eastAsia="Arial" w:hAnsi="Arial"/>
          <w:sz w:val="16"/>
          <w:szCs w:val="16"/>
          <w:color w:val="007CBA"/>
        </w:rPr>
      </w:pPr>
    </w:p>
    <w:p>
      <w:pPr>
        <w:ind w:left="780" w:right="20" w:hanging="326"/>
        <w:spacing w:after="0" w:line="260" w:lineRule="auto"/>
        <w:tabs>
          <w:tab w:leader="none" w:pos="780" w:val="left"/>
        </w:tabs>
        <w:numPr>
          <w:ilvl w:val="0"/>
          <w:numId w:val="10"/>
        </w:numPr>
        <w:rPr>
          <w:rFonts w:ascii="Arial" w:cs="Arial" w:eastAsia="Arial" w:hAnsi="Arial"/>
          <w:sz w:val="16"/>
          <w:szCs w:val="16"/>
          <w:color w:val="007CBA"/>
        </w:rPr>
      </w:pPr>
      <w:r>
        <w:rPr>
          <w:rFonts w:ascii="Arial" w:cs="Arial" w:eastAsia="Arial" w:hAnsi="Arial"/>
          <w:sz w:val="16"/>
          <w:szCs w:val="16"/>
          <w:color w:val="auto"/>
        </w:rPr>
        <w:t>potential unknown liabilities and unforeseen increased expenses, delays or regulatory issues associated with integrating the remaining operations; and</w:t>
      </w:r>
    </w:p>
    <w:p>
      <w:pPr>
        <w:spacing w:after="0" w:line="101" w:lineRule="exact"/>
        <w:rPr>
          <w:rFonts w:ascii="Arial" w:cs="Arial" w:eastAsia="Arial" w:hAnsi="Arial"/>
          <w:sz w:val="16"/>
          <w:szCs w:val="16"/>
          <w:color w:val="007CBA"/>
        </w:rPr>
      </w:pPr>
    </w:p>
    <w:p>
      <w:pPr>
        <w:ind w:left="780" w:right="20" w:hanging="326"/>
        <w:spacing w:after="0" w:line="260" w:lineRule="auto"/>
        <w:tabs>
          <w:tab w:leader="none" w:pos="780" w:val="left"/>
        </w:tabs>
        <w:numPr>
          <w:ilvl w:val="0"/>
          <w:numId w:val="10"/>
        </w:numPr>
        <w:rPr>
          <w:rFonts w:ascii="Arial" w:cs="Arial" w:eastAsia="Arial" w:hAnsi="Arial"/>
          <w:sz w:val="16"/>
          <w:szCs w:val="16"/>
          <w:color w:val="007CBA"/>
        </w:rPr>
      </w:pPr>
      <w:r>
        <w:rPr>
          <w:rFonts w:ascii="Arial" w:cs="Arial" w:eastAsia="Arial" w:hAnsi="Arial"/>
          <w:sz w:val="16"/>
          <w:szCs w:val="16"/>
          <w:color w:val="auto"/>
        </w:rPr>
        <w:t>performance shortfalls at business units as a result of the diversion of management attention caused by completing the remaining integration of the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80010</wp:posOffset>
            </wp:positionV>
            <wp:extent cx="411480" cy="248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25" w:lineRule="exact"/>
        <w:rPr>
          <w:sz w:val="20"/>
          <w:szCs w:val="20"/>
          <w:color w:val="auto"/>
        </w:rPr>
      </w:pPr>
    </w:p>
    <w:tbl>
      <w:tblPr>
        <w:tblLayout w:type="fixed"/>
        <w:tblInd w:w="9980" w:type="dxa"/>
        <w:tblCellMar>
          <w:top w:w="0" w:type="dxa"/>
          <w:left w:w="0" w:type="dxa"/>
          <w:bottom w:w="0" w:type="dxa"/>
          <w:right w:w="0" w:type="dxa"/>
        </w:tblCellMar>
      </w:tblPr>
      <w:tr>
        <w:trPr>
          <w:trHeight w:val="168"/>
        </w:trPr>
        <w:tc>
          <w:tcPr>
            <w:tcW w:w="1140" w:type="dxa"/>
            <w:vAlign w:val="bottom"/>
          </w:tcPr>
          <w:p>
            <w:pPr>
              <w:spacing w:after="0"/>
              <w:rPr>
                <w:sz w:val="20"/>
                <w:szCs w:val="20"/>
                <w:color w:val="auto"/>
              </w:rPr>
            </w:pPr>
            <w:r>
              <w:rPr>
                <w:rFonts w:ascii="Arial" w:cs="Arial" w:eastAsia="Arial" w:hAnsi="Arial"/>
                <w:sz w:val="13"/>
                <w:szCs w:val="13"/>
                <w:color w:val="007CBA"/>
              </w:rPr>
              <w:t>2018 FORM 10-K</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15</w:t>
            </w: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Part I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Item 1A - Risk Factors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Our acquisitions could harm our results of operations.</w:t>
      </w:r>
    </w:p>
    <w:p>
      <w:pPr>
        <w:spacing w:after="0" w:line="2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In pursuing our business strategy, we conduct discussions, evaluate opportunities and enter into acquisition agreements. Acquisitions involve significant challenges and risks, including risks that:</w:t>
      </w:r>
    </w:p>
    <w:p>
      <w:pPr>
        <w:spacing w:after="0" w:line="101"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6"/>
          <w:szCs w:val="16"/>
          <w:color w:val="007CBA"/>
        </w:rPr>
      </w:pPr>
      <w:r>
        <w:rPr>
          <w:rFonts w:ascii="Arial" w:cs="Arial" w:eastAsia="Arial" w:hAnsi="Arial"/>
          <w:sz w:val="16"/>
          <w:szCs w:val="16"/>
          <w:color w:val="auto"/>
        </w:rPr>
        <w:t>We may not realize a satisfactory return on the investment we make;</w:t>
      </w:r>
    </w:p>
    <w:p>
      <w:pPr>
        <w:spacing w:after="0" w:line="126" w:lineRule="exact"/>
        <w:rPr>
          <w:rFonts w:ascii="Arial" w:cs="Arial" w:eastAsia="Arial" w:hAnsi="Arial"/>
          <w:sz w:val="16"/>
          <w:szCs w:val="16"/>
          <w:color w:val="007CBA"/>
        </w:rPr>
      </w:pPr>
    </w:p>
    <w:p>
      <w:pPr>
        <w:ind w:left="780" w:hanging="326"/>
        <w:spacing w:after="0"/>
        <w:tabs>
          <w:tab w:leader="none" w:pos="780" w:val="left"/>
        </w:tabs>
        <w:numPr>
          <w:ilvl w:val="0"/>
          <w:numId w:val="11"/>
        </w:numPr>
        <w:rPr>
          <w:rFonts w:ascii="Arial" w:cs="Arial" w:eastAsia="Arial" w:hAnsi="Arial"/>
          <w:sz w:val="16"/>
          <w:szCs w:val="16"/>
          <w:color w:val="007CBA"/>
        </w:rPr>
      </w:pPr>
      <w:r>
        <w:rPr>
          <w:rFonts w:ascii="Arial" w:cs="Arial" w:eastAsia="Arial" w:hAnsi="Arial"/>
          <w:sz w:val="16"/>
          <w:szCs w:val="16"/>
          <w:color w:val="auto"/>
        </w:rPr>
        <w:t>We may not be able to retain key personnel of the acquired business;</w:t>
      </w:r>
    </w:p>
    <w:p>
      <w:pPr>
        <w:spacing w:after="0" w:line="126" w:lineRule="exact"/>
        <w:rPr>
          <w:rFonts w:ascii="Arial" w:cs="Arial" w:eastAsia="Arial" w:hAnsi="Arial"/>
          <w:sz w:val="16"/>
          <w:szCs w:val="16"/>
          <w:color w:val="007CBA"/>
        </w:rPr>
      </w:pPr>
    </w:p>
    <w:p>
      <w:pPr>
        <w:ind w:left="780" w:hanging="326"/>
        <w:spacing w:after="0"/>
        <w:tabs>
          <w:tab w:leader="none" w:pos="780" w:val="left"/>
        </w:tabs>
        <w:numPr>
          <w:ilvl w:val="0"/>
          <w:numId w:val="11"/>
        </w:numPr>
        <w:rPr>
          <w:rFonts w:ascii="Arial" w:cs="Arial" w:eastAsia="Arial" w:hAnsi="Arial"/>
          <w:sz w:val="16"/>
          <w:szCs w:val="16"/>
          <w:color w:val="007CBA"/>
        </w:rPr>
      </w:pPr>
      <w:r>
        <w:rPr>
          <w:rFonts w:ascii="Arial" w:cs="Arial" w:eastAsia="Arial" w:hAnsi="Arial"/>
          <w:sz w:val="16"/>
          <w:szCs w:val="16"/>
          <w:color w:val="auto"/>
        </w:rPr>
        <w:t>We may experience difficulty in integrating new employees, business systems and technology;</w:t>
      </w:r>
    </w:p>
    <w:p>
      <w:pPr>
        <w:spacing w:after="0" w:line="126" w:lineRule="exact"/>
        <w:rPr>
          <w:rFonts w:ascii="Arial" w:cs="Arial" w:eastAsia="Arial" w:hAnsi="Arial"/>
          <w:sz w:val="16"/>
          <w:szCs w:val="16"/>
          <w:color w:val="007CBA"/>
        </w:rPr>
      </w:pPr>
    </w:p>
    <w:p>
      <w:pPr>
        <w:ind w:left="780" w:hanging="326"/>
        <w:spacing w:after="0"/>
        <w:tabs>
          <w:tab w:leader="none" w:pos="780" w:val="left"/>
        </w:tabs>
        <w:numPr>
          <w:ilvl w:val="0"/>
          <w:numId w:val="11"/>
        </w:numPr>
        <w:rPr>
          <w:rFonts w:ascii="Arial" w:cs="Arial" w:eastAsia="Arial" w:hAnsi="Arial"/>
          <w:sz w:val="16"/>
          <w:szCs w:val="16"/>
          <w:color w:val="007CBA"/>
        </w:rPr>
      </w:pPr>
      <w:r>
        <w:rPr>
          <w:rFonts w:ascii="Arial" w:cs="Arial" w:eastAsia="Arial" w:hAnsi="Arial"/>
          <w:sz w:val="16"/>
          <w:szCs w:val="16"/>
          <w:color w:val="auto"/>
        </w:rPr>
        <w:t>Our due diligence process may not identify compliance issues or other liabilities that are in existence at the time of our acquisition;</w:t>
      </w:r>
    </w:p>
    <w:p>
      <w:pPr>
        <w:spacing w:after="0" w:line="126" w:lineRule="exact"/>
        <w:rPr>
          <w:rFonts w:ascii="Arial" w:cs="Arial" w:eastAsia="Arial" w:hAnsi="Arial"/>
          <w:sz w:val="16"/>
          <w:szCs w:val="16"/>
          <w:color w:val="007CBA"/>
        </w:rPr>
      </w:pPr>
    </w:p>
    <w:p>
      <w:pPr>
        <w:ind w:left="780" w:hanging="326"/>
        <w:spacing w:after="0"/>
        <w:tabs>
          <w:tab w:leader="none" w:pos="780" w:val="left"/>
        </w:tabs>
        <w:numPr>
          <w:ilvl w:val="0"/>
          <w:numId w:val="11"/>
        </w:numPr>
        <w:rPr>
          <w:rFonts w:ascii="Arial" w:cs="Arial" w:eastAsia="Arial" w:hAnsi="Arial"/>
          <w:sz w:val="16"/>
          <w:szCs w:val="16"/>
          <w:color w:val="007CBA"/>
        </w:rPr>
      </w:pPr>
      <w:r>
        <w:rPr>
          <w:rFonts w:ascii="Arial" w:cs="Arial" w:eastAsia="Arial" w:hAnsi="Arial"/>
          <w:sz w:val="16"/>
          <w:szCs w:val="16"/>
          <w:color w:val="auto"/>
        </w:rPr>
        <w:t>We may not be able to bring the acquired business up to our expected levels of safety standards as soon as anticipated;</w:t>
      </w:r>
    </w:p>
    <w:p>
      <w:pPr>
        <w:spacing w:after="0" w:line="126" w:lineRule="exact"/>
        <w:rPr>
          <w:rFonts w:ascii="Arial" w:cs="Arial" w:eastAsia="Arial" w:hAnsi="Arial"/>
          <w:sz w:val="16"/>
          <w:szCs w:val="16"/>
          <w:color w:val="007CBA"/>
        </w:rPr>
      </w:pPr>
    </w:p>
    <w:p>
      <w:pPr>
        <w:ind w:left="780" w:hanging="326"/>
        <w:spacing w:after="0"/>
        <w:tabs>
          <w:tab w:leader="none" w:pos="780" w:val="left"/>
        </w:tabs>
        <w:numPr>
          <w:ilvl w:val="0"/>
          <w:numId w:val="11"/>
        </w:numPr>
        <w:rPr>
          <w:rFonts w:ascii="Arial" w:cs="Arial" w:eastAsia="Arial" w:hAnsi="Arial"/>
          <w:sz w:val="16"/>
          <w:szCs w:val="16"/>
          <w:color w:val="007CBA"/>
        </w:rPr>
      </w:pPr>
      <w:r>
        <w:rPr>
          <w:rFonts w:ascii="Arial" w:cs="Arial" w:eastAsia="Arial" w:hAnsi="Arial"/>
          <w:sz w:val="16"/>
          <w:szCs w:val="16"/>
          <w:color w:val="auto"/>
        </w:rPr>
        <w:t>We may have difficulty entering into new geographic markets in which we are not experienced; or</w:t>
      </w:r>
    </w:p>
    <w:p>
      <w:pPr>
        <w:spacing w:after="0" w:line="126" w:lineRule="exact"/>
        <w:rPr>
          <w:rFonts w:ascii="Arial" w:cs="Arial" w:eastAsia="Arial" w:hAnsi="Arial"/>
          <w:sz w:val="16"/>
          <w:szCs w:val="16"/>
          <w:color w:val="007CBA"/>
        </w:rPr>
      </w:pPr>
    </w:p>
    <w:p>
      <w:pPr>
        <w:ind w:left="780" w:hanging="326"/>
        <w:spacing w:after="0"/>
        <w:tabs>
          <w:tab w:leader="none" w:pos="780" w:val="left"/>
        </w:tabs>
        <w:numPr>
          <w:ilvl w:val="0"/>
          <w:numId w:val="11"/>
        </w:numPr>
        <w:rPr>
          <w:rFonts w:ascii="Arial" w:cs="Arial" w:eastAsia="Arial" w:hAnsi="Arial"/>
          <w:sz w:val="16"/>
          <w:szCs w:val="16"/>
          <w:color w:val="007CBA"/>
        </w:rPr>
      </w:pPr>
      <w:r>
        <w:rPr>
          <w:rFonts w:ascii="Arial" w:cs="Arial" w:eastAsia="Arial" w:hAnsi="Arial"/>
          <w:sz w:val="16"/>
          <w:szCs w:val="16"/>
          <w:color w:val="auto"/>
        </w:rPr>
        <w:t>We may be unable to retain the customers and partners of acquired businesses following the acquisition.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Our cement product line and Magnesia Specialties business may become capacity constrained.</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our cement product line or Magnesia Specialties business becomes capacity constrained, they may be unable to satisfy on a timely basis the demand for some of their products, and any resulting changes in customers would introduce volatility to the earnings of these segments. We can address capacity needs by enhancing our manufacturing productivity, increasing the operational availability of equipment, reducing machinery down time and extending machinery useful life. Future demand for our products may require us to expand further our manufacturing capacity, particularly through the purchase of additional manufacturing equipment. However, we may not be able to increase our capacity in time to satisfy increases in demand that may occur from time to time. Capacity constraints may prevent us from satisfying customer orders and result in a loss of sales to competitors that are not capacity constrained. In addition, we may suffer excess capacity if we increase our capacity to meet actual or anticipated demand and that demand decreases or does not materialize. While we are permitted to expand production by up to 800,000 additional tons at our Midlothian plant, it could take us a significant period of time before such production expansion could come to fruition.</w:t>
      </w:r>
    </w:p>
    <w:p>
      <w:pPr>
        <w:spacing w:after="0" w:line="146"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b w:val="1"/>
          <w:bCs w:val="1"/>
          <w:i w:val="1"/>
          <w:iCs w:val="1"/>
          <w:color w:val="007CBA"/>
        </w:rPr>
        <w:t>Our cement product line could suffer if cement imports from other countries significantly increase or are sold in the U.S. in violation of U.S. fair trade laws.</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cement industry has in the past obtained antidumping orders imposing duties on imports of cement and clinker from other countries that violated U.S. fair trade laws. Currently, an antidumping order against cement and clinker from Japan is set to expire but is under review for extension by the Federal Trade Commission. As has always been the case, cement operators with import facilities can purchase cement from other countries, such as those in Latin America and Asia, which could compete with domestic producers. In addition, if environmental regulations increase the costs of domestic producers compared to foreign producers that are not subject to similar regulations, imported cement could achieve a significant cost advantage over domestically produced cement. An influx of cement or clinker products from countries not subject to antidumping orders, or sales of imported cement or clinker in violation of U.S. fair trade laws, could adversely affect our cement product line.</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Economic, Political and Legal Risk Factors</w:t>
      </w:r>
    </w:p>
    <w:p>
      <w:pPr>
        <w:spacing w:after="0" w:line="130"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b w:val="1"/>
          <w:bCs w:val="1"/>
          <w:i w:val="1"/>
          <w:iCs w:val="1"/>
          <w:color w:val="007CBA"/>
        </w:rPr>
        <w:t>Changes in legal requirements and governmental policies concerning zoning, land use, the environment, and other areas of the law, and litigation relating to these matters, affect our businesses. Our operations expose us to the risk of material environmental liabilities.</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Many federal, state and local laws and regulations relating to zoning, land use, air emissions (including greenhouse gases) and water discharges, waste management, noise and dust control, reclamation and other environmental, health safety regulatory matters govern our operations. Some of our operations require permits, which may impose additional operating standards, and are subject to modification renewal and revocation. Despite our extensive efforts to remain in strict compliance at all times with all applicable laws and regulations, the risk of liabilities, particularly environmental liabilities, is inherent in the operation of our businesses. These potential liabilities could result in material costs, including for fines or damages claims, which could have an adverse impact on our operations and profitability.</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Future events, including changes in existing laws or regulations or enforcement policies, or further investigation or evaluation of the potential health hazards of some of our products or business activities may result in additional or unanticipated compliance and other costs. We could be required to invest in preventive or remedial action, like pollution control facilities, which could be substantial or which could result in restrictions on our operations or delays in obtaining required permits or other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84455</wp:posOffset>
            </wp:positionV>
            <wp:extent cx="411480" cy="2489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4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3"/>
          <w:szCs w:val="13"/>
          <w:b w:val="1"/>
          <w:bCs w:val="1"/>
          <w:color w:val="auto"/>
        </w:rPr>
      </w:pPr>
      <w:r>
        <w:rPr>
          <w:rFonts w:ascii="Arial" w:cs="Arial" w:eastAsia="Arial" w:hAnsi="Arial"/>
          <w:sz w:val="13"/>
          <w:szCs w:val="13"/>
          <w:color w:val="007CBA"/>
        </w:rPr>
        <w:t>2018 FORM 10-K</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ind w:left="9400"/>
        <w:spacing w:after="0" w:line="276" w:lineRule="exact"/>
        <w:rPr>
          <w:sz w:val="20"/>
          <w:szCs w:val="20"/>
          <w:color w:val="auto"/>
        </w:rPr>
      </w:pPr>
      <w:r>
        <w:rPr>
          <w:rFonts w:ascii="Arial" w:cs="Arial" w:eastAsia="Arial" w:hAnsi="Arial"/>
          <w:sz w:val="13"/>
          <w:szCs w:val="13"/>
          <w:color w:val="auto"/>
        </w:rPr>
        <w:t xml:space="preserve">Item 1A - Risk Factors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Part I</w:t>
      </w:r>
    </w:p>
    <w:p>
      <w:pPr>
        <w:spacing w:after="0" w:line="23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operations are subject to manufacturing, operating, and handling risks associated with the products we produce and the products we use in our operations, including the related storage and transportation of raw materials, products, hazardous substances, and wastes. We are exposed to hazards including storage tank leaks, explosions, discharges or releases of hazardous substances, exposure to dust, and the operation of mobile equipment and manufacturing machinery.</w:t>
      </w:r>
    </w:p>
    <w:p>
      <w:pPr>
        <w:spacing w:after="0" w:line="3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These risks can subject us to potentially significant liabilities relating to personal injury or death, or property damage, and may result in civil or criminal penalties, which could hurt our productivity or profitability. For example, from time to time we investigate and remediate environmental contamination relating to our prior or current operations, as well as operations we have acquired from others, and in some cases we have been or could be named as a defendant in litigation brought by governmental agencies or private parties.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involved from time to time in litigation and claims arising from our operations. While we do not believe the outcome of pending or threatened litigation will have a material adverse effect on our operations or our financial condition, an unexpected and material adverse outcome in a pending or future legal action could potentially have a negative effect on our Company.</w:t>
      </w:r>
    </w:p>
    <w:p>
      <w:pPr>
        <w:spacing w:after="0" w:line="141" w:lineRule="exact"/>
        <w:rPr>
          <w:sz w:val="20"/>
          <w:szCs w:val="20"/>
          <w:color w:val="auto"/>
        </w:rPr>
      </w:pPr>
    </w:p>
    <w:p>
      <w:pPr>
        <w:ind w:right="640"/>
        <w:spacing w:after="0" w:line="259" w:lineRule="auto"/>
        <w:rPr>
          <w:sz w:val="20"/>
          <w:szCs w:val="20"/>
          <w:color w:val="auto"/>
        </w:rPr>
      </w:pPr>
      <w:r>
        <w:rPr>
          <w:rFonts w:ascii="Arial" w:cs="Arial" w:eastAsia="Arial" w:hAnsi="Arial"/>
          <w:sz w:val="16"/>
          <w:szCs w:val="16"/>
          <w:b w:val="1"/>
          <w:bCs w:val="1"/>
          <w:i w:val="1"/>
          <w:iCs w:val="1"/>
          <w:color w:val="007CBA"/>
        </w:rPr>
        <w:t>Climate change and climate change legislation or regulations may adversely impact our business, including potential physical and financial impacts.</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Amid concerns that GHG emissions are contributing to climate change, a number of governmental bodies, including the U.S. Congress and various U.S. states, have proposed, enacted or are contemplating legislative and regulatory changes to mitigate or address the potential impacts of climate change, including provisions for emissions reductions or the use of alternative fuels, carbon credits (such as a “cap and trade” system) and a carbon tax. For example, in the U.S., the USEPA promulgated a mandatory reporting rule covering GHG emissions from sources considered to be large emitters. The USEPA has also promulgated a GHG emissions permitting rule, referred to as the “Tailoring Rule,” which may require some industrial facilities to obtain operating permits for GHG emissions under the U.S. Clean Air Act. Although the U.S. Supreme Court subsequently ruled in June 2014 that the USEPA exceeded its statutory authority in issuing the Tailoring Rule, the Court upheld the so-called “Best Available Control Technology” requirements for GHGs emitted by sources that already require Title V operating permits or are subject to PSD requirements for other pollutants. Thus, if future modifications to our Magnesia Specialties or cement facilities require review of the applicability of permitting requirements due to other pollutants, GHG permitting requirements may also be triggered, which could require us to incur significant additional costs.</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Although the operations of the Company’s aggregates, ready mixed concrete and asphalt and paving product lines are not major sources of GHG emissions, any additional regulatory restrictions on emissions of GHGs imposed by the USEPA will likely impact the Company’s magnesia-based chemicals operations in Woodville, Ohio and Manistee, Michigan, as well as its two cement plants in Texas, each of which file annual reports of GHG emissions as required by the USEPA reporting rule. It is not possible, however, to estimate the cost of any such future requirements at this time. In addition, the Company may not be able to recover any increased operating costs or taxes relating to GHG emission limitations at those plants from its customers in order to remain competitive in pricing in the relevant markets.</w:t>
      </w:r>
    </w:p>
    <w:p>
      <w:pPr>
        <w:spacing w:after="0" w:line="16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to impacts from increased weather-related regulation, climate change may result in physical and financial impacts which could have adverse effects on the Company’s operations or financial condition. Given the nature of our operations, physical impacts may include disruptions in production and/or regional supply or product distribution networks due to major storm events, shifts in regional rainfall and temperature patterns and intensities, as well as flooding from sea level changes. In addition, production and shipment levels for the Building Materials business and cement operations correlate with general construction activity, most of which occurs outdoors and, as a result, is affected by erratic weather patterns, seasonal changes and other unusual or unexpected weather-related conditions, which can significantly affect that business. Excessive rainfall and other severe weather events also jeopardize production, shipments and profitability in all markets served by the Company. In particular, the Company’s operations in the Southeastern and Gulf Coast regions of the United States and the Bahamas are at risk for hurricane activity, most notably in August, September and October. The last few years brought an unprecedented amount of precipitation to the United States and particularly to Texas and the southeastern United States. In addition, climate and inclement weather can reduce the useful life of an asset.</w:t>
      </w:r>
    </w:p>
    <w:p>
      <w:pPr>
        <w:spacing w:after="0" w:line="35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businesses also are dependent on reliable sources of electricity and fuels. We could incur increased costs or disruptions in our operations if climate change legislation and regulation or severe weather impacts the price or availability of purchased electricity or fuels or other materials used in our operations. These and other climate-related risks also could impact our customers, such as a downturn in the construction sector, which could lead to reduced demand for our products. The Company may not be able to pass on to its customers all the costs relating to mitigating these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84455</wp:posOffset>
            </wp:positionV>
            <wp:extent cx="411480" cy="2489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32" w:lineRule="exact"/>
        <w:rPr>
          <w:sz w:val="20"/>
          <w:szCs w:val="20"/>
          <w:color w:val="auto"/>
        </w:rPr>
      </w:pPr>
    </w:p>
    <w:tbl>
      <w:tblPr>
        <w:tblLayout w:type="fixed"/>
        <w:tblInd w:w="9980" w:type="dxa"/>
        <w:tblCellMar>
          <w:top w:w="0" w:type="dxa"/>
          <w:left w:w="0" w:type="dxa"/>
          <w:bottom w:w="0" w:type="dxa"/>
          <w:right w:w="0" w:type="dxa"/>
        </w:tblCellMar>
      </w:tblPr>
      <w:tr>
        <w:trPr>
          <w:trHeight w:val="168"/>
        </w:trPr>
        <w:tc>
          <w:tcPr>
            <w:tcW w:w="1140" w:type="dxa"/>
            <w:vAlign w:val="bottom"/>
          </w:tcPr>
          <w:p>
            <w:pPr>
              <w:spacing w:after="0"/>
              <w:rPr>
                <w:sz w:val="20"/>
                <w:szCs w:val="20"/>
                <w:color w:val="auto"/>
              </w:rPr>
            </w:pPr>
            <w:r>
              <w:rPr>
                <w:rFonts w:ascii="Arial" w:cs="Arial" w:eastAsia="Arial" w:hAnsi="Arial"/>
                <w:sz w:val="13"/>
                <w:szCs w:val="13"/>
                <w:color w:val="007CBA"/>
              </w:rPr>
              <w:t>2018 FORM 10-K</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17</w:t>
            </w: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Part I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Item 1A - Risk Factors</w:t>
      </w: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overall impacts of climate change on our operations and the Company are highly uncertain and difficult to estimate. However, climate change legislation and regulation concerning GHGs could have a material adverse effect on our future financial position, results of operations or cash flows.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Our business is dependent on funding from a combination of federal, state and local sources.</w:t>
      </w:r>
    </w:p>
    <w:p>
      <w:pPr>
        <w:spacing w:after="0" w:line="2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Our products are used in public infrastructure projects, which include the construction, maintenance, and improvement of highways, streets, roads, bridges, schools, and similar projects. Accordingly, our business is dependent on the level of federal, state, and local spending on these projects. The visibility into future federal infrastructure funding was clarified near the end of 2015 with the passage of the current federal highway bill, the FAST Act, which reauthorizes federal highway and transportation funding programs. The FAST Act also changes the </w:t>
      </w:r>
      <w:r>
        <w:rPr>
          <w:rFonts w:ascii="Arial" w:cs="Arial" w:eastAsia="Arial" w:hAnsi="Arial"/>
          <w:sz w:val="16"/>
          <w:szCs w:val="16"/>
          <w:i w:val="1"/>
          <w:iCs w:val="1"/>
          <w:color w:val="auto"/>
        </w:rPr>
        <w:t>Transportation Infrastructure and Innovation Act</w:t>
      </w:r>
      <w:r>
        <w:rPr>
          <w:rFonts w:ascii="Arial" w:cs="Arial" w:eastAsia="Arial" w:hAnsi="Arial"/>
          <w:sz w:val="16"/>
          <w:szCs w:val="16"/>
          <w:color w:val="auto"/>
        </w:rPr>
        <w:t xml:space="preserve"> (“TIFIA”) funding, a federal alternative funding mechanism for transportation projects. Under the FAST Act, TIFIA funding ranges from $275 million to $300 million, and no longer requires the 20% matching funds from state DOTs. While the total value of United States overall public-works spending increased in 2018, federal funding through the FAST Act did not impact highway spending in any meaningful way. Lettings accelerated during the year, but weather, contractor capacity, and logistics dampened construction activity during the year. The increase in overall public works spending in 2018 demonstrates the commitment of states to address the underlying demand for infrastructure investment. We expect to see increased infrastructure spending at the state level in 2019. At the federal level, we expect to see some increased infrastructure spending in 2019 resulting from the FAST Act funding, but greater impact from the FAST Act funding or an enhanced federal infrastructure bill is not expected until 2020 or later. Any enhanced federal infrastructure bill will require Congressional approval. We cannot be assured, however, of such approval or of the existence, amount, and timing of appropriations for spending on future projects.</w:t>
      </w:r>
    </w:p>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Federal highway bills provide spending authorizations that represent maximum amounts. Each year, an appropriation act is passed establishing the amount that can actually be used for particular programs. The annual funding level is generally tied to receipts of highway user taxes placed in the Highway Trust Fund. Once the annual appropriation is passed, funds are distributed to each state based on formulas (apportionments) or other procedures (allocations). Apportioned and allocated funds generally must be spent on specific programs as outlined in the federal legislation. The Highway Trust Fund has experienced shortfalls in recent years, due to high gas prices, fewer miles driven and improved automobile fuel efficiency. These shortfalls created a significant decline in federal highway funding levels. In response to the projected shortfalls, money has been transferred from the General Fund into the Highway Trust Fund over the past several years. Timely Congressional action is needed to address the funding mechanism for the Highway Trust Fund. We cannot be assured of the existence, timing or amount of federal highway funding levels in the future. We also cannot be assured of the impact of the recent sharp reduction in gasoline prices on the levels of highway user taxes that might be collected in the future and the corresponding levels of funding to the Highway Trust Fund.</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At the state level, each state funds its infrastructure spending from specially allocated amounts collected from various taxes, typically gasoline taxes and vehicle fees, along with voter-approved bond programs. Shortages in state tax revenues can reduce the amounts spent on state infrastructure projects, even below amounts awarded under legislative bills. Delays in state infrastructure spending can hurt our business. Many states after the Great Recession experienced state-level funding pressures caused by lower tax revenues and an inability to finance approved projects. For example, North Carolina was among the states that experienced these pressures, and this state disproportionately affects our revenues and profits. Most state budgets, including North Carolina, improved in 2014 and later years as increased tax revenues helped resolve budget constraints.</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During the past several years, many states have taken on a significantly larger role in funding infrastructure investment, including initiating special-purpose taxes and raising gas taxes. We anticipate further growth in state-level funding initiatives, such as bond issues, toll roads, and special purpose taxes, as states address infrastructure needs, particularly in periods of federal funding uncertainty. Nevertheless, it is a continuing risk to our business that sufficient funding from federal, state, and local sources will not be available to address infrastructure needs.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Our businesses could be impacted by rising interest rates.</w:t>
      </w:r>
    </w:p>
    <w:p>
      <w:pPr>
        <w:spacing w:after="0" w:line="2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 discussed previously, our operations are highly dependent upon the interest rate-sensitive construction and steelmaking industries. Therefore, business in these industries and for us may decline if interest rates rise and costs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80010</wp:posOffset>
            </wp:positionV>
            <wp:extent cx="411480" cy="2489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3"/>
          <w:szCs w:val="13"/>
          <w:b w:val="1"/>
          <w:bCs w:val="1"/>
          <w:color w:val="auto"/>
        </w:rPr>
      </w:pPr>
      <w:r>
        <w:rPr>
          <w:rFonts w:ascii="Arial" w:cs="Arial" w:eastAsia="Arial" w:hAnsi="Arial"/>
          <w:sz w:val="13"/>
          <w:szCs w:val="13"/>
          <w:color w:val="007CBA"/>
        </w:rPr>
        <w:t>2018 FORM 10-K</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ind w:left="9400"/>
        <w:spacing w:after="0" w:line="276" w:lineRule="exact"/>
        <w:rPr>
          <w:sz w:val="20"/>
          <w:szCs w:val="20"/>
          <w:color w:val="auto"/>
        </w:rPr>
      </w:pPr>
      <w:r>
        <w:rPr>
          <w:rFonts w:ascii="Arial" w:cs="Arial" w:eastAsia="Arial" w:hAnsi="Arial"/>
          <w:sz w:val="13"/>
          <w:szCs w:val="13"/>
          <w:color w:val="auto"/>
        </w:rPr>
        <w:t xml:space="preserve">Item 1A - Risk Factors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Part I</w:t>
      </w:r>
    </w:p>
    <w:p>
      <w:pPr>
        <w:spacing w:after="0" w:line="23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For example, demand in the residential construction market in which we sell our aggregate products is affected by interest rates. In 2018, the Federal Reserve raised the federal funds rate to 2.5 percent. The residential construction market accounted for 22% of our aggregates product line shipments in 2018.</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Aside from these inherent risks from within our operations, our earnings are also affected by changes in short-term interest rates. However, rising interest rates are not necessarily predictive of weaker operating results. Historically, our profitability has increased during periods of rising interest rates. In essence, our underlying business generally serves as a natural hedge to rising interest rates.</w:t>
      </w:r>
    </w:p>
    <w:p>
      <w:pPr>
        <w:spacing w:after="0" w:line="14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Rising interest rates could also result in disruptions in the credit markets, which could affect our business, as described in greater detail under “</w:t>
      </w:r>
      <w:r>
        <w:rPr>
          <w:rFonts w:ascii="Arial" w:cs="Arial" w:eastAsia="Arial" w:hAnsi="Arial"/>
          <w:sz w:val="16"/>
          <w:szCs w:val="16"/>
          <w:i w:val="1"/>
          <w:iCs w:val="1"/>
          <w:color w:val="auto"/>
        </w:rPr>
        <w:t>Disruptions 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credit markets could affect our business” </w:t>
      </w:r>
      <w:r>
        <w:rPr>
          <w:rFonts w:ascii="Arial" w:cs="Arial" w:eastAsia="Arial" w:hAnsi="Arial"/>
          <w:sz w:val="16"/>
          <w:szCs w:val="16"/>
          <w:color w:val="auto"/>
        </w:rPr>
        <w:t>below.</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Increases in our effective income tax rate may harm our results of operations.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 number of factors may increase our future effective income tax rate, including:</w:t>
      </w:r>
    </w:p>
    <w:p>
      <w:pPr>
        <w:spacing w:after="0" w:line="127"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6"/>
          <w:szCs w:val="16"/>
          <w:color w:val="007CBA"/>
        </w:rPr>
      </w:pPr>
      <w:r>
        <w:rPr>
          <w:rFonts w:ascii="Arial" w:cs="Arial" w:eastAsia="Arial" w:hAnsi="Arial"/>
          <w:sz w:val="16"/>
          <w:szCs w:val="16"/>
          <w:color w:val="auto"/>
        </w:rPr>
        <w:t>Governmental authorities increasing taxes or eliminating deductions, particularly the depletion deduction;</w:t>
      </w:r>
    </w:p>
    <w:p>
      <w:pPr>
        <w:spacing w:after="0" w:line="126" w:lineRule="exact"/>
        <w:rPr>
          <w:rFonts w:ascii="Arial" w:cs="Arial" w:eastAsia="Arial" w:hAnsi="Arial"/>
          <w:sz w:val="16"/>
          <w:szCs w:val="16"/>
          <w:color w:val="007CBA"/>
        </w:rPr>
      </w:pPr>
    </w:p>
    <w:p>
      <w:pPr>
        <w:ind w:left="780" w:hanging="326"/>
        <w:spacing w:after="0"/>
        <w:tabs>
          <w:tab w:leader="none" w:pos="780" w:val="left"/>
        </w:tabs>
        <w:numPr>
          <w:ilvl w:val="0"/>
          <w:numId w:val="14"/>
        </w:numPr>
        <w:rPr>
          <w:rFonts w:ascii="Arial" w:cs="Arial" w:eastAsia="Arial" w:hAnsi="Arial"/>
          <w:sz w:val="16"/>
          <w:szCs w:val="16"/>
          <w:color w:val="007CBA"/>
        </w:rPr>
      </w:pPr>
      <w:r>
        <w:rPr>
          <w:rFonts w:ascii="Arial" w:cs="Arial" w:eastAsia="Arial" w:hAnsi="Arial"/>
          <w:sz w:val="16"/>
          <w:szCs w:val="16"/>
          <w:color w:val="auto"/>
        </w:rPr>
        <w:t>The jurisdictions in which earnings are taxed;</w:t>
      </w:r>
    </w:p>
    <w:p>
      <w:pPr>
        <w:spacing w:after="0" w:line="126" w:lineRule="exact"/>
        <w:rPr>
          <w:rFonts w:ascii="Arial" w:cs="Arial" w:eastAsia="Arial" w:hAnsi="Arial"/>
          <w:sz w:val="16"/>
          <w:szCs w:val="16"/>
          <w:color w:val="007CBA"/>
        </w:rPr>
      </w:pPr>
    </w:p>
    <w:p>
      <w:pPr>
        <w:ind w:left="780" w:hanging="326"/>
        <w:spacing w:after="0"/>
        <w:tabs>
          <w:tab w:leader="none" w:pos="780" w:val="left"/>
        </w:tabs>
        <w:numPr>
          <w:ilvl w:val="0"/>
          <w:numId w:val="14"/>
        </w:numPr>
        <w:rPr>
          <w:rFonts w:ascii="Arial" w:cs="Arial" w:eastAsia="Arial" w:hAnsi="Arial"/>
          <w:sz w:val="16"/>
          <w:szCs w:val="16"/>
          <w:color w:val="007CBA"/>
        </w:rPr>
      </w:pPr>
      <w:r>
        <w:rPr>
          <w:rFonts w:ascii="Arial" w:cs="Arial" w:eastAsia="Arial" w:hAnsi="Arial"/>
          <w:sz w:val="16"/>
          <w:szCs w:val="16"/>
          <w:color w:val="auto"/>
        </w:rPr>
        <w:t>The resolution of issues arising from tax audits with various tax authorities;</w:t>
      </w:r>
    </w:p>
    <w:p>
      <w:pPr>
        <w:spacing w:after="0" w:line="126" w:lineRule="exact"/>
        <w:rPr>
          <w:rFonts w:ascii="Arial" w:cs="Arial" w:eastAsia="Arial" w:hAnsi="Arial"/>
          <w:sz w:val="16"/>
          <w:szCs w:val="16"/>
          <w:color w:val="007CBA"/>
        </w:rPr>
      </w:pPr>
    </w:p>
    <w:p>
      <w:pPr>
        <w:ind w:left="780" w:hanging="326"/>
        <w:spacing w:after="0"/>
        <w:tabs>
          <w:tab w:leader="none" w:pos="780" w:val="left"/>
        </w:tabs>
        <w:numPr>
          <w:ilvl w:val="0"/>
          <w:numId w:val="14"/>
        </w:numPr>
        <w:rPr>
          <w:rFonts w:ascii="Arial" w:cs="Arial" w:eastAsia="Arial" w:hAnsi="Arial"/>
          <w:sz w:val="16"/>
          <w:szCs w:val="16"/>
          <w:color w:val="007CBA"/>
        </w:rPr>
      </w:pPr>
      <w:r>
        <w:rPr>
          <w:rFonts w:ascii="Arial" w:cs="Arial" w:eastAsia="Arial" w:hAnsi="Arial"/>
          <w:sz w:val="16"/>
          <w:szCs w:val="16"/>
          <w:color w:val="auto"/>
        </w:rPr>
        <w:t>Changes in the valuation of our deferred tax assets and liabilities;</w:t>
      </w:r>
    </w:p>
    <w:p>
      <w:pPr>
        <w:spacing w:after="0" w:line="126" w:lineRule="exact"/>
        <w:rPr>
          <w:rFonts w:ascii="Arial" w:cs="Arial" w:eastAsia="Arial" w:hAnsi="Arial"/>
          <w:sz w:val="16"/>
          <w:szCs w:val="16"/>
          <w:color w:val="007CBA"/>
        </w:rPr>
      </w:pPr>
    </w:p>
    <w:p>
      <w:pPr>
        <w:ind w:left="780" w:hanging="326"/>
        <w:spacing w:after="0"/>
        <w:tabs>
          <w:tab w:leader="none" w:pos="780" w:val="left"/>
        </w:tabs>
        <w:numPr>
          <w:ilvl w:val="0"/>
          <w:numId w:val="14"/>
        </w:numPr>
        <w:rPr>
          <w:rFonts w:ascii="Arial" w:cs="Arial" w:eastAsia="Arial" w:hAnsi="Arial"/>
          <w:sz w:val="16"/>
          <w:szCs w:val="16"/>
          <w:color w:val="007CBA"/>
        </w:rPr>
      </w:pPr>
      <w:r>
        <w:rPr>
          <w:rFonts w:ascii="Arial" w:cs="Arial" w:eastAsia="Arial" w:hAnsi="Arial"/>
          <w:sz w:val="16"/>
          <w:szCs w:val="16"/>
          <w:color w:val="auto"/>
        </w:rPr>
        <w:t>Adjustments to estimated taxes upon finalization of various tax returns;</w:t>
      </w:r>
    </w:p>
    <w:p>
      <w:pPr>
        <w:spacing w:after="0" w:line="126" w:lineRule="exact"/>
        <w:rPr>
          <w:rFonts w:ascii="Arial" w:cs="Arial" w:eastAsia="Arial" w:hAnsi="Arial"/>
          <w:sz w:val="16"/>
          <w:szCs w:val="16"/>
          <w:color w:val="007CBA"/>
        </w:rPr>
      </w:pPr>
    </w:p>
    <w:p>
      <w:pPr>
        <w:ind w:left="780" w:hanging="326"/>
        <w:spacing w:after="0"/>
        <w:tabs>
          <w:tab w:leader="none" w:pos="780" w:val="left"/>
        </w:tabs>
        <w:numPr>
          <w:ilvl w:val="0"/>
          <w:numId w:val="14"/>
        </w:numPr>
        <w:rPr>
          <w:rFonts w:ascii="Arial" w:cs="Arial" w:eastAsia="Arial" w:hAnsi="Arial"/>
          <w:sz w:val="16"/>
          <w:szCs w:val="16"/>
          <w:color w:val="007CBA"/>
        </w:rPr>
      </w:pPr>
      <w:r>
        <w:rPr>
          <w:rFonts w:ascii="Arial" w:cs="Arial" w:eastAsia="Arial" w:hAnsi="Arial"/>
          <w:sz w:val="16"/>
          <w:szCs w:val="16"/>
          <w:color w:val="auto"/>
        </w:rPr>
        <w:t>Changes in available tax credits;</w:t>
      </w:r>
    </w:p>
    <w:p>
      <w:pPr>
        <w:spacing w:after="0" w:line="126" w:lineRule="exact"/>
        <w:rPr>
          <w:rFonts w:ascii="Arial" w:cs="Arial" w:eastAsia="Arial" w:hAnsi="Arial"/>
          <w:sz w:val="16"/>
          <w:szCs w:val="16"/>
          <w:color w:val="007CBA"/>
        </w:rPr>
      </w:pPr>
    </w:p>
    <w:p>
      <w:pPr>
        <w:ind w:left="780" w:hanging="326"/>
        <w:spacing w:after="0"/>
        <w:tabs>
          <w:tab w:leader="none" w:pos="780" w:val="left"/>
        </w:tabs>
        <w:numPr>
          <w:ilvl w:val="0"/>
          <w:numId w:val="14"/>
        </w:numPr>
        <w:rPr>
          <w:rFonts w:ascii="Arial" w:cs="Arial" w:eastAsia="Arial" w:hAnsi="Arial"/>
          <w:sz w:val="16"/>
          <w:szCs w:val="16"/>
          <w:color w:val="007CBA"/>
        </w:rPr>
      </w:pPr>
      <w:r>
        <w:rPr>
          <w:rFonts w:ascii="Arial" w:cs="Arial" w:eastAsia="Arial" w:hAnsi="Arial"/>
          <w:sz w:val="16"/>
          <w:szCs w:val="16"/>
          <w:color w:val="auto"/>
        </w:rPr>
        <w:t>Changes in stock-based compensation;</w:t>
      </w:r>
    </w:p>
    <w:p>
      <w:pPr>
        <w:spacing w:after="0" w:line="126" w:lineRule="exact"/>
        <w:rPr>
          <w:rFonts w:ascii="Arial" w:cs="Arial" w:eastAsia="Arial" w:hAnsi="Arial"/>
          <w:sz w:val="16"/>
          <w:szCs w:val="16"/>
          <w:color w:val="007CBA"/>
        </w:rPr>
      </w:pPr>
    </w:p>
    <w:p>
      <w:pPr>
        <w:ind w:left="780" w:hanging="326"/>
        <w:spacing w:after="0"/>
        <w:tabs>
          <w:tab w:leader="none" w:pos="780" w:val="left"/>
        </w:tabs>
        <w:numPr>
          <w:ilvl w:val="0"/>
          <w:numId w:val="14"/>
        </w:numPr>
        <w:rPr>
          <w:rFonts w:ascii="Arial" w:cs="Arial" w:eastAsia="Arial" w:hAnsi="Arial"/>
          <w:sz w:val="16"/>
          <w:szCs w:val="16"/>
          <w:color w:val="007CBA"/>
        </w:rPr>
      </w:pPr>
      <w:r>
        <w:rPr>
          <w:rFonts w:ascii="Arial" w:cs="Arial" w:eastAsia="Arial" w:hAnsi="Arial"/>
          <w:sz w:val="16"/>
          <w:szCs w:val="16"/>
          <w:color w:val="auto"/>
        </w:rPr>
        <w:t>Other changes in tax laws, and</w:t>
      </w:r>
    </w:p>
    <w:p>
      <w:pPr>
        <w:spacing w:after="0" w:line="126" w:lineRule="exact"/>
        <w:rPr>
          <w:rFonts w:ascii="Arial" w:cs="Arial" w:eastAsia="Arial" w:hAnsi="Arial"/>
          <w:sz w:val="16"/>
          <w:szCs w:val="16"/>
          <w:color w:val="007CBA"/>
        </w:rPr>
      </w:pPr>
    </w:p>
    <w:p>
      <w:pPr>
        <w:ind w:left="780" w:hanging="326"/>
        <w:spacing w:after="0"/>
        <w:tabs>
          <w:tab w:leader="none" w:pos="780" w:val="left"/>
        </w:tabs>
        <w:numPr>
          <w:ilvl w:val="0"/>
          <w:numId w:val="14"/>
        </w:numPr>
        <w:rPr>
          <w:rFonts w:ascii="Arial" w:cs="Arial" w:eastAsia="Arial" w:hAnsi="Arial"/>
          <w:sz w:val="16"/>
          <w:szCs w:val="16"/>
          <w:color w:val="007CBA"/>
        </w:rPr>
      </w:pPr>
      <w:r>
        <w:rPr>
          <w:rFonts w:ascii="Arial" w:cs="Arial" w:eastAsia="Arial" w:hAnsi="Arial"/>
          <w:sz w:val="16"/>
          <w:szCs w:val="16"/>
          <w:color w:val="auto"/>
        </w:rPr>
        <w:t>The interpretation of tax laws and/or administrative practices.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Any significant increase in our future effective income tax rate could reduce net earnings and free cash flow for future periods.</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Personnel Risks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Labor disputes could disrupt operations of our businesses.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Labor unions represent approximately 10% of the hourly employees of our Building Materials business and 100% of the hourly employees of our Magnesia Specialties business. Our collective bargaining agreements for employees of our Magnesia Specialties business at the Manistee, Michigan magnesia chemicals plant and the Woodville, Ohio, lime plant expire in August 2019 and June 2022, respectively.</w:t>
      </w:r>
    </w:p>
    <w:p>
      <w:pPr>
        <w:spacing w:after="0" w:line="16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Disputes with our trade unions, or the inability to renew our labor agreements, could lead to strikes or other actions that could disrupt our businesses, raise costs, and reduce revenues and earnings from the affected locations.</w:t>
      </w:r>
    </w:p>
    <w:p>
      <w:pPr>
        <w:spacing w:after="0" w:line="135"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i w:val="1"/>
          <w:iCs w:val="1"/>
          <w:color w:val="007CBA"/>
        </w:rPr>
        <w:t xml:space="preserve">We depend on the recruitment and retention of qualified personnel, and our failure to attract and retain such personnel could affect our business. </w:t>
      </w:r>
      <w:r>
        <w:rPr>
          <w:rFonts w:ascii="Arial" w:cs="Arial" w:eastAsia="Arial" w:hAnsi="Arial"/>
          <w:sz w:val="16"/>
          <w:szCs w:val="16"/>
          <w:color w:val="000000"/>
        </w:rPr>
        <w:t>Our success depends to a significant degree upon the continued services of our key personnel and executive officers. Our prospects depend upon our ability to attract and retain qualified personnel for our operations. Competition for personnel is intense, and we may not be successful in attracting or retaining qualified personnel, which could negatively affect our business.</w:t>
      </w:r>
    </w:p>
    <w:p>
      <w:pPr>
        <w:spacing w:after="0" w:line="139"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Financial, Accounting and Cost Management Risk Factors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Our business is a capital-intensive business.</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property and machinery needed to produce our products are very expensive. Therefore, we require large amounts of cash to operate our businesses. We believe that our cash on hand, along with our projected internal cash flows and our available financing resources, is adequate to support our anticipated operating and capital needs. Our ability to generate sufficient cash flow depends on future performance, which will be subject to general economic conditions, industry cycles and financial, business, and other factors affecting our operations, many of which are beyond our control. If we are unable to generate sufficient cash to operate our business, we may be required, among other things, to further reduce or delay planned capital or operating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85090</wp:posOffset>
            </wp:positionV>
            <wp:extent cx="411480" cy="248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32" w:lineRule="exact"/>
        <w:rPr>
          <w:sz w:val="20"/>
          <w:szCs w:val="20"/>
          <w:color w:val="auto"/>
        </w:rPr>
      </w:pPr>
    </w:p>
    <w:tbl>
      <w:tblPr>
        <w:tblLayout w:type="fixed"/>
        <w:tblInd w:w="9980" w:type="dxa"/>
        <w:tblCellMar>
          <w:top w:w="0" w:type="dxa"/>
          <w:left w:w="0" w:type="dxa"/>
          <w:bottom w:w="0" w:type="dxa"/>
          <w:right w:w="0" w:type="dxa"/>
        </w:tblCellMar>
      </w:tblPr>
      <w:tr>
        <w:trPr>
          <w:trHeight w:val="168"/>
        </w:trPr>
        <w:tc>
          <w:tcPr>
            <w:tcW w:w="1140" w:type="dxa"/>
            <w:vAlign w:val="bottom"/>
          </w:tcPr>
          <w:p>
            <w:pPr>
              <w:spacing w:after="0"/>
              <w:rPr>
                <w:sz w:val="20"/>
                <w:szCs w:val="20"/>
                <w:color w:val="auto"/>
              </w:rPr>
            </w:pPr>
            <w:r>
              <w:rPr>
                <w:rFonts w:ascii="Arial" w:cs="Arial" w:eastAsia="Arial" w:hAnsi="Arial"/>
                <w:sz w:val="13"/>
                <w:szCs w:val="13"/>
                <w:color w:val="007CBA"/>
              </w:rPr>
              <w:t>2018 FORM 10-K</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19</w:t>
            </w: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Part I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Item 1A - Risk Factors</w:t>
      </w:r>
    </w:p>
    <w:p>
      <w:pPr>
        <w:spacing w:after="0" w:line="20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b w:val="1"/>
          <w:bCs w:val="1"/>
          <w:i w:val="1"/>
          <w:iCs w:val="1"/>
          <w:color w:val="007CBA"/>
        </w:rPr>
        <w:t>Our earnings are affected by the application of accounting standards and our critical accounting policies, which involve subjective judgments and estimates by our management. Our estimates and assumptions could be wrong.</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accounting standards we use in preparing our financial statements are often complex and require that we make significant estimates and assumptions in interpreting and applying those standards. We make critical estimates and assumptions involving accounting matters including our goodwill impairment testing, our expenses and cash requirements for our pension plans, our estimated income taxes, and how we account for our property, plant and equipment, and inventory. These estimates and assumptions involve matters that are inherently uncertain and require our subjective and complex judgments. If we used different estimates and assumptions or used different ways to determine these estimates, our financial results could differ.</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While we believe our estimates and assumptions are appropriate, we could be wrong. Accordingly, our financial results could be different, either higher or lower. We urge you to read about our critical accounting policies in our Management’s Discussion and Analysis of Financial Condition and Results of Operations.</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The adoption of new accounting standards may affect our financial results.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accounting standards we apply in preparing our financial statements are reviewed by regulatory bodies and are changed from time to time. New or revised accounting standards could, either positively or negatively, affect results reported for periods after adoption of the standards as compared to the prior periods, or require retrospective application changing results reported for prior periods. We urge you to read about our accounting policies in Note A of our 2018 Financial Statements.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Reports from the Public Company Accounting Oversight Board’s (“PCAOB”) inspections of public accounting firms continue to outline findings and recommendations which could require these firms to perform additional work as part of their financial statement audits. The Company’s costs to respond to these additional requirements may increase.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Disruptions in the credit markets could affect our business.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considered the current economic environment and its potential impact to the Company’s business. Demand for aggregates products, particularly in the infrastructure construction market, had been negatively affected by federal and state budget and deficit issues and the uncertainty over future highway funding levels. Further, delays or cancellations to capital projects in the nonresidential and residential construction markets could occur if companies and consumers are unable to obtain financing for construction projects or if consumer confidence continues to be eroded by economic uncertainty.</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 recessionary construction economy can also increase the likelihood we will not be able to collect on all of our accounts receivable with our customers. We are protected in part, however, by payment bonds posted by many of our customers or end-users. Nevertheless, we experienced a delay in payment from some of our customers during the construction downturn, which can negatively affect operating cash flows. Historically, our bad debt write-offs have not been significant to our operating results, and we believe our allowance for doubtful accounts is adequate.</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credit environment could impact the Company’s ability to borrow money in the future. Additional financing or refinancing might not be available and, if available, may not be at economically favorable terms. Further, an increase in leverage could lead to deterioration in our credit ratings. A reduction in our credit ratings, regardless of the cause, could also limit our ability to obtain additional financing and/or increase our cost of obtaining financing. There is no guarantee we will be able to access the capital markets at financially economical interest rates, which could negatively affect our business.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may be required to obtain financing in order to fund certain strategic acquisitions, if they arise, or to refinance our outstanding debt. Any large strategic acquisition would require that we issue both newly issued equity and debt securities in order to maintain our investment grade credit rating and could result in a ratings downgrade notwithstanding our issuance of equity securities to fund the transaction. We are also exposed to risks from tightening credit markets, through the interest payable on our outstanding variable-rate debt and the interest cost on future borrowings under our credit facilities. While management believes our credit ratings will remain at a composite investment-grade level, we cannot be assured these ratings will remain at those levels. While management believes the Company will continue to have credit available to it adequate to meet its needs, there can be no assurance of that.</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Our Magnesia Specialties business faces currency risks from its overseas operations.</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Magnesia Specialties business sells some of its products to companies located outside the United States. Therefore the operations of the Magnesia Specialties business are affected from time to time by the fluctuating values of the currency exchange rates of the countries in which it does business in relation to the value of the U.S. Dollar. The business tries to mitigate the short-term effects of currency exchange rates by primarily denominating sales in the U.S. Dollar. This still leaves the business subject to certain risks, depending on the strength of the U.S. Dollar. In 2018, the strength of the U.S. Dollar in foreign markets negatively affected the overall price of the products of the Magnesia Specialties business when compared to foreign-domiciled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85090</wp:posOffset>
            </wp:positionV>
            <wp:extent cx="411480" cy="2489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4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3"/>
          <w:szCs w:val="13"/>
          <w:b w:val="1"/>
          <w:bCs w:val="1"/>
          <w:color w:val="auto"/>
        </w:rPr>
      </w:pPr>
      <w:r>
        <w:rPr>
          <w:rFonts w:ascii="Arial" w:cs="Arial" w:eastAsia="Arial" w:hAnsi="Arial"/>
          <w:sz w:val="13"/>
          <w:szCs w:val="13"/>
          <w:color w:val="007CBA"/>
        </w:rPr>
        <w:t>2018 FORM 10-K</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ind w:left="9380"/>
        <w:spacing w:after="0" w:line="288" w:lineRule="exact"/>
        <w:tabs>
          <w:tab w:leader="none" w:pos="11080" w:val="left"/>
        </w:tabs>
        <w:rPr>
          <w:sz w:val="20"/>
          <w:szCs w:val="20"/>
          <w:color w:val="auto"/>
        </w:rPr>
      </w:pPr>
      <w:r>
        <w:rPr>
          <w:rFonts w:ascii="Arial" w:cs="Arial" w:eastAsia="Arial" w:hAnsi="Arial"/>
          <w:sz w:val="14"/>
          <w:szCs w:val="14"/>
          <w:color w:val="auto"/>
        </w:rPr>
        <w:t xml:space="preserve">Item 1A - Risk Factors </w:t>
      </w:r>
      <w:r>
        <w:rPr>
          <w:rFonts w:ascii="MS PGothic" w:cs="MS PGothic" w:eastAsia="MS PGothic" w:hAnsi="MS PGothic"/>
          <w:sz w:val="25"/>
          <w:szCs w:val="25"/>
          <w:color w:val="007CBA"/>
        </w:rPr>
        <w:t>◆</w:t>
      </w:r>
      <w:r>
        <w:rPr>
          <w:sz w:val="20"/>
          <w:szCs w:val="20"/>
          <w:color w:val="auto"/>
        </w:rPr>
        <w:tab/>
      </w:r>
      <w:r>
        <w:rPr>
          <w:rFonts w:ascii="Arial" w:cs="Arial" w:eastAsia="Arial" w:hAnsi="Arial"/>
          <w:sz w:val="12"/>
          <w:szCs w:val="12"/>
          <w:color w:val="007CBA"/>
        </w:rPr>
        <w:t>Part I</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Unexpected equipment failures, catastrophic events and scheduled maintenance may lead to production curtailments or shutdowns.</w:t>
      </w:r>
    </w:p>
    <w:p>
      <w:pPr>
        <w:spacing w:after="0" w:line="2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manufacturing processes are dependent upon critical pieces of equipment, such as our kilns and finishing mills. This equipment, on occasion, may be out of service as a result of failures or damage during accidents. In addition to equipment failures, our facilities are also subject to the risk of catastrophic loss due to unanticipated events such as fires, explosions or violent weather conditions. We have one- to two-week scheduled outages at least once a year to refurbish our cement and dolomitic lime production facilities. In 2018, the cement product line incurred shutdown costs of $17.3 million during the year. In 2018, the Magnesia Specialties business incurred shutdown costs of $5.8 million during the year. Any significant interruption in production capability may require us to make significant capital expenditures to remedy problems or damage as well as cause us to lose revenue due to lost production time.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Our paving operations present additional risks to our business.</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paving operations face challenges when our contracts have penalties for late completion. In some instances, including many of our fixed-price contracts, we guarantee that we will complete a project by a certain date. If we subsequently fail to complete the project as scheduled, we may be held responsible for costs resulting from the delay, generally in the form of contractually agreed-upon liquidated damages. Under these circumstances, the total project cost could exceed our original estimate, and we could experience a loss of profit or a loss on the project. In our paving operations, we also have fixed price and fixed unit price contracts where our profits can be adversely affected by a number of factors beyond our control, which can cause our actual costs to materially exceed the costs estimated at the time of our original bid. These same issues and risks can also impact some of our contacts in our asphalt and ready mixed concrete operations. These risks are somewhat mitigated by the fact that a majority of our road paving contracts are for short duration projects.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Our ready mixed concrete and asphalt and paving product lines have lower profit margins and operating results can be more volatile.</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ready mixed concrete and asphalt and paving businesses typically generate lower profit margins than our aggregates and cement product lines due to potentially volatile input costs, highly competitive market dynamics, and lower barriers to entry. Therefore, if we expand these operations, our consolidated gross margin would likely be adversely affected. Our overall ready mixed concrete and asphalt and paving operations’ gross margin was 10.3% for 2018 and 12.7% for 2017. The overall gross margin of our Building Materials business will continue to be reduced by the lower gross margins for our ready mixed concrete and asphalt and paving product lines.</w:t>
      </w:r>
    </w:p>
    <w:p>
      <w:pPr>
        <w:spacing w:after="0" w:line="130"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Suppliers, Raw Materials, and Energy Costs Risk Factors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Short supplies and high costs of fuel, energy and raw materials affect our businesses.</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businesses require a continued supply of diesel fuel, natural gas, coal, petroleum coke and other energy. The financial results of these businesses have been affected by the short supply or high costs of these fuels and energy. Changes in energy costs also affect the prices that the Company pays for related supplies, including explosives, conveyor belting and tires. While we can contract for some fuels and sources of energy, such as fixed-price supply contracts for coal and petroleum coke, significant increases in costs or reduced availability of these items have and may in the future reduce our financial results. Moreover, fluctuations in the supply and costs of these fuels and energy can make planning for our businesses more difficult. Because of the fluctuating trends in diesel fuel prices, we may enter into fixed-price fuel agreements from time to time for a portion of our diesel fuel to reduce our diesel fuel price risk. Our last fixed-price commitment for a portion of our diesel fuel requirements expired at the end of 2016.</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average cost per gallon of diesel fuel was $2.29, $1.81 and $1.96 in 2018, 2017 and 2016, respectively. Pricing in 2016 reflects an unfavorable fixed-price agreement which expired on December 31, 2016. For 2018, the average cost per MCF (thousand cubic feet) for natural gas decreased 4% versus 2017, which had increased approximately 33% from 2016 levels.</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has fixed price agreements for 100% of its 2019 coal needs, approximately 50% of its 2019 natural gas needs, and 100% of its 2019 petroleum coke needs.</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Cement production requires large amounts of energy, including electricity and fossil fuels. Energy costs represented approximately 23% of the 2018 direct production costs of our cement product line. Therefore, the cost of energy is one of our largest expenses. Prices for energy are subject to market forces largely beyond our control and can be quite volatile. Price increases that we are unable to pass through in the form of price increases for our products, or disruption of the uninterrupted supply of fuel and electricity, could adversely affect us. Accordingly, volatility in energy costs can adversely affect the financial results of our cement product line. Profitability of the cement product line is also subject to kiln maintenance, which requires the plant to be shut down for a period of time as repairs are made. The cement product line incurred shutdown costs of $17.3 million and $14.0 million during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86360</wp:posOffset>
            </wp:positionV>
            <wp:extent cx="411480" cy="2489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34" w:lineRule="exact"/>
        <w:rPr>
          <w:sz w:val="20"/>
          <w:szCs w:val="20"/>
          <w:color w:val="auto"/>
        </w:rPr>
      </w:pPr>
    </w:p>
    <w:tbl>
      <w:tblPr>
        <w:tblLayout w:type="fixed"/>
        <w:tblInd w:w="9980" w:type="dxa"/>
        <w:tblCellMar>
          <w:top w:w="0" w:type="dxa"/>
          <w:left w:w="0" w:type="dxa"/>
          <w:bottom w:w="0" w:type="dxa"/>
          <w:right w:w="0" w:type="dxa"/>
        </w:tblCellMar>
      </w:tblPr>
      <w:tr>
        <w:trPr>
          <w:trHeight w:val="168"/>
        </w:trPr>
        <w:tc>
          <w:tcPr>
            <w:tcW w:w="1140" w:type="dxa"/>
            <w:vAlign w:val="bottom"/>
          </w:tcPr>
          <w:p>
            <w:pPr>
              <w:spacing w:after="0"/>
              <w:rPr>
                <w:sz w:val="20"/>
                <w:szCs w:val="20"/>
                <w:color w:val="auto"/>
              </w:rPr>
            </w:pPr>
            <w:r>
              <w:rPr>
                <w:rFonts w:ascii="Arial" w:cs="Arial" w:eastAsia="Arial" w:hAnsi="Arial"/>
                <w:sz w:val="13"/>
                <w:szCs w:val="13"/>
                <w:color w:val="007CBA"/>
              </w:rPr>
              <w:t>2018 FORM 10-K</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21</w:t>
            </w: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Part I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Item 1A - Risk Factors</w:t>
      </w: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Similarly our ready mixed concrete and asphalt and paving operations also require a continued supply of liquid asphalt and cement, which serve as key raw materials in the production of hot mix asphalt and ready mixed concrete, respectively. Some of these raw materials we produce internally, but most are purchased from third parties. These purchased raw materials are subject to potential supply constraints and significant price fluctuations, which are beyond our control. The financial results of our ready mixed concrete and asphalt and paving operations have been affected by the short supply or high costs of these raw materials. We generally see frequent volatility in the costs for these raw materials. Liquid asphalt prices were higher in 2018 than in 2017. Liquid asphalt prices may not always follow other energy products (e.g., oil or diesel fuel) because of complexities in the refining process which converts a barrel of oil into other fuels and petrochemical products.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Cement is a commodity sensitive to supply and price volatility.</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Cement is a commodity, and competition is often based mainly on price, which is highly sensitive to changes in supply and demand. Prices may fluctuate significantly in response to relatively minor changes in supply and demand, general economic conditions and other market conditions, which we cannot control. When cement producers increase production capacity or more cement is imported into the market, an oversupply of cement in the market may occur if supply exceeds demand. In that case cement prices generally decline. We cannot be assured that prices for our cement products sold will not decline in the future or that such decline will not have a material adverse effect on our cement product line.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Our Magnesia Specialties business depends in part on the steel industry and the supply of reasonably priced fuels.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Magnesia Specialties business sells some of its products to companies in the steel industry. While we have reduced this risk over the last few years, this business is still dependent, in part, on the strength of the cyclical steel industry. The Magnesia Specialties business also requires significant amounts of natural gas, coal, and petroleum coke, and financial results are negatively affected by increases in fuel prices or shortages.</w:t>
      </w:r>
    </w:p>
    <w:p>
      <w:pPr>
        <w:spacing w:after="0" w:line="129"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Cyber and Information Security Risk Factors</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b w:val="1"/>
          <w:bCs w:val="1"/>
          <w:i w:val="1"/>
          <w:iCs w:val="1"/>
          <w:color w:val="007CBA"/>
        </w:rPr>
        <w:t>We are dependent on information technology and our systems and infrastructure face certain risks, including cybersecurity risks and data leakage risks.</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are dependent on information technology systems and infrastructure. Any significant breakdown, invasion, destruction or interruption of these systems by employees, others with authorized access to our systems, or unauthorized persons could negatively impact operations. There is also a risk that we could experience a business interruption, theft of information or reputational damage as a result of a cyber-attack, such as an infiltration of a data center, or data leakage of confidential information either internally or at our third-party providers. While we have invested in the protection of our data and information technology to reduce these risks and routinely test the security of our information systems network, we cannot assure you that our efforts will prevent breakdowns or breaches in our systems that could adversely affect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Other Risk Factors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Delays or interruptions in shipping products of our businesses could affect our operations.</w:t>
      </w:r>
    </w:p>
    <w:p>
      <w:pPr>
        <w:spacing w:after="0" w:line="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Transportation logistics play an important role in allowing us to supply products to our customers, whether by truck, rail or ship. We also rely heavily on third-party truck and rail transportation to ship coal, natural gas and other fuels to our plants. Any significant delays, disruptions, or the non-availability of our transportation support system could negatively affect our operations. Transportation operations are subject to capacity constraints, high fuel costs and various hazards, including extreme weather conditions and slowdowns due to labor strikes and other work stoppages. In Texas, we compete for third-party trucking services with operations in the oil and gas fields, which can significantly constrain the availability of those services to us. If there are material changes in the availability or cost of transportation services, we may not be able to arrange alternative and timely means to ship our products or fuels at a reasonable cost, which could lead to interruptions or slowdowns in our businesses or increases in our costs.</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availability of rail cars can also affect our ability to transport our products. Rail cars can be used to transport many different types of products across all of our segments. If owners sell or lease rail cars for use in other industries, we may not have enough rail cars to transport our products.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long-term agreements with shipping companies to provide ships to transport our aggregates products from our Bahamas and Nova Scotia operations to various coastal ports. These contracts have varying expiration dates ranging from 2023 to 2027 and generally contain renewal options. Our inability to renew these agreements or enter into new ones with other shipping companies could affect our ability to transport our products.</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When we sold our River District operations in 2011 as part of our asset exchange with Lafarge, we sold most of our barge long-haul distribution network. As a result, we reduced our risks from distributing our products by barges, especially along the Mississippi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80010</wp:posOffset>
            </wp:positionV>
            <wp:extent cx="411480" cy="2489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3"/>
          <w:szCs w:val="13"/>
          <w:b w:val="1"/>
          <w:bCs w:val="1"/>
          <w:color w:val="auto"/>
        </w:rPr>
      </w:pPr>
      <w:r>
        <w:rPr>
          <w:rFonts w:ascii="Arial" w:cs="Arial" w:eastAsia="Arial" w:hAnsi="Arial"/>
          <w:sz w:val="13"/>
          <w:szCs w:val="13"/>
          <w:color w:val="007CBA"/>
        </w:rPr>
        <w:t>2018 FORM 10-K</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ind w:left="9380"/>
        <w:spacing w:after="0" w:line="288" w:lineRule="exact"/>
        <w:tabs>
          <w:tab w:leader="none" w:pos="11080" w:val="left"/>
        </w:tabs>
        <w:rPr>
          <w:sz w:val="20"/>
          <w:szCs w:val="20"/>
          <w:color w:val="auto"/>
        </w:rPr>
      </w:pPr>
      <w:r>
        <w:rPr>
          <w:rFonts w:ascii="Arial" w:cs="Arial" w:eastAsia="Arial" w:hAnsi="Arial"/>
          <w:sz w:val="14"/>
          <w:szCs w:val="14"/>
          <w:color w:val="auto"/>
        </w:rPr>
        <w:t xml:space="preserve">Item 1A - Risk Factors </w:t>
      </w:r>
      <w:r>
        <w:rPr>
          <w:rFonts w:ascii="MS PGothic" w:cs="MS PGothic" w:eastAsia="MS PGothic" w:hAnsi="MS PGothic"/>
          <w:sz w:val="25"/>
          <w:szCs w:val="25"/>
          <w:color w:val="007CBA"/>
        </w:rPr>
        <w:t>◆</w:t>
      </w:r>
      <w:r>
        <w:rPr>
          <w:sz w:val="20"/>
          <w:szCs w:val="20"/>
          <w:color w:val="auto"/>
        </w:rPr>
        <w:tab/>
      </w:r>
      <w:r>
        <w:rPr>
          <w:rFonts w:ascii="Arial" w:cs="Arial" w:eastAsia="Arial" w:hAnsi="Arial"/>
          <w:sz w:val="12"/>
          <w:szCs w:val="12"/>
          <w:color w:val="007CBA"/>
        </w:rPr>
        <w:t>Part I</w:t>
      </w:r>
    </w:p>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River. We still distribute some of our product by barge along rivers in West Virginia. We may continue to experience, to a lesser degree, risks associated with distributing our products by barges, including significant delays, disruptions or the non-availability of our barge transportation system that could negatively affect our operations, water levels that could affect our ability to transport our products by barge, and barges that may not be available in quantities that we might need from time to time to support our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7CBA"/>
        </w:rPr>
        <w:t>Our articles of incorporation and bylaws and North Carolina law may inhibit a change in control that you may favor.</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restated articles of incorporation and restated bylaws and North Carolina law contain provisions that may delay, deter or inhibit a future acquisition of us not approved by our Board of Directors. This could occur even if our shareholders are offered an attractive value for their shares or if many or even a majority of our shareholders believe the takeover is in their best interest. These provisions are intended to encourage any person interested in acquiring us to negotiate with and obtain the approval of our Board of Directors in connection with the transaction. Provisions that could delay, deter, or inhibit a future acquisition include the following:</w:t>
      </w:r>
    </w:p>
    <w:p>
      <w:pPr>
        <w:spacing w:after="0" w:line="109"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6"/>
          <w:szCs w:val="16"/>
          <w:color w:val="007CBA"/>
        </w:rPr>
      </w:pPr>
      <w:r>
        <w:rPr>
          <w:rFonts w:ascii="Arial" w:cs="Arial" w:eastAsia="Arial" w:hAnsi="Arial"/>
          <w:sz w:val="16"/>
          <w:szCs w:val="16"/>
          <w:color w:val="auto"/>
        </w:rPr>
        <w:t>the ability of the Board of Directors to establish the terms of, and issue, preferred stock without shareholder approval;</w:t>
      </w:r>
    </w:p>
    <w:p>
      <w:pPr>
        <w:spacing w:after="0" w:line="126" w:lineRule="exact"/>
        <w:rPr>
          <w:rFonts w:ascii="Arial" w:cs="Arial" w:eastAsia="Arial" w:hAnsi="Arial"/>
          <w:sz w:val="16"/>
          <w:szCs w:val="16"/>
          <w:color w:val="007CBA"/>
        </w:rPr>
      </w:pPr>
    </w:p>
    <w:p>
      <w:pPr>
        <w:ind w:left="780" w:hanging="326"/>
        <w:spacing w:after="0"/>
        <w:tabs>
          <w:tab w:leader="none" w:pos="780" w:val="left"/>
        </w:tabs>
        <w:numPr>
          <w:ilvl w:val="0"/>
          <w:numId w:val="17"/>
        </w:numPr>
        <w:rPr>
          <w:rFonts w:ascii="Arial" w:cs="Arial" w:eastAsia="Arial" w:hAnsi="Arial"/>
          <w:sz w:val="16"/>
          <w:szCs w:val="16"/>
          <w:color w:val="007CBA"/>
        </w:rPr>
      </w:pPr>
      <w:r>
        <w:rPr>
          <w:rFonts w:ascii="Arial" w:cs="Arial" w:eastAsia="Arial" w:hAnsi="Arial"/>
          <w:sz w:val="16"/>
          <w:szCs w:val="16"/>
          <w:color w:val="auto"/>
        </w:rPr>
        <w:t>the requirement that our shareholders may only remove directors for cause;</w:t>
      </w:r>
    </w:p>
    <w:p>
      <w:pPr>
        <w:spacing w:after="0" w:line="126" w:lineRule="exact"/>
        <w:rPr>
          <w:rFonts w:ascii="Arial" w:cs="Arial" w:eastAsia="Arial" w:hAnsi="Arial"/>
          <w:sz w:val="16"/>
          <w:szCs w:val="16"/>
          <w:color w:val="007CBA"/>
        </w:rPr>
      </w:pPr>
    </w:p>
    <w:p>
      <w:pPr>
        <w:ind w:left="780" w:hanging="326"/>
        <w:spacing w:after="0"/>
        <w:tabs>
          <w:tab w:leader="none" w:pos="780" w:val="left"/>
        </w:tabs>
        <w:numPr>
          <w:ilvl w:val="0"/>
          <w:numId w:val="17"/>
        </w:numPr>
        <w:rPr>
          <w:rFonts w:ascii="Arial" w:cs="Arial" w:eastAsia="Arial" w:hAnsi="Arial"/>
          <w:sz w:val="16"/>
          <w:szCs w:val="16"/>
          <w:color w:val="007CBA"/>
        </w:rPr>
      </w:pPr>
      <w:r>
        <w:rPr>
          <w:rFonts w:ascii="Arial" w:cs="Arial" w:eastAsia="Arial" w:hAnsi="Arial"/>
          <w:sz w:val="16"/>
          <w:szCs w:val="16"/>
          <w:color w:val="auto"/>
        </w:rPr>
        <w:t>the inability of shareholders to call special meetings of shareholders; and</w:t>
      </w:r>
    </w:p>
    <w:p>
      <w:pPr>
        <w:spacing w:after="0" w:line="126" w:lineRule="exact"/>
        <w:rPr>
          <w:rFonts w:ascii="Arial" w:cs="Arial" w:eastAsia="Arial" w:hAnsi="Arial"/>
          <w:sz w:val="16"/>
          <w:szCs w:val="16"/>
          <w:color w:val="007CBA"/>
        </w:rPr>
      </w:pPr>
    </w:p>
    <w:p>
      <w:pPr>
        <w:ind w:left="780" w:hanging="326"/>
        <w:spacing w:after="0"/>
        <w:tabs>
          <w:tab w:leader="none" w:pos="780" w:val="left"/>
        </w:tabs>
        <w:numPr>
          <w:ilvl w:val="0"/>
          <w:numId w:val="17"/>
        </w:numPr>
        <w:rPr>
          <w:rFonts w:ascii="Arial" w:cs="Arial" w:eastAsia="Arial" w:hAnsi="Arial"/>
          <w:sz w:val="16"/>
          <w:szCs w:val="16"/>
          <w:color w:val="007CBA"/>
        </w:rPr>
      </w:pPr>
      <w:r>
        <w:rPr>
          <w:rFonts w:ascii="Arial" w:cs="Arial" w:eastAsia="Arial" w:hAnsi="Arial"/>
          <w:sz w:val="16"/>
          <w:szCs w:val="16"/>
          <w:color w:val="auto"/>
        </w:rPr>
        <w:t>super-majority shareholder approval requirements for business combination transactions with certain five percent shareholders.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occurrence of certain change-of-control events could result in an event of default under certain of our existing or future debt instruments.</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1B - UNRESOLVED STAFF COMMENTS</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There are no unresolved written comments that were received from the staff of the SEC one hundred and eighty (180) days or more before the end of our fiscal year relating to our periodic or current reports under the Exchange Act.</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 PROPERTIES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Building Materials Business</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of December 31, 2018, the Company processed or shipped aggregates from more than 300 quarries, underground mines, and distribution yards in 26 states, Canada, and the Bahamas, of which 124 are located on land owned by the Company free of major encumbrances, 61 are on land owned in part and leased in part, 110 are on leased land, and 10 are on facilities neither owned nor leased, where raw materials are removed under an agreement. The Company’s aggregates reserves, on the average, exceed 75 years based on normalized levels of production, and approximate 100 years at current production rates. However, certain locations may be subject to more limited reserves and may not be able to expand. In addition, as of December 31, 2018, the Company processed and shipped ready mixed concrete and/or asphalt products from 149 properties in five states, of which 126 are located on land owned by the Company free of major encumbrances, one is on land owned in part and leased in part, and 22 are on leased land.</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uses various drilling methods, depending on the type of aggregate, to estimate aggregates reserves that are economically mineable. The extent of drilling varies and depends on whether the location is a potential new site (greensite), an existing location, or a potential acquisition. More extensive drilling is performed for potential greensites and acquisitions, and in rare cases, the Company may rely on existing geological data or results of prior drilling by third parties. Subsequent to drilling, selected core samples are tested for soundness, abrasion resistance, and other physical properties relevant to the aggregates industry. If the reserves meet the Company’s standards and are economically mineable, then they are either leased or purchased.</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estimates proven and probable reserves based on the results of drilling. Proven reserves are reserves of deposits designated using closely spaced drill data, and based on that data the reserves are believed to be relatively homogenous. Proven reserves have a certainty of 85% to 90%. Probable reserves are reserves that are inferred utilizing fewer drill holes and/or assumptions about the economically mineable reserves based on local geology or drill results from adjacent properties. The degree of certainty for probable reserves is 70% to 75%. In determining the amount of reserves, the Company’s policy is to not include calculations that exceed certain depths, so for deposits, such as granite, that typically continue to depths well below the ground, there may be additional deposits that are not included in the reserve calculations. The Company also deducts reserves not available due to property boundaries, set-backs, and plant configurations, as deemed appropriate when estimating reserves. The Company uses the same methods of analysis to evaluate and estimate the amount of its aggregates reserves used in the cement manufacturing process for its cement product line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87630</wp:posOffset>
            </wp:positionV>
            <wp:extent cx="411480" cy="2489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37" w:lineRule="exact"/>
        <w:rPr>
          <w:sz w:val="20"/>
          <w:szCs w:val="20"/>
          <w:color w:val="auto"/>
        </w:rPr>
      </w:pPr>
    </w:p>
    <w:tbl>
      <w:tblPr>
        <w:tblLayout w:type="fixed"/>
        <w:tblInd w:w="9980" w:type="dxa"/>
        <w:tblCellMar>
          <w:top w:w="0" w:type="dxa"/>
          <w:left w:w="0" w:type="dxa"/>
          <w:bottom w:w="0" w:type="dxa"/>
          <w:right w:w="0" w:type="dxa"/>
        </w:tblCellMar>
      </w:tblPr>
      <w:tr>
        <w:trPr>
          <w:trHeight w:val="168"/>
        </w:trPr>
        <w:tc>
          <w:tcPr>
            <w:tcW w:w="1140" w:type="dxa"/>
            <w:vAlign w:val="bottom"/>
          </w:tcPr>
          <w:p>
            <w:pPr>
              <w:spacing w:after="0"/>
              <w:rPr>
                <w:sz w:val="20"/>
                <w:szCs w:val="20"/>
                <w:color w:val="auto"/>
              </w:rPr>
            </w:pPr>
            <w:r>
              <w:rPr>
                <w:rFonts w:ascii="Arial" w:cs="Arial" w:eastAsia="Arial" w:hAnsi="Arial"/>
                <w:sz w:val="13"/>
                <w:szCs w:val="13"/>
                <w:color w:val="007CBA"/>
              </w:rPr>
              <w:t>2018 FORM 10-K</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23</w:t>
            </w: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Part I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Item 2 - Properties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it does for its aggregates product line. For additional information on the Company’s assessment of reserves, see “Management’s Discussion and Analysis of Financial Condition and Results of Operations – Other Financial Information – Critical Accounting Policies and Estimates- Property, Plant and Equipment” included in the 2018 Annual Report filed as Exhibit 13.01 to this Form 10-K for a discussion of reserves evaluation by the Company.</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Set forth in the tables below are the Company’s estimates of reserves of recoverable aggregates (hard rock and sand and gravel) of suitable quality for economic extraction, shown on a state-by-state basis, and the Company’s total annual production for the last three years, along with the Company’s estimate of years of production available, shown on a segment-by-segment basis. The number of producing quarries shown on the table includes underground mines. The Company’s reserve estimates for the last two years are shown for comparison purposes on a state-by-state basis. The changes in reserve estimates at a particular state level from year to year reflect the tonnages of reserves on locations that have been opened or closed during the year, whether by acquisition, disposition, or otherwise; production and sales in the normal course of business; additional reserve estimates or refinements of the Company’s existing reserve estimates; opening of additional reserves at existing locations; the depletion of reserves at existing locations; and other factors. The Company evaluates its reserve estimates primarily on a Company-wide, or segment-by-segment basis, and does not believe comparisons of changes in reserve estimates on a state-by-state basis from year to year are particularly meaningful. The Company’s estimate of reserves shown in the tables below include reserves used in the Company’s cement product line and Magnesia Specialties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86360</wp:posOffset>
            </wp:positionV>
            <wp:extent cx="411480" cy="2489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3"/>
          <w:szCs w:val="13"/>
          <w:b w:val="1"/>
          <w:bCs w:val="1"/>
          <w:color w:val="auto"/>
        </w:rPr>
      </w:pPr>
      <w:r>
        <w:rPr>
          <w:rFonts w:ascii="Arial" w:cs="Arial" w:eastAsia="Arial" w:hAnsi="Arial"/>
          <w:sz w:val="13"/>
          <w:szCs w:val="13"/>
          <w:color w:val="007CBA"/>
        </w:rPr>
        <w:t>2018 FORM 10-K</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60" w:type="dxa"/>
            <w:vAlign w:val="bottom"/>
            <w:gridSpan w:val="2"/>
          </w:tcPr>
          <w:p>
            <w:pPr>
              <w:jc w:val="right"/>
              <w:ind w:right="9"/>
              <w:spacing w:after="0"/>
              <w:rPr>
                <w:sz w:val="20"/>
                <w:szCs w:val="20"/>
                <w:color w:val="auto"/>
              </w:rPr>
            </w:pPr>
            <w:r>
              <w:rPr>
                <w:rFonts w:ascii="Arial" w:cs="Arial" w:eastAsia="Arial" w:hAnsi="Arial"/>
                <w:sz w:val="14"/>
                <w:szCs w:val="14"/>
                <w:color w:val="auto"/>
              </w:rPr>
              <w:t>Item 2 - Properties</w:t>
            </w:r>
          </w:p>
        </w:tc>
        <w:tc>
          <w:tcPr>
            <w:tcW w:w="620" w:type="dxa"/>
            <w:vAlign w:val="bottom"/>
          </w:tcPr>
          <w:p>
            <w:pPr>
              <w:jc w:val="right"/>
              <w:spacing w:after="0" w:line="288" w:lineRule="exact"/>
              <w:rPr>
                <w:sz w:val="20"/>
                <w:szCs w:val="20"/>
                <w:color w:val="auto"/>
              </w:rPr>
            </w:pPr>
            <w:r>
              <w:rPr>
                <w:rFonts w:ascii="MS PGothic" w:cs="MS PGothic" w:eastAsia="MS PGothic" w:hAnsi="MS PGothic"/>
                <w:sz w:val="25"/>
                <w:szCs w:val="25"/>
                <w:color w:val="007CBA"/>
                <w:w w:val="92"/>
              </w:rPr>
              <w:t>◆</w:t>
            </w:r>
            <w:r>
              <w:rPr>
                <w:rFonts w:ascii="Arial" w:cs="Arial" w:eastAsia="Arial" w:hAnsi="Arial"/>
                <w:sz w:val="14"/>
                <w:szCs w:val="14"/>
                <w:color w:val="007CBA"/>
                <w:w w:val="92"/>
              </w:rPr>
              <w:t xml:space="preserve"> Part I</w:t>
            </w:r>
          </w:p>
        </w:tc>
        <w:tc>
          <w:tcPr>
            <w:tcW w:w="0" w:type="dxa"/>
            <w:vAlign w:val="bottom"/>
          </w:tcPr>
          <w:p>
            <w:pPr>
              <w:spacing w:after="0"/>
              <w:rPr>
                <w:sz w:val="1"/>
                <w:szCs w:val="1"/>
                <w:color w:val="auto"/>
              </w:rPr>
            </w:pPr>
          </w:p>
        </w:tc>
      </w:tr>
      <w:tr>
        <w:trPr>
          <w:trHeight w:val="119"/>
        </w:trPr>
        <w:tc>
          <w:tcPr>
            <w:tcW w:w="1240" w:type="dxa"/>
            <w:vAlign w:val="bottom"/>
            <w:tcBorders>
              <w:bottom w:val="single" w:sz="8" w:color="007CBA"/>
            </w:tcBorders>
          </w:tcPr>
          <w:p>
            <w:pPr>
              <w:spacing w:after="0"/>
              <w:rPr>
                <w:sz w:val="10"/>
                <w:szCs w:val="10"/>
                <w:color w:val="auto"/>
              </w:rPr>
            </w:pPr>
          </w:p>
        </w:tc>
        <w:tc>
          <w:tcPr>
            <w:tcW w:w="680" w:type="dxa"/>
            <w:vAlign w:val="bottom"/>
            <w:tcBorders>
              <w:bottom w:val="single" w:sz="8" w:color="007CBA"/>
            </w:tcBorders>
          </w:tcPr>
          <w:p>
            <w:pPr>
              <w:spacing w:after="0"/>
              <w:rPr>
                <w:sz w:val="10"/>
                <w:szCs w:val="10"/>
                <w:color w:val="auto"/>
              </w:rPr>
            </w:pPr>
          </w:p>
        </w:tc>
        <w:tc>
          <w:tcPr>
            <w:tcW w:w="1140" w:type="dxa"/>
            <w:vAlign w:val="bottom"/>
            <w:tcBorders>
              <w:bottom w:val="single" w:sz="8" w:color="007CBA"/>
            </w:tcBorders>
          </w:tcPr>
          <w:p>
            <w:pPr>
              <w:spacing w:after="0"/>
              <w:rPr>
                <w:sz w:val="10"/>
                <w:szCs w:val="10"/>
                <w:color w:val="auto"/>
              </w:rPr>
            </w:pPr>
          </w:p>
        </w:tc>
        <w:tc>
          <w:tcPr>
            <w:tcW w:w="200" w:type="dxa"/>
            <w:vAlign w:val="bottom"/>
            <w:tcBorders>
              <w:bottom w:val="single" w:sz="8" w:color="007CBA"/>
            </w:tcBorders>
          </w:tcPr>
          <w:p>
            <w:pPr>
              <w:spacing w:after="0"/>
              <w:rPr>
                <w:sz w:val="10"/>
                <w:szCs w:val="10"/>
                <w:color w:val="auto"/>
              </w:rPr>
            </w:pPr>
          </w:p>
        </w:tc>
        <w:tc>
          <w:tcPr>
            <w:tcW w:w="720" w:type="dxa"/>
            <w:vAlign w:val="bottom"/>
            <w:tcBorders>
              <w:bottom w:val="single" w:sz="8" w:color="007CBA"/>
            </w:tcBorders>
          </w:tcPr>
          <w:p>
            <w:pPr>
              <w:spacing w:after="0"/>
              <w:rPr>
                <w:sz w:val="10"/>
                <w:szCs w:val="10"/>
                <w:color w:val="auto"/>
              </w:rPr>
            </w:pPr>
          </w:p>
        </w:tc>
        <w:tc>
          <w:tcPr>
            <w:tcW w:w="1140" w:type="dxa"/>
            <w:vAlign w:val="bottom"/>
            <w:tcBorders>
              <w:bottom w:val="single" w:sz="8" w:color="007CBA"/>
            </w:tcBorders>
          </w:tcPr>
          <w:p>
            <w:pPr>
              <w:spacing w:after="0"/>
              <w:rPr>
                <w:sz w:val="10"/>
                <w:szCs w:val="10"/>
                <w:color w:val="auto"/>
              </w:rPr>
            </w:pPr>
          </w:p>
        </w:tc>
        <w:tc>
          <w:tcPr>
            <w:tcW w:w="200" w:type="dxa"/>
            <w:vAlign w:val="bottom"/>
            <w:tcBorders>
              <w:bottom w:val="single" w:sz="8" w:color="007CBA"/>
            </w:tcBorders>
          </w:tcPr>
          <w:p>
            <w:pPr>
              <w:spacing w:after="0"/>
              <w:rPr>
                <w:sz w:val="10"/>
                <w:szCs w:val="10"/>
                <w:color w:val="auto"/>
              </w:rPr>
            </w:pPr>
          </w:p>
        </w:tc>
        <w:tc>
          <w:tcPr>
            <w:tcW w:w="740" w:type="dxa"/>
            <w:vAlign w:val="bottom"/>
            <w:tcBorders>
              <w:bottom w:val="single" w:sz="8" w:color="007CBA"/>
            </w:tcBorders>
          </w:tcPr>
          <w:p>
            <w:pPr>
              <w:spacing w:after="0"/>
              <w:rPr>
                <w:sz w:val="10"/>
                <w:szCs w:val="10"/>
                <w:color w:val="auto"/>
              </w:rPr>
            </w:pPr>
          </w:p>
        </w:tc>
        <w:tc>
          <w:tcPr>
            <w:tcW w:w="1040" w:type="dxa"/>
            <w:vAlign w:val="bottom"/>
            <w:tcBorders>
              <w:bottom w:val="single" w:sz="8" w:color="007CBA"/>
            </w:tcBorders>
          </w:tcPr>
          <w:p>
            <w:pPr>
              <w:spacing w:after="0"/>
              <w:rPr>
                <w:sz w:val="10"/>
                <w:szCs w:val="10"/>
                <w:color w:val="auto"/>
              </w:rPr>
            </w:pPr>
          </w:p>
        </w:tc>
        <w:tc>
          <w:tcPr>
            <w:tcW w:w="220" w:type="dxa"/>
            <w:vAlign w:val="bottom"/>
            <w:tcBorders>
              <w:bottom w:val="single" w:sz="8" w:color="007CBA"/>
            </w:tcBorders>
          </w:tcPr>
          <w:p>
            <w:pPr>
              <w:spacing w:after="0"/>
              <w:rPr>
                <w:sz w:val="10"/>
                <w:szCs w:val="10"/>
                <w:color w:val="auto"/>
              </w:rPr>
            </w:pPr>
          </w:p>
        </w:tc>
        <w:tc>
          <w:tcPr>
            <w:tcW w:w="720" w:type="dxa"/>
            <w:vAlign w:val="bottom"/>
            <w:tcBorders>
              <w:bottom w:val="single" w:sz="8" w:color="007CBA"/>
            </w:tcBorders>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240" w:type="dxa"/>
            <w:vAlign w:val="bottom"/>
            <w:tcBorders>
              <w:right w:val="single" w:sz="8" w:color="007CBA"/>
            </w:tcBorders>
            <w:shd w:val="clear" w:color="auto" w:fill="007CBA"/>
          </w:tcPr>
          <w:p>
            <w:pPr>
              <w:spacing w:after="0"/>
              <w:rPr>
                <w:sz w:val="12"/>
                <w:szCs w:val="12"/>
                <w:color w:val="auto"/>
              </w:rPr>
            </w:pPr>
          </w:p>
        </w:tc>
        <w:tc>
          <w:tcPr>
            <w:tcW w:w="680" w:type="dxa"/>
            <w:vAlign w:val="bottom"/>
            <w:tcBorders>
              <w:right w:val="single" w:sz="8" w:color="007CBA"/>
            </w:tcBorders>
            <w:shd w:val="clear" w:color="auto" w:fill="007CBA"/>
          </w:tcPr>
          <w:p>
            <w:pPr>
              <w:spacing w:after="0"/>
              <w:rPr>
                <w:sz w:val="12"/>
                <w:szCs w:val="12"/>
                <w:color w:val="auto"/>
              </w:rPr>
            </w:pPr>
          </w:p>
        </w:tc>
        <w:tc>
          <w:tcPr>
            <w:tcW w:w="1140" w:type="dxa"/>
            <w:vAlign w:val="bottom"/>
            <w:tcBorders>
              <w:right w:val="single" w:sz="8" w:color="007CBA"/>
            </w:tcBorders>
            <w:shd w:val="clear" w:color="auto" w:fill="007CBA"/>
          </w:tcPr>
          <w:p>
            <w:pPr>
              <w:spacing w:after="0"/>
              <w:rPr>
                <w:sz w:val="12"/>
                <w:szCs w:val="12"/>
                <w:color w:val="auto"/>
              </w:rPr>
            </w:pPr>
          </w:p>
        </w:tc>
        <w:tc>
          <w:tcPr>
            <w:tcW w:w="200" w:type="dxa"/>
            <w:vAlign w:val="bottom"/>
            <w:shd w:val="clear" w:color="auto" w:fill="007CBA"/>
          </w:tcPr>
          <w:p>
            <w:pPr>
              <w:spacing w:after="0"/>
              <w:rPr>
                <w:sz w:val="12"/>
                <w:szCs w:val="12"/>
                <w:color w:val="auto"/>
              </w:rPr>
            </w:pPr>
          </w:p>
        </w:tc>
        <w:tc>
          <w:tcPr>
            <w:tcW w:w="720" w:type="dxa"/>
            <w:vAlign w:val="bottom"/>
            <w:tcBorders>
              <w:right w:val="single" w:sz="8" w:color="007CBA"/>
            </w:tcBorders>
            <w:shd w:val="clear" w:color="auto" w:fill="007CBA"/>
          </w:tcPr>
          <w:p>
            <w:pPr>
              <w:spacing w:after="0"/>
              <w:rPr>
                <w:sz w:val="12"/>
                <w:szCs w:val="12"/>
                <w:color w:val="auto"/>
              </w:rPr>
            </w:pPr>
          </w:p>
        </w:tc>
        <w:tc>
          <w:tcPr>
            <w:tcW w:w="1140" w:type="dxa"/>
            <w:vAlign w:val="bottom"/>
            <w:tcBorders>
              <w:right w:val="single" w:sz="8" w:color="007CBA"/>
            </w:tcBorders>
            <w:shd w:val="clear" w:color="auto" w:fill="007CBA"/>
          </w:tcPr>
          <w:p>
            <w:pPr>
              <w:spacing w:after="0"/>
              <w:rPr>
                <w:sz w:val="12"/>
                <w:szCs w:val="12"/>
                <w:color w:val="auto"/>
              </w:rPr>
            </w:pPr>
          </w:p>
        </w:tc>
        <w:tc>
          <w:tcPr>
            <w:tcW w:w="200" w:type="dxa"/>
            <w:vAlign w:val="bottom"/>
            <w:shd w:val="clear" w:color="auto" w:fill="007CBA"/>
          </w:tcPr>
          <w:p>
            <w:pPr>
              <w:spacing w:after="0"/>
              <w:rPr>
                <w:sz w:val="12"/>
                <w:szCs w:val="12"/>
                <w:color w:val="auto"/>
              </w:rPr>
            </w:pPr>
          </w:p>
        </w:tc>
        <w:tc>
          <w:tcPr>
            <w:tcW w:w="740" w:type="dxa"/>
            <w:vAlign w:val="bottom"/>
            <w:tcBorders>
              <w:right w:val="single" w:sz="8" w:color="007CBA"/>
            </w:tcBorders>
            <w:shd w:val="clear" w:color="auto" w:fill="007CBA"/>
          </w:tcPr>
          <w:p>
            <w:pPr>
              <w:spacing w:after="0"/>
              <w:rPr>
                <w:sz w:val="12"/>
                <w:szCs w:val="12"/>
                <w:color w:val="auto"/>
              </w:rPr>
            </w:pPr>
          </w:p>
        </w:tc>
        <w:tc>
          <w:tcPr>
            <w:tcW w:w="1040" w:type="dxa"/>
            <w:vAlign w:val="bottom"/>
            <w:tcBorders>
              <w:right w:val="single" w:sz="8" w:color="007CBA"/>
            </w:tcBorders>
            <w:shd w:val="clear" w:color="auto" w:fill="007CBA"/>
          </w:tcPr>
          <w:p>
            <w:pPr>
              <w:spacing w:after="0"/>
              <w:rPr>
                <w:sz w:val="12"/>
                <w:szCs w:val="12"/>
                <w:color w:val="auto"/>
              </w:rPr>
            </w:pPr>
          </w:p>
        </w:tc>
        <w:tc>
          <w:tcPr>
            <w:tcW w:w="220" w:type="dxa"/>
            <w:vAlign w:val="bottom"/>
            <w:shd w:val="clear" w:color="auto" w:fill="007CBA"/>
          </w:tcPr>
          <w:p>
            <w:pPr>
              <w:spacing w:after="0"/>
              <w:rPr>
                <w:sz w:val="12"/>
                <w:szCs w:val="12"/>
                <w:color w:val="auto"/>
              </w:rPr>
            </w:pPr>
          </w:p>
        </w:tc>
        <w:tc>
          <w:tcPr>
            <w:tcW w:w="720" w:type="dxa"/>
            <w:vAlign w:val="bottom"/>
            <w:tcBorders>
              <w:right w:val="single" w:sz="8" w:color="007CBA"/>
            </w:tcBorders>
            <w:shd w:val="clear" w:color="auto" w:fill="007CBA"/>
          </w:tcPr>
          <w:p>
            <w:pPr>
              <w:spacing w:after="0"/>
              <w:rPr>
                <w:sz w:val="12"/>
                <w:szCs w:val="12"/>
                <w:color w:val="auto"/>
              </w:rPr>
            </w:pPr>
          </w:p>
        </w:tc>
        <w:tc>
          <w:tcPr>
            <w:tcW w:w="1220" w:type="dxa"/>
            <w:vAlign w:val="bottom"/>
            <w:tcBorders>
              <w:right w:val="single" w:sz="8" w:color="007CBA"/>
            </w:tcBorders>
            <w:gridSpan w:val="2"/>
            <w:shd w:val="clear" w:color="auto" w:fill="007CBA"/>
          </w:tcPr>
          <w:p>
            <w:pPr>
              <w:jc w:val="center"/>
              <w:spacing w:after="0" w:line="145" w:lineRule="exact"/>
              <w:rPr>
                <w:sz w:val="20"/>
                <w:szCs w:val="20"/>
                <w:color w:val="auto"/>
              </w:rPr>
            </w:pPr>
            <w:r>
              <w:rPr>
                <w:rFonts w:ascii="Arial" w:cs="Arial" w:eastAsia="Arial" w:hAnsi="Arial"/>
                <w:sz w:val="14"/>
                <w:szCs w:val="14"/>
                <w:b w:val="1"/>
                <w:bCs w:val="1"/>
                <w:color w:val="FFFFFF"/>
                <w:w w:val="97"/>
              </w:rPr>
              <w:t>Percentage of</w:t>
            </w:r>
          </w:p>
        </w:tc>
        <w:tc>
          <w:tcPr>
            <w:tcW w:w="920" w:type="dxa"/>
            <w:vAlign w:val="bottom"/>
            <w:tcBorders>
              <w:right w:val="single" w:sz="8" w:color="007CBA"/>
            </w:tcBorders>
            <w:shd w:val="clear" w:color="auto" w:fill="007CBA"/>
          </w:tcPr>
          <w:p>
            <w:pPr>
              <w:spacing w:after="0"/>
              <w:rPr>
                <w:sz w:val="12"/>
                <w:szCs w:val="12"/>
                <w:color w:val="auto"/>
              </w:rPr>
            </w:pPr>
          </w:p>
        </w:tc>
        <w:tc>
          <w:tcPr>
            <w:tcW w:w="640" w:type="dxa"/>
            <w:vAlign w:val="bottom"/>
            <w:tcBorders>
              <w:right w:val="single" w:sz="8" w:color="007CBA"/>
            </w:tcBorders>
            <w:shd w:val="clear" w:color="auto" w:fill="007CBA"/>
          </w:tcPr>
          <w:p>
            <w:pPr>
              <w:spacing w:after="0"/>
              <w:rPr>
                <w:sz w:val="12"/>
                <w:szCs w:val="12"/>
                <w:color w:val="auto"/>
              </w:rPr>
            </w:pPr>
          </w:p>
        </w:tc>
        <w:tc>
          <w:tcPr>
            <w:tcW w:w="62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Borders>
              <w:right w:val="single" w:sz="8" w:color="007CBA"/>
            </w:tcBorders>
            <w:shd w:val="clear" w:color="auto" w:fill="007CBA"/>
          </w:tcPr>
          <w:p>
            <w:pPr>
              <w:spacing w:after="0"/>
              <w:rPr>
                <w:sz w:val="12"/>
                <w:szCs w:val="12"/>
                <w:color w:val="auto"/>
              </w:rPr>
            </w:pPr>
          </w:p>
        </w:tc>
        <w:tc>
          <w:tcPr>
            <w:tcW w:w="680" w:type="dxa"/>
            <w:vAlign w:val="bottom"/>
            <w:tcBorders>
              <w:right w:val="single" w:sz="8" w:color="007CBA"/>
            </w:tcBorders>
            <w:shd w:val="clear" w:color="auto" w:fill="007CBA"/>
          </w:tcPr>
          <w:p>
            <w:pPr>
              <w:spacing w:after="0"/>
              <w:rPr>
                <w:sz w:val="12"/>
                <w:szCs w:val="12"/>
                <w:color w:val="auto"/>
              </w:rPr>
            </w:pPr>
          </w:p>
        </w:tc>
        <w:tc>
          <w:tcPr>
            <w:tcW w:w="1140" w:type="dxa"/>
            <w:vAlign w:val="bottom"/>
            <w:tcBorders>
              <w:right w:val="single" w:sz="8" w:color="007CBA"/>
            </w:tcBorders>
            <w:shd w:val="clear" w:color="auto" w:fill="007CBA"/>
          </w:tcPr>
          <w:p>
            <w:pPr>
              <w:spacing w:after="0"/>
              <w:rPr>
                <w:sz w:val="12"/>
                <w:szCs w:val="12"/>
                <w:color w:val="auto"/>
              </w:rPr>
            </w:pPr>
          </w:p>
        </w:tc>
        <w:tc>
          <w:tcPr>
            <w:tcW w:w="200" w:type="dxa"/>
            <w:vAlign w:val="bottom"/>
            <w:shd w:val="clear" w:color="auto" w:fill="007CBA"/>
          </w:tcPr>
          <w:p>
            <w:pPr>
              <w:spacing w:after="0"/>
              <w:rPr>
                <w:sz w:val="12"/>
                <w:szCs w:val="12"/>
                <w:color w:val="auto"/>
              </w:rPr>
            </w:pPr>
          </w:p>
        </w:tc>
        <w:tc>
          <w:tcPr>
            <w:tcW w:w="720" w:type="dxa"/>
            <w:vAlign w:val="bottom"/>
            <w:tcBorders>
              <w:right w:val="single" w:sz="8" w:color="007CBA"/>
            </w:tcBorders>
            <w:shd w:val="clear" w:color="auto" w:fill="007CBA"/>
          </w:tcPr>
          <w:p>
            <w:pPr>
              <w:spacing w:after="0"/>
              <w:rPr>
                <w:sz w:val="12"/>
                <w:szCs w:val="12"/>
                <w:color w:val="auto"/>
              </w:rPr>
            </w:pPr>
          </w:p>
        </w:tc>
        <w:tc>
          <w:tcPr>
            <w:tcW w:w="1140" w:type="dxa"/>
            <w:vAlign w:val="bottom"/>
            <w:tcBorders>
              <w:right w:val="single" w:sz="8" w:color="007CBA"/>
            </w:tcBorders>
            <w:shd w:val="clear" w:color="auto" w:fill="007CBA"/>
          </w:tcPr>
          <w:p>
            <w:pPr>
              <w:spacing w:after="0"/>
              <w:rPr>
                <w:sz w:val="12"/>
                <w:szCs w:val="12"/>
                <w:color w:val="auto"/>
              </w:rPr>
            </w:pPr>
          </w:p>
        </w:tc>
        <w:tc>
          <w:tcPr>
            <w:tcW w:w="200" w:type="dxa"/>
            <w:vAlign w:val="bottom"/>
            <w:shd w:val="clear" w:color="auto" w:fill="007CBA"/>
          </w:tcPr>
          <w:p>
            <w:pPr>
              <w:spacing w:after="0"/>
              <w:rPr>
                <w:sz w:val="12"/>
                <w:szCs w:val="12"/>
                <w:color w:val="auto"/>
              </w:rPr>
            </w:pPr>
          </w:p>
        </w:tc>
        <w:tc>
          <w:tcPr>
            <w:tcW w:w="740" w:type="dxa"/>
            <w:vAlign w:val="bottom"/>
            <w:tcBorders>
              <w:right w:val="single" w:sz="8" w:color="007CBA"/>
            </w:tcBorders>
            <w:shd w:val="clear" w:color="auto" w:fill="007CBA"/>
          </w:tcPr>
          <w:p>
            <w:pPr>
              <w:spacing w:after="0"/>
              <w:rPr>
                <w:sz w:val="12"/>
                <w:szCs w:val="12"/>
                <w:color w:val="auto"/>
              </w:rPr>
            </w:pPr>
          </w:p>
        </w:tc>
        <w:tc>
          <w:tcPr>
            <w:tcW w:w="1040" w:type="dxa"/>
            <w:vAlign w:val="bottom"/>
            <w:tcBorders>
              <w:right w:val="single" w:sz="8" w:color="007CBA"/>
            </w:tcBorders>
            <w:shd w:val="clear" w:color="auto" w:fill="007CBA"/>
          </w:tcPr>
          <w:p>
            <w:pPr>
              <w:spacing w:after="0"/>
              <w:rPr>
                <w:sz w:val="12"/>
                <w:szCs w:val="12"/>
                <w:color w:val="auto"/>
              </w:rPr>
            </w:pPr>
          </w:p>
        </w:tc>
        <w:tc>
          <w:tcPr>
            <w:tcW w:w="220" w:type="dxa"/>
            <w:vAlign w:val="bottom"/>
            <w:shd w:val="clear" w:color="auto" w:fill="007CBA"/>
          </w:tcPr>
          <w:p>
            <w:pPr>
              <w:spacing w:after="0"/>
              <w:rPr>
                <w:sz w:val="12"/>
                <w:szCs w:val="12"/>
                <w:color w:val="auto"/>
              </w:rPr>
            </w:pPr>
          </w:p>
        </w:tc>
        <w:tc>
          <w:tcPr>
            <w:tcW w:w="720" w:type="dxa"/>
            <w:vAlign w:val="bottom"/>
            <w:tcBorders>
              <w:right w:val="single" w:sz="8" w:color="007CBA"/>
            </w:tcBorders>
            <w:shd w:val="clear" w:color="auto" w:fill="007CBA"/>
          </w:tcPr>
          <w:p>
            <w:pPr>
              <w:spacing w:after="0"/>
              <w:rPr>
                <w:sz w:val="12"/>
                <w:szCs w:val="12"/>
                <w:color w:val="auto"/>
              </w:rPr>
            </w:pPr>
          </w:p>
        </w:tc>
        <w:tc>
          <w:tcPr>
            <w:tcW w:w="1220" w:type="dxa"/>
            <w:vAlign w:val="bottom"/>
            <w:tcBorders>
              <w:right w:val="single" w:sz="8" w:color="007CBA"/>
            </w:tcBorders>
            <w:gridSpan w:val="2"/>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8"/>
              </w:rPr>
              <w:t>aggregate</w:t>
            </w:r>
          </w:p>
        </w:tc>
        <w:tc>
          <w:tcPr>
            <w:tcW w:w="920" w:type="dxa"/>
            <w:vAlign w:val="bottom"/>
            <w:tcBorders>
              <w:right w:val="single" w:sz="8" w:color="007CBA"/>
            </w:tcBorders>
            <w:shd w:val="clear" w:color="auto" w:fill="007CBA"/>
          </w:tcPr>
          <w:p>
            <w:pPr>
              <w:spacing w:after="0"/>
              <w:rPr>
                <w:sz w:val="12"/>
                <w:szCs w:val="12"/>
                <w:color w:val="auto"/>
              </w:rPr>
            </w:pPr>
          </w:p>
        </w:tc>
        <w:tc>
          <w:tcPr>
            <w:tcW w:w="640" w:type="dxa"/>
            <w:vAlign w:val="bottom"/>
            <w:tcBorders>
              <w:right w:val="single" w:sz="8" w:color="007CBA"/>
            </w:tcBorders>
            <w:shd w:val="clear" w:color="auto" w:fill="007CBA"/>
          </w:tcPr>
          <w:p>
            <w:pPr>
              <w:spacing w:after="0"/>
              <w:rPr>
                <w:sz w:val="12"/>
                <w:szCs w:val="12"/>
                <w:color w:val="auto"/>
              </w:rPr>
            </w:pPr>
          </w:p>
        </w:tc>
        <w:tc>
          <w:tcPr>
            <w:tcW w:w="62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240" w:type="dxa"/>
            <w:vAlign w:val="bottom"/>
            <w:tcBorders>
              <w:right w:val="single" w:sz="8" w:color="007CBA"/>
            </w:tcBorders>
            <w:shd w:val="clear" w:color="auto" w:fill="007CBA"/>
          </w:tcPr>
          <w:p>
            <w:pPr>
              <w:spacing w:after="0"/>
              <w:rPr>
                <w:sz w:val="13"/>
                <w:szCs w:val="13"/>
                <w:color w:val="auto"/>
              </w:rPr>
            </w:pPr>
          </w:p>
        </w:tc>
        <w:tc>
          <w:tcPr>
            <w:tcW w:w="680" w:type="dxa"/>
            <w:vAlign w:val="bottom"/>
            <w:tcBorders>
              <w:right w:val="single" w:sz="8" w:color="007CBA"/>
            </w:tcBorders>
            <w:shd w:val="clear" w:color="auto" w:fill="007CBA"/>
          </w:tcPr>
          <w:p>
            <w:pPr>
              <w:spacing w:after="0"/>
              <w:rPr>
                <w:sz w:val="13"/>
                <w:szCs w:val="13"/>
                <w:color w:val="auto"/>
              </w:rPr>
            </w:pPr>
          </w:p>
        </w:tc>
        <w:tc>
          <w:tcPr>
            <w:tcW w:w="2060" w:type="dxa"/>
            <w:vAlign w:val="bottom"/>
            <w:tcBorders>
              <w:right w:val="single" w:sz="8" w:color="007CBA"/>
            </w:tcBorders>
            <w:gridSpan w:val="3"/>
            <w:shd w:val="clear" w:color="auto" w:fill="007CBA"/>
          </w:tcPr>
          <w:p>
            <w:pPr>
              <w:jc w:val="center"/>
              <w:spacing w:after="0" w:line="152" w:lineRule="exact"/>
              <w:rPr>
                <w:sz w:val="20"/>
                <w:szCs w:val="20"/>
                <w:color w:val="auto"/>
              </w:rPr>
            </w:pPr>
            <w:r>
              <w:rPr>
                <w:rFonts w:ascii="Arial" w:cs="Arial" w:eastAsia="Arial" w:hAnsi="Arial"/>
                <w:sz w:val="14"/>
                <w:szCs w:val="14"/>
                <w:b w:val="1"/>
                <w:bCs w:val="1"/>
                <w:color w:val="FFFFFF"/>
                <w:w w:val="95"/>
              </w:rPr>
              <w:t>Tonnage of</w:t>
            </w:r>
          </w:p>
        </w:tc>
        <w:tc>
          <w:tcPr>
            <w:tcW w:w="2080" w:type="dxa"/>
            <w:vAlign w:val="bottom"/>
            <w:tcBorders>
              <w:right w:val="single" w:sz="8" w:color="007CBA"/>
            </w:tcBorders>
            <w:gridSpan w:val="3"/>
            <w:shd w:val="clear" w:color="auto" w:fill="007CBA"/>
          </w:tcPr>
          <w:p>
            <w:pPr>
              <w:jc w:val="center"/>
              <w:spacing w:after="0" w:line="152" w:lineRule="exact"/>
              <w:rPr>
                <w:sz w:val="20"/>
                <w:szCs w:val="20"/>
                <w:color w:val="auto"/>
              </w:rPr>
            </w:pPr>
            <w:r>
              <w:rPr>
                <w:rFonts w:ascii="Arial" w:cs="Arial" w:eastAsia="Arial" w:hAnsi="Arial"/>
                <w:sz w:val="14"/>
                <w:szCs w:val="14"/>
                <w:b w:val="1"/>
                <w:bCs w:val="1"/>
                <w:color w:val="FFFFFF"/>
                <w:w w:val="95"/>
              </w:rPr>
              <w:t>Tonnage of</w:t>
            </w:r>
          </w:p>
        </w:tc>
        <w:tc>
          <w:tcPr>
            <w:tcW w:w="1040" w:type="dxa"/>
            <w:vAlign w:val="bottom"/>
            <w:tcBorders>
              <w:right w:val="single" w:sz="8" w:color="007CBA"/>
            </w:tcBorders>
            <w:shd w:val="clear" w:color="auto" w:fill="007CBA"/>
          </w:tcPr>
          <w:p>
            <w:pPr>
              <w:spacing w:after="0"/>
              <w:rPr>
                <w:sz w:val="13"/>
                <w:szCs w:val="13"/>
                <w:color w:val="auto"/>
              </w:rPr>
            </w:pPr>
          </w:p>
        </w:tc>
        <w:tc>
          <w:tcPr>
            <w:tcW w:w="220" w:type="dxa"/>
            <w:vAlign w:val="bottom"/>
            <w:shd w:val="clear" w:color="auto" w:fill="007CBA"/>
          </w:tcPr>
          <w:p>
            <w:pPr>
              <w:spacing w:after="0"/>
              <w:rPr>
                <w:sz w:val="13"/>
                <w:szCs w:val="13"/>
                <w:color w:val="auto"/>
              </w:rPr>
            </w:pPr>
          </w:p>
        </w:tc>
        <w:tc>
          <w:tcPr>
            <w:tcW w:w="720" w:type="dxa"/>
            <w:vAlign w:val="bottom"/>
            <w:tcBorders>
              <w:right w:val="single" w:sz="8" w:color="007CBA"/>
            </w:tcBorders>
            <w:shd w:val="clear" w:color="auto" w:fill="007CBA"/>
          </w:tcPr>
          <w:p>
            <w:pPr>
              <w:spacing w:after="0"/>
              <w:rPr>
                <w:sz w:val="13"/>
                <w:szCs w:val="13"/>
                <w:color w:val="auto"/>
              </w:rPr>
            </w:pPr>
          </w:p>
        </w:tc>
        <w:tc>
          <w:tcPr>
            <w:tcW w:w="1220" w:type="dxa"/>
            <w:vAlign w:val="bottom"/>
            <w:tcBorders>
              <w:right w:val="single" w:sz="8" w:color="007CBA"/>
            </w:tcBorders>
            <w:gridSpan w:val="2"/>
            <w:shd w:val="clear" w:color="auto" w:fill="007CBA"/>
          </w:tcPr>
          <w:p>
            <w:pPr>
              <w:jc w:val="center"/>
              <w:spacing w:after="0" w:line="152" w:lineRule="exact"/>
              <w:rPr>
                <w:sz w:val="20"/>
                <w:szCs w:val="20"/>
                <w:color w:val="auto"/>
              </w:rPr>
            </w:pPr>
            <w:r>
              <w:rPr>
                <w:rFonts w:ascii="Arial" w:cs="Arial" w:eastAsia="Arial" w:hAnsi="Arial"/>
                <w:sz w:val="14"/>
                <w:szCs w:val="14"/>
                <w:b w:val="1"/>
                <w:bCs w:val="1"/>
                <w:color w:val="FFFFFF"/>
                <w:w w:val="93"/>
              </w:rPr>
              <w:t>reserves</w:t>
            </w:r>
          </w:p>
        </w:tc>
        <w:tc>
          <w:tcPr>
            <w:tcW w:w="920" w:type="dxa"/>
            <w:vAlign w:val="bottom"/>
            <w:tcBorders>
              <w:right w:val="single" w:sz="8" w:color="007CBA"/>
            </w:tcBorders>
            <w:shd w:val="clear" w:color="auto" w:fill="007CBA"/>
          </w:tcPr>
          <w:p>
            <w:pPr>
              <w:spacing w:after="0"/>
              <w:rPr>
                <w:sz w:val="13"/>
                <w:szCs w:val="13"/>
                <w:color w:val="auto"/>
              </w:rPr>
            </w:pPr>
          </w:p>
        </w:tc>
        <w:tc>
          <w:tcPr>
            <w:tcW w:w="640" w:type="dxa"/>
            <w:vAlign w:val="bottom"/>
            <w:tcBorders>
              <w:right w:val="single" w:sz="8" w:color="007CBA"/>
            </w:tcBorders>
            <w:shd w:val="clear" w:color="auto" w:fill="007CBA"/>
          </w:tcPr>
          <w:p>
            <w:pPr>
              <w:spacing w:after="0"/>
              <w:rPr>
                <w:sz w:val="13"/>
                <w:szCs w:val="13"/>
                <w:color w:val="auto"/>
              </w:rPr>
            </w:pPr>
          </w:p>
        </w:tc>
        <w:tc>
          <w:tcPr>
            <w:tcW w:w="62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40" w:type="dxa"/>
            <w:vAlign w:val="bottom"/>
            <w:tcBorders>
              <w:right w:val="single" w:sz="8" w:color="007CBA"/>
            </w:tcBorders>
            <w:shd w:val="clear" w:color="auto" w:fill="007CBA"/>
          </w:tcPr>
          <w:p>
            <w:pPr>
              <w:spacing w:after="0"/>
              <w:rPr>
                <w:sz w:val="12"/>
                <w:szCs w:val="12"/>
                <w:color w:val="auto"/>
              </w:rPr>
            </w:pPr>
          </w:p>
        </w:tc>
        <w:tc>
          <w:tcPr>
            <w:tcW w:w="680" w:type="dxa"/>
            <w:vAlign w:val="bottom"/>
            <w:tcBorders>
              <w:right w:val="single" w:sz="8" w:color="007CBA"/>
            </w:tcBorders>
            <w:shd w:val="clear" w:color="auto" w:fill="007CBA"/>
          </w:tcPr>
          <w:p>
            <w:pPr>
              <w:spacing w:after="0"/>
              <w:rPr>
                <w:sz w:val="12"/>
                <w:szCs w:val="12"/>
                <w:color w:val="auto"/>
              </w:rPr>
            </w:pPr>
          </w:p>
        </w:tc>
        <w:tc>
          <w:tcPr>
            <w:tcW w:w="2060" w:type="dxa"/>
            <w:vAlign w:val="bottom"/>
            <w:tcBorders>
              <w:right w:val="single" w:sz="8" w:color="007CBA"/>
            </w:tcBorders>
            <w:gridSpan w:val="3"/>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6"/>
              </w:rPr>
              <w:t>Reserves for</w:t>
            </w:r>
          </w:p>
        </w:tc>
        <w:tc>
          <w:tcPr>
            <w:tcW w:w="2080" w:type="dxa"/>
            <w:vAlign w:val="bottom"/>
            <w:tcBorders>
              <w:right w:val="single" w:sz="8" w:color="007CBA"/>
            </w:tcBorders>
            <w:gridSpan w:val="3"/>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6"/>
              </w:rPr>
              <w:t>Reserves for</w:t>
            </w:r>
          </w:p>
        </w:tc>
        <w:tc>
          <w:tcPr>
            <w:tcW w:w="1040" w:type="dxa"/>
            <w:vAlign w:val="bottom"/>
            <w:tcBorders>
              <w:right w:val="single" w:sz="8" w:color="007CBA"/>
            </w:tcBorders>
            <w:shd w:val="clear" w:color="auto" w:fill="007CBA"/>
          </w:tcPr>
          <w:p>
            <w:pPr>
              <w:spacing w:after="0"/>
              <w:rPr>
                <w:sz w:val="12"/>
                <w:szCs w:val="12"/>
                <w:color w:val="auto"/>
              </w:rPr>
            </w:pPr>
          </w:p>
        </w:tc>
        <w:tc>
          <w:tcPr>
            <w:tcW w:w="220" w:type="dxa"/>
            <w:vAlign w:val="bottom"/>
            <w:shd w:val="clear" w:color="auto" w:fill="007CBA"/>
          </w:tcPr>
          <w:p>
            <w:pPr>
              <w:spacing w:after="0"/>
              <w:rPr>
                <w:sz w:val="12"/>
                <w:szCs w:val="12"/>
                <w:color w:val="auto"/>
              </w:rPr>
            </w:pPr>
          </w:p>
        </w:tc>
        <w:tc>
          <w:tcPr>
            <w:tcW w:w="720" w:type="dxa"/>
            <w:vAlign w:val="bottom"/>
            <w:tcBorders>
              <w:right w:val="single" w:sz="8" w:color="007CBA"/>
            </w:tcBorders>
            <w:shd w:val="clear" w:color="auto" w:fill="007CBA"/>
          </w:tcPr>
          <w:p>
            <w:pPr>
              <w:spacing w:after="0"/>
              <w:rPr>
                <w:sz w:val="12"/>
                <w:szCs w:val="12"/>
                <w:color w:val="auto"/>
              </w:rPr>
            </w:pPr>
          </w:p>
        </w:tc>
        <w:tc>
          <w:tcPr>
            <w:tcW w:w="1220" w:type="dxa"/>
            <w:vAlign w:val="bottom"/>
            <w:tcBorders>
              <w:right w:val="single" w:sz="8" w:color="007CBA"/>
            </w:tcBorders>
            <w:gridSpan w:val="2"/>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5"/>
              </w:rPr>
              <w:t>located at an</w:t>
            </w:r>
          </w:p>
        </w:tc>
        <w:tc>
          <w:tcPr>
            <w:tcW w:w="920" w:type="dxa"/>
            <w:vAlign w:val="bottom"/>
            <w:tcBorders>
              <w:right w:val="single" w:sz="8" w:color="007CBA"/>
            </w:tcBorders>
            <w:shd w:val="clear" w:color="auto" w:fill="007CBA"/>
          </w:tcPr>
          <w:p>
            <w:pPr>
              <w:spacing w:after="0"/>
              <w:rPr>
                <w:sz w:val="12"/>
                <w:szCs w:val="12"/>
                <w:color w:val="auto"/>
              </w:rPr>
            </w:pPr>
          </w:p>
        </w:tc>
        <w:tc>
          <w:tcPr>
            <w:tcW w:w="640" w:type="dxa"/>
            <w:vAlign w:val="bottom"/>
            <w:tcBorders>
              <w:right w:val="single" w:sz="8" w:color="007CBA"/>
            </w:tcBorders>
            <w:shd w:val="clear" w:color="auto" w:fill="007CBA"/>
          </w:tcPr>
          <w:p>
            <w:pPr>
              <w:spacing w:after="0"/>
              <w:rPr>
                <w:sz w:val="12"/>
                <w:szCs w:val="12"/>
                <w:color w:val="auto"/>
              </w:rPr>
            </w:pPr>
          </w:p>
        </w:tc>
        <w:tc>
          <w:tcPr>
            <w:tcW w:w="62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4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2060" w:type="dxa"/>
            <w:vAlign w:val="bottom"/>
            <w:tcBorders>
              <w:right w:val="single" w:sz="8" w:color="007CBA"/>
            </w:tcBorders>
            <w:gridSpan w:val="3"/>
            <w:shd w:val="clear" w:color="auto" w:fill="007CBA"/>
          </w:tcPr>
          <w:p>
            <w:pPr>
              <w:jc w:val="center"/>
              <w:spacing w:after="0"/>
              <w:rPr>
                <w:sz w:val="20"/>
                <w:szCs w:val="20"/>
                <w:color w:val="auto"/>
              </w:rPr>
            </w:pPr>
            <w:r>
              <w:rPr>
                <w:rFonts w:ascii="Arial" w:cs="Arial" w:eastAsia="Arial" w:hAnsi="Arial"/>
                <w:sz w:val="14"/>
                <w:szCs w:val="14"/>
                <w:b w:val="1"/>
                <w:bCs w:val="1"/>
                <w:color w:val="FFFFFF"/>
                <w:w w:val="98"/>
              </w:rPr>
              <w:t>each general</w:t>
            </w:r>
          </w:p>
        </w:tc>
        <w:tc>
          <w:tcPr>
            <w:tcW w:w="2080" w:type="dxa"/>
            <w:vAlign w:val="bottom"/>
            <w:tcBorders>
              <w:right w:val="single" w:sz="8" w:color="007CBA"/>
            </w:tcBorders>
            <w:gridSpan w:val="3"/>
            <w:shd w:val="clear" w:color="auto" w:fill="007CBA"/>
          </w:tcPr>
          <w:p>
            <w:pPr>
              <w:jc w:val="center"/>
              <w:spacing w:after="0"/>
              <w:rPr>
                <w:sz w:val="20"/>
                <w:szCs w:val="20"/>
                <w:color w:val="auto"/>
              </w:rPr>
            </w:pPr>
            <w:r>
              <w:rPr>
                <w:rFonts w:ascii="Arial" w:cs="Arial" w:eastAsia="Arial" w:hAnsi="Arial"/>
                <w:sz w:val="14"/>
                <w:szCs w:val="14"/>
                <w:b w:val="1"/>
                <w:bCs w:val="1"/>
                <w:color w:val="FFFFFF"/>
                <w:w w:val="95"/>
              </w:rPr>
              <w:t>each general</w:t>
            </w:r>
          </w:p>
        </w:tc>
        <w:tc>
          <w:tcPr>
            <w:tcW w:w="1040" w:type="dxa"/>
            <w:vAlign w:val="bottom"/>
            <w:tcBorders>
              <w:right w:val="single" w:sz="8" w:color="007CBA"/>
            </w:tcBorders>
            <w:shd w:val="clear" w:color="auto" w:fill="007CBA"/>
          </w:tcPr>
          <w:p>
            <w:pPr>
              <w:spacing w:after="0"/>
              <w:rPr>
                <w:sz w:val="14"/>
                <w:szCs w:val="14"/>
                <w:color w:val="auto"/>
              </w:rPr>
            </w:pPr>
          </w:p>
        </w:tc>
        <w:tc>
          <w:tcPr>
            <w:tcW w:w="220" w:type="dxa"/>
            <w:vAlign w:val="bottom"/>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122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4"/>
                <w:szCs w:val="14"/>
                <w:b w:val="1"/>
                <w:bCs w:val="1"/>
                <w:color w:val="FFFFFF"/>
                <w:w w:val="94"/>
              </w:rPr>
              <w:t>existing</w:t>
            </w:r>
          </w:p>
        </w:tc>
        <w:tc>
          <w:tcPr>
            <w:tcW w:w="9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4"/>
              </w:rPr>
              <w:t>Percentage of</w:t>
            </w:r>
          </w:p>
        </w:tc>
        <w:tc>
          <w:tcPr>
            <w:tcW w:w="640" w:type="dxa"/>
            <w:vAlign w:val="bottom"/>
            <w:tcBorders>
              <w:right w:val="single" w:sz="8" w:color="007CBA"/>
            </w:tcBorders>
            <w:shd w:val="clear" w:color="auto" w:fill="007CBA"/>
          </w:tcPr>
          <w:p>
            <w:pPr>
              <w:spacing w:after="0"/>
              <w:rPr>
                <w:sz w:val="14"/>
                <w:szCs w:val="14"/>
                <w:color w:val="auto"/>
              </w:rPr>
            </w:pPr>
          </w:p>
        </w:tc>
        <w:tc>
          <w:tcPr>
            <w:tcW w:w="62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tcBorders>
              <w:right w:val="single" w:sz="8" w:color="007CBA"/>
            </w:tcBorders>
            <w:shd w:val="clear" w:color="auto" w:fill="007CBA"/>
          </w:tcPr>
          <w:p>
            <w:pPr>
              <w:spacing w:after="0"/>
              <w:rPr>
                <w:sz w:val="12"/>
                <w:szCs w:val="12"/>
                <w:color w:val="auto"/>
              </w:rPr>
            </w:pPr>
          </w:p>
        </w:tc>
        <w:tc>
          <w:tcPr>
            <w:tcW w:w="680" w:type="dxa"/>
            <w:vAlign w:val="bottom"/>
            <w:tcBorders>
              <w:right w:val="single" w:sz="8" w:color="007CBA"/>
            </w:tcBorders>
            <w:shd w:val="clear" w:color="auto" w:fill="007CBA"/>
          </w:tcPr>
          <w:p>
            <w:pPr>
              <w:spacing w:after="0"/>
              <w:rPr>
                <w:sz w:val="12"/>
                <w:szCs w:val="12"/>
                <w:color w:val="auto"/>
              </w:rPr>
            </w:pPr>
          </w:p>
        </w:tc>
        <w:tc>
          <w:tcPr>
            <w:tcW w:w="1340" w:type="dxa"/>
            <w:vAlign w:val="bottom"/>
            <w:gridSpan w:val="2"/>
            <w:shd w:val="clear" w:color="auto" w:fill="007CBA"/>
          </w:tcPr>
          <w:p>
            <w:pPr>
              <w:jc w:val="center"/>
              <w:ind w:left="629"/>
              <w:spacing w:after="0" w:line="149" w:lineRule="exact"/>
              <w:rPr>
                <w:sz w:val="20"/>
                <w:szCs w:val="20"/>
                <w:color w:val="auto"/>
              </w:rPr>
            </w:pPr>
            <w:r>
              <w:rPr>
                <w:rFonts w:ascii="Arial" w:cs="Arial" w:eastAsia="Arial" w:hAnsi="Arial"/>
                <w:sz w:val="14"/>
                <w:szCs w:val="14"/>
                <w:b w:val="1"/>
                <w:bCs w:val="1"/>
                <w:color w:val="FFFFFF"/>
                <w:w w:val="95"/>
              </w:rPr>
              <w:t>type of</w:t>
            </w:r>
          </w:p>
        </w:tc>
        <w:tc>
          <w:tcPr>
            <w:tcW w:w="720" w:type="dxa"/>
            <w:vAlign w:val="bottom"/>
            <w:tcBorders>
              <w:right w:val="single" w:sz="8" w:color="007CBA"/>
            </w:tcBorders>
            <w:shd w:val="clear" w:color="auto" w:fill="007CBA"/>
          </w:tcPr>
          <w:p>
            <w:pPr>
              <w:spacing w:after="0"/>
              <w:rPr>
                <w:sz w:val="12"/>
                <w:szCs w:val="12"/>
                <w:color w:val="auto"/>
              </w:rPr>
            </w:pPr>
          </w:p>
        </w:tc>
        <w:tc>
          <w:tcPr>
            <w:tcW w:w="1340" w:type="dxa"/>
            <w:vAlign w:val="bottom"/>
            <w:gridSpan w:val="2"/>
            <w:shd w:val="clear" w:color="auto" w:fill="007CBA"/>
          </w:tcPr>
          <w:p>
            <w:pPr>
              <w:jc w:val="center"/>
              <w:ind w:left="629"/>
              <w:spacing w:after="0" w:line="149" w:lineRule="exact"/>
              <w:rPr>
                <w:sz w:val="20"/>
                <w:szCs w:val="20"/>
                <w:color w:val="auto"/>
              </w:rPr>
            </w:pPr>
            <w:r>
              <w:rPr>
                <w:rFonts w:ascii="Arial" w:cs="Arial" w:eastAsia="Arial" w:hAnsi="Arial"/>
                <w:sz w:val="14"/>
                <w:szCs w:val="14"/>
                <w:b w:val="1"/>
                <w:bCs w:val="1"/>
                <w:color w:val="FFFFFF"/>
                <w:w w:val="95"/>
              </w:rPr>
              <w:t>type of</w:t>
            </w:r>
          </w:p>
        </w:tc>
        <w:tc>
          <w:tcPr>
            <w:tcW w:w="740" w:type="dxa"/>
            <w:vAlign w:val="bottom"/>
            <w:tcBorders>
              <w:right w:val="single" w:sz="8" w:color="007CBA"/>
            </w:tcBorders>
            <w:shd w:val="clear" w:color="auto" w:fill="007CBA"/>
          </w:tcPr>
          <w:p>
            <w:pPr>
              <w:spacing w:after="0"/>
              <w:rPr>
                <w:sz w:val="12"/>
                <w:szCs w:val="12"/>
                <w:color w:val="auto"/>
              </w:rPr>
            </w:pPr>
          </w:p>
        </w:tc>
        <w:tc>
          <w:tcPr>
            <w:tcW w:w="1980" w:type="dxa"/>
            <w:vAlign w:val="bottom"/>
            <w:tcBorders>
              <w:right w:val="single" w:sz="8" w:color="007CBA"/>
            </w:tcBorders>
            <w:gridSpan w:val="3"/>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7"/>
              </w:rPr>
              <w:t>Change in</w:t>
            </w:r>
          </w:p>
        </w:tc>
        <w:tc>
          <w:tcPr>
            <w:tcW w:w="1220" w:type="dxa"/>
            <w:vAlign w:val="bottom"/>
            <w:tcBorders>
              <w:right w:val="single" w:sz="8" w:color="007CBA"/>
            </w:tcBorders>
            <w:gridSpan w:val="2"/>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6"/>
              </w:rPr>
              <w:t>quarry, and</w:t>
            </w:r>
          </w:p>
        </w:tc>
        <w:tc>
          <w:tcPr>
            <w:tcW w:w="92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5"/>
              </w:rPr>
              <w:t>aggregate</w:t>
            </w:r>
          </w:p>
        </w:tc>
        <w:tc>
          <w:tcPr>
            <w:tcW w:w="1260" w:type="dxa"/>
            <w:vAlign w:val="bottom"/>
            <w:gridSpan w:val="2"/>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6"/>
              </w:rPr>
              <w:t>Percent of</w:t>
            </w:r>
          </w:p>
        </w:tc>
        <w:tc>
          <w:tcPr>
            <w:tcW w:w="0" w:type="dxa"/>
            <w:vAlign w:val="bottom"/>
          </w:tcPr>
          <w:p>
            <w:pPr>
              <w:spacing w:after="0"/>
              <w:rPr>
                <w:sz w:val="1"/>
                <w:szCs w:val="1"/>
                <w:color w:val="auto"/>
              </w:rPr>
            </w:pPr>
          </w:p>
        </w:tc>
      </w:tr>
      <w:tr>
        <w:trPr>
          <w:trHeight w:val="149"/>
        </w:trPr>
        <w:tc>
          <w:tcPr>
            <w:tcW w:w="1240" w:type="dxa"/>
            <w:vAlign w:val="bottom"/>
            <w:tcBorders>
              <w:right w:val="single" w:sz="8" w:color="007CBA"/>
            </w:tcBorders>
            <w:shd w:val="clear" w:color="auto" w:fill="007CBA"/>
          </w:tcPr>
          <w:p>
            <w:pPr>
              <w:spacing w:after="0"/>
              <w:rPr>
                <w:sz w:val="12"/>
                <w:szCs w:val="12"/>
                <w:color w:val="auto"/>
              </w:rPr>
            </w:pPr>
          </w:p>
        </w:tc>
        <w:tc>
          <w:tcPr>
            <w:tcW w:w="680" w:type="dxa"/>
            <w:vAlign w:val="bottom"/>
            <w:tcBorders>
              <w:right w:val="single" w:sz="8" w:color="007CBA"/>
            </w:tcBorders>
            <w:shd w:val="clear" w:color="auto" w:fill="007CBA"/>
          </w:tcPr>
          <w:p>
            <w:pPr>
              <w:jc w:val="center"/>
              <w:ind w:right="9"/>
              <w:spacing w:after="0" w:line="149" w:lineRule="exact"/>
              <w:rPr>
                <w:sz w:val="20"/>
                <w:szCs w:val="20"/>
                <w:color w:val="auto"/>
              </w:rPr>
            </w:pPr>
            <w:r>
              <w:rPr>
                <w:rFonts w:ascii="Arial" w:cs="Arial" w:eastAsia="Arial" w:hAnsi="Arial"/>
                <w:sz w:val="14"/>
                <w:szCs w:val="14"/>
                <w:b w:val="1"/>
                <w:bCs w:val="1"/>
                <w:color w:val="FFFFFF"/>
                <w:w w:val="98"/>
              </w:rPr>
              <w:t>Number</w:t>
            </w:r>
          </w:p>
        </w:tc>
        <w:tc>
          <w:tcPr>
            <w:tcW w:w="2060" w:type="dxa"/>
            <w:vAlign w:val="bottom"/>
            <w:tcBorders>
              <w:right w:val="single" w:sz="8" w:color="007CBA"/>
            </w:tcBorders>
            <w:gridSpan w:val="3"/>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6"/>
              </w:rPr>
              <w:t>aggregate at</w:t>
            </w:r>
          </w:p>
        </w:tc>
        <w:tc>
          <w:tcPr>
            <w:tcW w:w="2080" w:type="dxa"/>
            <w:vAlign w:val="bottom"/>
            <w:tcBorders>
              <w:right w:val="single" w:sz="8" w:color="007CBA"/>
            </w:tcBorders>
            <w:gridSpan w:val="3"/>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6"/>
              </w:rPr>
              <w:t>aggregate at</w:t>
            </w:r>
          </w:p>
        </w:tc>
        <w:tc>
          <w:tcPr>
            <w:tcW w:w="1260" w:type="dxa"/>
            <w:vAlign w:val="bottom"/>
            <w:gridSpan w:val="2"/>
            <w:shd w:val="clear" w:color="auto" w:fill="007CBA"/>
          </w:tcPr>
          <w:p>
            <w:pPr>
              <w:jc w:val="center"/>
              <w:ind w:left="609"/>
              <w:spacing w:after="0" w:line="149" w:lineRule="exact"/>
              <w:rPr>
                <w:sz w:val="20"/>
                <w:szCs w:val="20"/>
                <w:color w:val="auto"/>
              </w:rPr>
            </w:pPr>
            <w:r>
              <w:rPr>
                <w:rFonts w:ascii="Arial" w:cs="Arial" w:eastAsia="Arial" w:hAnsi="Arial"/>
                <w:sz w:val="14"/>
                <w:szCs w:val="14"/>
                <w:b w:val="1"/>
                <w:bCs w:val="1"/>
                <w:color w:val="FFFFFF"/>
                <w:w w:val="92"/>
              </w:rPr>
              <w:t>Tonnage</w:t>
            </w:r>
          </w:p>
        </w:tc>
        <w:tc>
          <w:tcPr>
            <w:tcW w:w="720" w:type="dxa"/>
            <w:vAlign w:val="bottom"/>
            <w:tcBorders>
              <w:right w:val="single" w:sz="8" w:color="007CBA"/>
            </w:tcBorders>
            <w:shd w:val="clear" w:color="auto" w:fill="007CBA"/>
          </w:tcPr>
          <w:p>
            <w:pPr>
              <w:spacing w:after="0"/>
              <w:rPr>
                <w:sz w:val="12"/>
                <w:szCs w:val="12"/>
                <w:color w:val="auto"/>
              </w:rPr>
            </w:pPr>
          </w:p>
        </w:tc>
        <w:tc>
          <w:tcPr>
            <w:tcW w:w="1220" w:type="dxa"/>
            <w:vAlign w:val="bottom"/>
            <w:tcBorders>
              <w:right w:val="single" w:sz="8" w:color="007CBA"/>
            </w:tcBorders>
            <w:gridSpan w:val="2"/>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8"/>
              </w:rPr>
              <w:t>reserves not</w:t>
            </w:r>
          </w:p>
        </w:tc>
        <w:tc>
          <w:tcPr>
            <w:tcW w:w="92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7"/>
              </w:rPr>
              <w:t>reserves</w:t>
            </w:r>
          </w:p>
        </w:tc>
        <w:tc>
          <w:tcPr>
            <w:tcW w:w="1260" w:type="dxa"/>
            <w:vAlign w:val="bottom"/>
            <w:gridSpan w:val="2"/>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7"/>
              </w:rPr>
              <w:t>reserves</w:t>
            </w:r>
          </w:p>
        </w:tc>
        <w:tc>
          <w:tcPr>
            <w:tcW w:w="0" w:type="dxa"/>
            <w:vAlign w:val="bottom"/>
          </w:tcPr>
          <w:p>
            <w:pPr>
              <w:spacing w:after="0"/>
              <w:rPr>
                <w:sz w:val="1"/>
                <w:szCs w:val="1"/>
                <w:color w:val="auto"/>
              </w:rPr>
            </w:pPr>
          </w:p>
        </w:tc>
      </w:tr>
      <w:tr>
        <w:trPr>
          <w:trHeight w:val="149"/>
        </w:trPr>
        <w:tc>
          <w:tcPr>
            <w:tcW w:w="1240" w:type="dxa"/>
            <w:vAlign w:val="bottom"/>
            <w:tcBorders>
              <w:right w:val="single" w:sz="8" w:color="007CBA"/>
            </w:tcBorders>
            <w:shd w:val="clear" w:color="auto" w:fill="007CBA"/>
          </w:tcPr>
          <w:p>
            <w:pPr>
              <w:spacing w:after="0"/>
              <w:rPr>
                <w:sz w:val="12"/>
                <w:szCs w:val="12"/>
                <w:color w:val="auto"/>
              </w:rPr>
            </w:pPr>
          </w:p>
        </w:tc>
        <w:tc>
          <w:tcPr>
            <w:tcW w:w="68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0"/>
              </w:rPr>
              <w:t>of</w:t>
            </w:r>
          </w:p>
        </w:tc>
        <w:tc>
          <w:tcPr>
            <w:tcW w:w="1340" w:type="dxa"/>
            <w:vAlign w:val="bottom"/>
            <w:gridSpan w:val="2"/>
            <w:shd w:val="clear" w:color="auto" w:fill="007CBA"/>
          </w:tcPr>
          <w:p>
            <w:pPr>
              <w:jc w:val="center"/>
              <w:ind w:left="629"/>
              <w:spacing w:after="0" w:line="149" w:lineRule="exact"/>
              <w:rPr>
                <w:sz w:val="20"/>
                <w:szCs w:val="20"/>
                <w:color w:val="auto"/>
              </w:rPr>
            </w:pPr>
            <w:r>
              <w:rPr>
                <w:rFonts w:ascii="Arial" w:cs="Arial" w:eastAsia="Arial" w:hAnsi="Arial"/>
                <w:sz w:val="14"/>
                <w:szCs w:val="14"/>
                <w:b w:val="1"/>
                <w:bCs w:val="1"/>
                <w:color w:val="FFFFFF"/>
                <w:w w:val="95"/>
              </w:rPr>
              <w:t>12/31/17</w:t>
            </w:r>
          </w:p>
        </w:tc>
        <w:tc>
          <w:tcPr>
            <w:tcW w:w="720" w:type="dxa"/>
            <w:vAlign w:val="bottom"/>
            <w:tcBorders>
              <w:right w:val="single" w:sz="8" w:color="007CBA"/>
            </w:tcBorders>
            <w:shd w:val="clear" w:color="auto" w:fill="007CBA"/>
          </w:tcPr>
          <w:p>
            <w:pPr>
              <w:spacing w:after="0"/>
              <w:rPr>
                <w:sz w:val="12"/>
                <w:szCs w:val="12"/>
                <w:color w:val="auto"/>
              </w:rPr>
            </w:pPr>
          </w:p>
        </w:tc>
        <w:tc>
          <w:tcPr>
            <w:tcW w:w="1340" w:type="dxa"/>
            <w:vAlign w:val="bottom"/>
            <w:gridSpan w:val="2"/>
            <w:shd w:val="clear" w:color="auto" w:fill="007CBA"/>
          </w:tcPr>
          <w:p>
            <w:pPr>
              <w:jc w:val="center"/>
              <w:ind w:left="629"/>
              <w:spacing w:after="0" w:line="149" w:lineRule="exact"/>
              <w:rPr>
                <w:sz w:val="20"/>
                <w:szCs w:val="20"/>
                <w:color w:val="auto"/>
              </w:rPr>
            </w:pPr>
            <w:r>
              <w:rPr>
                <w:rFonts w:ascii="Arial" w:cs="Arial" w:eastAsia="Arial" w:hAnsi="Arial"/>
                <w:sz w:val="14"/>
                <w:szCs w:val="14"/>
                <w:b w:val="1"/>
                <w:bCs w:val="1"/>
                <w:color w:val="FFFFFF"/>
                <w:w w:val="95"/>
              </w:rPr>
              <w:t>12/31/18</w:t>
            </w:r>
          </w:p>
        </w:tc>
        <w:tc>
          <w:tcPr>
            <w:tcW w:w="740" w:type="dxa"/>
            <w:vAlign w:val="bottom"/>
            <w:tcBorders>
              <w:right w:val="single" w:sz="8" w:color="007CBA"/>
            </w:tcBorders>
            <w:shd w:val="clear" w:color="auto" w:fill="007CBA"/>
          </w:tcPr>
          <w:p>
            <w:pPr>
              <w:spacing w:after="0"/>
              <w:rPr>
                <w:sz w:val="12"/>
                <w:szCs w:val="12"/>
                <w:color w:val="auto"/>
              </w:rPr>
            </w:pPr>
          </w:p>
        </w:tc>
        <w:tc>
          <w:tcPr>
            <w:tcW w:w="1980" w:type="dxa"/>
            <w:vAlign w:val="bottom"/>
            <w:tcBorders>
              <w:right w:val="single" w:sz="8" w:color="007CBA"/>
            </w:tcBorders>
            <w:gridSpan w:val="3"/>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3"/>
              </w:rPr>
              <w:t>from 2017</w:t>
            </w:r>
          </w:p>
        </w:tc>
        <w:tc>
          <w:tcPr>
            <w:tcW w:w="1220" w:type="dxa"/>
            <w:vAlign w:val="bottom"/>
            <w:tcBorders>
              <w:right w:val="single" w:sz="8" w:color="007CBA"/>
            </w:tcBorders>
            <w:gridSpan w:val="2"/>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5"/>
              </w:rPr>
              <w:t>located at an</w:t>
            </w:r>
          </w:p>
        </w:tc>
        <w:tc>
          <w:tcPr>
            <w:tcW w:w="92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6"/>
              </w:rPr>
              <w:t>on land</w:t>
            </w:r>
          </w:p>
        </w:tc>
        <w:tc>
          <w:tcPr>
            <w:tcW w:w="1260" w:type="dxa"/>
            <w:vAlign w:val="bottom"/>
            <w:gridSpan w:val="2"/>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5"/>
              </w:rPr>
              <w:t>owned and</w:t>
            </w:r>
          </w:p>
        </w:tc>
        <w:tc>
          <w:tcPr>
            <w:tcW w:w="0" w:type="dxa"/>
            <w:vAlign w:val="bottom"/>
          </w:tcPr>
          <w:p>
            <w:pPr>
              <w:spacing w:after="0"/>
              <w:rPr>
                <w:sz w:val="1"/>
                <w:szCs w:val="1"/>
                <w:color w:val="auto"/>
              </w:rPr>
            </w:pPr>
          </w:p>
        </w:tc>
      </w:tr>
      <w:tr>
        <w:trPr>
          <w:trHeight w:val="134"/>
        </w:trPr>
        <w:tc>
          <w:tcPr>
            <w:tcW w:w="1240" w:type="dxa"/>
            <w:vAlign w:val="bottom"/>
            <w:tcBorders>
              <w:right w:val="single" w:sz="8" w:color="007CBA"/>
            </w:tcBorders>
            <w:shd w:val="clear" w:color="auto" w:fill="007CBA"/>
          </w:tcPr>
          <w:p>
            <w:pPr>
              <w:spacing w:after="0"/>
              <w:rPr>
                <w:sz w:val="11"/>
                <w:szCs w:val="11"/>
                <w:color w:val="auto"/>
              </w:rPr>
            </w:pPr>
          </w:p>
        </w:tc>
        <w:tc>
          <w:tcPr>
            <w:tcW w:w="68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w w:val="95"/>
              </w:rPr>
              <w:t>Producing</w:t>
            </w:r>
          </w:p>
        </w:tc>
        <w:tc>
          <w:tcPr>
            <w:tcW w:w="1340" w:type="dxa"/>
            <w:vAlign w:val="bottom"/>
            <w:gridSpan w:val="2"/>
            <w:vMerge w:val="restart"/>
            <w:shd w:val="clear" w:color="auto" w:fill="007CBA"/>
          </w:tcPr>
          <w:p>
            <w:pPr>
              <w:jc w:val="center"/>
              <w:ind w:left="629"/>
              <w:spacing w:after="0"/>
              <w:rPr>
                <w:sz w:val="20"/>
                <w:szCs w:val="20"/>
                <w:color w:val="auto"/>
              </w:rPr>
            </w:pPr>
            <w:r>
              <w:rPr>
                <w:rFonts w:ascii="Arial" w:cs="Arial" w:eastAsia="Arial" w:hAnsi="Arial"/>
                <w:sz w:val="14"/>
                <w:szCs w:val="14"/>
                <w:b w:val="1"/>
                <w:bCs w:val="1"/>
                <w:color w:val="FFFFFF"/>
                <w:w w:val="93"/>
              </w:rPr>
              <w:t>(Add 000)</w:t>
            </w:r>
          </w:p>
        </w:tc>
        <w:tc>
          <w:tcPr>
            <w:tcW w:w="720" w:type="dxa"/>
            <w:vAlign w:val="bottom"/>
            <w:tcBorders>
              <w:right w:val="single" w:sz="8" w:color="007CBA"/>
            </w:tcBorders>
            <w:shd w:val="clear" w:color="auto" w:fill="007CBA"/>
          </w:tcPr>
          <w:p>
            <w:pPr>
              <w:spacing w:after="0"/>
              <w:rPr>
                <w:sz w:val="11"/>
                <w:szCs w:val="11"/>
                <w:color w:val="auto"/>
              </w:rPr>
            </w:pPr>
          </w:p>
        </w:tc>
        <w:tc>
          <w:tcPr>
            <w:tcW w:w="1340" w:type="dxa"/>
            <w:vAlign w:val="bottom"/>
            <w:gridSpan w:val="2"/>
            <w:vMerge w:val="restart"/>
            <w:shd w:val="clear" w:color="auto" w:fill="007CBA"/>
          </w:tcPr>
          <w:p>
            <w:pPr>
              <w:jc w:val="center"/>
              <w:ind w:left="649"/>
              <w:spacing w:after="0"/>
              <w:rPr>
                <w:sz w:val="20"/>
                <w:szCs w:val="20"/>
                <w:color w:val="auto"/>
              </w:rPr>
            </w:pPr>
            <w:r>
              <w:rPr>
                <w:rFonts w:ascii="Arial" w:cs="Arial" w:eastAsia="Arial" w:hAnsi="Arial"/>
                <w:sz w:val="14"/>
                <w:szCs w:val="14"/>
                <w:b w:val="1"/>
                <w:bCs w:val="1"/>
                <w:color w:val="FFFFFF"/>
                <w:w w:val="97"/>
              </w:rPr>
              <w:t>(Add 000)</w:t>
            </w:r>
          </w:p>
        </w:tc>
        <w:tc>
          <w:tcPr>
            <w:tcW w:w="740" w:type="dxa"/>
            <w:vAlign w:val="bottom"/>
            <w:tcBorders>
              <w:right w:val="single" w:sz="8" w:color="007CBA"/>
            </w:tcBorders>
            <w:shd w:val="clear" w:color="auto" w:fill="007CBA"/>
          </w:tcPr>
          <w:p>
            <w:pPr>
              <w:spacing w:after="0"/>
              <w:rPr>
                <w:sz w:val="11"/>
                <w:szCs w:val="11"/>
                <w:color w:val="auto"/>
              </w:rPr>
            </w:pPr>
          </w:p>
        </w:tc>
        <w:tc>
          <w:tcPr>
            <w:tcW w:w="1980" w:type="dxa"/>
            <w:vAlign w:val="bottom"/>
            <w:tcBorders>
              <w:right w:val="single" w:sz="8" w:color="007CBA"/>
            </w:tcBorders>
            <w:gridSpan w:val="3"/>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w w:val="97"/>
              </w:rPr>
              <w:t>(Add 000)</w:t>
            </w:r>
          </w:p>
        </w:tc>
        <w:tc>
          <w:tcPr>
            <w:tcW w:w="1220" w:type="dxa"/>
            <w:vAlign w:val="bottom"/>
            <w:tcBorders>
              <w:right w:val="single" w:sz="8" w:color="007CBA"/>
            </w:tcBorders>
            <w:gridSpan w:val="2"/>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w w:val="94"/>
              </w:rPr>
              <w:t>existing</w:t>
            </w:r>
          </w:p>
        </w:tc>
        <w:tc>
          <w:tcPr>
            <w:tcW w:w="92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w w:val="96"/>
              </w:rPr>
              <w:t>that has</w:t>
            </w:r>
          </w:p>
        </w:tc>
        <w:tc>
          <w:tcPr>
            <w:tcW w:w="1260" w:type="dxa"/>
            <w:vAlign w:val="bottom"/>
            <w:gridSpan w:val="2"/>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w w:val="94"/>
              </w:rPr>
              <w:t>percent</w:t>
            </w:r>
          </w:p>
        </w:tc>
        <w:tc>
          <w:tcPr>
            <w:tcW w:w="0" w:type="dxa"/>
            <w:vAlign w:val="bottom"/>
          </w:tcPr>
          <w:p>
            <w:pPr>
              <w:spacing w:after="0"/>
              <w:rPr>
                <w:sz w:val="1"/>
                <w:szCs w:val="1"/>
                <w:color w:val="auto"/>
              </w:rPr>
            </w:pPr>
          </w:p>
        </w:tc>
      </w:tr>
      <w:tr>
        <w:trPr>
          <w:trHeight w:val="173"/>
        </w:trPr>
        <w:tc>
          <w:tcPr>
            <w:tcW w:w="1240" w:type="dxa"/>
            <w:vAlign w:val="bottom"/>
            <w:tcBorders>
              <w:right w:val="single" w:sz="8" w:color="007CBA"/>
            </w:tcBorders>
            <w:shd w:val="clear" w:color="auto" w:fill="007CBA"/>
          </w:tcPr>
          <w:p>
            <w:pPr>
              <w:spacing w:after="0"/>
              <w:rPr>
                <w:sz w:val="15"/>
                <w:szCs w:val="15"/>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7"/>
              </w:rPr>
              <w:t>Quarries</w:t>
            </w:r>
          </w:p>
        </w:tc>
        <w:tc>
          <w:tcPr>
            <w:tcW w:w="1340" w:type="dxa"/>
            <w:vAlign w:val="bottom"/>
            <w:gridSpan w:val="2"/>
            <w:vMerge w:val="continue"/>
            <w:shd w:val="clear" w:color="auto" w:fill="007CBA"/>
          </w:tcPr>
          <w:p>
            <w:pPr>
              <w:spacing w:after="0"/>
              <w:rPr>
                <w:sz w:val="15"/>
                <w:szCs w:val="15"/>
                <w:color w:val="auto"/>
              </w:rPr>
            </w:pPr>
          </w:p>
        </w:tc>
        <w:tc>
          <w:tcPr>
            <w:tcW w:w="720" w:type="dxa"/>
            <w:vAlign w:val="bottom"/>
            <w:tcBorders>
              <w:right w:val="single" w:sz="8" w:color="007CBA"/>
            </w:tcBorders>
            <w:shd w:val="clear" w:color="auto" w:fill="007CBA"/>
          </w:tcPr>
          <w:p>
            <w:pPr>
              <w:spacing w:after="0"/>
              <w:rPr>
                <w:sz w:val="15"/>
                <w:szCs w:val="15"/>
                <w:color w:val="auto"/>
              </w:rPr>
            </w:pPr>
          </w:p>
        </w:tc>
        <w:tc>
          <w:tcPr>
            <w:tcW w:w="1340" w:type="dxa"/>
            <w:vAlign w:val="bottom"/>
            <w:gridSpan w:val="2"/>
            <w:vMerge w:val="continue"/>
            <w:shd w:val="clear" w:color="auto" w:fill="007CBA"/>
          </w:tcPr>
          <w:p>
            <w:pPr>
              <w:spacing w:after="0"/>
              <w:rPr>
                <w:sz w:val="15"/>
                <w:szCs w:val="15"/>
                <w:color w:val="auto"/>
              </w:rPr>
            </w:pPr>
          </w:p>
        </w:tc>
        <w:tc>
          <w:tcPr>
            <w:tcW w:w="740" w:type="dxa"/>
            <w:vAlign w:val="bottom"/>
            <w:tcBorders>
              <w:right w:val="single" w:sz="8" w:color="007CBA"/>
            </w:tcBorders>
            <w:shd w:val="clear" w:color="auto" w:fill="007CBA"/>
          </w:tcPr>
          <w:p>
            <w:pPr>
              <w:spacing w:after="0"/>
              <w:rPr>
                <w:sz w:val="15"/>
                <w:szCs w:val="15"/>
                <w:color w:val="auto"/>
              </w:rPr>
            </w:pPr>
          </w:p>
        </w:tc>
        <w:tc>
          <w:tcPr>
            <w:tcW w:w="1980" w:type="dxa"/>
            <w:vAlign w:val="bottom"/>
            <w:tcBorders>
              <w:right w:val="single" w:sz="8" w:color="007CBA"/>
            </w:tcBorders>
            <w:gridSpan w:val="3"/>
            <w:vMerge w:val="continue"/>
            <w:shd w:val="clear" w:color="auto" w:fill="007CBA"/>
          </w:tcPr>
          <w:p>
            <w:pPr>
              <w:spacing w:after="0"/>
              <w:rPr>
                <w:sz w:val="15"/>
                <w:szCs w:val="15"/>
                <w:color w:val="auto"/>
              </w:rPr>
            </w:pPr>
          </w:p>
        </w:tc>
        <w:tc>
          <w:tcPr>
            <w:tcW w:w="122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4"/>
                <w:szCs w:val="14"/>
                <w:b w:val="1"/>
                <w:bCs w:val="1"/>
                <w:color w:val="FFFFFF"/>
                <w:w w:val="96"/>
              </w:rPr>
              <w:t>quarry.</w:t>
            </w:r>
          </w:p>
        </w:tc>
        <w:tc>
          <w:tcPr>
            <w:tcW w:w="9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5"/>
              </w:rPr>
              <w:t>not been</w:t>
            </w:r>
          </w:p>
        </w:tc>
        <w:tc>
          <w:tcPr>
            <w:tcW w:w="1260" w:type="dxa"/>
            <w:vAlign w:val="bottom"/>
            <w:gridSpan w:val="2"/>
            <w:shd w:val="clear" w:color="auto" w:fill="007CBA"/>
          </w:tcPr>
          <w:p>
            <w:pPr>
              <w:jc w:val="center"/>
              <w:spacing w:after="0"/>
              <w:rPr>
                <w:sz w:val="20"/>
                <w:szCs w:val="20"/>
                <w:color w:val="auto"/>
              </w:rPr>
            </w:pPr>
            <w:r>
              <w:rPr>
                <w:rFonts w:ascii="Arial" w:cs="Arial" w:eastAsia="Arial" w:hAnsi="Arial"/>
                <w:sz w:val="14"/>
                <w:szCs w:val="14"/>
                <w:b w:val="1"/>
                <w:bCs w:val="1"/>
                <w:color w:val="FFFFFF"/>
                <w:w w:val="96"/>
              </w:rPr>
              <w:t>leased</w:t>
            </w:r>
          </w:p>
        </w:tc>
        <w:tc>
          <w:tcPr>
            <w:tcW w:w="0" w:type="dxa"/>
            <w:vAlign w:val="bottom"/>
          </w:tcPr>
          <w:p>
            <w:pPr>
              <w:spacing w:after="0"/>
              <w:rPr>
                <w:sz w:val="1"/>
                <w:szCs w:val="1"/>
                <w:color w:val="auto"/>
              </w:rPr>
            </w:pPr>
          </w:p>
        </w:tc>
      </w:tr>
      <w:tr>
        <w:trPr>
          <w:trHeight w:val="149"/>
        </w:trPr>
        <w:tc>
          <w:tcPr>
            <w:tcW w:w="1240" w:type="dxa"/>
            <w:vAlign w:val="bottom"/>
            <w:tcBorders>
              <w:right w:val="single" w:sz="8" w:color="007CBA"/>
            </w:tcBorders>
            <w:shd w:val="clear" w:color="auto" w:fill="007CBA"/>
          </w:tcPr>
          <w:p>
            <w:pPr>
              <w:spacing w:after="0"/>
              <w:rPr>
                <w:sz w:val="12"/>
                <w:szCs w:val="12"/>
                <w:color w:val="auto"/>
              </w:rPr>
            </w:pPr>
          </w:p>
        </w:tc>
        <w:tc>
          <w:tcPr>
            <w:tcW w:w="680" w:type="dxa"/>
            <w:vAlign w:val="bottom"/>
            <w:tcBorders>
              <w:right w:val="single" w:sz="8" w:color="007CBA"/>
            </w:tcBorders>
            <w:shd w:val="clear" w:color="auto" w:fill="007CBA"/>
          </w:tcPr>
          <w:p>
            <w:pPr>
              <w:spacing w:after="0"/>
              <w:rPr>
                <w:sz w:val="12"/>
                <w:szCs w:val="12"/>
                <w:color w:val="auto"/>
              </w:rPr>
            </w:pPr>
          </w:p>
        </w:tc>
        <w:tc>
          <w:tcPr>
            <w:tcW w:w="1340" w:type="dxa"/>
            <w:vAlign w:val="bottom"/>
            <w:gridSpan w:val="2"/>
            <w:shd w:val="clear" w:color="auto" w:fill="007CBA"/>
          </w:tcPr>
          <w:p>
            <w:pPr>
              <w:ind w:left="400"/>
              <w:spacing w:after="0" w:line="149" w:lineRule="exact"/>
              <w:rPr>
                <w:sz w:val="20"/>
                <w:szCs w:val="20"/>
                <w:color w:val="auto"/>
              </w:rPr>
            </w:pPr>
            <w:r>
              <w:rPr>
                <w:rFonts w:ascii="Arial" w:cs="Arial" w:eastAsia="Arial" w:hAnsi="Arial"/>
                <w:sz w:val="14"/>
                <w:szCs w:val="14"/>
                <w:b w:val="1"/>
                <w:bCs w:val="1"/>
                <w:color w:val="FFFFFF"/>
              </w:rPr>
              <w:t>Hard</w:t>
            </w:r>
          </w:p>
        </w:tc>
        <w:tc>
          <w:tcPr>
            <w:tcW w:w="720" w:type="dxa"/>
            <w:vAlign w:val="bottom"/>
            <w:tcBorders>
              <w:right w:val="single" w:sz="8" w:color="007CBA"/>
            </w:tcBorders>
            <w:shd w:val="clear" w:color="auto" w:fill="007CBA"/>
          </w:tcPr>
          <w:p>
            <w:pPr>
              <w:spacing w:after="0"/>
              <w:rPr>
                <w:sz w:val="12"/>
                <w:szCs w:val="12"/>
                <w:color w:val="auto"/>
              </w:rPr>
            </w:pPr>
          </w:p>
        </w:tc>
        <w:tc>
          <w:tcPr>
            <w:tcW w:w="1340" w:type="dxa"/>
            <w:vAlign w:val="bottom"/>
            <w:gridSpan w:val="2"/>
            <w:shd w:val="clear" w:color="auto" w:fill="007CBA"/>
          </w:tcPr>
          <w:p>
            <w:pPr>
              <w:ind w:left="400"/>
              <w:spacing w:after="0" w:line="149" w:lineRule="exact"/>
              <w:rPr>
                <w:sz w:val="20"/>
                <w:szCs w:val="20"/>
                <w:color w:val="auto"/>
              </w:rPr>
            </w:pPr>
            <w:r>
              <w:rPr>
                <w:rFonts w:ascii="Arial" w:cs="Arial" w:eastAsia="Arial" w:hAnsi="Arial"/>
                <w:sz w:val="14"/>
                <w:szCs w:val="14"/>
                <w:b w:val="1"/>
                <w:bCs w:val="1"/>
                <w:color w:val="FFFFFF"/>
              </w:rPr>
              <w:t>Hard</w:t>
            </w:r>
          </w:p>
        </w:tc>
        <w:tc>
          <w:tcPr>
            <w:tcW w:w="740" w:type="dxa"/>
            <w:vAlign w:val="bottom"/>
            <w:tcBorders>
              <w:right w:val="single" w:sz="8" w:color="007CBA"/>
            </w:tcBorders>
            <w:shd w:val="clear" w:color="auto" w:fill="007CBA"/>
          </w:tcPr>
          <w:p>
            <w:pPr>
              <w:spacing w:after="0"/>
              <w:rPr>
                <w:sz w:val="12"/>
                <w:szCs w:val="12"/>
                <w:color w:val="auto"/>
              </w:rPr>
            </w:pPr>
          </w:p>
        </w:tc>
        <w:tc>
          <w:tcPr>
            <w:tcW w:w="1260" w:type="dxa"/>
            <w:vAlign w:val="bottom"/>
            <w:gridSpan w:val="2"/>
            <w:shd w:val="clear" w:color="auto" w:fill="007CBA"/>
          </w:tcPr>
          <w:p>
            <w:pPr>
              <w:ind w:left="360"/>
              <w:spacing w:after="0" w:line="149" w:lineRule="exact"/>
              <w:rPr>
                <w:sz w:val="20"/>
                <w:szCs w:val="20"/>
                <w:color w:val="auto"/>
              </w:rPr>
            </w:pPr>
            <w:r>
              <w:rPr>
                <w:rFonts w:ascii="Arial" w:cs="Arial" w:eastAsia="Arial" w:hAnsi="Arial"/>
                <w:sz w:val="14"/>
                <w:szCs w:val="14"/>
                <w:b w:val="1"/>
                <w:bCs w:val="1"/>
                <w:color w:val="FFFFFF"/>
              </w:rPr>
              <w:t>Hard</w:t>
            </w:r>
          </w:p>
        </w:tc>
        <w:tc>
          <w:tcPr>
            <w:tcW w:w="720" w:type="dxa"/>
            <w:vAlign w:val="bottom"/>
            <w:tcBorders>
              <w:right w:val="single" w:sz="8" w:color="007CBA"/>
            </w:tcBorders>
            <w:shd w:val="clear" w:color="auto" w:fill="007CBA"/>
          </w:tcPr>
          <w:p>
            <w:pPr>
              <w:spacing w:after="0"/>
              <w:rPr>
                <w:sz w:val="12"/>
                <w:szCs w:val="12"/>
                <w:color w:val="auto"/>
              </w:rPr>
            </w:pPr>
          </w:p>
        </w:tc>
        <w:tc>
          <w:tcPr>
            <w:tcW w:w="640" w:type="dxa"/>
            <w:vAlign w:val="bottom"/>
            <w:tcBorders>
              <w:right w:val="single" w:sz="8" w:color="007CBA"/>
            </w:tcBorders>
            <w:shd w:val="clear" w:color="auto" w:fill="007CBA"/>
          </w:tcPr>
          <w:p>
            <w:pPr>
              <w:jc w:val="right"/>
              <w:ind w:right="189"/>
              <w:spacing w:after="0" w:line="149" w:lineRule="exact"/>
              <w:rPr>
                <w:sz w:val="20"/>
                <w:szCs w:val="20"/>
                <w:color w:val="auto"/>
              </w:rPr>
            </w:pPr>
            <w:r>
              <w:rPr>
                <w:rFonts w:ascii="Arial" w:cs="Arial" w:eastAsia="Arial" w:hAnsi="Arial"/>
                <w:sz w:val="14"/>
                <w:szCs w:val="14"/>
                <w:b w:val="1"/>
                <w:bCs w:val="1"/>
                <w:color w:val="FFFFFF"/>
              </w:rPr>
              <w:t>At</w:t>
            </w:r>
          </w:p>
        </w:tc>
        <w:tc>
          <w:tcPr>
            <w:tcW w:w="580" w:type="dxa"/>
            <w:vAlign w:val="bottom"/>
            <w:tcBorders>
              <w:right w:val="single" w:sz="8" w:color="007CBA"/>
            </w:tcBorders>
            <w:shd w:val="clear" w:color="auto" w:fill="007CBA"/>
          </w:tcPr>
          <w:p>
            <w:pPr>
              <w:jc w:val="right"/>
              <w:ind w:right="48"/>
              <w:spacing w:after="0" w:line="149" w:lineRule="exact"/>
              <w:rPr>
                <w:sz w:val="20"/>
                <w:szCs w:val="20"/>
                <w:color w:val="auto"/>
              </w:rPr>
            </w:pPr>
            <w:r>
              <w:rPr>
                <w:rFonts w:ascii="Arial" w:cs="Arial" w:eastAsia="Arial" w:hAnsi="Arial"/>
                <w:sz w:val="14"/>
                <w:szCs w:val="14"/>
                <w:b w:val="1"/>
                <w:bCs w:val="1"/>
                <w:color w:val="FFFFFF"/>
              </w:rPr>
              <w:t>Not at</w:t>
            </w:r>
          </w:p>
        </w:tc>
        <w:tc>
          <w:tcPr>
            <w:tcW w:w="920" w:type="dxa"/>
            <w:vAlign w:val="bottom"/>
            <w:tcBorders>
              <w:right w:val="single" w:sz="8" w:color="007CBA"/>
            </w:tcBorders>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5"/>
              </w:rPr>
              <w:t>zoned for</w:t>
            </w:r>
          </w:p>
        </w:tc>
        <w:tc>
          <w:tcPr>
            <w:tcW w:w="640" w:type="dxa"/>
            <w:vAlign w:val="bottom"/>
            <w:tcBorders>
              <w:right w:val="single" w:sz="8" w:color="007CBA"/>
            </w:tcBorders>
            <w:shd w:val="clear" w:color="auto" w:fill="007CBA"/>
          </w:tcPr>
          <w:p>
            <w:pPr>
              <w:spacing w:after="0"/>
              <w:rPr>
                <w:sz w:val="12"/>
                <w:szCs w:val="12"/>
                <w:color w:val="auto"/>
              </w:rPr>
            </w:pPr>
          </w:p>
        </w:tc>
        <w:tc>
          <w:tcPr>
            <w:tcW w:w="62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State</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6"/>
              </w:rPr>
              <w:t>2018</w:t>
            </w:r>
          </w:p>
        </w:tc>
        <w:tc>
          <w:tcPr>
            <w:tcW w:w="1340" w:type="dxa"/>
            <w:vAlign w:val="bottom"/>
            <w:gridSpan w:val="2"/>
            <w:shd w:val="clear" w:color="auto" w:fill="007CBA"/>
          </w:tcPr>
          <w:p>
            <w:pPr>
              <w:ind w:left="380"/>
              <w:spacing w:after="0"/>
              <w:rPr>
                <w:sz w:val="20"/>
                <w:szCs w:val="20"/>
                <w:color w:val="auto"/>
              </w:rPr>
            </w:pPr>
            <w:r>
              <w:rPr>
                <w:rFonts w:ascii="Arial" w:cs="Arial" w:eastAsia="Arial" w:hAnsi="Arial"/>
                <w:sz w:val="14"/>
                <w:szCs w:val="14"/>
                <w:b w:val="1"/>
                <w:bCs w:val="1"/>
                <w:color w:val="FFFFFF"/>
              </w:rPr>
              <w:t>Rock</w:t>
            </w:r>
          </w:p>
        </w:tc>
        <w:tc>
          <w:tcPr>
            <w:tcW w:w="720" w:type="dxa"/>
            <w:vAlign w:val="bottom"/>
            <w:tcBorders>
              <w:right w:val="single" w:sz="8" w:color="007CBA"/>
            </w:tcBorders>
            <w:shd w:val="clear" w:color="auto" w:fill="007CBA"/>
          </w:tcPr>
          <w:p>
            <w:pPr>
              <w:jc w:val="right"/>
              <w:ind w:right="228"/>
              <w:spacing w:after="0"/>
              <w:rPr>
                <w:sz w:val="20"/>
                <w:szCs w:val="20"/>
                <w:color w:val="auto"/>
              </w:rPr>
            </w:pPr>
            <w:r>
              <w:rPr>
                <w:rFonts w:ascii="Arial" w:cs="Arial" w:eastAsia="Arial" w:hAnsi="Arial"/>
                <w:sz w:val="14"/>
                <w:szCs w:val="14"/>
                <w:b w:val="1"/>
                <w:bCs w:val="1"/>
                <w:color w:val="FFFFFF"/>
              </w:rPr>
              <w:t>S &amp; G</w:t>
            </w:r>
          </w:p>
        </w:tc>
        <w:tc>
          <w:tcPr>
            <w:tcW w:w="1340" w:type="dxa"/>
            <w:vAlign w:val="bottom"/>
            <w:gridSpan w:val="2"/>
            <w:shd w:val="clear" w:color="auto" w:fill="007CBA"/>
          </w:tcPr>
          <w:p>
            <w:pPr>
              <w:ind w:left="400"/>
              <w:spacing w:after="0"/>
              <w:rPr>
                <w:sz w:val="20"/>
                <w:szCs w:val="20"/>
                <w:color w:val="auto"/>
              </w:rPr>
            </w:pPr>
            <w:r>
              <w:rPr>
                <w:rFonts w:ascii="Arial" w:cs="Arial" w:eastAsia="Arial" w:hAnsi="Arial"/>
                <w:sz w:val="14"/>
                <w:szCs w:val="14"/>
                <w:b w:val="1"/>
                <w:bCs w:val="1"/>
                <w:color w:val="FFFFFF"/>
              </w:rPr>
              <w:t>Rock</w:t>
            </w:r>
          </w:p>
        </w:tc>
        <w:tc>
          <w:tcPr>
            <w:tcW w:w="740" w:type="dxa"/>
            <w:vAlign w:val="bottom"/>
            <w:tcBorders>
              <w:right w:val="single" w:sz="8" w:color="007CBA"/>
            </w:tcBorders>
            <w:shd w:val="clear" w:color="auto" w:fill="007CBA"/>
          </w:tcPr>
          <w:p>
            <w:pPr>
              <w:jc w:val="right"/>
              <w:ind w:right="228"/>
              <w:spacing w:after="0"/>
              <w:rPr>
                <w:sz w:val="20"/>
                <w:szCs w:val="20"/>
                <w:color w:val="auto"/>
              </w:rPr>
            </w:pPr>
            <w:r>
              <w:rPr>
                <w:rFonts w:ascii="Arial" w:cs="Arial" w:eastAsia="Arial" w:hAnsi="Arial"/>
                <w:sz w:val="14"/>
                <w:szCs w:val="14"/>
                <w:b w:val="1"/>
                <w:bCs w:val="1"/>
                <w:color w:val="FFFFFF"/>
              </w:rPr>
              <w:t>S &amp; G</w:t>
            </w:r>
          </w:p>
        </w:tc>
        <w:tc>
          <w:tcPr>
            <w:tcW w:w="1260" w:type="dxa"/>
            <w:vAlign w:val="bottom"/>
            <w:gridSpan w:val="2"/>
            <w:shd w:val="clear" w:color="auto" w:fill="007CBA"/>
          </w:tcPr>
          <w:p>
            <w:pPr>
              <w:ind w:left="340"/>
              <w:spacing w:after="0"/>
              <w:rPr>
                <w:sz w:val="20"/>
                <w:szCs w:val="20"/>
                <w:color w:val="auto"/>
              </w:rPr>
            </w:pPr>
            <w:r>
              <w:rPr>
                <w:rFonts w:ascii="Arial" w:cs="Arial" w:eastAsia="Arial" w:hAnsi="Arial"/>
                <w:sz w:val="14"/>
                <w:szCs w:val="14"/>
                <w:b w:val="1"/>
                <w:bCs w:val="1"/>
                <w:color w:val="FFFFFF"/>
              </w:rPr>
              <w:t>Rock</w:t>
            </w:r>
          </w:p>
        </w:tc>
        <w:tc>
          <w:tcPr>
            <w:tcW w:w="720" w:type="dxa"/>
            <w:vAlign w:val="bottom"/>
            <w:tcBorders>
              <w:right w:val="single" w:sz="8" w:color="007CBA"/>
            </w:tcBorders>
            <w:shd w:val="clear" w:color="auto" w:fill="007CBA"/>
          </w:tcPr>
          <w:p>
            <w:pPr>
              <w:jc w:val="right"/>
              <w:ind w:right="228"/>
              <w:spacing w:after="0"/>
              <w:rPr>
                <w:sz w:val="20"/>
                <w:szCs w:val="20"/>
                <w:color w:val="auto"/>
              </w:rPr>
            </w:pPr>
            <w:r>
              <w:rPr>
                <w:rFonts w:ascii="Arial" w:cs="Arial" w:eastAsia="Arial" w:hAnsi="Arial"/>
                <w:sz w:val="14"/>
                <w:szCs w:val="14"/>
                <w:b w:val="1"/>
                <w:bCs w:val="1"/>
                <w:color w:val="FFFFFF"/>
              </w:rPr>
              <w:t>S &amp; G</w:t>
            </w:r>
          </w:p>
        </w:tc>
        <w:tc>
          <w:tcPr>
            <w:tcW w:w="640" w:type="dxa"/>
            <w:vAlign w:val="bottom"/>
            <w:tcBorders>
              <w:right w:val="single" w:sz="8" w:color="007CBA"/>
            </w:tcBorders>
            <w:shd w:val="clear" w:color="auto" w:fill="007CBA"/>
          </w:tcPr>
          <w:p>
            <w:pPr>
              <w:jc w:val="right"/>
              <w:ind w:right="49"/>
              <w:spacing w:after="0"/>
              <w:rPr>
                <w:sz w:val="20"/>
                <w:szCs w:val="20"/>
                <w:color w:val="auto"/>
              </w:rPr>
            </w:pPr>
            <w:r>
              <w:rPr>
                <w:rFonts w:ascii="Arial" w:cs="Arial" w:eastAsia="Arial" w:hAnsi="Arial"/>
                <w:sz w:val="14"/>
                <w:szCs w:val="14"/>
                <w:b w:val="1"/>
                <w:bCs w:val="1"/>
                <w:color w:val="FFFFFF"/>
              </w:rPr>
              <w:t>Quarry</w:t>
            </w:r>
          </w:p>
        </w:tc>
        <w:tc>
          <w:tcPr>
            <w:tcW w:w="580" w:type="dxa"/>
            <w:vAlign w:val="bottom"/>
            <w:tcBorders>
              <w:right w:val="single" w:sz="8" w:color="007CBA"/>
            </w:tcBorders>
            <w:shd w:val="clear" w:color="auto" w:fill="007CBA"/>
          </w:tcPr>
          <w:p>
            <w:pPr>
              <w:jc w:val="right"/>
              <w:ind w:right="8"/>
              <w:spacing w:after="0"/>
              <w:rPr>
                <w:sz w:val="20"/>
                <w:szCs w:val="20"/>
                <w:color w:val="auto"/>
              </w:rPr>
            </w:pPr>
            <w:r>
              <w:rPr>
                <w:rFonts w:ascii="Arial" w:cs="Arial" w:eastAsia="Arial" w:hAnsi="Arial"/>
                <w:sz w:val="14"/>
                <w:szCs w:val="14"/>
                <w:b w:val="1"/>
                <w:bCs w:val="1"/>
                <w:color w:val="FFFFFF"/>
              </w:rPr>
              <w:t>Quarry</w:t>
            </w:r>
          </w:p>
        </w:tc>
        <w:tc>
          <w:tcPr>
            <w:tcW w:w="9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6"/>
              </w:rPr>
              <w:t>quarrying.***</w:t>
            </w:r>
          </w:p>
        </w:tc>
        <w:tc>
          <w:tcPr>
            <w:tcW w:w="640" w:type="dxa"/>
            <w:vAlign w:val="bottom"/>
            <w:tcBorders>
              <w:right w:val="single" w:sz="8" w:color="007CBA"/>
            </w:tcBorders>
            <w:shd w:val="clear" w:color="auto" w:fill="007CBA"/>
          </w:tcPr>
          <w:p>
            <w:pPr>
              <w:jc w:val="right"/>
              <w:ind w:right="9"/>
              <w:spacing w:after="0"/>
              <w:rPr>
                <w:sz w:val="20"/>
                <w:szCs w:val="20"/>
                <w:color w:val="auto"/>
              </w:rPr>
            </w:pPr>
            <w:r>
              <w:rPr>
                <w:rFonts w:ascii="Arial" w:cs="Arial" w:eastAsia="Arial" w:hAnsi="Arial"/>
                <w:sz w:val="14"/>
                <w:szCs w:val="14"/>
                <w:b w:val="1"/>
                <w:bCs w:val="1"/>
                <w:color w:val="FFFFFF"/>
              </w:rPr>
              <w:t>Owned</w:t>
            </w:r>
          </w:p>
        </w:tc>
        <w:tc>
          <w:tcPr>
            <w:tcW w:w="620" w:type="dxa"/>
            <w:vAlign w:val="bottom"/>
            <w:shd w:val="clear" w:color="auto" w:fill="007CBA"/>
          </w:tcPr>
          <w:p>
            <w:pPr>
              <w:jc w:val="right"/>
              <w:ind w:right="8"/>
              <w:spacing w:after="0"/>
              <w:rPr>
                <w:sz w:val="20"/>
                <w:szCs w:val="20"/>
                <w:color w:val="auto"/>
              </w:rPr>
            </w:pPr>
            <w:r>
              <w:rPr>
                <w:rFonts w:ascii="Arial" w:cs="Arial" w:eastAsia="Arial" w:hAnsi="Arial"/>
                <w:sz w:val="14"/>
                <w:szCs w:val="14"/>
                <w:b w:val="1"/>
                <w:bCs w:val="1"/>
                <w:color w:val="FFFFFF"/>
              </w:rPr>
              <w:t>Leased</w:t>
            </w: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Alabama</w:t>
            </w:r>
          </w:p>
        </w:tc>
        <w:tc>
          <w:tcPr>
            <w:tcW w:w="68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4</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126,447</w:t>
            </w:r>
          </w:p>
        </w:tc>
        <w:tc>
          <w:tcPr>
            <w:tcW w:w="20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11,623</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174,754</w:t>
            </w:r>
          </w:p>
        </w:tc>
        <w:tc>
          <w:tcPr>
            <w:tcW w:w="200" w:type="dxa"/>
            <w:vAlign w:val="bottom"/>
          </w:tcPr>
          <w:p>
            <w:pPr>
              <w:spacing w:after="0"/>
              <w:rPr>
                <w:sz w:val="20"/>
                <w:szCs w:val="20"/>
                <w:color w:val="auto"/>
              </w:rPr>
            </w:pPr>
          </w:p>
        </w:tc>
        <w:tc>
          <w:tcPr>
            <w:tcW w:w="74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11,623</w:t>
            </w:r>
          </w:p>
        </w:tc>
        <w:tc>
          <w:tcPr>
            <w:tcW w:w="10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48,307</w:t>
            </w:r>
          </w:p>
        </w:tc>
        <w:tc>
          <w:tcPr>
            <w:tcW w:w="22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0</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100%</w:t>
            </w:r>
          </w:p>
        </w:tc>
        <w:tc>
          <w:tcPr>
            <w:tcW w:w="58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54%</w:t>
            </w:r>
          </w:p>
        </w:tc>
        <w:tc>
          <w:tcPr>
            <w:tcW w:w="62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tcPr>
          <w:p>
            <w:pPr>
              <w:spacing w:after="0"/>
              <w:rPr>
                <w:sz w:val="5"/>
                <w:szCs w:val="5"/>
                <w:color w:val="auto"/>
              </w:rPr>
            </w:pPr>
          </w:p>
        </w:tc>
        <w:tc>
          <w:tcPr>
            <w:tcW w:w="68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Borders>
              <w:right w:val="single" w:sz="8" w:color="007CBA"/>
            </w:tcBorders>
          </w:tcPr>
          <w:p>
            <w:pPr>
              <w:spacing w:after="0"/>
              <w:rPr>
                <w:sz w:val="5"/>
                <w:szCs w:val="5"/>
                <w:color w:val="auto"/>
              </w:rPr>
            </w:pPr>
          </w:p>
        </w:tc>
        <w:tc>
          <w:tcPr>
            <w:tcW w:w="1040" w:type="dxa"/>
            <w:vAlign w:val="bottom"/>
            <w:tcBorders>
              <w:right w:val="single" w:sz="8" w:color="007CBA"/>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580" w:type="dxa"/>
            <w:vAlign w:val="bottom"/>
            <w:tcBorders>
              <w:right w:val="single" w:sz="8" w:color="007CBA"/>
            </w:tcBorders>
          </w:tcPr>
          <w:p>
            <w:pPr>
              <w:spacing w:after="0"/>
              <w:rPr>
                <w:sz w:val="5"/>
                <w:szCs w:val="5"/>
                <w:color w:val="auto"/>
              </w:rPr>
            </w:pPr>
          </w:p>
        </w:tc>
        <w:tc>
          <w:tcPr>
            <w:tcW w:w="9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Arkansas</w:t>
            </w:r>
          </w:p>
        </w:tc>
        <w:tc>
          <w:tcPr>
            <w:tcW w:w="68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3</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223,326</w:t>
            </w:r>
          </w:p>
        </w:tc>
        <w:tc>
          <w:tcPr>
            <w:tcW w:w="20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230,811</w:t>
            </w:r>
          </w:p>
        </w:tc>
        <w:tc>
          <w:tcPr>
            <w:tcW w:w="200" w:type="dxa"/>
            <w:vAlign w:val="bottom"/>
            <w:shd w:val="clear" w:color="auto" w:fill="E5F1F8"/>
          </w:tcPr>
          <w:p>
            <w:pPr>
              <w:spacing w:after="0"/>
              <w:rPr>
                <w:sz w:val="20"/>
                <w:szCs w:val="20"/>
                <w:color w:val="auto"/>
              </w:rPr>
            </w:pPr>
          </w:p>
        </w:tc>
        <w:tc>
          <w:tcPr>
            <w:tcW w:w="74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7,485</w:t>
            </w:r>
          </w:p>
        </w:tc>
        <w:tc>
          <w:tcPr>
            <w:tcW w:w="22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100%</w:t>
            </w:r>
          </w:p>
        </w:tc>
        <w:tc>
          <w:tcPr>
            <w:tcW w:w="58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50%</w:t>
            </w:r>
          </w:p>
        </w:tc>
        <w:tc>
          <w:tcPr>
            <w:tcW w:w="620" w:type="dxa"/>
            <w:vAlign w:val="bottom"/>
            <w:shd w:val="clear" w:color="auto" w:fill="E5F1F8"/>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1040" w:type="dxa"/>
            <w:vAlign w:val="bottom"/>
            <w:tcBorders>
              <w:right w:val="single" w:sz="8" w:color="007CBA"/>
            </w:tcBorders>
            <w:shd w:val="clear" w:color="auto" w:fill="E5F1F8"/>
          </w:tcPr>
          <w:p>
            <w:pPr>
              <w:spacing w:after="0"/>
              <w:rPr>
                <w:sz w:val="5"/>
                <w:szCs w:val="5"/>
                <w:color w:val="auto"/>
              </w:rPr>
            </w:pPr>
          </w:p>
        </w:tc>
        <w:tc>
          <w:tcPr>
            <w:tcW w:w="22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9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62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Colorado</w:t>
            </w:r>
          </w:p>
        </w:tc>
        <w:tc>
          <w:tcPr>
            <w:tcW w:w="68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11</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749,238</w:t>
            </w:r>
          </w:p>
        </w:tc>
        <w:tc>
          <w:tcPr>
            <w:tcW w:w="20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98,888</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754,812</w:t>
            </w:r>
          </w:p>
        </w:tc>
        <w:tc>
          <w:tcPr>
            <w:tcW w:w="200" w:type="dxa"/>
            <w:vAlign w:val="bottom"/>
          </w:tcPr>
          <w:p>
            <w:pPr>
              <w:spacing w:after="0"/>
              <w:rPr>
                <w:sz w:val="20"/>
                <w:szCs w:val="20"/>
                <w:color w:val="auto"/>
              </w:rPr>
            </w:pPr>
          </w:p>
        </w:tc>
        <w:tc>
          <w:tcPr>
            <w:tcW w:w="74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117,204</w:t>
            </w:r>
          </w:p>
        </w:tc>
        <w:tc>
          <w:tcPr>
            <w:tcW w:w="10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5,574</w:t>
            </w:r>
          </w:p>
        </w:tc>
        <w:tc>
          <w:tcPr>
            <w:tcW w:w="22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18,315</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99%</w:t>
            </w:r>
          </w:p>
        </w:tc>
        <w:tc>
          <w:tcPr>
            <w:tcW w:w="58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w:t>
            </w:r>
          </w:p>
        </w:tc>
        <w:tc>
          <w:tcPr>
            <w:tcW w:w="9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22%</w:t>
            </w:r>
          </w:p>
        </w:tc>
        <w:tc>
          <w:tcPr>
            <w:tcW w:w="62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tcPr>
          <w:p>
            <w:pPr>
              <w:spacing w:after="0"/>
              <w:rPr>
                <w:sz w:val="5"/>
                <w:szCs w:val="5"/>
                <w:color w:val="auto"/>
              </w:rPr>
            </w:pPr>
          </w:p>
        </w:tc>
        <w:tc>
          <w:tcPr>
            <w:tcW w:w="68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Borders>
              <w:right w:val="single" w:sz="8" w:color="007CBA"/>
            </w:tcBorders>
          </w:tcPr>
          <w:p>
            <w:pPr>
              <w:spacing w:after="0"/>
              <w:rPr>
                <w:sz w:val="5"/>
                <w:szCs w:val="5"/>
                <w:color w:val="auto"/>
              </w:rPr>
            </w:pPr>
          </w:p>
        </w:tc>
        <w:tc>
          <w:tcPr>
            <w:tcW w:w="1040" w:type="dxa"/>
            <w:vAlign w:val="bottom"/>
            <w:tcBorders>
              <w:right w:val="single" w:sz="8" w:color="007CBA"/>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580" w:type="dxa"/>
            <w:vAlign w:val="bottom"/>
            <w:tcBorders>
              <w:right w:val="single" w:sz="8" w:color="007CBA"/>
            </w:tcBorders>
          </w:tcPr>
          <w:p>
            <w:pPr>
              <w:spacing w:after="0"/>
              <w:rPr>
                <w:sz w:val="5"/>
                <w:szCs w:val="5"/>
                <w:color w:val="auto"/>
              </w:rPr>
            </w:pPr>
          </w:p>
        </w:tc>
        <w:tc>
          <w:tcPr>
            <w:tcW w:w="9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Florida</w:t>
            </w:r>
          </w:p>
        </w:tc>
        <w:tc>
          <w:tcPr>
            <w:tcW w:w="68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1</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123,385</w:t>
            </w:r>
          </w:p>
        </w:tc>
        <w:tc>
          <w:tcPr>
            <w:tcW w:w="20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122,724</w:t>
            </w:r>
          </w:p>
        </w:tc>
        <w:tc>
          <w:tcPr>
            <w:tcW w:w="200" w:type="dxa"/>
            <w:vAlign w:val="bottom"/>
            <w:shd w:val="clear" w:color="auto" w:fill="E5F1F8"/>
          </w:tcPr>
          <w:p>
            <w:pPr>
              <w:spacing w:after="0"/>
              <w:rPr>
                <w:sz w:val="20"/>
                <w:szCs w:val="20"/>
                <w:color w:val="auto"/>
              </w:rPr>
            </w:pPr>
          </w:p>
        </w:tc>
        <w:tc>
          <w:tcPr>
            <w:tcW w:w="74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(661)</w:t>
            </w:r>
          </w:p>
        </w:tc>
        <w:tc>
          <w:tcPr>
            <w:tcW w:w="22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100%</w:t>
            </w:r>
          </w:p>
        </w:tc>
        <w:tc>
          <w:tcPr>
            <w:tcW w:w="58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35%</w:t>
            </w:r>
          </w:p>
        </w:tc>
        <w:tc>
          <w:tcPr>
            <w:tcW w:w="620" w:type="dxa"/>
            <w:vAlign w:val="bottom"/>
            <w:shd w:val="clear" w:color="auto" w:fill="E5F1F8"/>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1040" w:type="dxa"/>
            <w:vAlign w:val="bottom"/>
            <w:tcBorders>
              <w:right w:val="single" w:sz="8" w:color="007CBA"/>
            </w:tcBorders>
            <w:shd w:val="clear" w:color="auto" w:fill="E5F1F8"/>
          </w:tcPr>
          <w:p>
            <w:pPr>
              <w:spacing w:after="0"/>
              <w:rPr>
                <w:sz w:val="5"/>
                <w:szCs w:val="5"/>
                <w:color w:val="auto"/>
              </w:rPr>
            </w:pPr>
          </w:p>
        </w:tc>
        <w:tc>
          <w:tcPr>
            <w:tcW w:w="22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9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62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Georgia</w:t>
            </w:r>
          </w:p>
        </w:tc>
        <w:tc>
          <w:tcPr>
            <w:tcW w:w="68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18</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2,062,738</w:t>
            </w:r>
          </w:p>
        </w:tc>
        <w:tc>
          <w:tcPr>
            <w:tcW w:w="20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0</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2,185,263</w:t>
            </w:r>
          </w:p>
        </w:tc>
        <w:tc>
          <w:tcPr>
            <w:tcW w:w="200" w:type="dxa"/>
            <w:vAlign w:val="bottom"/>
          </w:tcPr>
          <w:p>
            <w:pPr>
              <w:spacing w:after="0"/>
              <w:rPr>
                <w:sz w:val="20"/>
                <w:szCs w:val="20"/>
                <w:color w:val="auto"/>
              </w:rPr>
            </w:pPr>
          </w:p>
        </w:tc>
        <w:tc>
          <w:tcPr>
            <w:tcW w:w="74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19,380</w:t>
            </w:r>
          </w:p>
        </w:tc>
        <w:tc>
          <w:tcPr>
            <w:tcW w:w="10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122,525</w:t>
            </w:r>
          </w:p>
        </w:tc>
        <w:tc>
          <w:tcPr>
            <w:tcW w:w="22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19,380</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97%</w:t>
            </w:r>
          </w:p>
        </w:tc>
        <w:tc>
          <w:tcPr>
            <w:tcW w:w="58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w:t>
            </w:r>
          </w:p>
        </w:tc>
        <w:tc>
          <w:tcPr>
            <w:tcW w:w="9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83%</w:t>
            </w:r>
          </w:p>
        </w:tc>
        <w:tc>
          <w:tcPr>
            <w:tcW w:w="62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tcPr>
          <w:p>
            <w:pPr>
              <w:spacing w:after="0"/>
              <w:rPr>
                <w:sz w:val="5"/>
                <w:szCs w:val="5"/>
                <w:color w:val="auto"/>
              </w:rPr>
            </w:pPr>
          </w:p>
        </w:tc>
        <w:tc>
          <w:tcPr>
            <w:tcW w:w="68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Borders>
              <w:right w:val="single" w:sz="8" w:color="007CBA"/>
            </w:tcBorders>
          </w:tcPr>
          <w:p>
            <w:pPr>
              <w:spacing w:after="0"/>
              <w:rPr>
                <w:sz w:val="5"/>
                <w:szCs w:val="5"/>
                <w:color w:val="auto"/>
              </w:rPr>
            </w:pPr>
          </w:p>
        </w:tc>
        <w:tc>
          <w:tcPr>
            <w:tcW w:w="1040" w:type="dxa"/>
            <w:vAlign w:val="bottom"/>
            <w:tcBorders>
              <w:right w:val="single" w:sz="8" w:color="007CBA"/>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580" w:type="dxa"/>
            <w:vAlign w:val="bottom"/>
            <w:tcBorders>
              <w:right w:val="single" w:sz="8" w:color="007CBA"/>
            </w:tcBorders>
          </w:tcPr>
          <w:p>
            <w:pPr>
              <w:spacing w:after="0"/>
              <w:rPr>
                <w:sz w:val="5"/>
                <w:szCs w:val="5"/>
                <w:color w:val="auto"/>
              </w:rPr>
            </w:pPr>
          </w:p>
        </w:tc>
        <w:tc>
          <w:tcPr>
            <w:tcW w:w="9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Indiana</w:t>
            </w:r>
          </w:p>
        </w:tc>
        <w:tc>
          <w:tcPr>
            <w:tcW w:w="68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10</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486,057</w:t>
            </w:r>
          </w:p>
        </w:tc>
        <w:tc>
          <w:tcPr>
            <w:tcW w:w="20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46,530</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481,120</w:t>
            </w:r>
          </w:p>
        </w:tc>
        <w:tc>
          <w:tcPr>
            <w:tcW w:w="200" w:type="dxa"/>
            <w:vAlign w:val="bottom"/>
            <w:shd w:val="clear" w:color="auto" w:fill="E5F1F8"/>
          </w:tcPr>
          <w:p>
            <w:pPr>
              <w:spacing w:after="0"/>
              <w:rPr>
                <w:sz w:val="20"/>
                <w:szCs w:val="20"/>
                <w:color w:val="auto"/>
              </w:rPr>
            </w:pPr>
          </w:p>
        </w:tc>
        <w:tc>
          <w:tcPr>
            <w:tcW w:w="74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60,392</w:t>
            </w:r>
          </w:p>
        </w:tc>
        <w:tc>
          <w:tcPr>
            <w:tcW w:w="104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(4,938)</w:t>
            </w:r>
          </w:p>
        </w:tc>
        <w:tc>
          <w:tcPr>
            <w:tcW w:w="22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13,862</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100%</w:t>
            </w:r>
          </w:p>
        </w:tc>
        <w:tc>
          <w:tcPr>
            <w:tcW w:w="58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52%</w:t>
            </w:r>
          </w:p>
        </w:tc>
        <w:tc>
          <w:tcPr>
            <w:tcW w:w="620" w:type="dxa"/>
            <w:vAlign w:val="bottom"/>
            <w:shd w:val="clear" w:color="auto" w:fill="E5F1F8"/>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1040" w:type="dxa"/>
            <w:vAlign w:val="bottom"/>
            <w:tcBorders>
              <w:right w:val="single" w:sz="8" w:color="007CBA"/>
            </w:tcBorders>
            <w:shd w:val="clear" w:color="auto" w:fill="E5F1F8"/>
          </w:tcPr>
          <w:p>
            <w:pPr>
              <w:spacing w:after="0"/>
              <w:rPr>
                <w:sz w:val="5"/>
                <w:szCs w:val="5"/>
                <w:color w:val="auto"/>
              </w:rPr>
            </w:pPr>
          </w:p>
        </w:tc>
        <w:tc>
          <w:tcPr>
            <w:tcW w:w="22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9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62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Iowa</w:t>
            </w:r>
          </w:p>
        </w:tc>
        <w:tc>
          <w:tcPr>
            <w:tcW w:w="68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26</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738,800</w:t>
            </w:r>
          </w:p>
        </w:tc>
        <w:tc>
          <w:tcPr>
            <w:tcW w:w="20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17,150</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727,232</w:t>
            </w:r>
          </w:p>
        </w:tc>
        <w:tc>
          <w:tcPr>
            <w:tcW w:w="200" w:type="dxa"/>
            <w:vAlign w:val="bottom"/>
          </w:tcPr>
          <w:p>
            <w:pPr>
              <w:spacing w:after="0"/>
              <w:rPr>
                <w:sz w:val="20"/>
                <w:szCs w:val="20"/>
                <w:color w:val="auto"/>
              </w:rPr>
            </w:pPr>
          </w:p>
        </w:tc>
        <w:tc>
          <w:tcPr>
            <w:tcW w:w="74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21,802</w:t>
            </w:r>
          </w:p>
        </w:tc>
        <w:tc>
          <w:tcPr>
            <w:tcW w:w="1040" w:type="dxa"/>
            <w:vAlign w:val="bottom"/>
            <w:tcBorders>
              <w:right w:val="single" w:sz="8" w:color="007CBA"/>
            </w:tcBorders>
          </w:tcPr>
          <w:p>
            <w:pPr>
              <w:jc w:val="right"/>
              <w:ind w:right="69"/>
              <w:spacing w:after="0"/>
              <w:rPr>
                <w:sz w:val="20"/>
                <w:szCs w:val="20"/>
                <w:color w:val="auto"/>
              </w:rPr>
            </w:pPr>
            <w:r>
              <w:rPr>
                <w:rFonts w:ascii="Arial" w:cs="Arial" w:eastAsia="Arial" w:hAnsi="Arial"/>
                <w:sz w:val="14"/>
                <w:szCs w:val="14"/>
                <w:color w:val="auto"/>
              </w:rPr>
              <w:t>(11,568)</w:t>
            </w:r>
          </w:p>
        </w:tc>
        <w:tc>
          <w:tcPr>
            <w:tcW w:w="22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4,652</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100%</w:t>
            </w:r>
          </w:p>
        </w:tc>
        <w:tc>
          <w:tcPr>
            <w:tcW w:w="58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30%</w:t>
            </w:r>
          </w:p>
        </w:tc>
        <w:tc>
          <w:tcPr>
            <w:tcW w:w="62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tcPr>
          <w:p>
            <w:pPr>
              <w:spacing w:after="0"/>
              <w:rPr>
                <w:sz w:val="5"/>
                <w:szCs w:val="5"/>
                <w:color w:val="auto"/>
              </w:rPr>
            </w:pPr>
          </w:p>
        </w:tc>
        <w:tc>
          <w:tcPr>
            <w:tcW w:w="68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Borders>
              <w:right w:val="single" w:sz="8" w:color="007CBA"/>
            </w:tcBorders>
          </w:tcPr>
          <w:p>
            <w:pPr>
              <w:spacing w:after="0"/>
              <w:rPr>
                <w:sz w:val="5"/>
                <w:szCs w:val="5"/>
                <w:color w:val="auto"/>
              </w:rPr>
            </w:pPr>
          </w:p>
        </w:tc>
        <w:tc>
          <w:tcPr>
            <w:tcW w:w="1040" w:type="dxa"/>
            <w:vAlign w:val="bottom"/>
            <w:tcBorders>
              <w:right w:val="single" w:sz="8" w:color="007CBA"/>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580" w:type="dxa"/>
            <w:vAlign w:val="bottom"/>
            <w:tcBorders>
              <w:right w:val="single" w:sz="8" w:color="007CBA"/>
            </w:tcBorders>
          </w:tcPr>
          <w:p>
            <w:pPr>
              <w:spacing w:after="0"/>
              <w:rPr>
                <w:sz w:val="5"/>
                <w:szCs w:val="5"/>
                <w:color w:val="auto"/>
              </w:rPr>
            </w:pPr>
          </w:p>
        </w:tc>
        <w:tc>
          <w:tcPr>
            <w:tcW w:w="9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Kansas</w:t>
            </w:r>
          </w:p>
        </w:tc>
        <w:tc>
          <w:tcPr>
            <w:tcW w:w="68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3</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78,102</w:t>
            </w:r>
          </w:p>
        </w:tc>
        <w:tc>
          <w:tcPr>
            <w:tcW w:w="20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75,210</w:t>
            </w:r>
          </w:p>
        </w:tc>
        <w:tc>
          <w:tcPr>
            <w:tcW w:w="200" w:type="dxa"/>
            <w:vAlign w:val="bottom"/>
            <w:shd w:val="clear" w:color="auto" w:fill="E5F1F8"/>
          </w:tcPr>
          <w:p>
            <w:pPr>
              <w:spacing w:after="0"/>
              <w:rPr>
                <w:sz w:val="20"/>
                <w:szCs w:val="20"/>
                <w:color w:val="auto"/>
              </w:rPr>
            </w:pPr>
          </w:p>
        </w:tc>
        <w:tc>
          <w:tcPr>
            <w:tcW w:w="74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(2,892)</w:t>
            </w:r>
          </w:p>
        </w:tc>
        <w:tc>
          <w:tcPr>
            <w:tcW w:w="22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100%</w:t>
            </w:r>
          </w:p>
        </w:tc>
        <w:tc>
          <w:tcPr>
            <w:tcW w:w="58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8"/>
              </w:rPr>
              <w:t>8%</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36%</w:t>
            </w:r>
          </w:p>
        </w:tc>
        <w:tc>
          <w:tcPr>
            <w:tcW w:w="620" w:type="dxa"/>
            <w:vAlign w:val="bottom"/>
            <w:shd w:val="clear" w:color="auto" w:fill="E5F1F8"/>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1040" w:type="dxa"/>
            <w:vAlign w:val="bottom"/>
            <w:tcBorders>
              <w:right w:val="single" w:sz="8" w:color="007CBA"/>
            </w:tcBorders>
            <w:shd w:val="clear" w:color="auto" w:fill="E5F1F8"/>
          </w:tcPr>
          <w:p>
            <w:pPr>
              <w:spacing w:after="0"/>
              <w:rPr>
                <w:sz w:val="5"/>
                <w:szCs w:val="5"/>
                <w:color w:val="auto"/>
              </w:rPr>
            </w:pPr>
          </w:p>
        </w:tc>
        <w:tc>
          <w:tcPr>
            <w:tcW w:w="22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9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62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Kentucky</w:t>
            </w:r>
          </w:p>
        </w:tc>
        <w:tc>
          <w:tcPr>
            <w:tcW w:w="68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6</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24,595</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179,959</w:t>
            </w:r>
          </w:p>
        </w:tc>
        <w:tc>
          <w:tcPr>
            <w:tcW w:w="200" w:type="dxa"/>
            <w:vAlign w:val="bottom"/>
          </w:tcPr>
          <w:p>
            <w:pPr>
              <w:spacing w:after="0"/>
              <w:rPr>
                <w:sz w:val="20"/>
                <w:szCs w:val="20"/>
                <w:color w:val="auto"/>
              </w:rPr>
            </w:pPr>
          </w:p>
        </w:tc>
        <w:tc>
          <w:tcPr>
            <w:tcW w:w="74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24,206</w:t>
            </w:r>
          </w:p>
        </w:tc>
        <w:tc>
          <w:tcPr>
            <w:tcW w:w="10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179,959</w:t>
            </w:r>
          </w:p>
        </w:tc>
        <w:tc>
          <w:tcPr>
            <w:tcW w:w="220" w:type="dxa"/>
            <w:vAlign w:val="bottom"/>
          </w:tcPr>
          <w:p>
            <w:pPr>
              <w:spacing w:after="0"/>
              <w:rPr>
                <w:sz w:val="20"/>
                <w:szCs w:val="20"/>
                <w:color w:val="auto"/>
              </w:rPr>
            </w:pPr>
          </w:p>
        </w:tc>
        <w:tc>
          <w:tcPr>
            <w:tcW w:w="720" w:type="dxa"/>
            <w:vAlign w:val="bottom"/>
            <w:tcBorders>
              <w:right w:val="single" w:sz="8" w:color="007CBA"/>
            </w:tcBorders>
          </w:tcPr>
          <w:p>
            <w:pPr>
              <w:jc w:val="right"/>
              <w:ind w:right="88"/>
              <w:spacing w:after="0"/>
              <w:rPr>
                <w:sz w:val="20"/>
                <w:szCs w:val="20"/>
                <w:color w:val="auto"/>
              </w:rPr>
            </w:pPr>
            <w:r>
              <w:rPr>
                <w:rFonts w:ascii="Arial" w:cs="Arial" w:eastAsia="Arial" w:hAnsi="Arial"/>
                <w:sz w:val="14"/>
                <w:szCs w:val="14"/>
                <w:color w:val="auto"/>
              </w:rPr>
              <w:t>(389)</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100%</w:t>
            </w:r>
          </w:p>
        </w:tc>
        <w:tc>
          <w:tcPr>
            <w:tcW w:w="58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80%</w:t>
            </w:r>
          </w:p>
        </w:tc>
        <w:tc>
          <w:tcPr>
            <w:tcW w:w="62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tcPr>
          <w:p>
            <w:pPr>
              <w:spacing w:after="0"/>
              <w:rPr>
                <w:sz w:val="5"/>
                <w:szCs w:val="5"/>
                <w:color w:val="auto"/>
              </w:rPr>
            </w:pPr>
          </w:p>
        </w:tc>
        <w:tc>
          <w:tcPr>
            <w:tcW w:w="68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Borders>
              <w:right w:val="single" w:sz="8" w:color="007CBA"/>
            </w:tcBorders>
          </w:tcPr>
          <w:p>
            <w:pPr>
              <w:spacing w:after="0"/>
              <w:rPr>
                <w:sz w:val="5"/>
                <w:szCs w:val="5"/>
                <w:color w:val="auto"/>
              </w:rPr>
            </w:pPr>
          </w:p>
        </w:tc>
        <w:tc>
          <w:tcPr>
            <w:tcW w:w="1040" w:type="dxa"/>
            <w:vAlign w:val="bottom"/>
            <w:tcBorders>
              <w:right w:val="single" w:sz="8" w:color="007CBA"/>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580" w:type="dxa"/>
            <w:vAlign w:val="bottom"/>
            <w:tcBorders>
              <w:right w:val="single" w:sz="8" w:color="007CBA"/>
            </w:tcBorders>
          </w:tcPr>
          <w:p>
            <w:pPr>
              <w:spacing w:after="0"/>
              <w:rPr>
                <w:sz w:val="5"/>
                <w:szCs w:val="5"/>
                <w:color w:val="auto"/>
              </w:rPr>
            </w:pPr>
          </w:p>
        </w:tc>
        <w:tc>
          <w:tcPr>
            <w:tcW w:w="9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Louisiana</w:t>
            </w:r>
          </w:p>
        </w:tc>
        <w:tc>
          <w:tcPr>
            <w:tcW w:w="68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3</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8,158</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spacing w:after="0"/>
              <w:rPr>
                <w:sz w:val="20"/>
                <w:szCs w:val="20"/>
                <w:color w:val="auto"/>
              </w:rPr>
            </w:pPr>
          </w:p>
        </w:tc>
        <w:tc>
          <w:tcPr>
            <w:tcW w:w="74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7,830</w:t>
            </w:r>
          </w:p>
        </w:tc>
        <w:tc>
          <w:tcPr>
            <w:tcW w:w="10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0</w:t>
            </w:r>
          </w:p>
        </w:tc>
        <w:tc>
          <w:tcPr>
            <w:tcW w:w="22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88"/>
              <w:spacing w:after="0"/>
              <w:rPr>
                <w:sz w:val="20"/>
                <w:szCs w:val="20"/>
                <w:color w:val="auto"/>
              </w:rPr>
            </w:pPr>
            <w:r>
              <w:rPr>
                <w:rFonts w:ascii="Arial" w:cs="Arial" w:eastAsia="Arial" w:hAnsi="Arial"/>
                <w:sz w:val="14"/>
                <w:szCs w:val="14"/>
                <w:color w:val="auto"/>
              </w:rPr>
              <w:t>(328)</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100%</w:t>
            </w:r>
          </w:p>
        </w:tc>
        <w:tc>
          <w:tcPr>
            <w:tcW w:w="58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0%</w:t>
            </w:r>
          </w:p>
        </w:tc>
        <w:tc>
          <w:tcPr>
            <w:tcW w:w="620" w:type="dxa"/>
            <w:vAlign w:val="bottom"/>
            <w:shd w:val="clear" w:color="auto" w:fill="E5F1F8"/>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1040" w:type="dxa"/>
            <w:vAlign w:val="bottom"/>
            <w:tcBorders>
              <w:right w:val="single" w:sz="8" w:color="007CBA"/>
            </w:tcBorders>
            <w:shd w:val="clear" w:color="auto" w:fill="E5F1F8"/>
          </w:tcPr>
          <w:p>
            <w:pPr>
              <w:spacing w:after="0"/>
              <w:rPr>
                <w:sz w:val="5"/>
                <w:szCs w:val="5"/>
                <w:color w:val="auto"/>
              </w:rPr>
            </w:pPr>
          </w:p>
        </w:tc>
        <w:tc>
          <w:tcPr>
            <w:tcW w:w="22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9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62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Maryland</w:t>
            </w:r>
          </w:p>
        </w:tc>
        <w:tc>
          <w:tcPr>
            <w:tcW w:w="68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8</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120,524</w:t>
            </w:r>
          </w:p>
        </w:tc>
        <w:tc>
          <w:tcPr>
            <w:tcW w:w="20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0</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883,671</w:t>
            </w:r>
          </w:p>
        </w:tc>
        <w:tc>
          <w:tcPr>
            <w:tcW w:w="200" w:type="dxa"/>
            <w:vAlign w:val="bottom"/>
          </w:tcPr>
          <w:p>
            <w:pPr>
              <w:spacing w:after="0"/>
              <w:rPr>
                <w:sz w:val="20"/>
                <w:szCs w:val="20"/>
                <w:color w:val="auto"/>
              </w:rPr>
            </w:pPr>
          </w:p>
        </w:tc>
        <w:tc>
          <w:tcPr>
            <w:tcW w:w="74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6,902</w:t>
            </w:r>
          </w:p>
        </w:tc>
        <w:tc>
          <w:tcPr>
            <w:tcW w:w="10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763,147</w:t>
            </w:r>
          </w:p>
        </w:tc>
        <w:tc>
          <w:tcPr>
            <w:tcW w:w="22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6,902</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100%</w:t>
            </w:r>
          </w:p>
        </w:tc>
        <w:tc>
          <w:tcPr>
            <w:tcW w:w="58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99%</w:t>
            </w: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tcPr>
          <w:p>
            <w:pPr>
              <w:spacing w:after="0"/>
              <w:rPr>
                <w:sz w:val="5"/>
                <w:szCs w:val="5"/>
                <w:color w:val="auto"/>
              </w:rPr>
            </w:pPr>
          </w:p>
        </w:tc>
        <w:tc>
          <w:tcPr>
            <w:tcW w:w="68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Borders>
              <w:right w:val="single" w:sz="8" w:color="007CBA"/>
            </w:tcBorders>
          </w:tcPr>
          <w:p>
            <w:pPr>
              <w:spacing w:after="0"/>
              <w:rPr>
                <w:sz w:val="5"/>
                <w:szCs w:val="5"/>
                <w:color w:val="auto"/>
              </w:rPr>
            </w:pPr>
          </w:p>
        </w:tc>
        <w:tc>
          <w:tcPr>
            <w:tcW w:w="1040" w:type="dxa"/>
            <w:vAlign w:val="bottom"/>
            <w:tcBorders>
              <w:right w:val="single" w:sz="8" w:color="007CBA"/>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580" w:type="dxa"/>
            <w:vAlign w:val="bottom"/>
            <w:tcBorders>
              <w:right w:val="single" w:sz="8" w:color="007CBA"/>
            </w:tcBorders>
          </w:tcPr>
          <w:p>
            <w:pPr>
              <w:spacing w:after="0"/>
              <w:rPr>
                <w:sz w:val="5"/>
                <w:szCs w:val="5"/>
                <w:color w:val="auto"/>
              </w:rPr>
            </w:pPr>
          </w:p>
        </w:tc>
        <w:tc>
          <w:tcPr>
            <w:tcW w:w="9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Minnesota</w:t>
            </w:r>
          </w:p>
        </w:tc>
        <w:tc>
          <w:tcPr>
            <w:tcW w:w="68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2</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323,298</w:t>
            </w:r>
          </w:p>
        </w:tc>
        <w:tc>
          <w:tcPr>
            <w:tcW w:w="20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320,612</w:t>
            </w:r>
          </w:p>
        </w:tc>
        <w:tc>
          <w:tcPr>
            <w:tcW w:w="200" w:type="dxa"/>
            <w:vAlign w:val="bottom"/>
            <w:shd w:val="clear" w:color="auto" w:fill="E5F1F8"/>
          </w:tcPr>
          <w:p>
            <w:pPr>
              <w:spacing w:after="0"/>
              <w:rPr>
                <w:sz w:val="20"/>
                <w:szCs w:val="20"/>
                <w:color w:val="auto"/>
              </w:rPr>
            </w:pPr>
          </w:p>
        </w:tc>
        <w:tc>
          <w:tcPr>
            <w:tcW w:w="74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(2,686)</w:t>
            </w:r>
          </w:p>
        </w:tc>
        <w:tc>
          <w:tcPr>
            <w:tcW w:w="22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67%</w:t>
            </w:r>
          </w:p>
        </w:tc>
        <w:tc>
          <w:tcPr>
            <w:tcW w:w="58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33%</w:t>
            </w:r>
          </w:p>
        </w:tc>
        <w:tc>
          <w:tcPr>
            <w:tcW w:w="9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64%</w:t>
            </w:r>
          </w:p>
        </w:tc>
        <w:tc>
          <w:tcPr>
            <w:tcW w:w="620" w:type="dxa"/>
            <w:vAlign w:val="bottom"/>
            <w:shd w:val="clear" w:color="auto" w:fill="E5F1F8"/>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1040" w:type="dxa"/>
            <w:vAlign w:val="bottom"/>
            <w:tcBorders>
              <w:right w:val="single" w:sz="8" w:color="007CBA"/>
            </w:tcBorders>
            <w:shd w:val="clear" w:color="auto" w:fill="E5F1F8"/>
          </w:tcPr>
          <w:p>
            <w:pPr>
              <w:spacing w:after="0"/>
              <w:rPr>
                <w:sz w:val="5"/>
                <w:szCs w:val="5"/>
                <w:color w:val="auto"/>
              </w:rPr>
            </w:pPr>
          </w:p>
        </w:tc>
        <w:tc>
          <w:tcPr>
            <w:tcW w:w="22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9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62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Mississippi</w:t>
            </w:r>
          </w:p>
        </w:tc>
        <w:tc>
          <w:tcPr>
            <w:tcW w:w="68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0</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67,238</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0"/>
                <w:szCs w:val="20"/>
                <w:color w:val="auto"/>
              </w:rPr>
            </w:pPr>
          </w:p>
        </w:tc>
        <w:tc>
          <w:tcPr>
            <w:tcW w:w="74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67,238</w:t>
            </w:r>
          </w:p>
        </w:tc>
        <w:tc>
          <w:tcPr>
            <w:tcW w:w="10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0</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100%</w:t>
            </w:r>
          </w:p>
        </w:tc>
        <w:tc>
          <w:tcPr>
            <w:tcW w:w="58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100%</w:t>
            </w: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tcPr>
          <w:p>
            <w:pPr>
              <w:spacing w:after="0"/>
              <w:rPr>
                <w:sz w:val="5"/>
                <w:szCs w:val="5"/>
                <w:color w:val="auto"/>
              </w:rPr>
            </w:pPr>
          </w:p>
        </w:tc>
        <w:tc>
          <w:tcPr>
            <w:tcW w:w="68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Borders>
              <w:right w:val="single" w:sz="8" w:color="007CBA"/>
            </w:tcBorders>
          </w:tcPr>
          <w:p>
            <w:pPr>
              <w:spacing w:after="0"/>
              <w:rPr>
                <w:sz w:val="5"/>
                <w:szCs w:val="5"/>
                <w:color w:val="auto"/>
              </w:rPr>
            </w:pPr>
          </w:p>
        </w:tc>
        <w:tc>
          <w:tcPr>
            <w:tcW w:w="1040" w:type="dxa"/>
            <w:vAlign w:val="bottom"/>
            <w:tcBorders>
              <w:right w:val="single" w:sz="8" w:color="007CBA"/>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580" w:type="dxa"/>
            <w:vAlign w:val="bottom"/>
            <w:tcBorders>
              <w:right w:val="single" w:sz="8" w:color="007CBA"/>
            </w:tcBorders>
          </w:tcPr>
          <w:p>
            <w:pPr>
              <w:spacing w:after="0"/>
              <w:rPr>
                <w:sz w:val="5"/>
                <w:szCs w:val="5"/>
                <w:color w:val="auto"/>
              </w:rPr>
            </w:pPr>
          </w:p>
        </w:tc>
        <w:tc>
          <w:tcPr>
            <w:tcW w:w="9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Missouri</w:t>
            </w:r>
          </w:p>
        </w:tc>
        <w:tc>
          <w:tcPr>
            <w:tcW w:w="68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4</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362,892</w:t>
            </w:r>
          </w:p>
        </w:tc>
        <w:tc>
          <w:tcPr>
            <w:tcW w:w="20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347,721</w:t>
            </w:r>
          </w:p>
        </w:tc>
        <w:tc>
          <w:tcPr>
            <w:tcW w:w="200" w:type="dxa"/>
            <w:vAlign w:val="bottom"/>
            <w:shd w:val="clear" w:color="auto" w:fill="E5F1F8"/>
          </w:tcPr>
          <w:p>
            <w:pPr>
              <w:spacing w:after="0"/>
              <w:rPr>
                <w:sz w:val="20"/>
                <w:szCs w:val="20"/>
                <w:color w:val="auto"/>
              </w:rPr>
            </w:pPr>
          </w:p>
        </w:tc>
        <w:tc>
          <w:tcPr>
            <w:tcW w:w="74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(15,171)</w:t>
            </w:r>
          </w:p>
        </w:tc>
        <w:tc>
          <w:tcPr>
            <w:tcW w:w="22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90%</w:t>
            </w:r>
          </w:p>
        </w:tc>
        <w:tc>
          <w:tcPr>
            <w:tcW w:w="58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10%</w:t>
            </w:r>
          </w:p>
        </w:tc>
        <w:tc>
          <w:tcPr>
            <w:tcW w:w="9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6%</w:t>
            </w:r>
          </w:p>
        </w:tc>
        <w:tc>
          <w:tcPr>
            <w:tcW w:w="620" w:type="dxa"/>
            <w:vAlign w:val="bottom"/>
            <w:shd w:val="clear" w:color="auto" w:fill="E5F1F8"/>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1040" w:type="dxa"/>
            <w:vAlign w:val="bottom"/>
            <w:tcBorders>
              <w:right w:val="single" w:sz="8" w:color="007CBA"/>
            </w:tcBorders>
            <w:shd w:val="clear" w:color="auto" w:fill="E5F1F8"/>
          </w:tcPr>
          <w:p>
            <w:pPr>
              <w:spacing w:after="0"/>
              <w:rPr>
                <w:sz w:val="5"/>
                <w:szCs w:val="5"/>
                <w:color w:val="auto"/>
              </w:rPr>
            </w:pPr>
          </w:p>
        </w:tc>
        <w:tc>
          <w:tcPr>
            <w:tcW w:w="22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9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62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Nebraska</w:t>
            </w:r>
          </w:p>
        </w:tc>
        <w:tc>
          <w:tcPr>
            <w:tcW w:w="68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6</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171,174</w:t>
            </w:r>
          </w:p>
        </w:tc>
        <w:tc>
          <w:tcPr>
            <w:tcW w:w="20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0</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158,074</w:t>
            </w:r>
          </w:p>
        </w:tc>
        <w:tc>
          <w:tcPr>
            <w:tcW w:w="200" w:type="dxa"/>
            <w:vAlign w:val="bottom"/>
          </w:tcPr>
          <w:p>
            <w:pPr>
              <w:spacing w:after="0"/>
              <w:rPr>
                <w:sz w:val="20"/>
                <w:szCs w:val="20"/>
                <w:color w:val="auto"/>
              </w:rPr>
            </w:pPr>
          </w:p>
        </w:tc>
        <w:tc>
          <w:tcPr>
            <w:tcW w:w="74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23,581</w:t>
            </w:r>
          </w:p>
        </w:tc>
        <w:tc>
          <w:tcPr>
            <w:tcW w:w="1040" w:type="dxa"/>
            <w:vAlign w:val="bottom"/>
            <w:tcBorders>
              <w:right w:val="single" w:sz="8" w:color="007CBA"/>
            </w:tcBorders>
          </w:tcPr>
          <w:p>
            <w:pPr>
              <w:jc w:val="right"/>
              <w:ind w:right="69"/>
              <w:spacing w:after="0"/>
              <w:rPr>
                <w:sz w:val="20"/>
                <w:szCs w:val="20"/>
                <w:color w:val="auto"/>
              </w:rPr>
            </w:pPr>
            <w:r>
              <w:rPr>
                <w:rFonts w:ascii="Arial" w:cs="Arial" w:eastAsia="Arial" w:hAnsi="Arial"/>
                <w:sz w:val="14"/>
                <w:szCs w:val="14"/>
                <w:color w:val="auto"/>
              </w:rPr>
              <w:t>(13,100)</w:t>
            </w:r>
          </w:p>
        </w:tc>
        <w:tc>
          <w:tcPr>
            <w:tcW w:w="22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23,581</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100%</w:t>
            </w:r>
          </w:p>
        </w:tc>
        <w:tc>
          <w:tcPr>
            <w:tcW w:w="58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48%</w:t>
            </w:r>
          </w:p>
        </w:tc>
        <w:tc>
          <w:tcPr>
            <w:tcW w:w="62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tcPr>
          <w:p>
            <w:pPr>
              <w:spacing w:after="0"/>
              <w:rPr>
                <w:sz w:val="5"/>
                <w:szCs w:val="5"/>
                <w:color w:val="auto"/>
              </w:rPr>
            </w:pPr>
          </w:p>
        </w:tc>
        <w:tc>
          <w:tcPr>
            <w:tcW w:w="68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Borders>
              <w:right w:val="single" w:sz="8" w:color="007CBA"/>
            </w:tcBorders>
          </w:tcPr>
          <w:p>
            <w:pPr>
              <w:spacing w:after="0"/>
              <w:rPr>
                <w:sz w:val="5"/>
                <w:szCs w:val="5"/>
                <w:color w:val="auto"/>
              </w:rPr>
            </w:pPr>
          </w:p>
        </w:tc>
        <w:tc>
          <w:tcPr>
            <w:tcW w:w="1040" w:type="dxa"/>
            <w:vAlign w:val="bottom"/>
            <w:tcBorders>
              <w:right w:val="single" w:sz="8" w:color="007CBA"/>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580" w:type="dxa"/>
            <w:vAlign w:val="bottom"/>
            <w:tcBorders>
              <w:right w:val="single" w:sz="8" w:color="007CBA"/>
            </w:tcBorders>
          </w:tcPr>
          <w:p>
            <w:pPr>
              <w:spacing w:after="0"/>
              <w:rPr>
                <w:sz w:val="5"/>
                <w:szCs w:val="5"/>
                <w:color w:val="auto"/>
              </w:rPr>
            </w:pPr>
          </w:p>
        </w:tc>
        <w:tc>
          <w:tcPr>
            <w:tcW w:w="9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Nevada</w:t>
            </w:r>
          </w:p>
        </w:tc>
        <w:tc>
          <w:tcPr>
            <w:tcW w:w="68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1</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135,338</w:t>
            </w:r>
          </w:p>
        </w:tc>
        <w:tc>
          <w:tcPr>
            <w:tcW w:w="20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134,507</w:t>
            </w:r>
          </w:p>
        </w:tc>
        <w:tc>
          <w:tcPr>
            <w:tcW w:w="200" w:type="dxa"/>
            <w:vAlign w:val="bottom"/>
            <w:shd w:val="clear" w:color="auto" w:fill="E5F1F8"/>
          </w:tcPr>
          <w:p>
            <w:pPr>
              <w:spacing w:after="0"/>
              <w:rPr>
                <w:sz w:val="20"/>
                <w:szCs w:val="20"/>
                <w:color w:val="auto"/>
              </w:rPr>
            </w:pPr>
          </w:p>
        </w:tc>
        <w:tc>
          <w:tcPr>
            <w:tcW w:w="74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(831)</w:t>
            </w:r>
          </w:p>
        </w:tc>
        <w:tc>
          <w:tcPr>
            <w:tcW w:w="22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99%</w:t>
            </w:r>
          </w:p>
        </w:tc>
        <w:tc>
          <w:tcPr>
            <w:tcW w:w="58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w:t>
            </w:r>
          </w:p>
        </w:tc>
        <w:tc>
          <w:tcPr>
            <w:tcW w:w="9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92%</w:t>
            </w:r>
          </w:p>
        </w:tc>
        <w:tc>
          <w:tcPr>
            <w:tcW w:w="620" w:type="dxa"/>
            <w:vAlign w:val="bottom"/>
            <w:shd w:val="clear" w:color="auto" w:fill="E5F1F8"/>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1040" w:type="dxa"/>
            <w:vAlign w:val="bottom"/>
            <w:tcBorders>
              <w:right w:val="single" w:sz="8" w:color="007CBA"/>
            </w:tcBorders>
            <w:shd w:val="clear" w:color="auto" w:fill="E5F1F8"/>
          </w:tcPr>
          <w:p>
            <w:pPr>
              <w:spacing w:after="0"/>
              <w:rPr>
                <w:sz w:val="5"/>
                <w:szCs w:val="5"/>
                <w:color w:val="auto"/>
              </w:rPr>
            </w:pPr>
          </w:p>
        </w:tc>
        <w:tc>
          <w:tcPr>
            <w:tcW w:w="22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9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62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North Carolina</w:t>
            </w:r>
          </w:p>
        </w:tc>
        <w:tc>
          <w:tcPr>
            <w:tcW w:w="68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38</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3,266,317</w:t>
            </w:r>
          </w:p>
        </w:tc>
        <w:tc>
          <w:tcPr>
            <w:tcW w:w="20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1,807</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3,367,662</w:t>
            </w:r>
          </w:p>
        </w:tc>
        <w:tc>
          <w:tcPr>
            <w:tcW w:w="200" w:type="dxa"/>
            <w:vAlign w:val="bottom"/>
          </w:tcPr>
          <w:p>
            <w:pPr>
              <w:spacing w:after="0"/>
              <w:rPr>
                <w:sz w:val="20"/>
                <w:szCs w:val="20"/>
                <w:color w:val="auto"/>
              </w:rPr>
            </w:pPr>
          </w:p>
        </w:tc>
        <w:tc>
          <w:tcPr>
            <w:tcW w:w="74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1,696</w:t>
            </w:r>
          </w:p>
        </w:tc>
        <w:tc>
          <w:tcPr>
            <w:tcW w:w="10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101,345</w:t>
            </w:r>
          </w:p>
        </w:tc>
        <w:tc>
          <w:tcPr>
            <w:tcW w:w="220" w:type="dxa"/>
            <w:vAlign w:val="bottom"/>
          </w:tcPr>
          <w:p>
            <w:pPr>
              <w:spacing w:after="0"/>
              <w:rPr>
                <w:sz w:val="20"/>
                <w:szCs w:val="20"/>
                <w:color w:val="auto"/>
              </w:rPr>
            </w:pPr>
          </w:p>
        </w:tc>
        <w:tc>
          <w:tcPr>
            <w:tcW w:w="720" w:type="dxa"/>
            <w:vAlign w:val="bottom"/>
            <w:tcBorders>
              <w:right w:val="single" w:sz="8" w:color="007CBA"/>
            </w:tcBorders>
          </w:tcPr>
          <w:p>
            <w:pPr>
              <w:jc w:val="right"/>
              <w:ind w:right="88"/>
              <w:spacing w:after="0"/>
              <w:rPr>
                <w:sz w:val="20"/>
                <w:szCs w:val="20"/>
                <w:color w:val="auto"/>
              </w:rPr>
            </w:pPr>
            <w:r>
              <w:rPr>
                <w:rFonts w:ascii="Arial" w:cs="Arial" w:eastAsia="Arial" w:hAnsi="Arial"/>
                <w:sz w:val="14"/>
                <w:szCs w:val="14"/>
                <w:color w:val="auto"/>
              </w:rPr>
              <w:t>(111)</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75%</w:t>
            </w:r>
          </w:p>
        </w:tc>
        <w:tc>
          <w:tcPr>
            <w:tcW w:w="58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25%</w:t>
            </w:r>
          </w:p>
        </w:tc>
        <w:tc>
          <w:tcPr>
            <w:tcW w:w="9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74%</w:t>
            </w:r>
          </w:p>
        </w:tc>
        <w:tc>
          <w:tcPr>
            <w:tcW w:w="62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tcPr>
          <w:p>
            <w:pPr>
              <w:spacing w:after="0"/>
              <w:rPr>
                <w:sz w:val="5"/>
                <w:szCs w:val="5"/>
                <w:color w:val="auto"/>
              </w:rPr>
            </w:pPr>
          </w:p>
        </w:tc>
        <w:tc>
          <w:tcPr>
            <w:tcW w:w="68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Borders>
              <w:right w:val="single" w:sz="8" w:color="007CBA"/>
            </w:tcBorders>
          </w:tcPr>
          <w:p>
            <w:pPr>
              <w:spacing w:after="0"/>
              <w:rPr>
                <w:sz w:val="5"/>
                <w:szCs w:val="5"/>
                <w:color w:val="auto"/>
              </w:rPr>
            </w:pPr>
          </w:p>
        </w:tc>
        <w:tc>
          <w:tcPr>
            <w:tcW w:w="1040" w:type="dxa"/>
            <w:vAlign w:val="bottom"/>
            <w:tcBorders>
              <w:right w:val="single" w:sz="8" w:color="007CBA"/>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580" w:type="dxa"/>
            <w:vAlign w:val="bottom"/>
            <w:tcBorders>
              <w:right w:val="single" w:sz="8" w:color="007CBA"/>
            </w:tcBorders>
          </w:tcPr>
          <w:p>
            <w:pPr>
              <w:spacing w:after="0"/>
              <w:rPr>
                <w:sz w:val="5"/>
                <w:szCs w:val="5"/>
                <w:color w:val="auto"/>
              </w:rPr>
            </w:pPr>
          </w:p>
        </w:tc>
        <w:tc>
          <w:tcPr>
            <w:tcW w:w="9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Ohio***</w:t>
            </w:r>
          </w:p>
        </w:tc>
        <w:tc>
          <w:tcPr>
            <w:tcW w:w="68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11</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576,166</w:t>
            </w:r>
          </w:p>
        </w:tc>
        <w:tc>
          <w:tcPr>
            <w:tcW w:w="20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w w:val="98"/>
              </w:rPr>
              <w:t>117,978</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571,805</w:t>
            </w:r>
          </w:p>
        </w:tc>
        <w:tc>
          <w:tcPr>
            <w:tcW w:w="200" w:type="dxa"/>
            <w:vAlign w:val="bottom"/>
            <w:shd w:val="clear" w:color="auto" w:fill="E5F1F8"/>
          </w:tcPr>
          <w:p>
            <w:pPr>
              <w:spacing w:after="0"/>
              <w:rPr>
                <w:sz w:val="20"/>
                <w:szCs w:val="20"/>
                <w:color w:val="auto"/>
              </w:rPr>
            </w:pPr>
          </w:p>
        </w:tc>
        <w:tc>
          <w:tcPr>
            <w:tcW w:w="74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115,656</w:t>
            </w:r>
          </w:p>
        </w:tc>
        <w:tc>
          <w:tcPr>
            <w:tcW w:w="104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(4,362)</w:t>
            </w:r>
          </w:p>
        </w:tc>
        <w:tc>
          <w:tcPr>
            <w:tcW w:w="22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88"/>
              <w:spacing w:after="0"/>
              <w:rPr>
                <w:sz w:val="20"/>
                <w:szCs w:val="20"/>
                <w:color w:val="auto"/>
              </w:rPr>
            </w:pPr>
            <w:r>
              <w:rPr>
                <w:rFonts w:ascii="Arial" w:cs="Arial" w:eastAsia="Arial" w:hAnsi="Arial"/>
                <w:sz w:val="14"/>
                <w:szCs w:val="14"/>
                <w:color w:val="auto"/>
              </w:rPr>
              <w:t>(2,322)</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45%</w:t>
            </w:r>
          </w:p>
        </w:tc>
        <w:tc>
          <w:tcPr>
            <w:tcW w:w="58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55%</w:t>
            </w:r>
          </w:p>
        </w:tc>
        <w:tc>
          <w:tcPr>
            <w:tcW w:w="9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96%</w:t>
            </w:r>
          </w:p>
        </w:tc>
        <w:tc>
          <w:tcPr>
            <w:tcW w:w="620" w:type="dxa"/>
            <w:vAlign w:val="bottom"/>
            <w:shd w:val="clear" w:color="auto" w:fill="E5F1F8"/>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1040" w:type="dxa"/>
            <w:vAlign w:val="bottom"/>
            <w:tcBorders>
              <w:right w:val="single" w:sz="8" w:color="007CBA"/>
            </w:tcBorders>
            <w:shd w:val="clear" w:color="auto" w:fill="E5F1F8"/>
          </w:tcPr>
          <w:p>
            <w:pPr>
              <w:spacing w:after="0"/>
              <w:rPr>
                <w:sz w:val="5"/>
                <w:szCs w:val="5"/>
                <w:color w:val="auto"/>
              </w:rPr>
            </w:pPr>
          </w:p>
        </w:tc>
        <w:tc>
          <w:tcPr>
            <w:tcW w:w="22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9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62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Oklahoma</w:t>
            </w:r>
          </w:p>
        </w:tc>
        <w:tc>
          <w:tcPr>
            <w:tcW w:w="68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9</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1,203,406</w:t>
            </w:r>
          </w:p>
        </w:tc>
        <w:tc>
          <w:tcPr>
            <w:tcW w:w="20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11,892</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1,191,901</w:t>
            </w:r>
          </w:p>
        </w:tc>
        <w:tc>
          <w:tcPr>
            <w:tcW w:w="200" w:type="dxa"/>
            <w:vAlign w:val="bottom"/>
          </w:tcPr>
          <w:p>
            <w:pPr>
              <w:spacing w:after="0"/>
              <w:rPr>
                <w:sz w:val="20"/>
                <w:szCs w:val="20"/>
                <w:color w:val="auto"/>
              </w:rPr>
            </w:pPr>
          </w:p>
        </w:tc>
        <w:tc>
          <w:tcPr>
            <w:tcW w:w="74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11,647</w:t>
            </w:r>
          </w:p>
        </w:tc>
        <w:tc>
          <w:tcPr>
            <w:tcW w:w="1040" w:type="dxa"/>
            <w:vAlign w:val="bottom"/>
            <w:tcBorders>
              <w:right w:val="single" w:sz="8" w:color="007CBA"/>
            </w:tcBorders>
          </w:tcPr>
          <w:p>
            <w:pPr>
              <w:jc w:val="right"/>
              <w:ind w:right="69"/>
              <w:spacing w:after="0"/>
              <w:rPr>
                <w:sz w:val="20"/>
                <w:szCs w:val="20"/>
                <w:color w:val="auto"/>
              </w:rPr>
            </w:pPr>
            <w:r>
              <w:rPr>
                <w:rFonts w:ascii="Arial" w:cs="Arial" w:eastAsia="Arial" w:hAnsi="Arial"/>
                <w:sz w:val="14"/>
                <w:szCs w:val="14"/>
                <w:color w:val="auto"/>
              </w:rPr>
              <w:t>(11,505)</w:t>
            </w:r>
          </w:p>
        </w:tc>
        <w:tc>
          <w:tcPr>
            <w:tcW w:w="220" w:type="dxa"/>
            <w:vAlign w:val="bottom"/>
          </w:tcPr>
          <w:p>
            <w:pPr>
              <w:spacing w:after="0"/>
              <w:rPr>
                <w:sz w:val="20"/>
                <w:szCs w:val="20"/>
                <w:color w:val="auto"/>
              </w:rPr>
            </w:pPr>
          </w:p>
        </w:tc>
        <w:tc>
          <w:tcPr>
            <w:tcW w:w="720" w:type="dxa"/>
            <w:vAlign w:val="bottom"/>
            <w:tcBorders>
              <w:right w:val="single" w:sz="8" w:color="007CBA"/>
            </w:tcBorders>
          </w:tcPr>
          <w:p>
            <w:pPr>
              <w:jc w:val="right"/>
              <w:ind w:right="88"/>
              <w:spacing w:after="0"/>
              <w:rPr>
                <w:sz w:val="20"/>
                <w:szCs w:val="20"/>
                <w:color w:val="auto"/>
              </w:rPr>
            </w:pPr>
            <w:r>
              <w:rPr>
                <w:rFonts w:ascii="Arial" w:cs="Arial" w:eastAsia="Arial" w:hAnsi="Arial"/>
                <w:sz w:val="14"/>
                <w:szCs w:val="14"/>
                <w:color w:val="auto"/>
              </w:rPr>
              <w:t>(245)</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100%</w:t>
            </w:r>
          </w:p>
        </w:tc>
        <w:tc>
          <w:tcPr>
            <w:tcW w:w="58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86%</w:t>
            </w:r>
          </w:p>
        </w:tc>
        <w:tc>
          <w:tcPr>
            <w:tcW w:w="62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tcPr>
          <w:p>
            <w:pPr>
              <w:spacing w:after="0"/>
              <w:rPr>
                <w:sz w:val="5"/>
                <w:szCs w:val="5"/>
                <w:color w:val="auto"/>
              </w:rPr>
            </w:pPr>
          </w:p>
        </w:tc>
        <w:tc>
          <w:tcPr>
            <w:tcW w:w="68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Borders>
              <w:right w:val="single" w:sz="8" w:color="007CBA"/>
            </w:tcBorders>
          </w:tcPr>
          <w:p>
            <w:pPr>
              <w:spacing w:after="0"/>
              <w:rPr>
                <w:sz w:val="5"/>
                <w:szCs w:val="5"/>
                <w:color w:val="auto"/>
              </w:rPr>
            </w:pPr>
          </w:p>
        </w:tc>
        <w:tc>
          <w:tcPr>
            <w:tcW w:w="1040" w:type="dxa"/>
            <w:vAlign w:val="bottom"/>
            <w:tcBorders>
              <w:right w:val="single" w:sz="8" w:color="007CBA"/>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580" w:type="dxa"/>
            <w:vAlign w:val="bottom"/>
            <w:tcBorders>
              <w:right w:val="single" w:sz="8" w:color="007CBA"/>
            </w:tcBorders>
          </w:tcPr>
          <w:p>
            <w:pPr>
              <w:spacing w:after="0"/>
              <w:rPr>
                <w:sz w:val="5"/>
                <w:szCs w:val="5"/>
                <w:color w:val="auto"/>
              </w:rPr>
            </w:pPr>
          </w:p>
        </w:tc>
        <w:tc>
          <w:tcPr>
            <w:tcW w:w="9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Pennsylvania</w:t>
            </w:r>
          </w:p>
        </w:tc>
        <w:tc>
          <w:tcPr>
            <w:tcW w:w="68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1</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4,531</w:t>
            </w:r>
          </w:p>
        </w:tc>
        <w:tc>
          <w:tcPr>
            <w:tcW w:w="200" w:type="dxa"/>
            <w:vAlign w:val="bottom"/>
            <w:shd w:val="clear" w:color="auto" w:fill="E5F1F8"/>
          </w:tcPr>
          <w:p>
            <w:pPr>
              <w:spacing w:after="0"/>
              <w:rPr>
                <w:sz w:val="20"/>
                <w:szCs w:val="20"/>
                <w:color w:val="auto"/>
              </w:rPr>
            </w:pPr>
          </w:p>
        </w:tc>
        <w:tc>
          <w:tcPr>
            <w:tcW w:w="74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4,531</w:t>
            </w:r>
          </w:p>
        </w:tc>
        <w:tc>
          <w:tcPr>
            <w:tcW w:w="22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100%</w:t>
            </w:r>
          </w:p>
        </w:tc>
        <w:tc>
          <w:tcPr>
            <w:tcW w:w="58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E5F1F8"/>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1040" w:type="dxa"/>
            <w:vAlign w:val="bottom"/>
            <w:tcBorders>
              <w:right w:val="single" w:sz="8" w:color="007CBA"/>
            </w:tcBorders>
            <w:shd w:val="clear" w:color="auto" w:fill="E5F1F8"/>
          </w:tcPr>
          <w:p>
            <w:pPr>
              <w:spacing w:after="0"/>
              <w:rPr>
                <w:sz w:val="5"/>
                <w:szCs w:val="5"/>
                <w:color w:val="auto"/>
              </w:rPr>
            </w:pPr>
          </w:p>
        </w:tc>
        <w:tc>
          <w:tcPr>
            <w:tcW w:w="22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9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62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South Carolina</w:t>
            </w:r>
          </w:p>
        </w:tc>
        <w:tc>
          <w:tcPr>
            <w:tcW w:w="68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10</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707,437</w:t>
            </w:r>
          </w:p>
        </w:tc>
        <w:tc>
          <w:tcPr>
            <w:tcW w:w="20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27,481</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773,008</w:t>
            </w:r>
          </w:p>
        </w:tc>
        <w:tc>
          <w:tcPr>
            <w:tcW w:w="200" w:type="dxa"/>
            <w:vAlign w:val="bottom"/>
          </w:tcPr>
          <w:p>
            <w:pPr>
              <w:spacing w:after="0"/>
              <w:rPr>
                <w:sz w:val="20"/>
                <w:szCs w:val="20"/>
                <w:color w:val="auto"/>
              </w:rPr>
            </w:pPr>
          </w:p>
        </w:tc>
        <w:tc>
          <w:tcPr>
            <w:tcW w:w="74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77,893</w:t>
            </w:r>
          </w:p>
        </w:tc>
        <w:tc>
          <w:tcPr>
            <w:tcW w:w="10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65,571</w:t>
            </w:r>
          </w:p>
        </w:tc>
        <w:tc>
          <w:tcPr>
            <w:tcW w:w="22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50,412</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97%</w:t>
            </w:r>
          </w:p>
        </w:tc>
        <w:tc>
          <w:tcPr>
            <w:tcW w:w="58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w:t>
            </w:r>
          </w:p>
        </w:tc>
        <w:tc>
          <w:tcPr>
            <w:tcW w:w="9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82%</w:t>
            </w:r>
          </w:p>
        </w:tc>
        <w:tc>
          <w:tcPr>
            <w:tcW w:w="62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tcPr>
          <w:p>
            <w:pPr>
              <w:spacing w:after="0"/>
              <w:rPr>
                <w:sz w:val="5"/>
                <w:szCs w:val="5"/>
                <w:color w:val="auto"/>
              </w:rPr>
            </w:pPr>
          </w:p>
        </w:tc>
        <w:tc>
          <w:tcPr>
            <w:tcW w:w="68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Borders>
              <w:right w:val="single" w:sz="8" w:color="007CBA"/>
            </w:tcBorders>
          </w:tcPr>
          <w:p>
            <w:pPr>
              <w:spacing w:after="0"/>
              <w:rPr>
                <w:sz w:val="5"/>
                <w:szCs w:val="5"/>
                <w:color w:val="auto"/>
              </w:rPr>
            </w:pPr>
          </w:p>
        </w:tc>
        <w:tc>
          <w:tcPr>
            <w:tcW w:w="1040" w:type="dxa"/>
            <w:vAlign w:val="bottom"/>
            <w:tcBorders>
              <w:right w:val="single" w:sz="8" w:color="007CBA"/>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580" w:type="dxa"/>
            <w:vAlign w:val="bottom"/>
            <w:tcBorders>
              <w:right w:val="single" w:sz="8" w:color="007CBA"/>
            </w:tcBorders>
          </w:tcPr>
          <w:p>
            <w:pPr>
              <w:spacing w:after="0"/>
              <w:rPr>
                <w:sz w:val="5"/>
                <w:szCs w:val="5"/>
                <w:color w:val="auto"/>
              </w:rPr>
            </w:pPr>
          </w:p>
        </w:tc>
        <w:tc>
          <w:tcPr>
            <w:tcW w:w="9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Tennessee</w:t>
            </w:r>
          </w:p>
        </w:tc>
        <w:tc>
          <w:tcPr>
            <w:tcW w:w="68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2</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35,101</w:t>
            </w:r>
          </w:p>
        </w:tc>
        <w:tc>
          <w:tcPr>
            <w:tcW w:w="20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104,066</w:t>
            </w:r>
          </w:p>
        </w:tc>
        <w:tc>
          <w:tcPr>
            <w:tcW w:w="200" w:type="dxa"/>
            <w:vAlign w:val="bottom"/>
            <w:shd w:val="clear" w:color="auto" w:fill="E5F1F8"/>
          </w:tcPr>
          <w:p>
            <w:pPr>
              <w:spacing w:after="0"/>
              <w:rPr>
                <w:sz w:val="20"/>
                <w:szCs w:val="20"/>
                <w:color w:val="auto"/>
              </w:rPr>
            </w:pPr>
          </w:p>
        </w:tc>
        <w:tc>
          <w:tcPr>
            <w:tcW w:w="74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68,965</w:t>
            </w:r>
          </w:p>
        </w:tc>
        <w:tc>
          <w:tcPr>
            <w:tcW w:w="22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100%</w:t>
            </w:r>
          </w:p>
        </w:tc>
        <w:tc>
          <w:tcPr>
            <w:tcW w:w="58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36%</w:t>
            </w:r>
          </w:p>
        </w:tc>
        <w:tc>
          <w:tcPr>
            <w:tcW w:w="620" w:type="dxa"/>
            <w:vAlign w:val="bottom"/>
            <w:shd w:val="clear" w:color="auto" w:fill="E5F1F8"/>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1040" w:type="dxa"/>
            <w:vAlign w:val="bottom"/>
            <w:tcBorders>
              <w:right w:val="single" w:sz="8" w:color="007CBA"/>
            </w:tcBorders>
            <w:shd w:val="clear" w:color="auto" w:fill="E5F1F8"/>
          </w:tcPr>
          <w:p>
            <w:pPr>
              <w:spacing w:after="0"/>
              <w:rPr>
                <w:sz w:val="5"/>
                <w:szCs w:val="5"/>
                <w:color w:val="auto"/>
              </w:rPr>
            </w:pPr>
          </w:p>
        </w:tc>
        <w:tc>
          <w:tcPr>
            <w:tcW w:w="22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9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62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Texas****</w:t>
            </w:r>
          </w:p>
        </w:tc>
        <w:tc>
          <w:tcPr>
            <w:tcW w:w="68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25</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2,462,794</w:t>
            </w:r>
          </w:p>
        </w:tc>
        <w:tc>
          <w:tcPr>
            <w:tcW w:w="20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w w:val="98"/>
              </w:rPr>
              <w:t>125,561</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2,481,790</w:t>
            </w:r>
          </w:p>
        </w:tc>
        <w:tc>
          <w:tcPr>
            <w:tcW w:w="200" w:type="dxa"/>
            <w:vAlign w:val="bottom"/>
          </w:tcPr>
          <w:p>
            <w:pPr>
              <w:spacing w:after="0"/>
              <w:rPr>
                <w:sz w:val="20"/>
                <w:szCs w:val="20"/>
                <w:color w:val="auto"/>
              </w:rPr>
            </w:pPr>
          </w:p>
        </w:tc>
        <w:tc>
          <w:tcPr>
            <w:tcW w:w="74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137,278</w:t>
            </w:r>
          </w:p>
        </w:tc>
        <w:tc>
          <w:tcPr>
            <w:tcW w:w="10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18,996</w:t>
            </w:r>
          </w:p>
        </w:tc>
        <w:tc>
          <w:tcPr>
            <w:tcW w:w="22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11,717</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100%</w:t>
            </w:r>
          </w:p>
        </w:tc>
        <w:tc>
          <w:tcPr>
            <w:tcW w:w="58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60%</w:t>
            </w:r>
          </w:p>
        </w:tc>
        <w:tc>
          <w:tcPr>
            <w:tcW w:w="62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tcPr>
          <w:p>
            <w:pPr>
              <w:spacing w:after="0"/>
              <w:rPr>
                <w:sz w:val="5"/>
                <w:szCs w:val="5"/>
                <w:color w:val="auto"/>
              </w:rPr>
            </w:pPr>
          </w:p>
        </w:tc>
        <w:tc>
          <w:tcPr>
            <w:tcW w:w="68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Borders>
              <w:right w:val="single" w:sz="8" w:color="007CBA"/>
            </w:tcBorders>
          </w:tcPr>
          <w:p>
            <w:pPr>
              <w:spacing w:after="0"/>
              <w:rPr>
                <w:sz w:val="5"/>
                <w:szCs w:val="5"/>
                <w:color w:val="auto"/>
              </w:rPr>
            </w:pPr>
          </w:p>
        </w:tc>
        <w:tc>
          <w:tcPr>
            <w:tcW w:w="1040" w:type="dxa"/>
            <w:vAlign w:val="bottom"/>
            <w:tcBorders>
              <w:right w:val="single" w:sz="8" w:color="007CBA"/>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580" w:type="dxa"/>
            <w:vAlign w:val="bottom"/>
            <w:tcBorders>
              <w:right w:val="single" w:sz="8" w:color="007CBA"/>
            </w:tcBorders>
          </w:tcPr>
          <w:p>
            <w:pPr>
              <w:spacing w:after="0"/>
              <w:rPr>
                <w:sz w:val="5"/>
                <w:szCs w:val="5"/>
                <w:color w:val="auto"/>
              </w:rPr>
            </w:pPr>
          </w:p>
        </w:tc>
        <w:tc>
          <w:tcPr>
            <w:tcW w:w="9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Utah</w:t>
            </w:r>
          </w:p>
        </w:tc>
        <w:tc>
          <w:tcPr>
            <w:tcW w:w="68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1</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22,472</w:t>
            </w:r>
          </w:p>
        </w:tc>
        <w:tc>
          <w:tcPr>
            <w:tcW w:w="20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22,147</w:t>
            </w:r>
          </w:p>
        </w:tc>
        <w:tc>
          <w:tcPr>
            <w:tcW w:w="200" w:type="dxa"/>
            <w:vAlign w:val="bottom"/>
            <w:shd w:val="clear" w:color="auto" w:fill="E5F1F8"/>
          </w:tcPr>
          <w:p>
            <w:pPr>
              <w:spacing w:after="0"/>
              <w:rPr>
                <w:sz w:val="20"/>
                <w:szCs w:val="20"/>
                <w:color w:val="auto"/>
              </w:rPr>
            </w:pPr>
          </w:p>
        </w:tc>
        <w:tc>
          <w:tcPr>
            <w:tcW w:w="74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(324)</w:t>
            </w:r>
          </w:p>
        </w:tc>
        <w:tc>
          <w:tcPr>
            <w:tcW w:w="22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100%</w:t>
            </w:r>
          </w:p>
        </w:tc>
        <w:tc>
          <w:tcPr>
            <w:tcW w:w="58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0%</w:t>
            </w:r>
          </w:p>
        </w:tc>
        <w:tc>
          <w:tcPr>
            <w:tcW w:w="620" w:type="dxa"/>
            <w:vAlign w:val="bottom"/>
            <w:shd w:val="clear" w:color="auto" w:fill="E5F1F8"/>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1040" w:type="dxa"/>
            <w:vAlign w:val="bottom"/>
            <w:tcBorders>
              <w:right w:val="single" w:sz="8" w:color="007CBA"/>
            </w:tcBorders>
            <w:shd w:val="clear" w:color="auto" w:fill="E5F1F8"/>
          </w:tcPr>
          <w:p>
            <w:pPr>
              <w:spacing w:after="0"/>
              <w:rPr>
                <w:sz w:val="5"/>
                <w:szCs w:val="5"/>
                <w:color w:val="auto"/>
              </w:rPr>
            </w:pPr>
          </w:p>
        </w:tc>
        <w:tc>
          <w:tcPr>
            <w:tcW w:w="22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9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62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Virginia</w:t>
            </w:r>
          </w:p>
        </w:tc>
        <w:tc>
          <w:tcPr>
            <w:tcW w:w="68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5</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337,285</w:t>
            </w:r>
          </w:p>
        </w:tc>
        <w:tc>
          <w:tcPr>
            <w:tcW w:w="20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0</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333,860</w:t>
            </w:r>
          </w:p>
        </w:tc>
        <w:tc>
          <w:tcPr>
            <w:tcW w:w="200" w:type="dxa"/>
            <w:vAlign w:val="bottom"/>
          </w:tcPr>
          <w:p>
            <w:pPr>
              <w:spacing w:after="0"/>
              <w:rPr>
                <w:sz w:val="20"/>
                <w:szCs w:val="20"/>
                <w:color w:val="auto"/>
              </w:rPr>
            </w:pPr>
          </w:p>
        </w:tc>
        <w:tc>
          <w:tcPr>
            <w:tcW w:w="74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007CBA"/>
            </w:tcBorders>
          </w:tcPr>
          <w:p>
            <w:pPr>
              <w:jc w:val="right"/>
              <w:ind w:right="69"/>
              <w:spacing w:after="0"/>
              <w:rPr>
                <w:sz w:val="20"/>
                <w:szCs w:val="20"/>
                <w:color w:val="auto"/>
              </w:rPr>
            </w:pPr>
            <w:r>
              <w:rPr>
                <w:rFonts w:ascii="Arial" w:cs="Arial" w:eastAsia="Arial" w:hAnsi="Arial"/>
                <w:sz w:val="14"/>
                <w:szCs w:val="14"/>
                <w:color w:val="auto"/>
              </w:rPr>
              <w:t>(3,425)</w:t>
            </w:r>
          </w:p>
        </w:tc>
        <w:tc>
          <w:tcPr>
            <w:tcW w:w="22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0</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100%</w:t>
            </w:r>
          </w:p>
        </w:tc>
        <w:tc>
          <w:tcPr>
            <w:tcW w:w="58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60%</w:t>
            </w:r>
          </w:p>
        </w:tc>
        <w:tc>
          <w:tcPr>
            <w:tcW w:w="62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tcPr>
          <w:p>
            <w:pPr>
              <w:spacing w:after="0"/>
              <w:rPr>
                <w:sz w:val="5"/>
                <w:szCs w:val="5"/>
                <w:color w:val="auto"/>
              </w:rPr>
            </w:pPr>
          </w:p>
        </w:tc>
        <w:tc>
          <w:tcPr>
            <w:tcW w:w="68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Borders>
              <w:right w:val="single" w:sz="8" w:color="007CBA"/>
            </w:tcBorders>
          </w:tcPr>
          <w:p>
            <w:pPr>
              <w:spacing w:after="0"/>
              <w:rPr>
                <w:sz w:val="5"/>
                <w:szCs w:val="5"/>
                <w:color w:val="auto"/>
              </w:rPr>
            </w:pPr>
          </w:p>
        </w:tc>
        <w:tc>
          <w:tcPr>
            <w:tcW w:w="1040" w:type="dxa"/>
            <w:vAlign w:val="bottom"/>
            <w:tcBorders>
              <w:right w:val="single" w:sz="8" w:color="007CBA"/>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580" w:type="dxa"/>
            <w:vAlign w:val="bottom"/>
            <w:tcBorders>
              <w:right w:val="single" w:sz="8" w:color="007CBA"/>
            </w:tcBorders>
          </w:tcPr>
          <w:p>
            <w:pPr>
              <w:spacing w:after="0"/>
              <w:rPr>
                <w:sz w:val="5"/>
                <w:szCs w:val="5"/>
                <w:color w:val="auto"/>
              </w:rPr>
            </w:pPr>
          </w:p>
        </w:tc>
        <w:tc>
          <w:tcPr>
            <w:tcW w:w="9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Washington</w:t>
            </w:r>
          </w:p>
        </w:tc>
        <w:tc>
          <w:tcPr>
            <w:tcW w:w="68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2</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6,585</w:t>
            </w:r>
          </w:p>
        </w:tc>
        <w:tc>
          <w:tcPr>
            <w:tcW w:w="20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17,484</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6,274</w:t>
            </w:r>
          </w:p>
        </w:tc>
        <w:tc>
          <w:tcPr>
            <w:tcW w:w="200" w:type="dxa"/>
            <w:vAlign w:val="bottom"/>
            <w:shd w:val="clear" w:color="auto" w:fill="E5F1F8"/>
          </w:tcPr>
          <w:p>
            <w:pPr>
              <w:spacing w:after="0"/>
              <w:rPr>
                <w:sz w:val="20"/>
                <w:szCs w:val="20"/>
                <w:color w:val="auto"/>
              </w:rPr>
            </w:pPr>
          </w:p>
        </w:tc>
        <w:tc>
          <w:tcPr>
            <w:tcW w:w="74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17,097</w:t>
            </w:r>
          </w:p>
        </w:tc>
        <w:tc>
          <w:tcPr>
            <w:tcW w:w="104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(311)</w:t>
            </w:r>
          </w:p>
        </w:tc>
        <w:tc>
          <w:tcPr>
            <w:tcW w:w="22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88"/>
              <w:spacing w:after="0"/>
              <w:rPr>
                <w:sz w:val="20"/>
                <w:szCs w:val="20"/>
                <w:color w:val="auto"/>
              </w:rPr>
            </w:pPr>
            <w:r>
              <w:rPr>
                <w:rFonts w:ascii="Arial" w:cs="Arial" w:eastAsia="Arial" w:hAnsi="Arial"/>
                <w:sz w:val="14"/>
                <w:szCs w:val="14"/>
                <w:color w:val="auto"/>
              </w:rPr>
              <w:t>(386)</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100%</w:t>
            </w:r>
          </w:p>
        </w:tc>
        <w:tc>
          <w:tcPr>
            <w:tcW w:w="58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73%</w:t>
            </w:r>
          </w:p>
        </w:tc>
        <w:tc>
          <w:tcPr>
            <w:tcW w:w="620" w:type="dxa"/>
            <w:vAlign w:val="bottom"/>
            <w:shd w:val="clear" w:color="auto" w:fill="E5F1F8"/>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1040" w:type="dxa"/>
            <w:vAlign w:val="bottom"/>
            <w:tcBorders>
              <w:right w:val="single" w:sz="8" w:color="007CBA"/>
            </w:tcBorders>
            <w:shd w:val="clear" w:color="auto" w:fill="E5F1F8"/>
          </w:tcPr>
          <w:p>
            <w:pPr>
              <w:spacing w:after="0"/>
              <w:rPr>
                <w:sz w:val="5"/>
                <w:szCs w:val="5"/>
                <w:color w:val="auto"/>
              </w:rPr>
            </w:pPr>
          </w:p>
        </w:tc>
        <w:tc>
          <w:tcPr>
            <w:tcW w:w="22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9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62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West Virginia</w:t>
            </w:r>
          </w:p>
        </w:tc>
        <w:tc>
          <w:tcPr>
            <w:tcW w:w="68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1</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23,956</w:t>
            </w:r>
          </w:p>
        </w:tc>
        <w:tc>
          <w:tcPr>
            <w:tcW w:w="20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0</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color w:val="auto"/>
              </w:rPr>
              <w:t>23,243</w:t>
            </w:r>
          </w:p>
        </w:tc>
        <w:tc>
          <w:tcPr>
            <w:tcW w:w="200" w:type="dxa"/>
            <w:vAlign w:val="bottom"/>
          </w:tcPr>
          <w:p>
            <w:pPr>
              <w:spacing w:after="0"/>
              <w:rPr>
                <w:sz w:val="20"/>
                <w:szCs w:val="20"/>
                <w:color w:val="auto"/>
              </w:rPr>
            </w:pPr>
          </w:p>
        </w:tc>
        <w:tc>
          <w:tcPr>
            <w:tcW w:w="74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007CBA"/>
            </w:tcBorders>
          </w:tcPr>
          <w:p>
            <w:pPr>
              <w:jc w:val="right"/>
              <w:ind w:right="69"/>
              <w:spacing w:after="0"/>
              <w:rPr>
                <w:sz w:val="20"/>
                <w:szCs w:val="20"/>
                <w:color w:val="auto"/>
              </w:rPr>
            </w:pPr>
            <w:r>
              <w:rPr>
                <w:rFonts w:ascii="Arial" w:cs="Arial" w:eastAsia="Arial" w:hAnsi="Arial"/>
                <w:sz w:val="14"/>
                <w:szCs w:val="14"/>
                <w:color w:val="auto"/>
              </w:rPr>
              <w:t>(714)</w:t>
            </w:r>
          </w:p>
        </w:tc>
        <w:tc>
          <w:tcPr>
            <w:tcW w:w="22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color w:val="auto"/>
              </w:rPr>
              <w:t>0</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100%</w:t>
            </w:r>
          </w:p>
        </w:tc>
        <w:tc>
          <w:tcPr>
            <w:tcW w:w="58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color w:val="auto"/>
              </w:rPr>
              <w:t>79%</w:t>
            </w:r>
          </w:p>
        </w:tc>
        <w:tc>
          <w:tcPr>
            <w:tcW w:w="6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tcPr>
          <w:p>
            <w:pPr>
              <w:spacing w:after="0"/>
              <w:rPr>
                <w:sz w:val="5"/>
                <w:szCs w:val="5"/>
                <w:color w:val="auto"/>
              </w:rPr>
            </w:pPr>
          </w:p>
        </w:tc>
        <w:tc>
          <w:tcPr>
            <w:tcW w:w="68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Borders>
              <w:right w:val="single" w:sz="8" w:color="007CBA"/>
            </w:tcBorders>
          </w:tcPr>
          <w:p>
            <w:pPr>
              <w:spacing w:after="0"/>
              <w:rPr>
                <w:sz w:val="5"/>
                <w:szCs w:val="5"/>
                <w:color w:val="auto"/>
              </w:rPr>
            </w:pPr>
          </w:p>
        </w:tc>
        <w:tc>
          <w:tcPr>
            <w:tcW w:w="1040" w:type="dxa"/>
            <w:vAlign w:val="bottom"/>
            <w:tcBorders>
              <w:right w:val="single" w:sz="8" w:color="007CBA"/>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580" w:type="dxa"/>
            <w:vAlign w:val="bottom"/>
            <w:tcBorders>
              <w:right w:val="single" w:sz="8" w:color="007CBA"/>
            </w:tcBorders>
          </w:tcPr>
          <w:p>
            <w:pPr>
              <w:spacing w:after="0"/>
              <w:rPr>
                <w:sz w:val="5"/>
                <w:szCs w:val="5"/>
                <w:color w:val="auto"/>
              </w:rPr>
            </w:pPr>
          </w:p>
        </w:tc>
        <w:tc>
          <w:tcPr>
            <w:tcW w:w="9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Wyoming</w:t>
            </w:r>
          </w:p>
        </w:tc>
        <w:tc>
          <w:tcPr>
            <w:tcW w:w="68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2</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156,891</w:t>
            </w:r>
          </w:p>
        </w:tc>
        <w:tc>
          <w:tcPr>
            <w:tcW w:w="20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153,092</w:t>
            </w:r>
          </w:p>
        </w:tc>
        <w:tc>
          <w:tcPr>
            <w:tcW w:w="200" w:type="dxa"/>
            <w:vAlign w:val="bottom"/>
            <w:shd w:val="clear" w:color="auto" w:fill="E5F1F8"/>
          </w:tcPr>
          <w:p>
            <w:pPr>
              <w:spacing w:after="0"/>
              <w:rPr>
                <w:sz w:val="20"/>
                <w:szCs w:val="20"/>
                <w:color w:val="auto"/>
              </w:rPr>
            </w:pPr>
          </w:p>
        </w:tc>
        <w:tc>
          <w:tcPr>
            <w:tcW w:w="74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(3,799)</w:t>
            </w:r>
          </w:p>
        </w:tc>
        <w:tc>
          <w:tcPr>
            <w:tcW w:w="22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100%</w:t>
            </w:r>
          </w:p>
        </w:tc>
        <w:tc>
          <w:tcPr>
            <w:tcW w:w="58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42%</w:t>
            </w:r>
          </w:p>
        </w:tc>
        <w:tc>
          <w:tcPr>
            <w:tcW w:w="620" w:type="dxa"/>
            <w:vAlign w:val="bottom"/>
            <w:shd w:val="clear" w:color="auto" w:fill="E5F1F8"/>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1040" w:type="dxa"/>
            <w:vAlign w:val="bottom"/>
            <w:tcBorders>
              <w:right w:val="single" w:sz="8" w:color="007CBA"/>
            </w:tcBorders>
            <w:shd w:val="clear" w:color="auto" w:fill="E5F1F8"/>
          </w:tcPr>
          <w:p>
            <w:pPr>
              <w:spacing w:after="0"/>
              <w:rPr>
                <w:sz w:val="5"/>
                <w:szCs w:val="5"/>
                <w:color w:val="auto"/>
              </w:rPr>
            </w:pPr>
          </w:p>
        </w:tc>
        <w:tc>
          <w:tcPr>
            <w:tcW w:w="22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9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62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tcPr>
          <w:p>
            <w:pPr>
              <w:ind w:left="80"/>
              <w:spacing w:after="0"/>
              <w:rPr>
                <w:sz w:val="20"/>
                <w:szCs w:val="20"/>
                <w:color w:val="auto"/>
              </w:rPr>
            </w:pPr>
            <w:r>
              <w:rPr>
                <w:rFonts w:ascii="Arial" w:cs="Arial" w:eastAsia="Arial" w:hAnsi="Arial"/>
                <w:sz w:val="14"/>
                <w:szCs w:val="14"/>
                <w:b w:val="1"/>
                <w:bCs w:val="1"/>
                <w:color w:val="auto"/>
              </w:rPr>
              <w:t>U. S. Total</w:t>
            </w:r>
          </w:p>
        </w:tc>
        <w:tc>
          <w:tcPr>
            <w:tcW w:w="68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b w:val="1"/>
                <w:bCs w:val="1"/>
                <w:color w:val="auto"/>
              </w:rPr>
              <w:t>213</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b w:val="1"/>
                <w:bCs w:val="1"/>
                <w:color w:val="auto"/>
              </w:rPr>
              <w:t>14,499,731</w:t>
            </w:r>
          </w:p>
        </w:tc>
        <w:tc>
          <w:tcPr>
            <w:tcW w:w="20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b w:val="1"/>
                <w:bCs w:val="1"/>
                <w:color w:val="auto"/>
                <w:w w:val="98"/>
              </w:rPr>
              <w:t>576,386</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b w:val="1"/>
                <w:bCs w:val="1"/>
                <w:color w:val="auto"/>
              </w:rPr>
              <w:t>15,809,851</w:t>
            </w:r>
          </w:p>
        </w:tc>
        <w:tc>
          <w:tcPr>
            <w:tcW w:w="200" w:type="dxa"/>
            <w:vAlign w:val="bottom"/>
          </w:tcPr>
          <w:p>
            <w:pPr>
              <w:spacing w:after="0"/>
              <w:rPr>
                <w:sz w:val="20"/>
                <w:szCs w:val="20"/>
                <w:color w:val="auto"/>
              </w:rPr>
            </w:pPr>
          </w:p>
        </w:tc>
        <w:tc>
          <w:tcPr>
            <w:tcW w:w="74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b w:val="1"/>
                <w:bCs w:val="1"/>
                <w:color w:val="auto"/>
              </w:rPr>
              <w:t>721,427</w:t>
            </w:r>
          </w:p>
        </w:tc>
        <w:tc>
          <w:tcPr>
            <w:tcW w:w="10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b w:val="1"/>
                <w:bCs w:val="1"/>
                <w:color w:val="auto"/>
              </w:rPr>
              <w:t>1,310,120</w:t>
            </w:r>
          </w:p>
        </w:tc>
        <w:tc>
          <w:tcPr>
            <w:tcW w:w="22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b w:val="1"/>
                <w:bCs w:val="1"/>
                <w:color w:val="auto"/>
                <w:w w:val="98"/>
              </w:rPr>
              <w:t>145,041</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91%</w:t>
            </w:r>
          </w:p>
        </w:tc>
        <w:tc>
          <w:tcPr>
            <w:tcW w:w="58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b w:val="1"/>
                <w:bCs w:val="1"/>
                <w:color w:val="auto"/>
              </w:rPr>
              <w:t>9%</w:t>
            </w:r>
          </w:p>
        </w:tc>
        <w:tc>
          <w:tcPr>
            <w:tcW w:w="920" w:type="dxa"/>
            <w:vAlign w:val="bottom"/>
            <w:tcBorders>
              <w:right w:val="single" w:sz="8" w:color="007CBA"/>
            </w:tcBorders>
          </w:tcPr>
          <w:p>
            <w:pPr>
              <w:jc w:val="center"/>
              <w:spacing w:after="0"/>
              <w:rPr>
                <w:sz w:val="20"/>
                <w:szCs w:val="20"/>
                <w:color w:val="auto"/>
              </w:rPr>
            </w:pPr>
            <w:r>
              <w:rPr>
                <w:rFonts w:ascii="Arial" w:cs="Arial" w:eastAsia="Arial" w:hAnsi="Arial"/>
                <w:sz w:val="14"/>
                <w:szCs w:val="14"/>
                <w:b w:val="1"/>
                <w:bCs w:val="1"/>
                <w:color w:val="auto"/>
                <w:w w:val="98"/>
              </w:rPr>
              <w:t>0%</w:t>
            </w:r>
          </w:p>
        </w:tc>
        <w:tc>
          <w:tcPr>
            <w:tcW w:w="64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67%</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tcPr>
          <w:p>
            <w:pPr>
              <w:spacing w:after="0"/>
              <w:rPr>
                <w:sz w:val="5"/>
                <w:szCs w:val="5"/>
                <w:color w:val="auto"/>
              </w:rPr>
            </w:pPr>
          </w:p>
        </w:tc>
        <w:tc>
          <w:tcPr>
            <w:tcW w:w="68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1140" w:type="dxa"/>
            <w:vAlign w:val="bottom"/>
            <w:tcBorders>
              <w:right w:val="single" w:sz="8" w:color="007CBA"/>
            </w:tcBorders>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Borders>
              <w:right w:val="single" w:sz="8" w:color="007CBA"/>
            </w:tcBorders>
          </w:tcPr>
          <w:p>
            <w:pPr>
              <w:spacing w:after="0"/>
              <w:rPr>
                <w:sz w:val="5"/>
                <w:szCs w:val="5"/>
                <w:color w:val="auto"/>
              </w:rPr>
            </w:pPr>
          </w:p>
        </w:tc>
        <w:tc>
          <w:tcPr>
            <w:tcW w:w="1040" w:type="dxa"/>
            <w:vAlign w:val="bottom"/>
            <w:tcBorders>
              <w:right w:val="single" w:sz="8" w:color="007CBA"/>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580" w:type="dxa"/>
            <w:vAlign w:val="bottom"/>
            <w:tcBorders>
              <w:right w:val="single" w:sz="8" w:color="007CBA"/>
            </w:tcBorders>
          </w:tcPr>
          <w:p>
            <w:pPr>
              <w:spacing w:after="0"/>
              <w:rPr>
                <w:sz w:val="5"/>
                <w:szCs w:val="5"/>
                <w:color w:val="auto"/>
              </w:rPr>
            </w:pPr>
          </w:p>
        </w:tc>
        <w:tc>
          <w:tcPr>
            <w:tcW w:w="920" w:type="dxa"/>
            <w:vAlign w:val="bottom"/>
            <w:tcBorders>
              <w:right w:val="single" w:sz="8" w:color="007CBA"/>
            </w:tcBorders>
          </w:tcPr>
          <w:p>
            <w:pPr>
              <w:spacing w:after="0"/>
              <w:rPr>
                <w:sz w:val="5"/>
                <w:szCs w:val="5"/>
                <w:color w:val="auto"/>
              </w:rPr>
            </w:pPr>
          </w:p>
        </w:tc>
        <w:tc>
          <w:tcPr>
            <w:tcW w:w="640" w:type="dxa"/>
            <w:vAlign w:val="bottom"/>
            <w:tcBorders>
              <w:right w:val="single" w:sz="8" w:color="007CBA"/>
            </w:tcBorders>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Non-U. S.</w:t>
            </w:r>
          </w:p>
        </w:tc>
        <w:tc>
          <w:tcPr>
            <w:tcW w:w="68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2</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848,190</w:t>
            </w:r>
          </w:p>
        </w:tc>
        <w:tc>
          <w:tcPr>
            <w:tcW w:w="20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1140" w:type="dxa"/>
            <w:vAlign w:val="bottom"/>
            <w:tcBorders>
              <w:right w:val="single" w:sz="8" w:color="007CBA"/>
            </w:tcBorders>
            <w:shd w:val="clear" w:color="auto" w:fill="E5F1F8"/>
          </w:tcPr>
          <w:p>
            <w:pPr>
              <w:jc w:val="right"/>
              <w:ind w:right="129"/>
              <w:spacing w:after="0"/>
              <w:rPr>
                <w:sz w:val="20"/>
                <w:szCs w:val="20"/>
                <w:color w:val="auto"/>
              </w:rPr>
            </w:pPr>
            <w:r>
              <w:rPr>
                <w:rFonts w:ascii="Arial" w:cs="Arial" w:eastAsia="Arial" w:hAnsi="Arial"/>
                <w:sz w:val="14"/>
                <w:szCs w:val="14"/>
                <w:color w:val="auto"/>
              </w:rPr>
              <w:t>840,939</w:t>
            </w:r>
          </w:p>
        </w:tc>
        <w:tc>
          <w:tcPr>
            <w:tcW w:w="200" w:type="dxa"/>
            <w:vAlign w:val="bottom"/>
            <w:shd w:val="clear" w:color="auto" w:fill="E5F1F8"/>
          </w:tcPr>
          <w:p>
            <w:pPr>
              <w:spacing w:after="0"/>
              <w:rPr>
                <w:sz w:val="20"/>
                <w:szCs w:val="20"/>
                <w:color w:val="auto"/>
              </w:rPr>
            </w:pPr>
          </w:p>
        </w:tc>
        <w:tc>
          <w:tcPr>
            <w:tcW w:w="74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007CBA"/>
            </w:tcBorders>
            <w:shd w:val="clear" w:color="auto" w:fill="E5F1F8"/>
          </w:tcPr>
          <w:p>
            <w:pPr>
              <w:jc w:val="right"/>
              <w:ind w:right="69"/>
              <w:spacing w:after="0"/>
              <w:rPr>
                <w:sz w:val="20"/>
                <w:szCs w:val="20"/>
                <w:color w:val="auto"/>
              </w:rPr>
            </w:pPr>
            <w:r>
              <w:rPr>
                <w:rFonts w:ascii="Arial" w:cs="Arial" w:eastAsia="Arial" w:hAnsi="Arial"/>
                <w:sz w:val="14"/>
                <w:szCs w:val="14"/>
                <w:color w:val="auto"/>
              </w:rPr>
              <w:t>(7,251)</w:t>
            </w:r>
          </w:p>
        </w:tc>
        <w:tc>
          <w:tcPr>
            <w:tcW w:w="220" w:type="dxa"/>
            <w:vAlign w:val="bottom"/>
            <w:shd w:val="clear" w:color="auto" w:fill="E5F1F8"/>
          </w:tcPr>
          <w:p>
            <w:pPr>
              <w:spacing w:after="0"/>
              <w:rPr>
                <w:sz w:val="20"/>
                <w:szCs w:val="20"/>
                <w:color w:val="auto"/>
              </w:rPr>
            </w:pPr>
          </w:p>
        </w:tc>
        <w:tc>
          <w:tcPr>
            <w:tcW w:w="720" w:type="dxa"/>
            <w:vAlign w:val="bottom"/>
            <w:tcBorders>
              <w:right w:val="single" w:sz="8" w:color="007CBA"/>
            </w:tcBorders>
            <w:shd w:val="clear" w:color="auto" w:fill="E5F1F8"/>
          </w:tcPr>
          <w:p>
            <w:pPr>
              <w:jc w:val="right"/>
              <w:ind w:right="128"/>
              <w:spacing w:after="0"/>
              <w:rPr>
                <w:sz w:val="20"/>
                <w:szCs w:val="20"/>
                <w:color w:val="auto"/>
              </w:rPr>
            </w:pPr>
            <w:r>
              <w:rPr>
                <w:rFonts w:ascii="Arial" w:cs="Arial" w:eastAsia="Arial" w:hAnsi="Arial"/>
                <w:sz w:val="14"/>
                <w:szCs w:val="14"/>
                <w:color w:val="auto"/>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100%</w:t>
            </w:r>
          </w:p>
        </w:tc>
        <w:tc>
          <w:tcPr>
            <w:tcW w:w="58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0%</w:t>
            </w:r>
          </w:p>
        </w:tc>
        <w:tc>
          <w:tcPr>
            <w:tcW w:w="9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w w:val="98"/>
              </w:rPr>
              <w:t>0%</w:t>
            </w:r>
          </w:p>
        </w:tc>
        <w:tc>
          <w:tcPr>
            <w:tcW w:w="6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E5F1F8"/>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6"/>
        </w:trPr>
        <w:tc>
          <w:tcPr>
            <w:tcW w:w="124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114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1040" w:type="dxa"/>
            <w:vAlign w:val="bottom"/>
            <w:tcBorders>
              <w:right w:val="single" w:sz="8" w:color="007CBA"/>
            </w:tcBorders>
            <w:shd w:val="clear" w:color="auto" w:fill="E5F1F8"/>
          </w:tcPr>
          <w:p>
            <w:pPr>
              <w:spacing w:after="0"/>
              <w:rPr>
                <w:sz w:val="5"/>
                <w:szCs w:val="5"/>
                <w:color w:val="auto"/>
              </w:rPr>
            </w:pPr>
          </w:p>
        </w:tc>
        <w:tc>
          <w:tcPr>
            <w:tcW w:w="220" w:type="dxa"/>
            <w:vAlign w:val="bottom"/>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920" w:type="dxa"/>
            <w:vAlign w:val="bottom"/>
            <w:tcBorders>
              <w:right w:val="single" w:sz="8" w:color="007CBA"/>
            </w:tcBorders>
            <w:shd w:val="clear" w:color="auto" w:fill="E5F1F8"/>
          </w:tcPr>
          <w:p>
            <w:pPr>
              <w:spacing w:after="0"/>
              <w:rPr>
                <w:sz w:val="5"/>
                <w:szCs w:val="5"/>
                <w:color w:val="auto"/>
              </w:rPr>
            </w:pPr>
          </w:p>
        </w:tc>
        <w:tc>
          <w:tcPr>
            <w:tcW w:w="640" w:type="dxa"/>
            <w:vAlign w:val="bottom"/>
            <w:tcBorders>
              <w:right w:val="single" w:sz="8" w:color="007CBA"/>
            </w:tcBorders>
            <w:shd w:val="clear" w:color="auto" w:fill="E5F1F8"/>
          </w:tcPr>
          <w:p>
            <w:pPr>
              <w:spacing w:after="0"/>
              <w:rPr>
                <w:sz w:val="5"/>
                <w:szCs w:val="5"/>
                <w:color w:val="auto"/>
              </w:rPr>
            </w:pPr>
          </w:p>
        </w:tc>
        <w:tc>
          <w:tcPr>
            <w:tcW w:w="62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240" w:type="dxa"/>
            <w:vAlign w:val="bottom"/>
            <w:tcBorders>
              <w:right w:val="single" w:sz="8" w:color="007CBA"/>
            </w:tcBorders>
          </w:tcPr>
          <w:p>
            <w:pPr>
              <w:ind w:left="80"/>
              <w:spacing w:after="0"/>
              <w:rPr>
                <w:sz w:val="20"/>
                <w:szCs w:val="20"/>
                <w:color w:val="auto"/>
              </w:rPr>
            </w:pPr>
            <w:r>
              <w:rPr>
                <w:rFonts w:ascii="Arial" w:cs="Arial" w:eastAsia="Arial" w:hAnsi="Arial"/>
                <w:sz w:val="14"/>
                <w:szCs w:val="14"/>
                <w:b w:val="1"/>
                <w:bCs w:val="1"/>
                <w:color w:val="auto"/>
              </w:rPr>
              <w:t>Grand Total</w:t>
            </w:r>
          </w:p>
        </w:tc>
        <w:tc>
          <w:tcPr>
            <w:tcW w:w="68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b w:val="1"/>
                <w:bCs w:val="1"/>
                <w:color w:val="auto"/>
              </w:rPr>
              <w:t>215</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b w:val="1"/>
                <w:bCs w:val="1"/>
                <w:color w:val="auto"/>
              </w:rPr>
              <w:t>15,347,920</w:t>
            </w:r>
          </w:p>
        </w:tc>
        <w:tc>
          <w:tcPr>
            <w:tcW w:w="20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b w:val="1"/>
                <w:bCs w:val="1"/>
                <w:color w:val="auto"/>
                <w:w w:val="98"/>
              </w:rPr>
              <w:t>576,386</w:t>
            </w:r>
          </w:p>
        </w:tc>
        <w:tc>
          <w:tcPr>
            <w:tcW w:w="11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b w:val="1"/>
                <w:bCs w:val="1"/>
                <w:color w:val="auto"/>
              </w:rPr>
              <w:t>16,650,790</w:t>
            </w:r>
          </w:p>
        </w:tc>
        <w:tc>
          <w:tcPr>
            <w:tcW w:w="200" w:type="dxa"/>
            <w:vAlign w:val="bottom"/>
          </w:tcPr>
          <w:p>
            <w:pPr>
              <w:spacing w:after="0"/>
              <w:rPr>
                <w:sz w:val="20"/>
                <w:szCs w:val="20"/>
                <w:color w:val="auto"/>
              </w:rPr>
            </w:pPr>
          </w:p>
        </w:tc>
        <w:tc>
          <w:tcPr>
            <w:tcW w:w="74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b w:val="1"/>
                <w:bCs w:val="1"/>
                <w:color w:val="auto"/>
              </w:rPr>
              <w:t>721,427</w:t>
            </w:r>
          </w:p>
        </w:tc>
        <w:tc>
          <w:tcPr>
            <w:tcW w:w="1040" w:type="dxa"/>
            <w:vAlign w:val="bottom"/>
            <w:tcBorders>
              <w:right w:val="single" w:sz="8" w:color="007CBA"/>
            </w:tcBorders>
          </w:tcPr>
          <w:p>
            <w:pPr>
              <w:jc w:val="right"/>
              <w:ind w:right="129"/>
              <w:spacing w:after="0"/>
              <w:rPr>
                <w:sz w:val="20"/>
                <w:szCs w:val="20"/>
                <w:color w:val="auto"/>
              </w:rPr>
            </w:pPr>
            <w:r>
              <w:rPr>
                <w:rFonts w:ascii="Arial" w:cs="Arial" w:eastAsia="Arial" w:hAnsi="Arial"/>
                <w:sz w:val="14"/>
                <w:szCs w:val="14"/>
                <w:b w:val="1"/>
                <w:bCs w:val="1"/>
                <w:color w:val="auto"/>
              </w:rPr>
              <w:t>1,302,869</w:t>
            </w:r>
          </w:p>
        </w:tc>
        <w:tc>
          <w:tcPr>
            <w:tcW w:w="220" w:type="dxa"/>
            <w:vAlign w:val="bottom"/>
          </w:tcPr>
          <w:p>
            <w:pPr>
              <w:spacing w:after="0"/>
              <w:rPr>
                <w:sz w:val="20"/>
                <w:szCs w:val="20"/>
                <w:color w:val="auto"/>
              </w:rPr>
            </w:pPr>
          </w:p>
        </w:tc>
        <w:tc>
          <w:tcPr>
            <w:tcW w:w="720" w:type="dxa"/>
            <w:vAlign w:val="bottom"/>
            <w:tcBorders>
              <w:right w:val="single" w:sz="8" w:color="007CBA"/>
            </w:tcBorders>
          </w:tcPr>
          <w:p>
            <w:pPr>
              <w:jc w:val="right"/>
              <w:ind w:right="128"/>
              <w:spacing w:after="0"/>
              <w:rPr>
                <w:sz w:val="20"/>
                <w:szCs w:val="20"/>
                <w:color w:val="auto"/>
              </w:rPr>
            </w:pPr>
            <w:r>
              <w:rPr>
                <w:rFonts w:ascii="Arial" w:cs="Arial" w:eastAsia="Arial" w:hAnsi="Arial"/>
                <w:sz w:val="14"/>
                <w:szCs w:val="14"/>
                <w:b w:val="1"/>
                <w:bCs w:val="1"/>
                <w:color w:val="auto"/>
                <w:w w:val="98"/>
              </w:rPr>
              <w:t>145,041</w:t>
            </w:r>
          </w:p>
        </w:tc>
        <w:tc>
          <w:tcPr>
            <w:tcW w:w="640" w:type="dxa"/>
            <w:vAlign w:val="bottom"/>
            <w:tcBorders>
              <w:right w:val="single" w:sz="8" w:color="007CBA"/>
            </w:tcBorders>
          </w:tcPr>
          <w:p>
            <w:pPr>
              <w:spacing w:after="0"/>
              <w:rPr>
                <w:sz w:val="20"/>
                <w:szCs w:val="20"/>
                <w:color w:val="auto"/>
              </w:rPr>
            </w:pPr>
          </w:p>
        </w:tc>
        <w:tc>
          <w:tcPr>
            <w:tcW w:w="580" w:type="dxa"/>
            <w:vAlign w:val="bottom"/>
            <w:tcBorders>
              <w:right w:val="single" w:sz="8" w:color="007CBA"/>
            </w:tcBorders>
          </w:tcPr>
          <w:p>
            <w:pPr>
              <w:spacing w:after="0"/>
              <w:rPr>
                <w:sz w:val="20"/>
                <w:szCs w:val="20"/>
                <w:color w:val="auto"/>
              </w:rPr>
            </w:pPr>
          </w:p>
        </w:tc>
        <w:tc>
          <w:tcPr>
            <w:tcW w:w="920" w:type="dxa"/>
            <w:vAlign w:val="bottom"/>
            <w:tcBorders>
              <w:right w:val="single" w:sz="8" w:color="007CBA"/>
            </w:tcBorders>
          </w:tcPr>
          <w:p>
            <w:pPr>
              <w:spacing w:after="0"/>
              <w:rPr>
                <w:sz w:val="20"/>
                <w:szCs w:val="20"/>
                <w:color w:val="auto"/>
              </w:rPr>
            </w:pPr>
          </w:p>
        </w:tc>
        <w:tc>
          <w:tcPr>
            <w:tcW w:w="640" w:type="dxa"/>
            <w:vAlign w:val="bottom"/>
            <w:tcBorders>
              <w:right w:val="single" w:sz="8" w:color="007CBA"/>
            </w:tcBorders>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1240" w:type="dxa"/>
            <w:vAlign w:val="bottom"/>
            <w:tcBorders>
              <w:bottom w:val="single" w:sz="8" w:color="007CBA"/>
              <w:right w:val="single" w:sz="8" w:color="007CBA"/>
            </w:tcBorders>
          </w:tcPr>
          <w:p>
            <w:pPr>
              <w:spacing w:after="0"/>
              <w:rPr>
                <w:sz w:val="3"/>
                <w:szCs w:val="3"/>
                <w:color w:val="auto"/>
              </w:rPr>
            </w:pPr>
          </w:p>
        </w:tc>
        <w:tc>
          <w:tcPr>
            <w:tcW w:w="680" w:type="dxa"/>
            <w:vAlign w:val="bottom"/>
            <w:tcBorders>
              <w:bottom w:val="single" w:sz="8" w:color="007CBA"/>
              <w:right w:val="single" w:sz="8" w:color="007CBA"/>
            </w:tcBorders>
          </w:tcPr>
          <w:p>
            <w:pPr>
              <w:spacing w:after="0"/>
              <w:rPr>
                <w:sz w:val="3"/>
                <w:szCs w:val="3"/>
                <w:color w:val="auto"/>
              </w:rPr>
            </w:pPr>
          </w:p>
        </w:tc>
        <w:tc>
          <w:tcPr>
            <w:tcW w:w="1140" w:type="dxa"/>
            <w:vAlign w:val="bottom"/>
            <w:tcBorders>
              <w:bottom w:val="single" w:sz="8" w:color="007CBA"/>
              <w:right w:val="single" w:sz="8" w:color="007CBA"/>
            </w:tcBorders>
          </w:tcPr>
          <w:p>
            <w:pPr>
              <w:spacing w:after="0"/>
              <w:rPr>
                <w:sz w:val="3"/>
                <w:szCs w:val="3"/>
                <w:color w:val="auto"/>
              </w:rPr>
            </w:pPr>
          </w:p>
        </w:tc>
        <w:tc>
          <w:tcPr>
            <w:tcW w:w="200" w:type="dxa"/>
            <w:vAlign w:val="bottom"/>
            <w:tcBorders>
              <w:bottom w:val="single" w:sz="8" w:color="007CBA"/>
            </w:tcBorders>
          </w:tcPr>
          <w:p>
            <w:pPr>
              <w:spacing w:after="0"/>
              <w:rPr>
                <w:sz w:val="3"/>
                <w:szCs w:val="3"/>
                <w:color w:val="auto"/>
              </w:rPr>
            </w:pPr>
          </w:p>
        </w:tc>
        <w:tc>
          <w:tcPr>
            <w:tcW w:w="720" w:type="dxa"/>
            <w:vAlign w:val="bottom"/>
            <w:tcBorders>
              <w:bottom w:val="single" w:sz="8" w:color="007CBA"/>
              <w:right w:val="single" w:sz="8" w:color="007CBA"/>
            </w:tcBorders>
          </w:tcPr>
          <w:p>
            <w:pPr>
              <w:spacing w:after="0"/>
              <w:rPr>
                <w:sz w:val="3"/>
                <w:szCs w:val="3"/>
                <w:color w:val="auto"/>
              </w:rPr>
            </w:pPr>
          </w:p>
        </w:tc>
        <w:tc>
          <w:tcPr>
            <w:tcW w:w="1140" w:type="dxa"/>
            <w:vAlign w:val="bottom"/>
            <w:tcBorders>
              <w:bottom w:val="single" w:sz="8" w:color="007CBA"/>
              <w:right w:val="single" w:sz="8" w:color="007CBA"/>
            </w:tcBorders>
          </w:tcPr>
          <w:p>
            <w:pPr>
              <w:spacing w:after="0"/>
              <w:rPr>
                <w:sz w:val="3"/>
                <w:szCs w:val="3"/>
                <w:color w:val="auto"/>
              </w:rPr>
            </w:pPr>
          </w:p>
        </w:tc>
        <w:tc>
          <w:tcPr>
            <w:tcW w:w="200" w:type="dxa"/>
            <w:vAlign w:val="bottom"/>
            <w:tcBorders>
              <w:bottom w:val="single" w:sz="8" w:color="007CBA"/>
            </w:tcBorders>
          </w:tcPr>
          <w:p>
            <w:pPr>
              <w:spacing w:after="0"/>
              <w:rPr>
                <w:sz w:val="3"/>
                <w:szCs w:val="3"/>
                <w:color w:val="auto"/>
              </w:rPr>
            </w:pPr>
          </w:p>
        </w:tc>
        <w:tc>
          <w:tcPr>
            <w:tcW w:w="740" w:type="dxa"/>
            <w:vAlign w:val="bottom"/>
            <w:tcBorders>
              <w:bottom w:val="single" w:sz="8" w:color="007CBA"/>
              <w:right w:val="single" w:sz="8" w:color="007CBA"/>
            </w:tcBorders>
          </w:tcPr>
          <w:p>
            <w:pPr>
              <w:spacing w:after="0"/>
              <w:rPr>
                <w:sz w:val="3"/>
                <w:szCs w:val="3"/>
                <w:color w:val="auto"/>
              </w:rPr>
            </w:pPr>
          </w:p>
        </w:tc>
        <w:tc>
          <w:tcPr>
            <w:tcW w:w="1040" w:type="dxa"/>
            <w:vAlign w:val="bottom"/>
            <w:tcBorders>
              <w:bottom w:val="single" w:sz="8" w:color="007CBA"/>
              <w:right w:val="single" w:sz="8" w:color="007CBA"/>
            </w:tcBorders>
          </w:tcPr>
          <w:p>
            <w:pPr>
              <w:spacing w:after="0"/>
              <w:rPr>
                <w:sz w:val="3"/>
                <w:szCs w:val="3"/>
                <w:color w:val="auto"/>
              </w:rPr>
            </w:pPr>
          </w:p>
        </w:tc>
        <w:tc>
          <w:tcPr>
            <w:tcW w:w="220" w:type="dxa"/>
            <w:vAlign w:val="bottom"/>
            <w:tcBorders>
              <w:bottom w:val="single" w:sz="8" w:color="007CBA"/>
            </w:tcBorders>
          </w:tcPr>
          <w:p>
            <w:pPr>
              <w:spacing w:after="0"/>
              <w:rPr>
                <w:sz w:val="3"/>
                <w:szCs w:val="3"/>
                <w:color w:val="auto"/>
              </w:rPr>
            </w:pPr>
          </w:p>
        </w:tc>
        <w:tc>
          <w:tcPr>
            <w:tcW w:w="720" w:type="dxa"/>
            <w:vAlign w:val="bottom"/>
            <w:tcBorders>
              <w:bottom w:val="single" w:sz="8" w:color="007CBA"/>
              <w:right w:val="single" w:sz="8" w:color="007CBA"/>
            </w:tcBorders>
          </w:tcPr>
          <w:p>
            <w:pPr>
              <w:spacing w:after="0"/>
              <w:rPr>
                <w:sz w:val="3"/>
                <w:szCs w:val="3"/>
                <w:color w:val="auto"/>
              </w:rPr>
            </w:pPr>
          </w:p>
        </w:tc>
        <w:tc>
          <w:tcPr>
            <w:tcW w:w="640" w:type="dxa"/>
            <w:vAlign w:val="bottom"/>
            <w:tcBorders>
              <w:bottom w:val="single" w:sz="8" w:color="007CBA"/>
              <w:right w:val="single" w:sz="8" w:color="007CBA"/>
            </w:tcBorders>
          </w:tcPr>
          <w:p>
            <w:pPr>
              <w:spacing w:after="0"/>
              <w:rPr>
                <w:sz w:val="3"/>
                <w:szCs w:val="3"/>
                <w:color w:val="auto"/>
              </w:rPr>
            </w:pPr>
          </w:p>
        </w:tc>
        <w:tc>
          <w:tcPr>
            <w:tcW w:w="580" w:type="dxa"/>
            <w:vAlign w:val="bottom"/>
            <w:tcBorders>
              <w:bottom w:val="single" w:sz="8" w:color="007CBA"/>
              <w:right w:val="single" w:sz="8" w:color="007CBA"/>
            </w:tcBorders>
          </w:tcPr>
          <w:p>
            <w:pPr>
              <w:spacing w:after="0"/>
              <w:rPr>
                <w:sz w:val="3"/>
                <w:szCs w:val="3"/>
                <w:color w:val="auto"/>
              </w:rPr>
            </w:pPr>
          </w:p>
        </w:tc>
        <w:tc>
          <w:tcPr>
            <w:tcW w:w="920" w:type="dxa"/>
            <w:vAlign w:val="bottom"/>
            <w:tcBorders>
              <w:bottom w:val="single" w:sz="8" w:color="007CBA"/>
              <w:right w:val="single" w:sz="8" w:color="007CBA"/>
            </w:tcBorders>
          </w:tcPr>
          <w:p>
            <w:pPr>
              <w:spacing w:after="0"/>
              <w:rPr>
                <w:sz w:val="3"/>
                <w:szCs w:val="3"/>
                <w:color w:val="auto"/>
              </w:rPr>
            </w:pPr>
          </w:p>
        </w:tc>
        <w:tc>
          <w:tcPr>
            <w:tcW w:w="640" w:type="dxa"/>
            <w:vAlign w:val="bottom"/>
            <w:tcBorders>
              <w:bottom w:val="single" w:sz="8" w:color="007CBA"/>
              <w:right w:val="single" w:sz="8" w:color="007CBA"/>
            </w:tcBorders>
          </w:tcPr>
          <w:p>
            <w:pPr>
              <w:spacing w:after="0"/>
              <w:rPr>
                <w:sz w:val="3"/>
                <w:szCs w:val="3"/>
                <w:color w:val="auto"/>
              </w:rPr>
            </w:pPr>
          </w:p>
        </w:tc>
        <w:tc>
          <w:tcPr>
            <w:tcW w:w="620" w:type="dxa"/>
            <w:vAlign w:val="bottom"/>
            <w:tcBorders>
              <w:bottom w:val="single" w:sz="8" w:color="007CB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6454140</wp:posOffset>
            </wp:positionH>
            <wp:positionV relativeFrom="paragraph">
              <wp:posOffset>-6062345</wp:posOffset>
            </wp:positionV>
            <wp:extent cx="8147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-6062345</wp:posOffset>
            </wp:positionV>
            <wp:extent cx="50857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66" w:lineRule="exact"/>
        <w:rPr>
          <w:sz w:val="20"/>
          <w:szCs w:val="20"/>
          <w:color w:val="auto"/>
        </w:rPr>
      </w:pPr>
    </w:p>
    <w:p>
      <w:pPr>
        <w:ind w:left="460" w:right="20" w:hanging="452"/>
        <w:spacing w:after="0" w:line="258" w:lineRule="auto"/>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Company calculates its aggregate reserves for purposes of this table based on land that has been zoned for quarrying and land for which the Company has determined zoning is not required.</w:t>
      </w:r>
    </w:p>
    <w:p>
      <w:pPr>
        <w:spacing w:after="0" w:line="59" w:lineRule="exact"/>
        <w:rPr>
          <w:sz w:val="20"/>
          <w:szCs w:val="20"/>
          <w:color w:val="auto"/>
        </w:rPr>
      </w:pPr>
    </w:p>
    <w:p>
      <w:pPr>
        <w:ind w:left="460" w:right="20" w:hanging="452"/>
        <w:spacing w:after="0" w:line="258"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 may own additional land adjacent or near existing quarries on which reserves may be located but does not include such reserves in these calculations if zoning is required but has not been obtained.</w:t>
      </w:r>
    </w:p>
    <w:p>
      <w:pPr>
        <w:spacing w:after="0" w:line="59" w:lineRule="exact"/>
        <w:rPr>
          <w:rFonts w:ascii="Arial" w:cs="Arial" w:eastAsia="Arial" w:hAnsi="Arial"/>
          <w:sz w:val="14"/>
          <w:szCs w:val="14"/>
          <w:color w:val="auto"/>
        </w:rPr>
      </w:pPr>
    </w:p>
    <w:p>
      <w:pPr>
        <w:ind w:left="460" w:hanging="452"/>
        <w:spacing w:after="0"/>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Company’s reserves presented in the State of Ohio include dolomitic limestone reserves used in the business of the Magnesia Specialties segment.</w:t>
      </w:r>
    </w:p>
    <w:p>
      <w:pPr>
        <w:spacing w:after="0" w:line="82" w:lineRule="exact"/>
        <w:rPr>
          <w:rFonts w:ascii="Arial" w:cs="Arial" w:eastAsia="Arial" w:hAnsi="Arial"/>
          <w:sz w:val="14"/>
          <w:szCs w:val="14"/>
          <w:color w:val="auto"/>
        </w:rPr>
      </w:pPr>
    </w:p>
    <w:p>
      <w:pPr>
        <w:ind w:left="460" w:hanging="452"/>
        <w:spacing w:after="0"/>
        <w:tabs>
          <w:tab w:leader="none" w:pos="4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Company’s reserves presented in the State of Texas include limestone reserves used in the business of the cement product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92075</wp:posOffset>
            </wp:positionV>
            <wp:extent cx="411480" cy="2489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43" w:lineRule="exact"/>
        <w:rPr>
          <w:sz w:val="20"/>
          <w:szCs w:val="20"/>
          <w:color w:val="auto"/>
        </w:rPr>
      </w:pPr>
    </w:p>
    <w:tbl>
      <w:tblPr>
        <w:tblLayout w:type="fixed"/>
        <w:tblInd w:w="9980" w:type="dxa"/>
        <w:tblCellMar>
          <w:top w:w="0" w:type="dxa"/>
          <w:left w:w="0" w:type="dxa"/>
          <w:bottom w:w="0" w:type="dxa"/>
          <w:right w:w="0" w:type="dxa"/>
        </w:tblCellMar>
      </w:tblPr>
      <w:tr>
        <w:trPr>
          <w:trHeight w:val="168"/>
        </w:trPr>
        <w:tc>
          <w:tcPr>
            <w:tcW w:w="1140" w:type="dxa"/>
            <w:vAlign w:val="bottom"/>
          </w:tcPr>
          <w:p>
            <w:pPr>
              <w:spacing w:after="0"/>
              <w:rPr>
                <w:sz w:val="20"/>
                <w:szCs w:val="20"/>
                <w:color w:val="auto"/>
              </w:rPr>
            </w:pPr>
            <w:r>
              <w:rPr>
                <w:rFonts w:ascii="Arial" w:cs="Arial" w:eastAsia="Arial" w:hAnsi="Arial"/>
                <w:sz w:val="13"/>
                <w:szCs w:val="13"/>
                <w:color w:val="007CBA"/>
              </w:rPr>
              <w:t>2018 FORM 10-K</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25</w:t>
            </w:r>
          </w:p>
        </w:tc>
      </w:tr>
    </w:tbl>
    <w:p>
      <w:pPr>
        <w:sectPr>
          <w:pgSz w:w="11900" w:h="16838" w:orient="portrait"/>
          <w:cols w:equalWidth="0" w:num="1">
            <w:col w:w="11440"/>
          </w:cols>
          <w:pgMar w:left="240" w:top="459" w:right="2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6300" w:type="dxa"/>
            <w:vAlign w:val="bottom"/>
          </w:tcPr>
          <w:p>
            <w:pPr>
              <w:spacing w:after="0" w:line="288" w:lineRule="exact"/>
              <w:rPr>
                <w:sz w:val="20"/>
                <w:szCs w:val="20"/>
                <w:color w:val="auto"/>
              </w:rPr>
            </w:pPr>
            <w:r>
              <w:rPr>
                <w:rFonts w:ascii="Arial" w:cs="Arial" w:eastAsia="Arial" w:hAnsi="Arial"/>
                <w:sz w:val="14"/>
                <w:szCs w:val="14"/>
                <w:color w:val="007CBA"/>
              </w:rPr>
              <w:t xml:space="preserve">Part I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Item 2 - Properties</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9"/>
        </w:trPr>
        <w:tc>
          <w:tcPr>
            <w:tcW w:w="6300" w:type="dxa"/>
            <w:vAlign w:val="bottom"/>
            <w:tcBorders>
              <w:bottom w:val="single" w:sz="8" w:color="007CBA"/>
            </w:tcBorders>
          </w:tcPr>
          <w:p>
            <w:pPr>
              <w:spacing w:after="0"/>
              <w:rPr>
                <w:sz w:val="10"/>
                <w:szCs w:val="10"/>
                <w:color w:val="auto"/>
              </w:rPr>
            </w:pPr>
          </w:p>
        </w:tc>
        <w:tc>
          <w:tcPr>
            <w:tcW w:w="1000" w:type="dxa"/>
            <w:vAlign w:val="bottom"/>
            <w:tcBorders>
              <w:bottom w:val="single" w:sz="8" w:color="007CBA"/>
            </w:tcBorders>
          </w:tcPr>
          <w:p>
            <w:pPr>
              <w:spacing w:after="0"/>
              <w:rPr>
                <w:sz w:val="10"/>
                <w:szCs w:val="10"/>
                <w:color w:val="auto"/>
              </w:rPr>
            </w:pPr>
          </w:p>
        </w:tc>
        <w:tc>
          <w:tcPr>
            <w:tcW w:w="340" w:type="dxa"/>
            <w:vAlign w:val="bottom"/>
            <w:tcBorders>
              <w:bottom w:val="single" w:sz="8" w:color="007CBA"/>
            </w:tcBorders>
          </w:tcPr>
          <w:p>
            <w:pPr>
              <w:spacing w:after="0"/>
              <w:rPr>
                <w:sz w:val="10"/>
                <w:szCs w:val="10"/>
                <w:color w:val="auto"/>
              </w:rPr>
            </w:pPr>
          </w:p>
        </w:tc>
        <w:tc>
          <w:tcPr>
            <w:tcW w:w="1360" w:type="dxa"/>
            <w:vAlign w:val="bottom"/>
            <w:tcBorders>
              <w:bottom w:val="single" w:sz="8" w:color="007CBA"/>
            </w:tcBorders>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49"/>
        </w:trPr>
        <w:tc>
          <w:tcPr>
            <w:tcW w:w="6300" w:type="dxa"/>
            <w:vAlign w:val="bottom"/>
            <w:tcBorders>
              <w:right w:val="single" w:sz="8" w:color="007CBA"/>
            </w:tcBorders>
            <w:shd w:val="clear" w:color="auto" w:fill="007CBA"/>
          </w:tcPr>
          <w:p>
            <w:pPr>
              <w:spacing w:after="0"/>
              <w:rPr>
                <w:sz w:val="12"/>
                <w:szCs w:val="12"/>
                <w:color w:val="auto"/>
              </w:rPr>
            </w:pPr>
          </w:p>
        </w:tc>
        <w:tc>
          <w:tcPr>
            <w:tcW w:w="1000" w:type="dxa"/>
            <w:vAlign w:val="bottom"/>
            <w:shd w:val="clear" w:color="auto" w:fill="007CBA"/>
          </w:tcPr>
          <w:p>
            <w:pPr>
              <w:spacing w:after="0"/>
              <w:rPr>
                <w:sz w:val="12"/>
                <w:szCs w:val="12"/>
                <w:color w:val="auto"/>
              </w:rPr>
            </w:pPr>
          </w:p>
        </w:tc>
        <w:tc>
          <w:tcPr>
            <w:tcW w:w="340" w:type="dxa"/>
            <w:vAlign w:val="bottom"/>
            <w:tcBorders>
              <w:right w:val="single" w:sz="8" w:color="007CBA"/>
            </w:tcBorders>
            <w:shd w:val="clear" w:color="auto" w:fill="007CBA"/>
          </w:tcPr>
          <w:p>
            <w:pPr>
              <w:spacing w:after="0"/>
              <w:rPr>
                <w:sz w:val="12"/>
                <w:szCs w:val="12"/>
                <w:color w:val="auto"/>
              </w:rPr>
            </w:pPr>
          </w:p>
        </w:tc>
        <w:tc>
          <w:tcPr>
            <w:tcW w:w="1360" w:type="dxa"/>
            <w:vAlign w:val="bottom"/>
            <w:tcBorders>
              <w:right w:val="single" w:sz="8" w:color="007CBA"/>
            </w:tcBorders>
            <w:shd w:val="clear" w:color="auto" w:fill="007CBA"/>
          </w:tcPr>
          <w:p>
            <w:pPr>
              <w:spacing w:after="0"/>
              <w:rPr>
                <w:sz w:val="12"/>
                <w:szCs w:val="12"/>
                <w:color w:val="auto"/>
              </w:rPr>
            </w:pPr>
          </w:p>
        </w:tc>
        <w:tc>
          <w:tcPr>
            <w:tcW w:w="360" w:type="dxa"/>
            <w:vAlign w:val="bottom"/>
            <w:shd w:val="clear" w:color="auto" w:fill="007CBA"/>
          </w:tcPr>
          <w:p>
            <w:pPr>
              <w:spacing w:after="0"/>
              <w:rPr>
                <w:sz w:val="12"/>
                <w:szCs w:val="12"/>
                <w:color w:val="auto"/>
              </w:rPr>
            </w:pPr>
          </w:p>
        </w:tc>
        <w:tc>
          <w:tcPr>
            <w:tcW w:w="1020" w:type="dxa"/>
            <w:vAlign w:val="bottom"/>
            <w:tcBorders>
              <w:right w:val="single" w:sz="8" w:color="007CBA"/>
            </w:tcBorders>
            <w:shd w:val="clear" w:color="auto" w:fill="007CBA"/>
          </w:tcPr>
          <w:p>
            <w:pPr>
              <w:spacing w:after="0"/>
              <w:rPr>
                <w:sz w:val="12"/>
                <w:szCs w:val="12"/>
                <w:color w:val="auto"/>
              </w:rPr>
            </w:pPr>
          </w:p>
        </w:tc>
        <w:tc>
          <w:tcPr>
            <w:tcW w:w="104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rPr>
              <w:t>Number of</w:t>
            </w:r>
          </w:p>
        </w:tc>
      </w:tr>
      <w:tr>
        <w:trPr>
          <w:trHeight w:val="162"/>
        </w:trPr>
        <w:tc>
          <w:tcPr>
            <w:tcW w:w="6300" w:type="dxa"/>
            <w:vAlign w:val="bottom"/>
            <w:tcBorders>
              <w:right w:val="single" w:sz="8" w:color="007CBA"/>
            </w:tcBorders>
            <w:shd w:val="clear" w:color="auto" w:fill="007CBA"/>
          </w:tcPr>
          <w:p>
            <w:pPr>
              <w:spacing w:after="0"/>
              <w:rPr>
                <w:sz w:val="14"/>
                <w:szCs w:val="14"/>
                <w:color w:val="auto"/>
              </w:rPr>
            </w:pPr>
          </w:p>
        </w:tc>
        <w:tc>
          <w:tcPr>
            <w:tcW w:w="1000" w:type="dxa"/>
            <w:vAlign w:val="bottom"/>
            <w:shd w:val="clear" w:color="auto" w:fill="007CBA"/>
          </w:tcPr>
          <w:p>
            <w:pPr>
              <w:spacing w:after="0"/>
              <w:rPr>
                <w:sz w:val="14"/>
                <w:szCs w:val="14"/>
                <w:color w:val="auto"/>
              </w:rPr>
            </w:pPr>
          </w:p>
        </w:tc>
        <w:tc>
          <w:tcPr>
            <w:tcW w:w="340" w:type="dxa"/>
            <w:vAlign w:val="bottom"/>
            <w:tcBorders>
              <w:right w:val="single" w:sz="8" w:color="007CBA"/>
            </w:tcBorders>
            <w:shd w:val="clear" w:color="auto" w:fill="007CBA"/>
          </w:tcPr>
          <w:p>
            <w:pPr>
              <w:spacing w:after="0"/>
              <w:rPr>
                <w:sz w:val="14"/>
                <w:szCs w:val="14"/>
                <w:color w:val="auto"/>
              </w:rPr>
            </w:pPr>
          </w:p>
        </w:tc>
        <w:tc>
          <w:tcPr>
            <w:tcW w:w="1360" w:type="dxa"/>
            <w:vAlign w:val="bottom"/>
            <w:tcBorders>
              <w:right w:val="single" w:sz="8" w:color="007CBA"/>
            </w:tcBorders>
            <w:shd w:val="clear" w:color="auto" w:fill="007CBA"/>
          </w:tcPr>
          <w:p>
            <w:pPr>
              <w:spacing w:after="0"/>
              <w:rPr>
                <w:sz w:val="14"/>
                <w:szCs w:val="14"/>
                <w:color w:val="auto"/>
              </w:rPr>
            </w:pPr>
          </w:p>
        </w:tc>
        <w:tc>
          <w:tcPr>
            <w:tcW w:w="360" w:type="dxa"/>
            <w:vAlign w:val="bottom"/>
            <w:shd w:val="clear" w:color="auto" w:fill="007CBA"/>
          </w:tcPr>
          <w:p>
            <w:pPr>
              <w:spacing w:after="0"/>
              <w:rPr>
                <w:sz w:val="14"/>
                <w:szCs w:val="14"/>
                <w:color w:val="auto"/>
              </w:rPr>
            </w:pPr>
          </w:p>
        </w:tc>
        <w:tc>
          <w:tcPr>
            <w:tcW w:w="1020" w:type="dxa"/>
            <w:vAlign w:val="bottom"/>
            <w:tcBorders>
              <w:right w:val="single" w:sz="8" w:color="007CBA"/>
            </w:tcBorders>
            <w:shd w:val="clear" w:color="auto" w:fill="007CBA"/>
          </w:tcPr>
          <w:p>
            <w:pPr>
              <w:spacing w:after="0"/>
              <w:rPr>
                <w:sz w:val="14"/>
                <w:szCs w:val="14"/>
                <w:color w:val="auto"/>
              </w:rPr>
            </w:pPr>
          </w:p>
        </w:tc>
        <w:tc>
          <w:tcPr>
            <w:tcW w:w="104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years of</w:t>
            </w:r>
          </w:p>
        </w:tc>
      </w:tr>
      <w:tr>
        <w:trPr>
          <w:trHeight w:val="162"/>
        </w:trPr>
        <w:tc>
          <w:tcPr>
            <w:tcW w:w="6300" w:type="dxa"/>
            <w:vAlign w:val="bottom"/>
            <w:tcBorders>
              <w:right w:val="single" w:sz="8" w:color="007CBA"/>
            </w:tcBorders>
            <w:shd w:val="clear" w:color="auto" w:fill="007CBA"/>
          </w:tcPr>
          <w:p>
            <w:pPr>
              <w:spacing w:after="0"/>
              <w:rPr>
                <w:sz w:val="14"/>
                <w:szCs w:val="14"/>
                <w:color w:val="auto"/>
              </w:rPr>
            </w:pPr>
          </w:p>
        </w:tc>
        <w:tc>
          <w:tcPr>
            <w:tcW w:w="1000" w:type="dxa"/>
            <w:vAlign w:val="bottom"/>
            <w:shd w:val="clear" w:color="auto" w:fill="007CBA"/>
          </w:tcPr>
          <w:p>
            <w:pPr>
              <w:spacing w:after="0"/>
              <w:rPr>
                <w:sz w:val="14"/>
                <w:szCs w:val="14"/>
                <w:color w:val="auto"/>
              </w:rPr>
            </w:pPr>
          </w:p>
        </w:tc>
        <w:tc>
          <w:tcPr>
            <w:tcW w:w="340" w:type="dxa"/>
            <w:vAlign w:val="bottom"/>
            <w:tcBorders>
              <w:right w:val="single" w:sz="8" w:color="007CBA"/>
            </w:tcBorders>
            <w:shd w:val="clear" w:color="auto" w:fill="007CBA"/>
          </w:tcPr>
          <w:p>
            <w:pPr>
              <w:spacing w:after="0"/>
              <w:rPr>
                <w:sz w:val="14"/>
                <w:szCs w:val="14"/>
                <w:color w:val="auto"/>
              </w:rPr>
            </w:pPr>
          </w:p>
        </w:tc>
        <w:tc>
          <w:tcPr>
            <w:tcW w:w="1360" w:type="dxa"/>
            <w:vAlign w:val="bottom"/>
            <w:tcBorders>
              <w:right w:val="single" w:sz="8" w:color="007CBA"/>
            </w:tcBorders>
            <w:shd w:val="clear" w:color="auto" w:fill="007CBA"/>
          </w:tcPr>
          <w:p>
            <w:pPr>
              <w:spacing w:after="0"/>
              <w:rPr>
                <w:sz w:val="14"/>
                <w:szCs w:val="14"/>
                <w:color w:val="auto"/>
              </w:rPr>
            </w:pPr>
          </w:p>
        </w:tc>
        <w:tc>
          <w:tcPr>
            <w:tcW w:w="360" w:type="dxa"/>
            <w:vAlign w:val="bottom"/>
            <w:shd w:val="clear" w:color="auto" w:fill="007CBA"/>
          </w:tcPr>
          <w:p>
            <w:pPr>
              <w:spacing w:after="0"/>
              <w:rPr>
                <w:sz w:val="14"/>
                <w:szCs w:val="14"/>
                <w:color w:val="auto"/>
              </w:rPr>
            </w:pPr>
          </w:p>
        </w:tc>
        <w:tc>
          <w:tcPr>
            <w:tcW w:w="1020" w:type="dxa"/>
            <w:vAlign w:val="bottom"/>
            <w:tcBorders>
              <w:right w:val="single" w:sz="8" w:color="007CBA"/>
            </w:tcBorders>
            <w:shd w:val="clear" w:color="auto" w:fill="007CBA"/>
          </w:tcPr>
          <w:p>
            <w:pPr>
              <w:spacing w:after="0"/>
              <w:rPr>
                <w:sz w:val="14"/>
                <w:szCs w:val="14"/>
                <w:color w:val="auto"/>
              </w:rPr>
            </w:pPr>
          </w:p>
        </w:tc>
        <w:tc>
          <w:tcPr>
            <w:tcW w:w="104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production</w:t>
            </w:r>
          </w:p>
        </w:tc>
      </w:tr>
      <w:tr>
        <w:trPr>
          <w:trHeight w:val="162"/>
        </w:trPr>
        <w:tc>
          <w:tcPr>
            <w:tcW w:w="6300" w:type="dxa"/>
            <w:vAlign w:val="bottom"/>
            <w:tcBorders>
              <w:right w:val="single" w:sz="8" w:color="007CBA"/>
            </w:tcBorders>
            <w:shd w:val="clear" w:color="auto" w:fill="007CBA"/>
          </w:tcPr>
          <w:p>
            <w:pPr>
              <w:spacing w:after="0"/>
              <w:rPr>
                <w:sz w:val="14"/>
                <w:szCs w:val="14"/>
                <w:color w:val="auto"/>
              </w:rPr>
            </w:pPr>
          </w:p>
        </w:tc>
        <w:tc>
          <w:tcPr>
            <w:tcW w:w="4080" w:type="dxa"/>
            <w:vAlign w:val="bottom"/>
            <w:tcBorders>
              <w:right w:val="single" w:sz="8" w:color="007CBA"/>
            </w:tcBorders>
            <w:gridSpan w:val="5"/>
            <w:shd w:val="clear" w:color="auto" w:fill="007CBA"/>
          </w:tcPr>
          <w:p>
            <w:pPr>
              <w:jc w:val="center"/>
              <w:spacing w:after="0"/>
              <w:rPr>
                <w:sz w:val="20"/>
                <w:szCs w:val="20"/>
                <w:color w:val="auto"/>
              </w:rPr>
            </w:pPr>
            <w:r>
              <w:rPr>
                <w:rFonts w:ascii="Arial" w:cs="Arial" w:eastAsia="Arial" w:hAnsi="Arial"/>
                <w:sz w:val="14"/>
                <w:szCs w:val="14"/>
                <w:b w:val="1"/>
                <w:bCs w:val="1"/>
                <w:color w:val="FFFFFF"/>
              </w:rPr>
              <w:t>Total Annual Production (in tons) (add 000)</w:t>
            </w:r>
          </w:p>
        </w:tc>
        <w:tc>
          <w:tcPr>
            <w:tcW w:w="104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available at</w:t>
            </w:r>
          </w:p>
        </w:tc>
      </w:tr>
      <w:tr>
        <w:trPr>
          <w:trHeight w:val="190"/>
        </w:trPr>
        <w:tc>
          <w:tcPr>
            <w:tcW w:w="6300" w:type="dxa"/>
            <w:vAlign w:val="bottom"/>
            <w:tcBorders>
              <w:right w:val="single" w:sz="8" w:color="007CBA"/>
            </w:tcBorders>
            <w:shd w:val="clear" w:color="auto" w:fill="007CBA"/>
          </w:tcPr>
          <w:p>
            <w:pPr>
              <w:spacing w:after="0"/>
              <w:rPr>
                <w:sz w:val="16"/>
                <w:szCs w:val="16"/>
                <w:color w:val="auto"/>
              </w:rPr>
            </w:pPr>
          </w:p>
        </w:tc>
        <w:tc>
          <w:tcPr>
            <w:tcW w:w="1000" w:type="dxa"/>
            <w:vAlign w:val="bottom"/>
            <w:shd w:val="clear" w:color="auto" w:fill="007CBA"/>
          </w:tcPr>
          <w:p>
            <w:pPr>
              <w:spacing w:after="0"/>
              <w:rPr>
                <w:sz w:val="16"/>
                <w:szCs w:val="16"/>
                <w:color w:val="auto"/>
              </w:rPr>
            </w:pPr>
          </w:p>
        </w:tc>
        <w:tc>
          <w:tcPr>
            <w:tcW w:w="2060" w:type="dxa"/>
            <w:vAlign w:val="bottom"/>
            <w:gridSpan w:val="3"/>
            <w:shd w:val="clear" w:color="auto" w:fill="007CBA"/>
          </w:tcPr>
          <w:p>
            <w:pPr>
              <w:jc w:val="center"/>
              <w:spacing w:after="0"/>
              <w:rPr>
                <w:sz w:val="20"/>
                <w:szCs w:val="20"/>
                <w:color w:val="auto"/>
              </w:rPr>
            </w:pPr>
            <w:r>
              <w:rPr>
                <w:rFonts w:ascii="Arial" w:cs="Arial" w:eastAsia="Arial" w:hAnsi="Arial"/>
                <w:sz w:val="14"/>
                <w:szCs w:val="14"/>
                <w:b w:val="1"/>
                <w:bCs w:val="1"/>
                <w:color w:val="FFFFFF"/>
              </w:rPr>
              <w:t>For year ended December 31</w:t>
            </w:r>
          </w:p>
        </w:tc>
        <w:tc>
          <w:tcPr>
            <w:tcW w:w="1020" w:type="dxa"/>
            <w:vAlign w:val="bottom"/>
            <w:tcBorders>
              <w:right w:val="single" w:sz="8" w:color="007CBA"/>
            </w:tcBorders>
            <w:shd w:val="clear" w:color="auto" w:fill="007CBA"/>
          </w:tcPr>
          <w:p>
            <w:pPr>
              <w:spacing w:after="0"/>
              <w:rPr>
                <w:sz w:val="16"/>
                <w:szCs w:val="16"/>
                <w:color w:val="auto"/>
              </w:rPr>
            </w:pPr>
          </w:p>
        </w:tc>
        <w:tc>
          <w:tcPr>
            <w:tcW w:w="104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December 31,</w:t>
            </w:r>
          </w:p>
        </w:tc>
      </w:tr>
      <w:tr>
        <w:trPr>
          <w:trHeight w:val="208"/>
        </w:trPr>
        <w:tc>
          <w:tcPr>
            <w:tcW w:w="6300" w:type="dxa"/>
            <w:vAlign w:val="bottom"/>
            <w:tcBorders>
              <w:bottom w:val="single" w:sz="8" w:color="007CBA"/>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Reportable Segment</w:t>
            </w:r>
          </w:p>
        </w:tc>
        <w:tc>
          <w:tcPr>
            <w:tcW w:w="1000" w:type="dxa"/>
            <w:vAlign w:val="bottom"/>
            <w:tcBorders>
              <w:bottom w:val="single" w:sz="8" w:color="007CBA"/>
            </w:tcBorders>
            <w:shd w:val="clear" w:color="auto" w:fill="007CBA"/>
          </w:tcPr>
          <w:p>
            <w:pPr>
              <w:jc w:val="right"/>
              <w:ind w:right="102"/>
              <w:spacing w:after="0"/>
              <w:rPr>
                <w:sz w:val="20"/>
                <w:szCs w:val="20"/>
                <w:color w:val="auto"/>
              </w:rPr>
            </w:pPr>
            <w:r>
              <w:rPr>
                <w:rFonts w:ascii="Arial" w:cs="Arial" w:eastAsia="Arial" w:hAnsi="Arial"/>
                <w:sz w:val="14"/>
                <w:szCs w:val="14"/>
                <w:b w:val="1"/>
                <w:bCs w:val="1"/>
                <w:color w:val="FFFFFF"/>
              </w:rPr>
              <w:t>2018</w:t>
            </w:r>
          </w:p>
        </w:tc>
        <w:tc>
          <w:tcPr>
            <w:tcW w:w="340" w:type="dxa"/>
            <w:vAlign w:val="bottom"/>
            <w:tcBorders>
              <w:bottom w:val="single" w:sz="8" w:color="007CBA"/>
              <w:right w:val="single" w:sz="8" w:color="007CBA"/>
            </w:tcBorders>
            <w:shd w:val="clear" w:color="auto" w:fill="007CBA"/>
          </w:tcPr>
          <w:p>
            <w:pPr>
              <w:spacing w:after="0"/>
              <w:rPr>
                <w:sz w:val="18"/>
                <w:szCs w:val="18"/>
                <w:color w:val="auto"/>
              </w:rPr>
            </w:pPr>
          </w:p>
        </w:tc>
        <w:tc>
          <w:tcPr>
            <w:tcW w:w="136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2017</w:t>
            </w:r>
          </w:p>
        </w:tc>
        <w:tc>
          <w:tcPr>
            <w:tcW w:w="360" w:type="dxa"/>
            <w:vAlign w:val="bottom"/>
            <w:tcBorders>
              <w:bottom w:val="single" w:sz="8" w:color="007CBA"/>
            </w:tcBorders>
            <w:shd w:val="clear" w:color="auto" w:fill="007CBA"/>
          </w:tcPr>
          <w:p>
            <w:pPr>
              <w:spacing w:after="0"/>
              <w:rPr>
                <w:sz w:val="18"/>
                <w:szCs w:val="18"/>
                <w:color w:val="auto"/>
              </w:rPr>
            </w:pPr>
          </w:p>
        </w:tc>
        <w:tc>
          <w:tcPr>
            <w:tcW w:w="1020" w:type="dxa"/>
            <w:vAlign w:val="bottom"/>
            <w:tcBorders>
              <w:bottom w:val="single" w:sz="8" w:color="007CBA"/>
              <w:right w:val="single" w:sz="8" w:color="007CBA"/>
            </w:tcBorders>
            <w:shd w:val="clear" w:color="auto" w:fill="007CBA"/>
          </w:tcPr>
          <w:p>
            <w:pPr>
              <w:jc w:val="right"/>
              <w:ind w:right="461"/>
              <w:spacing w:after="0"/>
              <w:rPr>
                <w:sz w:val="20"/>
                <w:szCs w:val="20"/>
                <w:color w:val="auto"/>
              </w:rPr>
            </w:pPr>
            <w:r>
              <w:rPr>
                <w:rFonts w:ascii="Arial" w:cs="Arial" w:eastAsia="Arial" w:hAnsi="Arial"/>
                <w:sz w:val="14"/>
                <w:szCs w:val="14"/>
                <w:b w:val="1"/>
                <w:bCs w:val="1"/>
                <w:color w:val="FFFFFF"/>
              </w:rPr>
              <w:t>2016</w:t>
            </w:r>
          </w:p>
        </w:tc>
        <w:tc>
          <w:tcPr>
            <w:tcW w:w="1040" w:type="dxa"/>
            <w:vAlign w:val="bottom"/>
            <w:tcBorders>
              <w:bottom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2018</w:t>
            </w:r>
          </w:p>
        </w:tc>
      </w:tr>
      <w:tr>
        <w:trPr>
          <w:trHeight w:val="210"/>
        </w:trPr>
        <w:tc>
          <w:tcPr>
            <w:tcW w:w="630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Mid-America Group</w:t>
            </w:r>
          </w:p>
        </w:tc>
        <w:tc>
          <w:tcPr>
            <w:tcW w:w="1000" w:type="dxa"/>
            <w:vAlign w:val="bottom"/>
          </w:tcPr>
          <w:p>
            <w:pPr>
              <w:jc w:val="right"/>
              <w:spacing w:after="0"/>
              <w:rPr>
                <w:sz w:val="20"/>
                <w:szCs w:val="20"/>
                <w:color w:val="auto"/>
              </w:rPr>
            </w:pPr>
            <w:r>
              <w:rPr>
                <w:rFonts w:ascii="Arial" w:cs="Arial" w:eastAsia="Arial" w:hAnsi="Arial"/>
                <w:sz w:val="16"/>
                <w:szCs w:val="16"/>
                <w:color w:val="auto"/>
              </w:rPr>
              <w:t>78,137</w:t>
            </w:r>
          </w:p>
        </w:tc>
        <w:tc>
          <w:tcPr>
            <w:tcW w:w="340" w:type="dxa"/>
            <w:vAlign w:val="bottom"/>
            <w:tcBorders>
              <w:right w:val="single" w:sz="8" w:color="007CBA"/>
            </w:tcBorders>
          </w:tcPr>
          <w:p>
            <w:pPr>
              <w:spacing w:after="0"/>
              <w:rPr>
                <w:sz w:val="18"/>
                <w:szCs w:val="18"/>
                <w:color w:val="auto"/>
              </w:rPr>
            </w:pPr>
          </w:p>
        </w:tc>
        <w:tc>
          <w:tcPr>
            <w:tcW w:w="1360" w:type="dxa"/>
            <w:vAlign w:val="bottom"/>
            <w:tcBorders>
              <w:right w:val="single" w:sz="8" w:color="007CBA"/>
            </w:tcBorders>
          </w:tcPr>
          <w:p>
            <w:pPr>
              <w:jc w:val="right"/>
              <w:ind w:right="281"/>
              <w:spacing w:after="0"/>
              <w:rPr>
                <w:sz w:val="20"/>
                <w:szCs w:val="20"/>
                <w:color w:val="auto"/>
              </w:rPr>
            </w:pPr>
            <w:r>
              <w:rPr>
                <w:rFonts w:ascii="Arial" w:cs="Arial" w:eastAsia="Arial" w:hAnsi="Arial"/>
                <w:sz w:val="16"/>
                <w:szCs w:val="16"/>
                <w:color w:val="auto"/>
              </w:rPr>
              <w:t>70,340</w:t>
            </w:r>
          </w:p>
        </w:tc>
        <w:tc>
          <w:tcPr>
            <w:tcW w:w="360" w:type="dxa"/>
            <w:vAlign w:val="bottom"/>
          </w:tcPr>
          <w:p>
            <w:pPr>
              <w:spacing w:after="0"/>
              <w:rPr>
                <w:sz w:val="18"/>
                <w:szCs w:val="18"/>
                <w:color w:val="auto"/>
              </w:rPr>
            </w:pPr>
          </w:p>
        </w:tc>
        <w:tc>
          <w:tcPr>
            <w:tcW w:w="1020" w:type="dxa"/>
            <w:vAlign w:val="bottom"/>
            <w:tcBorders>
              <w:right w:val="single" w:sz="8" w:color="007CBA"/>
            </w:tcBorders>
          </w:tcPr>
          <w:p>
            <w:pPr>
              <w:jc w:val="right"/>
              <w:ind w:right="281"/>
              <w:spacing w:after="0"/>
              <w:rPr>
                <w:sz w:val="20"/>
                <w:szCs w:val="20"/>
                <w:color w:val="auto"/>
              </w:rPr>
            </w:pPr>
            <w:r>
              <w:rPr>
                <w:rFonts w:ascii="Arial" w:cs="Arial" w:eastAsia="Arial" w:hAnsi="Arial"/>
                <w:sz w:val="16"/>
                <w:szCs w:val="16"/>
                <w:color w:val="auto"/>
              </w:rPr>
              <w:t>67,431</w:t>
            </w:r>
          </w:p>
        </w:tc>
        <w:tc>
          <w:tcPr>
            <w:tcW w:w="1040" w:type="dxa"/>
            <w:vAlign w:val="bottom"/>
          </w:tcPr>
          <w:p>
            <w:pPr>
              <w:jc w:val="right"/>
              <w:ind w:right="144"/>
              <w:spacing w:after="0"/>
              <w:rPr>
                <w:sz w:val="20"/>
                <w:szCs w:val="20"/>
                <w:color w:val="auto"/>
              </w:rPr>
            </w:pPr>
            <w:r>
              <w:rPr>
                <w:rFonts w:ascii="Arial" w:cs="Arial" w:eastAsia="Arial" w:hAnsi="Arial"/>
                <w:sz w:val="16"/>
                <w:szCs w:val="16"/>
                <w:color w:val="auto"/>
              </w:rPr>
              <w:t>105.7</w:t>
            </w:r>
          </w:p>
        </w:tc>
      </w:tr>
      <w:tr>
        <w:trPr>
          <w:trHeight w:val="60"/>
        </w:trPr>
        <w:tc>
          <w:tcPr>
            <w:tcW w:w="6300" w:type="dxa"/>
            <w:vAlign w:val="bottom"/>
            <w:tcBorders>
              <w:right w:val="single" w:sz="8" w:color="007CBA"/>
            </w:tcBorders>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Borders>
              <w:right w:val="single" w:sz="8" w:color="007CBA"/>
            </w:tcBorders>
          </w:tcPr>
          <w:p>
            <w:pPr>
              <w:spacing w:after="0"/>
              <w:rPr>
                <w:sz w:val="5"/>
                <w:szCs w:val="5"/>
                <w:color w:val="auto"/>
              </w:rPr>
            </w:pPr>
          </w:p>
        </w:tc>
        <w:tc>
          <w:tcPr>
            <w:tcW w:w="1360" w:type="dxa"/>
            <w:vAlign w:val="bottom"/>
            <w:tcBorders>
              <w:right w:val="single" w:sz="8" w:color="007CBA"/>
            </w:tcBorders>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Borders>
              <w:right w:val="single" w:sz="8" w:color="007CBA"/>
            </w:tcBorders>
          </w:tcPr>
          <w:p>
            <w:pPr>
              <w:spacing w:after="0"/>
              <w:rPr>
                <w:sz w:val="5"/>
                <w:szCs w:val="5"/>
                <w:color w:val="auto"/>
              </w:rPr>
            </w:pPr>
          </w:p>
        </w:tc>
        <w:tc>
          <w:tcPr>
            <w:tcW w:w="1040" w:type="dxa"/>
            <w:vAlign w:val="bottom"/>
          </w:tcPr>
          <w:p>
            <w:pPr>
              <w:spacing w:after="0"/>
              <w:rPr>
                <w:sz w:val="5"/>
                <w:szCs w:val="5"/>
                <w:color w:val="auto"/>
              </w:rPr>
            </w:pPr>
          </w:p>
        </w:tc>
      </w:tr>
      <w:tr>
        <w:trPr>
          <w:trHeight w:val="203"/>
        </w:trPr>
        <w:tc>
          <w:tcPr>
            <w:tcW w:w="63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Southeast Group</w:t>
            </w:r>
          </w:p>
        </w:tc>
        <w:tc>
          <w:tcPr>
            <w:tcW w:w="1000" w:type="dxa"/>
            <w:vAlign w:val="bottom"/>
            <w:shd w:val="clear" w:color="auto" w:fill="E5F1F8"/>
          </w:tcPr>
          <w:p>
            <w:pPr>
              <w:jc w:val="right"/>
              <w:spacing w:after="0"/>
              <w:rPr>
                <w:sz w:val="20"/>
                <w:szCs w:val="20"/>
                <w:color w:val="auto"/>
              </w:rPr>
            </w:pPr>
            <w:r>
              <w:rPr>
                <w:rFonts w:ascii="Arial" w:cs="Arial" w:eastAsia="Arial" w:hAnsi="Arial"/>
                <w:sz w:val="16"/>
                <w:szCs w:val="16"/>
                <w:color w:val="auto"/>
              </w:rPr>
              <w:t>25,328</w:t>
            </w:r>
          </w:p>
        </w:tc>
        <w:tc>
          <w:tcPr>
            <w:tcW w:w="340" w:type="dxa"/>
            <w:vAlign w:val="bottom"/>
            <w:tcBorders>
              <w:right w:val="single" w:sz="8" w:color="007CBA"/>
            </w:tcBorders>
            <w:shd w:val="clear" w:color="auto" w:fill="E5F1F8"/>
          </w:tcPr>
          <w:p>
            <w:pPr>
              <w:spacing w:after="0"/>
              <w:rPr>
                <w:sz w:val="17"/>
                <w:szCs w:val="17"/>
                <w:color w:val="auto"/>
              </w:rPr>
            </w:pPr>
          </w:p>
        </w:tc>
        <w:tc>
          <w:tcPr>
            <w:tcW w:w="1360" w:type="dxa"/>
            <w:vAlign w:val="bottom"/>
            <w:tcBorders>
              <w:right w:val="single" w:sz="8" w:color="007CBA"/>
            </w:tcBorders>
            <w:shd w:val="clear" w:color="auto" w:fill="E5F1F8"/>
          </w:tcPr>
          <w:p>
            <w:pPr>
              <w:jc w:val="right"/>
              <w:ind w:right="281"/>
              <w:spacing w:after="0"/>
              <w:rPr>
                <w:sz w:val="20"/>
                <w:szCs w:val="20"/>
                <w:color w:val="auto"/>
              </w:rPr>
            </w:pPr>
            <w:r>
              <w:rPr>
                <w:rFonts w:ascii="Arial" w:cs="Arial" w:eastAsia="Arial" w:hAnsi="Arial"/>
                <w:sz w:val="16"/>
                <w:szCs w:val="16"/>
                <w:color w:val="auto"/>
              </w:rPr>
              <w:t>22,274</w:t>
            </w:r>
          </w:p>
        </w:tc>
        <w:tc>
          <w:tcPr>
            <w:tcW w:w="360" w:type="dxa"/>
            <w:vAlign w:val="bottom"/>
            <w:shd w:val="clear" w:color="auto" w:fill="E5F1F8"/>
          </w:tcPr>
          <w:p>
            <w:pPr>
              <w:spacing w:after="0"/>
              <w:rPr>
                <w:sz w:val="17"/>
                <w:szCs w:val="17"/>
                <w:color w:val="auto"/>
              </w:rPr>
            </w:pPr>
          </w:p>
        </w:tc>
        <w:tc>
          <w:tcPr>
            <w:tcW w:w="1020" w:type="dxa"/>
            <w:vAlign w:val="bottom"/>
            <w:tcBorders>
              <w:right w:val="single" w:sz="8" w:color="007CBA"/>
            </w:tcBorders>
            <w:shd w:val="clear" w:color="auto" w:fill="E5F1F8"/>
          </w:tcPr>
          <w:p>
            <w:pPr>
              <w:jc w:val="right"/>
              <w:ind w:right="281"/>
              <w:spacing w:after="0"/>
              <w:rPr>
                <w:sz w:val="20"/>
                <w:szCs w:val="20"/>
                <w:color w:val="auto"/>
              </w:rPr>
            </w:pPr>
            <w:r>
              <w:rPr>
                <w:rFonts w:ascii="Arial" w:cs="Arial" w:eastAsia="Arial" w:hAnsi="Arial"/>
                <w:sz w:val="16"/>
                <w:szCs w:val="16"/>
                <w:color w:val="auto"/>
              </w:rPr>
              <w:t>20,468</w:t>
            </w:r>
          </w:p>
        </w:tc>
        <w:tc>
          <w:tcPr>
            <w:tcW w:w="1040" w:type="dxa"/>
            <w:vAlign w:val="bottom"/>
            <w:shd w:val="clear" w:color="auto" w:fill="E5F1F8"/>
          </w:tcPr>
          <w:p>
            <w:pPr>
              <w:jc w:val="right"/>
              <w:ind w:right="144"/>
              <w:spacing w:after="0"/>
              <w:rPr>
                <w:sz w:val="20"/>
                <w:szCs w:val="20"/>
                <w:color w:val="auto"/>
              </w:rPr>
            </w:pPr>
            <w:r>
              <w:rPr>
                <w:rFonts w:ascii="Arial" w:cs="Arial" w:eastAsia="Arial" w:hAnsi="Arial"/>
                <w:sz w:val="16"/>
                <w:szCs w:val="16"/>
                <w:color w:val="auto"/>
              </w:rPr>
              <w:t>139.2</w:t>
            </w:r>
          </w:p>
        </w:tc>
      </w:tr>
      <w:tr>
        <w:trPr>
          <w:trHeight w:val="68"/>
        </w:trPr>
        <w:tc>
          <w:tcPr>
            <w:tcW w:w="6300" w:type="dxa"/>
            <w:vAlign w:val="bottom"/>
            <w:tcBorders>
              <w:right w:val="single" w:sz="8" w:color="007CBA"/>
            </w:tcBorders>
            <w:shd w:val="clear" w:color="auto" w:fill="E5F1F8"/>
          </w:tcPr>
          <w:p>
            <w:pPr>
              <w:spacing w:after="0"/>
              <w:rPr>
                <w:sz w:val="5"/>
                <w:szCs w:val="5"/>
                <w:color w:val="auto"/>
              </w:rPr>
            </w:pPr>
          </w:p>
        </w:tc>
        <w:tc>
          <w:tcPr>
            <w:tcW w:w="1000" w:type="dxa"/>
            <w:vAlign w:val="bottom"/>
            <w:shd w:val="clear" w:color="auto" w:fill="E5F1F8"/>
          </w:tcPr>
          <w:p>
            <w:pPr>
              <w:spacing w:after="0"/>
              <w:rPr>
                <w:sz w:val="5"/>
                <w:szCs w:val="5"/>
                <w:color w:val="auto"/>
              </w:rPr>
            </w:pPr>
          </w:p>
        </w:tc>
        <w:tc>
          <w:tcPr>
            <w:tcW w:w="340" w:type="dxa"/>
            <w:vAlign w:val="bottom"/>
            <w:tcBorders>
              <w:right w:val="single" w:sz="8" w:color="007CBA"/>
            </w:tcBorders>
            <w:shd w:val="clear" w:color="auto" w:fill="E5F1F8"/>
          </w:tcPr>
          <w:p>
            <w:pPr>
              <w:spacing w:after="0"/>
              <w:rPr>
                <w:sz w:val="5"/>
                <w:szCs w:val="5"/>
                <w:color w:val="auto"/>
              </w:rPr>
            </w:pPr>
          </w:p>
        </w:tc>
        <w:tc>
          <w:tcPr>
            <w:tcW w:w="1360" w:type="dxa"/>
            <w:vAlign w:val="bottom"/>
            <w:tcBorders>
              <w:right w:val="single" w:sz="8" w:color="007CBA"/>
            </w:tcBorders>
            <w:shd w:val="clear" w:color="auto" w:fill="E5F1F8"/>
          </w:tcPr>
          <w:p>
            <w:pPr>
              <w:spacing w:after="0"/>
              <w:rPr>
                <w:sz w:val="5"/>
                <w:szCs w:val="5"/>
                <w:color w:val="auto"/>
              </w:rPr>
            </w:pPr>
          </w:p>
        </w:tc>
        <w:tc>
          <w:tcPr>
            <w:tcW w:w="360" w:type="dxa"/>
            <w:vAlign w:val="bottom"/>
            <w:shd w:val="clear" w:color="auto" w:fill="E5F1F8"/>
          </w:tcPr>
          <w:p>
            <w:pPr>
              <w:spacing w:after="0"/>
              <w:rPr>
                <w:sz w:val="5"/>
                <w:szCs w:val="5"/>
                <w:color w:val="auto"/>
              </w:rPr>
            </w:pPr>
          </w:p>
        </w:tc>
        <w:tc>
          <w:tcPr>
            <w:tcW w:w="1020" w:type="dxa"/>
            <w:vAlign w:val="bottom"/>
            <w:tcBorders>
              <w:right w:val="single" w:sz="8" w:color="007CBA"/>
            </w:tcBorders>
            <w:shd w:val="clear" w:color="auto" w:fill="E5F1F8"/>
          </w:tcPr>
          <w:p>
            <w:pPr>
              <w:spacing w:after="0"/>
              <w:rPr>
                <w:sz w:val="5"/>
                <w:szCs w:val="5"/>
                <w:color w:val="auto"/>
              </w:rPr>
            </w:pPr>
          </w:p>
        </w:tc>
        <w:tc>
          <w:tcPr>
            <w:tcW w:w="1040" w:type="dxa"/>
            <w:vAlign w:val="bottom"/>
            <w:shd w:val="clear" w:color="auto" w:fill="E5F1F8"/>
          </w:tcPr>
          <w:p>
            <w:pPr>
              <w:spacing w:after="0"/>
              <w:rPr>
                <w:sz w:val="5"/>
                <w:szCs w:val="5"/>
                <w:color w:val="auto"/>
              </w:rPr>
            </w:pPr>
          </w:p>
        </w:tc>
      </w:tr>
      <w:tr>
        <w:trPr>
          <w:trHeight w:val="210"/>
        </w:trPr>
        <w:tc>
          <w:tcPr>
            <w:tcW w:w="630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West Group</w:t>
            </w:r>
          </w:p>
        </w:tc>
        <w:tc>
          <w:tcPr>
            <w:tcW w:w="1000" w:type="dxa"/>
            <w:vAlign w:val="bottom"/>
          </w:tcPr>
          <w:p>
            <w:pPr>
              <w:jc w:val="right"/>
              <w:spacing w:after="0"/>
              <w:rPr>
                <w:sz w:val="20"/>
                <w:szCs w:val="20"/>
                <w:color w:val="auto"/>
              </w:rPr>
            </w:pPr>
            <w:r>
              <w:rPr>
                <w:rFonts w:ascii="Arial" w:cs="Arial" w:eastAsia="Arial" w:hAnsi="Arial"/>
                <w:sz w:val="16"/>
                <w:szCs w:val="16"/>
                <w:color w:val="auto"/>
              </w:rPr>
              <w:t>71,538</w:t>
            </w:r>
          </w:p>
        </w:tc>
        <w:tc>
          <w:tcPr>
            <w:tcW w:w="340" w:type="dxa"/>
            <w:vAlign w:val="bottom"/>
            <w:tcBorders>
              <w:right w:val="single" w:sz="8" w:color="007CBA"/>
            </w:tcBorders>
          </w:tcPr>
          <w:p>
            <w:pPr>
              <w:spacing w:after="0"/>
              <w:rPr>
                <w:sz w:val="18"/>
                <w:szCs w:val="18"/>
                <w:color w:val="auto"/>
              </w:rPr>
            </w:pPr>
          </w:p>
        </w:tc>
        <w:tc>
          <w:tcPr>
            <w:tcW w:w="1360" w:type="dxa"/>
            <w:vAlign w:val="bottom"/>
            <w:tcBorders>
              <w:right w:val="single" w:sz="8" w:color="007CBA"/>
            </w:tcBorders>
          </w:tcPr>
          <w:p>
            <w:pPr>
              <w:jc w:val="right"/>
              <w:ind w:right="281"/>
              <w:spacing w:after="0"/>
              <w:rPr>
                <w:sz w:val="20"/>
                <w:szCs w:val="20"/>
                <w:color w:val="auto"/>
              </w:rPr>
            </w:pPr>
            <w:r>
              <w:rPr>
                <w:rFonts w:ascii="Arial" w:cs="Arial" w:eastAsia="Arial" w:hAnsi="Arial"/>
                <w:sz w:val="16"/>
                <w:szCs w:val="16"/>
                <w:color w:val="auto"/>
              </w:rPr>
              <w:t>74,184</w:t>
            </w:r>
          </w:p>
        </w:tc>
        <w:tc>
          <w:tcPr>
            <w:tcW w:w="360" w:type="dxa"/>
            <w:vAlign w:val="bottom"/>
          </w:tcPr>
          <w:p>
            <w:pPr>
              <w:spacing w:after="0"/>
              <w:rPr>
                <w:sz w:val="18"/>
                <w:szCs w:val="18"/>
                <w:color w:val="auto"/>
              </w:rPr>
            </w:pPr>
          </w:p>
        </w:tc>
        <w:tc>
          <w:tcPr>
            <w:tcW w:w="1020" w:type="dxa"/>
            <w:vAlign w:val="bottom"/>
            <w:tcBorders>
              <w:right w:val="single" w:sz="8" w:color="007CBA"/>
            </w:tcBorders>
          </w:tcPr>
          <w:p>
            <w:pPr>
              <w:jc w:val="right"/>
              <w:ind w:right="281"/>
              <w:spacing w:after="0"/>
              <w:rPr>
                <w:sz w:val="20"/>
                <w:szCs w:val="20"/>
                <w:color w:val="auto"/>
              </w:rPr>
            </w:pPr>
            <w:r>
              <w:rPr>
                <w:rFonts w:ascii="Arial" w:cs="Arial" w:eastAsia="Arial" w:hAnsi="Arial"/>
                <w:sz w:val="16"/>
                <w:szCs w:val="16"/>
                <w:color w:val="auto"/>
              </w:rPr>
              <w:t>75,421</w:t>
            </w:r>
          </w:p>
        </w:tc>
        <w:tc>
          <w:tcPr>
            <w:tcW w:w="1040" w:type="dxa"/>
            <w:vAlign w:val="bottom"/>
          </w:tcPr>
          <w:p>
            <w:pPr>
              <w:jc w:val="right"/>
              <w:ind w:right="144"/>
              <w:spacing w:after="0"/>
              <w:rPr>
                <w:sz w:val="20"/>
                <w:szCs w:val="20"/>
                <w:color w:val="auto"/>
              </w:rPr>
            </w:pPr>
            <w:r>
              <w:rPr>
                <w:rFonts w:ascii="Arial" w:cs="Arial" w:eastAsia="Arial" w:hAnsi="Arial"/>
                <w:sz w:val="16"/>
                <w:szCs w:val="16"/>
                <w:color w:val="auto"/>
              </w:rPr>
              <w:t>78.2</w:t>
            </w:r>
          </w:p>
        </w:tc>
      </w:tr>
      <w:tr>
        <w:trPr>
          <w:trHeight w:val="60"/>
        </w:trPr>
        <w:tc>
          <w:tcPr>
            <w:tcW w:w="6300" w:type="dxa"/>
            <w:vAlign w:val="bottom"/>
            <w:tcBorders>
              <w:right w:val="single" w:sz="8" w:color="007CBA"/>
            </w:tcBorders>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Borders>
              <w:right w:val="single" w:sz="8" w:color="007CBA"/>
            </w:tcBorders>
          </w:tcPr>
          <w:p>
            <w:pPr>
              <w:spacing w:after="0"/>
              <w:rPr>
                <w:sz w:val="5"/>
                <w:szCs w:val="5"/>
                <w:color w:val="auto"/>
              </w:rPr>
            </w:pPr>
          </w:p>
        </w:tc>
        <w:tc>
          <w:tcPr>
            <w:tcW w:w="1360" w:type="dxa"/>
            <w:vAlign w:val="bottom"/>
            <w:tcBorders>
              <w:right w:val="single" w:sz="8" w:color="007CBA"/>
            </w:tcBorders>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Borders>
              <w:right w:val="single" w:sz="8" w:color="007CBA"/>
            </w:tcBorders>
          </w:tcPr>
          <w:p>
            <w:pPr>
              <w:spacing w:after="0"/>
              <w:rPr>
                <w:sz w:val="5"/>
                <w:szCs w:val="5"/>
                <w:color w:val="auto"/>
              </w:rPr>
            </w:pPr>
          </w:p>
        </w:tc>
        <w:tc>
          <w:tcPr>
            <w:tcW w:w="1040" w:type="dxa"/>
            <w:vAlign w:val="bottom"/>
          </w:tcPr>
          <w:p>
            <w:pPr>
              <w:spacing w:after="0"/>
              <w:rPr>
                <w:sz w:val="5"/>
                <w:szCs w:val="5"/>
                <w:color w:val="auto"/>
              </w:rPr>
            </w:pPr>
          </w:p>
        </w:tc>
      </w:tr>
      <w:tr>
        <w:trPr>
          <w:trHeight w:val="223"/>
        </w:trPr>
        <w:tc>
          <w:tcPr>
            <w:tcW w:w="6300" w:type="dxa"/>
            <w:vAlign w:val="bottom"/>
            <w:tcBorders>
              <w:bottom w:val="single" w:sz="8" w:color="007CBA"/>
              <w:right w:val="single" w:sz="8" w:color="007CBA"/>
            </w:tcBorders>
            <w:shd w:val="clear" w:color="auto" w:fill="E5F1F8"/>
          </w:tcPr>
          <w:p>
            <w:pPr>
              <w:ind w:left="80"/>
              <w:spacing w:after="0"/>
              <w:rPr>
                <w:sz w:val="20"/>
                <w:szCs w:val="20"/>
                <w:color w:val="auto"/>
              </w:rPr>
            </w:pPr>
            <w:r>
              <w:rPr>
                <w:rFonts w:ascii="Arial" w:cs="Arial" w:eastAsia="Arial" w:hAnsi="Arial"/>
                <w:sz w:val="16"/>
                <w:szCs w:val="16"/>
                <w:b w:val="1"/>
                <w:bCs w:val="1"/>
                <w:color w:val="auto"/>
              </w:rPr>
              <w:t>Total Aggregates Product Line</w:t>
            </w:r>
          </w:p>
        </w:tc>
        <w:tc>
          <w:tcPr>
            <w:tcW w:w="1000" w:type="dxa"/>
            <w:vAlign w:val="bottom"/>
            <w:tcBorders>
              <w:bottom w:val="single" w:sz="8" w:color="007CBA"/>
            </w:tcBorders>
            <w:shd w:val="clear" w:color="auto" w:fill="E5F1F8"/>
          </w:tcPr>
          <w:p>
            <w:pPr>
              <w:jc w:val="right"/>
              <w:spacing w:after="0"/>
              <w:rPr>
                <w:sz w:val="20"/>
                <w:szCs w:val="20"/>
                <w:color w:val="auto"/>
              </w:rPr>
            </w:pPr>
            <w:r>
              <w:rPr>
                <w:rFonts w:ascii="Arial" w:cs="Arial" w:eastAsia="Arial" w:hAnsi="Arial"/>
                <w:sz w:val="16"/>
                <w:szCs w:val="16"/>
                <w:b w:val="1"/>
                <w:bCs w:val="1"/>
                <w:color w:val="auto"/>
              </w:rPr>
              <w:t>175,003</w:t>
            </w:r>
          </w:p>
        </w:tc>
        <w:tc>
          <w:tcPr>
            <w:tcW w:w="340" w:type="dxa"/>
            <w:vAlign w:val="bottom"/>
            <w:tcBorders>
              <w:bottom w:val="single" w:sz="8" w:color="007CBA"/>
              <w:right w:val="single" w:sz="8" w:color="007CBA"/>
            </w:tcBorders>
            <w:shd w:val="clear" w:color="auto" w:fill="E5F1F8"/>
          </w:tcPr>
          <w:p>
            <w:pPr>
              <w:spacing w:after="0"/>
              <w:rPr>
                <w:sz w:val="19"/>
                <w:szCs w:val="19"/>
                <w:color w:val="auto"/>
              </w:rPr>
            </w:pPr>
          </w:p>
        </w:tc>
        <w:tc>
          <w:tcPr>
            <w:tcW w:w="1360" w:type="dxa"/>
            <w:vAlign w:val="bottom"/>
            <w:tcBorders>
              <w:bottom w:val="single" w:sz="8" w:color="007CBA"/>
              <w:right w:val="single" w:sz="8" w:color="007CBA"/>
            </w:tcBorders>
            <w:shd w:val="clear" w:color="auto" w:fill="E5F1F8"/>
          </w:tcPr>
          <w:p>
            <w:pPr>
              <w:jc w:val="right"/>
              <w:ind w:right="281"/>
              <w:spacing w:after="0"/>
              <w:rPr>
                <w:sz w:val="20"/>
                <w:szCs w:val="20"/>
                <w:color w:val="auto"/>
              </w:rPr>
            </w:pPr>
            <w:r>
              <w:rPr>
                <w:rFonts w:ascii="Arial" w:cs="Arial" w:eastAsia="Arial" w:hAnsi="Arial"/>
                <w:sz w:val="16"/>
                <w:szCs w:val="16"/>
                <w:b w:val="1"/>
                <w:bCs w:val="1"/>
                <w:color w:val="auto"/>
              </w:rPr>
              <w:t>166,798</w:t>
            </w:r>
          </w:p>
        </w:tc>
        <w:tc>
          <w:tcPr>
            <w:tcW w:w="360" w:type="dxa"/>
            <w:vAlign w:val="bottom"/>
            <w:tcBorders>
              <w:bottom w:val="single" w:sz="8" w:color="007CBA"/>
            </w:tcBorders>
            <w:shd w:val="clear" w:color="auto" w:fill="E5F1F8"/>
          </w:tcPr>
          <w:p>
            <w:pPr>
              <w:spacing w:after="0"/>
              <w:rPr>
                <w:sz w:val="19"/>
                <w:szCs w:val="19"/>
                <w:color w:val="auto"/>
              </w:rPr>
            </w:pPr>
          </w:p>
        </w:tc>
        <w:tc>
          <w:tcPr>
            <w:tcW w:w="1020" w:type="dxa"/>
            <w:vAlign w:val="bottom"/>
            <w:tcBorders>
              <w:bottom w:val="single" w:sz="8" w:color="007CBA"/>
              <w:right w:val="single" w:sz="8" w:color="007CBA"/>
            </w:tcBorders>
            <w:shd w:val="clear" w:color="auto" w:fill="E5F1F8"/>
          </w:tcPr>
          <w:p>
            <w:pPr>
              <w:jc w:val="right"/>
              <w:ind w:right="281"/>
              <w:spacing w:after="0"/>
              <w:rPr>
                <w:sz w:val="20"/>
                <w:szCs w:val="20"/>
                <w:color w:val="auto"/>
              </w:rPr>
            </w:pPr>
            <w:r>
              <w:rPr>
                <w:rFonts w:ascii="Arial" w:cs="Arial" w:eastAsia="Arial" w:hAnsi="Arial"/>
                <w:sz w:val="16"/>
                <w:szCs w:val="16"/>
                <w:b w:val="1"/>
                <w:bCs w:val="1"/>
                <w:color w:val="auto"/>
              </w:rPr>
              <w:t>163,320</w:t>
            </w:r>
          </w:p>
        </w:tc>
        <w:tc>
          <w:tcPr>
            <w:tcW w:w="1040" w:type="dxa"/>
            <w:vAlign w:val="bottom"/>
            <w:tcBorders>
              <w:bottom w:val="single" w:sz="8" w:color="007CBA"/>
            </w:tcBorders>
            <w:shd w:val="clear" w:color="auto" w:fill="E5F1F8"/>
          </w:tcPr>
          <w:p>
            <w:pPr>
              <w:jc w:val="right"/>
              <w:ind w:right="144"/>
              <w:spacing w:after="0"/>
              <w:rPr>
                <w:sz w:val="20"/>
                <w:szCs w:val="20"/>
                <w:color w:val="auto"/>
              </w:rPr>
            </w:pPr>
            <w:r>
              <w:rPr>
                <w:rFonts w:ascii="Arial" w:cs="Arial" w:eastAsia="Arial" w:hAnsi="Arial"/>
                <w:sz w:val="16"/>
                <w:szCs w:val="16"/>
                <w:b w:val="1"/>
                <w:bCs w:val="1"/>
                <w:color w:val="auto"/>
              </w:rPr>
              <w:t>99.3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-822960</wp:posOffset>
            </wp:positionV>
            <wp:extent cx="25901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Cement Product Line</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December 31, 2018, the Company, through its subsidiaries, processed or shipped cement from six properties in one state, of which four are located on land owned by the Company free of major encumbrances and two are on leased land. The Company’s cement product line has production facilities located at two sites in Texas: Midlothian, Texas, south of Dallas/Fort Worth; Hunter, Texas, north of San Antonio. The following table summarizes certain information about the Company’s cement manufacturing facilities at December 31, 2018: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20" w:type="dxa"/>
            <w:vAlign w:val="bottom"/>
            <w:tcBorders>
              <w:right w:val="single" w:sz="8" w:color="007CBA"/>
            </w:tcBorders>
            <w:shd w:val="clear" w:color="auto" w:fill="007CBA"/>
          </w:tcPr>
          <w:p>
            <w:pPr>
              <w:spacing w:after="0"/>
              <w:rPr>
                <w:sz w:val="15"/>
                <w:szCs w:val="15"/>
                <w:color w:val="auto"/>
              </w:rPr>
            </w:pPr>
          </w:p>
        </w:tc>
        <w:tc>
          <w:tcPr>
            <w:tcW w:w="1300" w:type="dxa"/>
            <w:vAlign w:val="bottom"/>
            <w:tcBorders>
              <w:right w:val="single" w:sz="8" w:color="007CBA"/>
            </w:tcBorders>
            <w:shd w:val="clear" w:color="auto" w:fill="007CBA"/>
          </w:tcPr>
          <w:p>
            <w:pPr>
              <w:jc w:val="center"/>
              <w:ind w:left="184"/>
              <w:spacing w:after="0"/>
              <w:rPr>
                <w:sz w:val="20"/>
                <w:szCs w:val="20"/>
                <w:color w:val="auto"/>
              </w:rPr>
            </w:pPr>
            <w:r>
              <w:rPr>
                <w:rFonts w:ascii="Arial" w:cs="Arial" w:eastAsia="Arial" w:hAnsi="Arial"/>
                <w:sz w:val="14"/>
                <w:szCs w:val="14"/>
                <w:b w:val="1"/>
                <w:bCs w:val="1"/>
                <w:color w:val="FFFFFF"/>
              </w:rPr>
              <w:t>Rated Annual</w:t>
            </w:r>
          </w:p>
        </w:tc>
        <w:tc>
          <w:tcPr>
            <w:tcW w:w="1300" w:type="dxa"/>
            <w:vAlign w:val="bottom"/>
            <w:tcBorders>
              <w:right w:val="single" w:sz="8" w:color="007CBA"/>
            </w:tcBorders>
            <w:shd w:val="clear" w:color="auto" w:fill="007CBA"/>
          </w:tcPr>
          <w:p>
            <w:pPr>
              <w:spacing w:after="0"/>
              <w:rPr>
                <w:sz w:val="15"/>
                <w:szCs w:val="15"/>
                <w:color w:val="auto"/>
              </w:rPr>
            </w:pPr>
          </w:p>
        </w:tc>
        <w:tc>
          <w:tcPr>
            <w:tcW w:w="1420" w:type="dxa"/>
            <w:vAlign w:val="bottom"/>
            <w:tcBorders>
              <w:right w:val="single" w:sz="8" w:color="007CBA"/>
            </w:tcBorders>
            <w:shd w:val="clear" w:color="auto" w:fill="007CBA"/>
          </w:tcPr>
          <w:p>
            <w:pPr>
              <w:spacing w:after="0"/>
              <w:rPr>
                <w:sz w:val="15"/>
                <w:szCs w:val="15"/>
                <w:color w:val="auto"/>
              </w:rPr>
            </w:pPr>
          </w:p>
        </w:tc>
        <w:tc>
          <w:tcPr>
            <w:tcW w:w="1680" w:type="dxa"/>
            <w:vAlign w:val="bottom"/>
            <w:shd w:val="clear" w:color="auto" w:fill="007CBA"/>
          </w:tcPr>
          <w:p>
            <w:pPr>
              <w:spacing w:after="0"/>
              <w:rPr>
                <w:sz w:val="15"/>
                <w:szCs w:val="15"/>
                <w:color w:val="auto"/>
              </w:rPr>
            </w:pPr>
          </w:p>
        </w:tc>
      </w:tr>
      <w:tr>
        <w:trPr>
          <w:trHeight w:val="162"/>
        </w:trPr>
        <w:tc>
          <w:tcPr>
            <w:tcW w:w="5720" w:type="dxa"/>
            <w:vAlign w:val="bottom"/>
            <w:tcBorders>
              <w:right w:val="single" w:sz="8" w:color="007CBA"/>
            </w:tcBorders>
            <w:shd w:val="clear" w:color="auto" w:fill="007CBA"/>
          </w:tcPr>
          <w:p>
            <w:pPr>
              <w:spacing w:after="0"/>
              <w:rPr>
                <w:sz w:val="14"/>
                <w:szCs w:val="14"/>
                <w:color w:val="auto"/>
              </w:rPr>
            </w:pPr>
          </w:p>
        </w:tc>
        <w:tc>
          <w:tcPr>
            <w:tcW w:w="1300" w:type="dxa"/>
            <w:vAlign w:val="bottom"/>
            <w:tcBorders>
              <w:right w:val="single" w:sz="8" w:color="007CBA"/>
            </w:tcBorders>
            <w:shd w:val="clear" w:color="auto" w:fill="007CBA"/>
          </w:tcPr>
          <w:p>
            <w:pPr>
              <w:jc w:val="center"/>
              <w:ind w:left="164"/>
              <w:spacing w:after="0"/>
              <w:rPr>
                <w:sz w:val="20"/>
                <w:szCs w:val="20"/>
                <w:color w:val="auto"/>
              </w:rPr>
            </w:pPr>
            <w:r>
              <w:rPr>
                <w:rFonts w:ascii="Arial" w:cs="Arial" w:eastAsia="Arial" w:hAnsi="Arial"/>
                <w:sz w:val="14"/>
                <w:szCs w:val="14"/>
                <w:b w:val="1"/>
                <w:bCs w:val="1"/>
                <w:color w:val="FFFFFF"/>
              </w:rPr>
              <w:t>Productive</w:t>
            </w:r>
          </w:p>
        </w:tc>
        <w:tc>
          <w:tcPr>
            <w:tcW w:w="1300" w:type="dxa"/>
            <w:vAlign w:val="bottom"/>
            <w:tcBorders>
              <w:right w:val="single" w:sz="8" w:color="007CBA"/>
            </w:tcBorders>
            <w:shd w:val="clear" w:color="auto" w:fill="007CBA"/>
          </w:tcPr>
          <w:p>
            <w:pPr>
              <w:spacing w:after="0"/>
              <w:rPr>
                <w:sz w:val="14"/>
                <w:szCs w:val="14"/>
                <w:color w:val="auto"/>
              </w:rPr>
            </w:pPr>
          </w:p>
        </w:tc>
        <w:tc>
          <w:tcPr>
            <w:tcW w:w="1420" w:type="dxa"/>
            <w:vAlign w:val="bottom"/>
            <w:tcBorders>
              <w:right w:val="single" w:sz="8" w:color="007CBA"/>
            </w:tcBorders>
            <w:shd w:val="clear" w:color="auto" w:fill="007CBA"/>
          </w:tcPr>
          <w:p>
            <w:pPr>
              <w:spacing w:after="0"/>
              <w:rPr>
                <w:sz w:val="14"/>
                <w:szCs w:val="14"/>
                <w:color w:val="auto"/>
              </w:rPr>
            </w:pPr>
          </w:p>
        </w:tc>
        <w:tc>
          <w:tcPr>
            <w:tcW w:w="1680" w:type="dxa"/>
            <w:vAlign w:val="bottom"/>
            <w:shd w:val="clear" w:color="auto" w:fill="007CBA"/>
          </w:tcPr>
          <w:p>
            <w:pPr>
              <w:jc w:val="center"/>
              <w:ind w:left="224"/>
              <w:spacing w:after="0"/>
              <w:rPr>
                <w:sz w:val="20"/>
                <w:szCs w:val="20"/>
                <w:color w:val="auto"/>
              </w:rPr>
            </w:pPr>
            <w:r>
              <w:rPr>
                <w:rFonts w:ascii="Arial" w:cs="Arial" w:eastAsia="Arial" w:hAnsi="Arial"/>
                <w:sz w:val="14"/>
                <w:szCs w:val="14"/>
                <w:b w:val="1"/>
                <w:bCs w:val="1"/>
                <w:color w:val="FFFFFF"/>
              </w:rPr>
              <w:t>Internally Estimated</w:t>
            </w:r>
          </w:p>
        </w:tc>
      </w:tr>
      <w:tr>
        <w:trPr>
          <w:trHeight w:val="162"/>
        </w:trPr>
        <w:tc>
          <w:tcPr>
            <w:tcW w:w="5720" w:type="dxa"/>
            <w:vAlign w:val="bottom"/>
            <w:tcBorders>
              <w:right w:val="single" w:sz="8" w:color="007CBA"/>
            </w:tcBorders>
            <w:shd w:val="clear" w:color="auto" w:fill="007CBA"/>
          </w:tcPr>
          <w:p>
            <w:pPr>
              <w:spacing w:after="0"/>
              <w:rPr>
                <w:sz w:val="14"/>
                <w:szCs w:val="14"/>
                <w:color w:val="auto"/>
              </w:rPr>
            </w:pPr>
          </w:p>
        </w:tc>
        <w:tc>
          <w:tcPr>
            <w:tcW w:w="1300" w:type="dxa"/>
            <w:vAlign w:val="bottom"/>
            <w:tcBorders>
              <w:right w:val="single" w:sz="8" w:color="007CBA"/>
            </w:tcBorders>
            <w:shd w:val="clear" w:color="auto" w:fill="007CBA"/>
          </w:tcPr>
          <w:p>
            <w:pPr>
              <w:jc w:val="center"/>
              <w:ind w:left="164"/>
              <w:spacing w:after="0"/>
              <w:rPr>
                <w:sz w:val="20"/>
                <w:szCs w:val="20"/>
                <w:color w:val="auto"/>
              </w:rPr>
            </w:pPr>
            <w:r>
              <w:rPr>
                <w:rFonts w:ascii="Arial" w:cs="Arial" w:eastAsia="Arial" w:hAnsi="Arial"/>
                <w:sz w:val="14"/>
                <w:szCs w:val="14"/>
                <w:b w:val="1"/>
                <w:bCs w:val="1"/>
                <w:color w:val="FFFFFF"/>
              </w:rPr>
              <w:t>Capacity-Tons</w:t>
            </w:r>
          </w:p>
        </w:tc>
        <w:tc>
          <w:tcPr>
            <w:tcW w:w="1300" w:type="dxa"/>
            <w:vAlign w:val="bottom"/>
            <w:tcBorders>
              <w:right w:val="single" w:sz="8" w:color="007CBA"/>
            </w:tcBorders>
            <w:shd w:val="clear" w:color="auto" w:fill="007CBA"/>
          </w:tcPr>
          <w:p>
            <w:pPr>
              <w:jc w:val="center"/>
              <w:ind w:left="183"/>
              <w:spacing w:after="0"/>
              <w:rPr>
                <w:sz w:val="20"/>
                <w:szCs w:val="20"/>
                <w:color w:val="auto"/>
              </w:rPr>
            </w:pPr>
            <w:r>
              <w:rPr>
                <w:rFonts w:ascii="Arial" w:cs="Arial" w:eastAsia="Arial" w:hAnsi="Arial"/>
                <w:sz w:val="14"/>
                <w:szCs w:val="14"/>
                <w:b w:val="1"/>
                <w:bCs w:val="1"/>
                <w:color w:val="FFFFFF"/>
              </w:rPr>
              <w:t>Manufacturing</w:t>
            </w:r>
          </w:p>
        </w:tc>
        <w:tc>
          <w:tcPr>
            <w:tcW w:w="1420" w:type="dxa"/>
            <w:vAlign w:val="bottom"/>
            <w:tcBorders>
              <w:right w:val="single" w:sz="8" w:color="007CBA"/>
            </w:tcBorders>
            <w:shd w:val="clear" w:color="auto" w:fill="007CBA"/>
          </w:tcPr>
          <w:p>
            <w:pPr>
              <w:spacing w:after="0"/>
              <w:rPr>
                <w:sz w:val="14"/>
                <w:szCs w:val="14"/>
                <w:color w:val="auto"/>
              </w:rPr>
            </w:pPr>
          </w:p>
        </w:tc>
        <w:tc>
          <w:tcPr>
            <w:tcW w:w="1680" w:type="dxa"/>
            <w:vAlign w:val="bottom"/>
            <w:shd w:val="clear" w:color="auto" w:fill="007CBA"/>
          </w:tcPr>
          <w:p>
            <w:pPr>
              <w:jc w:val="center"/>
              <w:ind w:left="224"/>
              <w:spacing w:after="0"/>
              <w:rPr>
                <w:sz w:val="20"/>
                <w:szCs w:val="20"/>
                <w:color w:val="auto"/>
              </w:rPr>
            </w:pPr>
            <w:r>
              <w:rPr>
                <w:rFonts w:ascii="Arial" w:cs="Arial" w:eastAsia="Arial" w:hAnsi="Arial"/>
                <w:sz w:val="14"/>
                <w:szCs w:val="14"/>
                <w:b w:val="1"/>
                <w:bCs w:val="1"/>
                <w:color w:val="FFFFFF"/>
              </w:rPr>
              <w:t>Minimum</w:t>
            </w:r>
          </w:p>
        </w:tc>
      </w:tr>
      <w:tr>
        <w:trPr>
          <w:trHeight w:val="223"/>
        </w:trPr>
        <w:tc>
          <w:tcPr>
            <w:tcW w:w="5720" w:type="dxa"/>
            <w:vAlign w:val="bottom"/>
            <w:tcBorders>
              <w:bottom w:val="single" w:sz="8" w:color="007CBA"/>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Plant</w:t>
            </w:r>
          </w:p>
        </w:tc>
        <w:tc>
          <w:tcPr>
            <w:tcW w:w="1300" w:type="dxa"/>
            <w:vAlign w:val="bottom"/>
            <w:tcBorders>
              <w:bottom w:val="single" w:sz="8" w:color="007CBA"/>
              <w:right w:val="single" w:sz="8" w:color="007CBA"/>
            </w:tcBorders>
            <w:shd w:val="clear" w:color="auto" w:fill="007CBA"/>
          </w:tcPr>
          <w:p>
            <w:pPr>
              <w:jc w:val="center"/>
              <w:ind w:left="164"/>
              <w:spacing w:after="0"/>
              <w:rPr>
                <w:sz w:val="20"/>
                <w:szCs w:val="20"/>
                <w:color w:val="auto"/>
              </w:rPr>
            </w:pPr>
            <w:r>
              <w:rPr>
                <w:rFonts w:ascii="Arial" w:cs="Arial" w:eastAsia="Arial" w:hAnsi="Arial"/>
                <w:sz w:val="14"/>
                <w:szCs w:val="14"/>
                <w:b w:val="1"/>
                <w:bCs w:val="1"/>
                <w:color w:val="FFFFFF"/>
              </w:rPr>
              <w:t>of Clinker</w:t>
            </w:r>
          </w:p>
        </w:tc>
        <w:tc>
          <w:tcPr>
            <w:tcW w:w="1300" w:type="dxa"/>
            <w:vAlign w:val="bottom"/>
            <w:tcBorders>
              <w:bottom w:val="single" w:sz="8" w:color="007CBA"/>
              <w:right w:val="single" w:sz="8" w:color="007CBA"/>
            </w:tcBorders>
            <w:shd w:val="clear" w:color="auto" w:fill="007CBA"/>
          </w:tcPr>
          <w:p>
            <w:pPr>
              <w:jc w:val="center"/>
              <w:ind w:left="183"/>
              <w:spacing w:after="0"/>
              <w:rPr>
                <w:sz w:val="20"/>
                <w:szCs w:val="20"/>
                <w:color w:val="auto"/>
              </w:rPr>
            </w:pPr>
            <w:r>
              <w:rPr>
                <w:rFonts w:ascii="Arial" w:cs="Arial" w:eastAsia="Arial" w:hAnsi="Arial"/>
                <w:sz w:val="14"/>
                <w:szCs w:val="14"/>
                <w:b w:val="1"/>
                <w:bCs w:val="1"/>
                <w:color w:val="FFFFFF"/>
              </w:rPr>
              <w:t>Process</w:t>
            </w:r>
          </w:p>
        </w:tc>
        <w:tc>
          <w:tcPr>
            <w:tcW w:w="1420" w:type="dxa"/>
            <w:vAlign w:val="bottom"/>
            <w:tcBorders>
              <w:bottom w:val="single" w:sz="8" w:color="007CBA"/>
              <w:right w:val="single" w:sz="8" w:color="007CBA"/>
            </w:tcBorders>
            <w:shd w:val="clear" w:color="auto" w:fill="007CBA"/>
          </w:tcPr>
          <w:p>
            <w:pPr>
              <w:jc w:val="center"/>
              <w:ind w:left="202"/>
              <w:spacing w:after="0"/>
              <w:rPr>
                <w:sz w:val="20"/>
                <w:szCs w:val="20"/>
                <w:color w:val="auto"/>
              </w:rPr>
            </w:pPr>
            <w:r>
              <w:rPr>
                <w:rFonts w:ascii="Arial" w:cs="Arial" w:eastAsia="Arial" w:hAnsi="Arial"/>
                <w:sz w:val="14"/>
                <w:szCs w:val="14"/>
                <w:b w:val="1"/>
                <w:bCs w:val="1"/>
                <w:color w:val="FFFFFF"/>
              </w:rPr>
              <w:t>Service Date</w:t>
            </w:r>
          </w:p>
        </w:tc>
        <w:tc>
          <w:tcPr>
            <w:tcW w:w="1680" w:type="dxa"/>
            <w:vAlign w:val="bottom"/>
            <w:tcBorders>
              <w:bottom w:val="single" w:sz="8" w:color="007CBA"/>
            </w:tcBorders>
            <w:shd w:val="clear" w:color="auto" w:fill="007CBA"/>
          </w:tcPr>
          <w:p>
            <w:pPr>
              <w:jc w:val="center"/>
              <w:ind w:left="224"/>
              <w:spacing w:after="0"/>
              <w:rPr>
                <w:sz w:val="20"/>
                <w:szCs w:val="20"/>
                <w:color w:val="auto"/>
              </w:rPr>
            </w:pPr>
            <w:r>
              <w:rPr>
                <w:rFonts w:ascii="Arial" w:cs="Arial" w:eastAsia="Arial" w:hAnsi="Arial"/>
                <w:sz w:val="14"/>
                <w:szCs w:val="14"/>
                <w:b w:val="1"/>
                <w:bCs w:val="1"/>
                <w:color w:val="FFFFFF"/>
              </w:rPr>
              <w:t>Reserves—Years</w:t>
            </w:r>
          </w:p>
        </w:tc>
      </w:tr>
      <w:tr>
        <w:trPr>
          <w:trHeight w:val="210"/>
        </w:trPr>
        <w:tc>
          <w:tcPr>
            <w:tcW w:w="572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Midlothian, TX</w:t>
            </w:r>
          </w:p>
        </w:tc>
        <w:tc>
          <w:tcPr>
            <w:tcW w:w="1300" w:type="dxa"/>
            <w:vAlign w:val="bottom"/>
            <w:tcBorders>
              <w:right w:val="single" w:sz="8" w:color="007CBA"/>
            </w:tcBorders>
          </w:tcPr>
          <w:p>
            <w:pPr>
              <w:jc w:val="center"/>
              <w:ind w:left="184"/>
              <w:spacing w:after="0"/>
              <w:rPr>
                <w:sz w:val="20"/>
                <w:szCs w:val="20"/>
                <w:color w:val="auto"/>
              </w:rPr>
            </w:pPr>
            <w:r>
              <w:rPr>
                <w:rFonts w:ascii="Arial" w:cs="Arial" w:eastAsia="Arial" w:hAnsi="Arial"/>
                <w:sz w:val="16"/>
                <w:szCs w:val="16"/>
                <w:color w:val="auto"/>
              </w:rPr>
              <w:t>2,200,000</w:t>
            </w:r>
          </w:p>
        </w:tc>
        <w:tc>
          <w:tcPr>
            <w:tcW w:w="1300" w:type="dxa"/>
            <w:vAlign w:val="bottom"/>
            <w:tcBorders>
              <w:right w:val="single" w:sz="8" w:color="007CBA"/>
            </w:tcBorders>
          </w:tcPr>
          <w:p>
            <w:pPr>
              <w:jc w:val="center"/>
              <w:ind w:left="183"/>
              <w:spacing w:after="0"/>
              <w:rPr>
                <w:sz w:val="20"/>
                <w:szCs w:val="20"/>
                <w:color w:val="auto"/>
              </w:rPr>
            </w:pPr>
            <w:r>
              <w:rPr>
                <w:rFonts w:ascii="Arial" w:cs="Arial" w:eastAsia="Arial" w:hAnsi="Arial"/>
                <w:sz w:val="16"/>
                <w:szCs w:val="16"/>
                <w:color w:val="auto"/>
                <w:w w:val="96"/>
              </w:rPr>
              <w:t>Dry</w:t>
            </w:r>
          </w:p>
        </w:tc>
        <w:tc>
          <w:tcPr>
            <w:tcW w:w="1420" w:type="dxa"/>
            <w:vAlign w:val="bottom"/>
            <w:tcBorders>
              <w:right w:val="single" w:sz="8" w:color="007CBA"/>
            </w:tcBorders>
          </w:tcPr>
          <w:p>
            <w:pPr>
              <w:jc w:val="center"/>
              <w:ind w:left="222"/>
              <w:spacing w:after="0"/>
              <w:rPr>
                <w:sz w:val="20"/>
                <w:szCs w:val="20"/>
                <w:color w:val="auto"/>
              </w:rPr>
            </w:pPr>
            <w:r>
              <w:rPr>
                <w:rFonts w:ascii="Arial" w:cs="Arial" w:eastAsia="Arial" w:hAnsi="Arial"/>
                <w:sz w:val="16"/>
                <w:szCs w:val="16"/>
                <w:color w:val="auto"/>
              </w:rPr>
              <w:t>2001</w:t>
            </w:r>
          </w:p>
        </w:tc>
        <w:tc>
          <w:tcPr>
            <w:tcW w:w="1680" w:type="dxa"/>
            <w:vAlign w:val="bottom"/>
          </w:tcPr>
          <w:p>
            <w:pPr>
              <w:jc w:val="right"/>
              <w:ind w:right="524"/>
              <w:spacing w:after="0"/>
              <w:rPr>
                <w:sz w:val="20"/>
                <w:szCs w:val="20"/>
                <w:color w:val="auto"/>
              </w:rPr>
            </w:pPr>
            <w:r>
              <w:rPr>
                <w:rFonts w:ascii="Arial" w:cs="Arial" w:eastAsia="Arial" w:hAnsi="Arial"/>
                <w:sz w:val="16"/>
                <w:szCs w:val="16"/>
                <w:color w:val="auto"/>
              </w:rPr>
              <w:t>65</w:t>
            </w:r>
          </w:p>
        </w:tc>
      </w:tr>
      <w:tr>
        <w:trPr>
          <w:trHeight w:val="60"/>
        </w:trPr>
        <w:tc>
          <w:tcPr>
            <w:tcW w:w="5720" w:type="dxa"/>
            <w:vAlign w:val="bottom"/>
            <w:tcBorders>
              <w:right w:val="single" w:sz="8" w:color="007CBA"/>
            </w:tcBorders>
          </w:tcPr>
          <w:p>
            <w:pPr>
              <w:spacing w:after="0"/>
              <w:rPr>
                <w:sz w:val="5"/>
                <w:szCs w:val="5"/>
                <w:color w:val="auto"/>
              </w:rPr>
            </w:pPr>
          </w:p>
        </w:tc>
        <w:tc>
          <w:tcPr>
            <w:tcW w:w="1300" w:type="dxa"/>
            <w:vAlign w:val="bottom"/>
            <w:tcBorders>
              <w:right w:val="single" w:sz="8" w:color="007CBA"/>
            </w:tcBorders>
          </w:tcPr>
          <w:p>
            <w:pPr>
              <w:spacing w:after="0"/>
              <w:rPr>
                <w:sz w:val="5"/>
                <w:szCs w:val="5"/>
                <w:color w:val="auto"/>
              </w:rPr>
            </w:pPr>
          </w:p>
        </w:tc>
        <w:tc>
          <w:tcPr>
            <w:tcW w:w="1300" w:type="dxa"/>
            <w:vAlign w:val="bottom"/>
            <w:tcBorders>
              <w:right w:val="single" w:sz="8" w:color="007CBA"/>
            </w:tcBorders>
          </w:tcPr>
          <w:p>
            <w:pPr>
              <w:spacing w:after="0"/>
              <w:rPr>
                <w:sz w:val="5"/>
                <w:szCs w:val="5"/>
                <w:color w:val="auto"/>
              </w:rPr>
            </w:pPr>
          </w:p>
        </w:tc>
        <w:tc>
          <w:tcPr>
            <w:tcW w:w="1420" w:type="dxa"/>
            <w:vAlign w:val="bottom"/>
            <w:tcBorders>
              <w:right w:val="single" w:sz="8" w:color="007CBA"/>
            </w:tcBorders>
          </w:tcPr>
          <w:p>
            <w:pPr>
              <w:spacing w:after="0"/>
              <w:rPr>
                <w:sz w:val="5"/>
                <w:szCs w:val="5"/>
                <w:color w:val="auto"/>
              </w:rPr>
            </w:pPr>
          </w:p>
        </w:tc>
        <w:tc>
          <w:tcPr>
            <w:tcW w:w="1680" w:type="dxa"/>
            <w:vAlign w:val="bottom"/>
          </w:tcPr>
          <w:p>
            <w:pPr>
              <w:spacing w:after="0"/>
              <w:rPr>
                <w:sz w:val="5"/>
                <w:szCs w:val="5"/>
                <w:color w:val="auto"/>
              </w:rPr>
            </w:pPr>
          </w:p>
        </w:tc>
      </w:tr>
      <w:tr>
        <w:trPr>
          <w:trHeight w:val="203"/>
        </w:trPr>
        <w:tc>
          <w:tcPr>
            <w:tcW w:w="57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Hunter, TX</w:t>
            </w:r>
          </w:p>
        </w:tc>
        <w:tc>
          <w:tcPr>
            <w:tcW w:w="1300" w:type="dxa"/>
            <w:vAlign w:val="bottom"/>
            <w:tcBorders>
              <w:right w:val="single" w:sz="8" w:color="007CBA"/>
            </w:tcBorders>
            <w:shd w:val="clear" w:color="auto" w:fill="E5F1F8"/>
          </w:tcPr>
          <w:p>
            <w:pPr>
              <w:jc w:val="center"/>
              <w:ind w:left="184"/>
              <w:spacing w:after="0"/>
              <w:rPr>
                <w:sz w:val="20"/>
                <w:szCs w:val="20"/>
                <w:color w:val="auto"/>
              </w:rPr>
            </w:pPr>
            <w:r>
              <w:rPr>
                <w:rFonts w:ascii="Arial" w:cs="Arial" w:eastAsia="Arial" w:hAnsi="Arial"/>
                <w:sz w:val="16"/>
                <w:szCs w:val="16"/>
                <w:color w:val="auto"/>
              </w:rPr>
              <w:t>2,250,000</w:t>
            </w:r>
          </w:p>
        </w:tc>
        <w:tc>
          <w:tcPr>
            <w:tcW w:w="1300" w:type="dxa"/>
            <w:vAlign w:val="bottom"/>
            <w:tcBorders>
              <w:right w:val="single" w:sz="8" w:color="007CBA"/>
            </w:tcBorders>
            <w:shd w:val="clear" w:color="auto" w:fill="E5F1F8"/>
          </w:tcPr>
          <w:p>
            <w:pPr>
              <w:jc w:val="center"/>
              <w:ind w:left="183"/>
              <w:spacing w:after="0"/>
              <w:rPr>
                <w:sz w:val="20"/>
                <w:szCs w:val="20"/>
                <w:color w:val="auto"/>
              </w:rPr>
            </w:pPr>
            <w:r>
              <w:rPr>
                <w:rFonts w:ascii="Arial" w:cs="Arial" w:eastAsia="Arial" w:hAnsi="Arial"/>
                <w:sz w:val="16"/>
                <w:szCs w:val="16"/>
                <w:color w:val="auto"/>
                <w:w w:val="96"/>
              </w:rPr>
              <w:t>Dry</w:t>
            </w:r>
          </w:p>
        </w:tc>
        <w:tc>
          <w:tcPr>
            <w:tcW w:w="1420" w:type="dxa"/>
            <w:vAlign w:val="bottom"/>
            <w:tcBorders>
              <w:right w:val="single" w:sz="8" w:color="007CBA"/>
            </w:tcBorders>
            <w:shd w:val="clear" w:color="auto" w:fill="E5F1F8"/>
          </w:tcPr>
          <w:p>
            <w:pPr>
              <w:jc w:val="center"/>
              <w:ind w:left="222"/>
              <w:spacing w:after="0"/>
              <w:rPr>
                <w:sz w:val="20"/>
                <w:szCs w:val="20"/>
                <w:color w:val="auto"/>
              </w:rPr>
            </w:pPr>
            <w:r>
              <w:rPr>
                <w:rFonts w:ascii="Arial" w:cs="Arial" w:eastAsia="Arial" w:hAnsi="Arial"/>
                <w:sz w:val="16"/>
                <w:szCs w:val="16"/>
                <w:color w:val="auto"/>
              </w:rPr>
              <w:t>2013 and 1981</w:t>
            </w:r>
          </w:p>
        </w:tc>
        <w:tc>
          <w:tcPr>
            <w:tcW w:w="1680" w:type="dxa"/>
            <w:vAlign w:val="bottom"/>
            <w:shd w:val="clear" w:color="auto" w:fill="E5F1F8"/>
          </w:tcPr>
          <w:p>
            <w:pPr>
              <w:jc w:val="right"/>
              <w:ind w:right="484"/>
              <w:spacing w:after="0"/>
              <w:rPr>
                <w:sz w:val="20"/>
                <w:szCs w:val="20"/>
                <w:color w:val="auto"/>
              </w:rPr>
            </w:pPr>
            <w:r>
              <w:rPr>
                <w:rFonts w:ascii="Arial" w:cs="Arial" w:eastAsia="Arial" w:hAnsi="Arial"/>
                <w:sz w:val="16"/>
                <w:szCs w:val="16"/>
                <w:color w:val="auto"/>
              </w:rPr>
              <w:t>140</w:t>
            </w:r>
          </w:p>
        </w:tc>
      </w:tr>
      <w:tr>
        <w:trPr>
          <w:trHeight w:val="68"/>
        </w:trPr>
        <w:tc>
          <w:tcPr>
            <w:tcW w:w="5720" w:type="dxa"/>
            <w:vAlign w:val="bottom"/>
            <w:tcBorders>
              <w:right w:val="single" w:sz="8" w:color="007CBA"/>
            </w:tcBorders>
            <w:shd w:val="clear" w:color="auto" w:fill="E5F1F8"/>
          </w:tcPr>
          <w:p>
            <w:pPr>
              <w:spacing w:after="0"/>
              <w:rPr>
                <w:sz w:val="5"/>
                <w:szCs w:val="5"/>
                <w:color w:val="auto"/>
              </w:rPr>
            </w:pPr>
          </w:p>
        </w:tc>
        <w:tc>
          <w:tcPr>
            <w:tcW w:w="1300" w:type="dxa"/>
            <w:vAlign w:val="bottom"/>
            <w:tcBorders>
              <w:right w:val="single" w:sz="8" w:color="007CBA"/>
            </w:tcBorders>
            <w:shd w:val="clear" w:color="auto" w:fill="E5F1F8"/>
          </w:tcPr>
          <w:p>
            <w:pPr>
              <w:spacing w:after="0"/>
              <w:rPr>
                <w:sz w:val="5"/>
                <w:szCs w:val="5"/>
                <w:color w:val="auto"/>
              </w:rPr>
            </w:pPr>
          </w:p>
        </w:tc>
        <w:tc>
          <w:tcPr>
            <w:tcW w:w="1300" w:type="dxa"/>
            <w:vAlign w:val="bottom"/>
            <w:tcBorders>
              <w:right w:val="single" w:sz="8" w:color="007CBA"/>
            </w:tcBorders>
            <w:shd w:val="clear" w:color="auto" w:fill="E5F1F8"/>
          </w:tcPr>
          <w:p>
            <w:pPr>
              <w:spacing w:after="0"/>
              <w:rPr>
                <w:sz w:val="5"/>
                <w:szCs w:val="5"/>
                <w:color w:val="auto"/>
              </w:rPr>
            </w:pPr>
          </w:p>
        </w:tc>
        <w:tc>
          <w:tcPr>
            <w:tcW w:w="1420" w:type="dxa"/>
            <w:vAlign w:val="bottom"/>
            <w:tcBorders>
              <w:right w:val="single" w:sz="8" w:color="007CBA"/>
            </w:tcBorders>
            <w:shd w:val="clear" w:color="auto" w:fill="E5F1F8"/>
          </w:tcPr>
          <w:p>
            <w:pPr>
              <w:spacing w:after="0"/>
              <w:rPr>
                <w:sz w:val="5"/>
                <w:szCs w:val="5"/>
                <w:color w:val="auto"/>
              </w:rPr>
            </w:pPr>
          </w:p>
        </w:tc>
        <w:tc>
          <w:tcPr>
            <w:tcW w:w="1680" w:type="dxa"/>
            <w:vAlign w:val="bottom"/>
            <w:shd w:val="clear" w:color="auto" w:fill="E5F1F8"/>
          </w:tcPr>
          <w:p>
            <w:pPr>
              <w:spacing w:after="0"/>
              <w:rPr>
                <w:sz w:val="5"/>
                <w:szCs w:val="5"/>
                <w:color w:val="auto"/>
              </w:rPr>
            </w:pPr>
          </w:p>
        </w:tc>
      </w:tr>
      <w:tr>
        <w:trPr>
          <w:trHeight w:val="223"/>
        </w:trPr>
        <w:tc>
          <w:tcPr>
            <w:tcW w:w="5720" w:type="dxa"/>
            <w:vAlign w:val="bottom"/>
            <w:tcBorders>
              <w:bottom w:val="single" w:sz="8" w:color="007CBA"/>
              <w:right w:val="single" w:sz="8" w:color="007CBA"/>
            </w:tcBorders>
          </w:tcPr>
          <w:p>
            <w:pPr>
              <w:ind w:left="80"/>
              <w:spacing w:after="0"/>
              <w:rPr>
                <w:sz w:val="20"/>
                <w:szCs w:val="20"/>
                <w:color w:val="auto"/>
              </w:rPr>
            </w:pPr>
            <w:r>
              <w:rPr>
                <w:rFonts w:ascii="Arial" w:cs="Arial" w:eastAsia="Arial" w:hAnsi="Arial"/>
                <w:sz w:val="16"/>
                <w:szCs w:val="16"/>
                <w:b w:val="1"/>
                <w:bCs w:val="1"/>
                <w:color w:val="auto"/>
              </w:rPr>
              <w:t>Total</w:t>
            </w:r>
          </w:p>
        </w:tc>
        <w:tc>
          <w:tcPr>
            <w:tcW w:w="1300" w:type="dxa"/>
            <w:vAlign w:val="bottom"/>
            <w:tcBorders>
              <w:bottom w:val="single" w:sz="8" w:color="007CBA"/>
              <w:right w:val="single" w:sz="8" w:color="007CBA"/>
            </w:tcBorders>
          </w:tcPr>
          <w:p>
            <w:pPr>
              <w:jc w:val="center"/>
              <w:ind w:left="184"/>
              <w:spacing w:after="0"/>
              <w:rPr>
                <w:sz w:val="20"/>
                <w:szCs w:val="20"/>
                <w:color w:val="auto"/>
              </w:rPr>
            </w:pPr>
            <w:r>
              <w:rPr>
                <w:rFonts w:ascii="Arial" w:cs="Arial" w:eastAsia="Arial" w:hAnsi="Arial"/>
                <w:sz w:val="16"/>
                <w:szCs w:val="16"/>
                <w:b w:val="1"/>
                <w:bCs w:val="1"/>
                <w:color w:val="auto"/>
              </w:rPr>
              <w:t>4,450,000</w:t>
            </w:r>
          </w:p>
        </w:tc>
        <w:tc>
          <w:tcPr>
            <w:tcW w:w="1300" w:type="dxa"/>
            <w:vAlign w:val="bottom"/>
            <w:tcBorders>
              <w:bottom w:val="single" w:sz="8" w:color="007CBA"/>
              <w:right w:val="single" w:sz="8" w:color="007CBA"/>
            </w:tcBorders>
          </w:tcPr>
          <w:p>
            <w:pPr>
              <w:spacing w:after="0"/>
              <w:rPr>
                <w:sz w:val="19"/>
                <w:szCs w:val="19"/>
                <w:color w:val="auto"/>
              </w:rPr>
            </w:pPr>
          </w:p>
        </w:tc>
        <w:tc>
          <w:tcPr>
            <w:tcW w:w="1420" w:type="dxa"/>
            <w:vAlign w:val="bottom"/>
            <w:tcBorders>
              <w:bottom w:val="single" w:sz="8" w:color="007CBA"/>
              <w:right w:val="single" w:sz="8" w:color="007CBA"/>
            </w:tcBorders>
          </w:tcPr>
          <w:p>
            <w:pPr>
              <w:spacing w:after="0"/>
              <w:rPr>
                <w:sz w:val="19"/>
                <w:szCs w:val="19"/>
                <w:color w:val="auto"/>
              </w:rPr>
            </w:pPr>
          </w:p>
        </w:tc>
        <w:tc>
          <w:tcPr>
            <w:tcW w:w="1680" w:type="dxa"/>
            <w:vAlign w:val="bottom"/>
            <w:tcBorders>
              <w:bottom w:val="single" w:sz="8" w:color="007CBA"/>
            </w:tcBorders>
          </w:tcPr>
          <w:p>
            <w:pPr>
              <w:spacing w:after="0"/>
              <w:rPr>
                <w:sz w:val="19"/>
                <w:szCs w:val="19"/>
                <w:color w:val="auto"/>
              </w:rPr>
            </w:pPr>
          </w:p>
        </w:tc>
      </w:tr>
    </w:tbl>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Reserves identified with the facilities shown above are contained on approximately 2,844 acres of land owned by the Company. As of December 31, 2018, the Company estimated its total proven and probable limestone reserves on such land to be approximately 692 million tons.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cement manufacturing facilities include kilns, crushers, pre-heaters/calciners, coolers, finish mills and other equipment used to process limestone and other raw materials into cement, as well as equipment used to extract and transport the limestone from the adjacent quarries. These cement manufacturing facilities are served by rail and truck.</w:t>
      </w:r>
    </w:p>
    <w:p>
      <w:pPr>
        <w:spacing w:after="0" w:line="16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 of December 31, 2018, the Company, through its subsidiaries, also operated, directly or through third parties, four cement distribution terminals and owned the real estate at the California cement grinding and packaging facility it sold on September 30, 2015, which it expects to sell for non-cement use.</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Magnesia Specialties Business</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Magnesia Specialties business currently operates major manufacturing facilities in Manistee, Michigan, and Woodville, Ohio. Both of these facilities are owned.</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Other Properties</w:t>
      </w:r>
    </w:p>
    <w:p>
      <w:pPr>
        <w:spacing w:after="0" w:line="15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Company’s principal corporate office, which it owns, is located in Raleigh, North Carolina. The Company owns and leases various administrative offices for its five reportable business segments.</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Condition and Utilization</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principal properties, which are of varying ages and are of different construction types, are believed to be generally in good condition, are generally well maintained, and are generally suitable and adequate for the purposes for which they are used.</w:t>
      </w:r>
    </w:p>
    <w:p>
      <w:pPr>
        <w:spacing w:after="0" w:line="155"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During 2018, the principal properties of the aggregates product line were believed to be utilized at average productive capacities of approximately 65% and were capable of supporting a higher level of market demand. The Company adjusts its production schedules to meet volume demand for its products. For example, the Company reduced operating hours at a number of its facilities, closed some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83820</wp:posOffset>
            </wp:positionV>
            <wp:extent cx="411480" cy="2489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4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3"/>
          <w:szCs w:val="13"/>
          <w:b w:val="1"/>
          <w:bCs w:val="1"/>
          <w:color w:val="auto"/>
        </w:rPr>
      </w:pPr>
      <w:r>
        <w:rPr>
          <w:rFonts w:ascii="Arial" w:cs="Arial" w:eastAsia="Arial" w:hAnsi="Arial"/>
          <w:sz w:val="13"/>
          <w:szCs w:val="13"/>
          <w:color w:val="007CBA"/>
        </w:rPr>
        <w:t>2018 FORM 10-K</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ind w:left="9640"/>
        <w:spacing w:after="0" w:line="276" w:lineRule="exact"/>
        <w:rPr>
          <w:sz w:val="20"/>
          <w:szCs w:val="20"/>
          <w:color w:val="auto"/>
        </w:rPr>
      </w:pPr>
      <w:r>
        <w:rPr>
          <w:rFonts w:ascii="Arial" w:cs="Arial" w:eastAsia="Arial" w:hAnsi="Arial"/>
          <w:sz w:val="13"/>
          <w:szCs w:val="13"/>
          <w:color w:val="auto"/>
        </w:rPr>
        <w:t xml:space="preserve">Item 2 - Properties </w:t>
      </w:r>
      <w:r>
        <w:rPr>
          <w:rFonts w:ascii="MS PGothic" w:cs="MS PGothic" w:eastAsia="MS PGothic" w:hAnsi="MS PGothic"/>
          <w:sz w:val="24"/>
          <w:szCs w:val="24"/>
          <w:color w:val="007CBA"/>
        </w:rPr>
        <w:t>◆</w:t>
      </w:r>
      <w:r>
        <w:rPr>
          <w:rFonts w:ascii="Arial" w:cs="Arial" w:eastAsia="Arial" w:hAnsi="Arial"/>
          <w:sz w:val="13"/>
          <w:szCs w:val="13"/>
          <w:color w:val="auto"/>
        </w:rPr>
        <w:t xml:space="preserve"> </w:t>
      </w:r>
      <w:r>
        <w:rPr>
          <w:rFonts w:ascii="Arial" w:cs="Arial" w:eastAsia="Arial" w:hAnsi="Arial"/>
          <w:sz w:val="13"/>
          <w:szCs w:val="13"/>
          <w:color w:val="007CBA"/>
        </w:rPr>
        <w:t>Part I</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its facilities, and temporarily idled some of its facilities. In 2018, the Company’s aggregates product line operated at a level significantly below capacity, which restricted the Company’s ability to capitalize $44.5 million of costs that could have been inventoried under normal operating conditions. If demand does not improve over the near term, such reductions and temporary idling could continue. The Company expects, however, it will be able to resume production at its normalized levels and increase production again as demand for its products increases.</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2018 the Texas cement plants operated on average at 75% to 80% utilization. The Portland Cement Association (“PCA”) has projected that cement consumption will slow modestly in 2019 from 2018, with the rate of change decreasing in 2019 to 2.6% from 2.9% in 2018. The cement product line’s leadership, in collaboration with the aggregates and ready mixed concrete teams, have developed strategic plans regarding interplant efficiencies, as well as tactical plans addressing plant utilization and efficiency. Due to the 24/7/365 nature of cement operations, significant gains in plant utilization and efficiency are typically achieved only during plant shutdowns.</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expects future organic earnings growth to result from increased pricing, rationalization of the current assets and portfolio and/or further cost reductions. In the current operating environment where steel utilization is at levels close to or below 70% and the strength of the United States dollar pressures product competitiveness in international markets, any unplanned change in costs or customers introduces volatility to the earnings of the Magnesia Specialties segment. The dolomitic lime business of the Magnesia Specialties segment operated at 74% utilization in 2018.</w:t>
      </w: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 LEGAL PROCEEDINGS</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From time to time claims of various types are asserted against the Company arising out of its operations in the normal course of business, including claims relating to land use and permits, safety, health, and environmental matters (such as noise abatement, blasting, vibrations, air emissions, and water discharges). Such matters are subject to many uncertainties, and it is not possible to determine the probable outcome of, or the amount of liability, if any, from, these matters. In the opinion of management of the Company (which opinion is based in part upon consideration of the opinion of counsel), based upon currently-available facts, it is remote that the ultimate outcome of any litigation and other proceedings will have a material adverse effect on the overall results of the Company’s operations, its cash flows, or its financial condition. However, we cannot assure you that an adverse outcome in any of such litigation would not have a material adverse effect on the Company or its operating segments.</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was not required to pay any penalties in 2018 for failure to disclose certain “reportable transactions” under Section 6707A of the Internal Revenue Code.</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See also “Note O: Commitments and Contingencies” of the “Notes to Financial Statements” of the 2018 Financial Statements included in the 2018 Annual Report filed as Exhibit 13.01 to this Form 10-K and “Management’s Discussion and Analysis of Financial Condition and Results of Operations – Environmental Regulation and Litigation” included in the 2018 Annual Report filed as Exhibit 13.01 to this Form 10-K.</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 MINE SAFETY DISCLOSURES</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information concerning mine safety violations or other regulatory matters required by Section 1503(a) of the Dodd-Frank Wall Street Reform and Consumer Protection Act and Item 104 of Regulation S-K (17 CFR 229.104) is included in Exhibit 95 to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80010</wp:posOffset>
            </wp:positionV>
            <wp:extent cx="411480" cy="2489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25" w:lineRule="exact"/>
        <w:rPr>
          <w:sz w:val="20"/>
          <w:szCs w:val="20"/>
          <w:color w:val="auto"/>
        </w:rPr>
      </w:pPr>
    </w:p>
    <w:tbl>
      <w:tblPr>
        <w:tblLayout w:type="fixed"/>
        <w:tblInd w:w="9980" w:type="dxa"/>
        <w:tblCellMar>
          <w:top w:w="0" w:type="dxa"/>
          <w:left w:w="0" w:type="dxa"/>
          <w:bottom w:w="0" w:type="dxa"/>
          <w:right w:w="0" w:type="dxa"/>
        </w:tblCellMar>
      </w:tblPr>
      <w:tr>
        <w:trPr>
          <w:trHeight w:val="168"/>
        </w:trPr>
        <w:tc>
          <w:tcPr>
            <w:tcW w:w="1140" w:type="dxa"/>
            <w:vAlign w:val="bottom"/>
          </w:tcPr>
          <w:p>
            <w:pPr>
              <w:spacing w:after="0"/>
              <w:rPr>
                <w:sz w:val="20"/>
                <w:szCs w:val="20"/>
                <w:color w:val="auto"/>
              </w:rPr>
            </w:pPr>
            <w:r>
              <w:rPr>
                <w:rFonts w:ascii="Arial" w:cs="Arial" w:eastAsia="Arial" w:hAnsi="Arial"/>
                <w:sz w:val="13"/>
                <w:szCs w:val="13"/>
                <w:color w:val="007CBA"/>
              </w:rPr>
              <w:t>2018 FORM 10-K</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27</w:t>
            </w: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Part I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Item 4 - Mine Safety Disclosures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Executive Officers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sets forth certain information regarding the executive officers of Martin Marietta Materials, Inc. as of February 8, 2019: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Borders>
              <w:right w:val="single" w:sz="8" w:color="007CBA"/>
            </w:tcBorders>
            <w:shd w:val="clear" w:color="auto" w:fill="007CBA"/>
          </w:tcPr>
          <w:p>
            <w:pPr>
              <w:spacing w:after="0"/>
              <w:rPr>
                <w:sz w:val="20"/>
                <w:szCs w:val="20"/>
                <w:color w:val="auto"/>
              </w:rPr>
            </w:pPr>
          </w:p>
        </w:tc>
        <w:tc>
          <w:tcPr>
            <w:tcW w:w="600" w:type="dxa"/>
            <w:vAlign w:val="bottom"/>
            <w:tcBorders>
              <w:right w:val="single" w:sz="8" w:color="007CBA"/>
            </w:tcBorders>
            <w:shd w:val="clear" w:color="auto" w:fill="007CBA"/>
          </w:tcPr>
          <w:p>
            <w:pPr>
              <w:spacing w:after="0"/>
              <w:rPr>
                <w:sz w:val="20"/>
                <w:szCs w:val="20"/>
                <w:color w:val="auto"/>
              </w:rPr>
            </w:pPr>
          </w:p>
        </w:tc>
        <w:tc>
          <w:tcPr>
            <w:tcW w:w="2940" w:type="dxa"/>
            <w:vAlign w:val="bottom"/>
            <w:tcBorders>
              <w:right w:val="single" w:sz="8" w:color="007CBA"/>
            </w:tcBorders>
            <w:shd w:val="clear" w:color="auto" w:fill="007CBA"/>
          </w:tcPr>
          <w:p>
            <w:pPr>
              <w:spacing w:after="0"/>
              <w:rPr>
                <w:sz w:val="20"/>
                <w:szCs w:val="20"/>
                <w:color w:val="auto"/>
              </w:rPr>
            </w:pPr>
          </w:p>
        </w:tc>
        <w:tc>
          <w:tcPr>
            <w:tcW w:w="18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Year Assumed</w:t>
            </w:r>
          </w:p>
        </w:tc>
        <w:tc>
          <w:tcPr>
            <w:tcW w:w="3820" w:type="dxa"/>
            <w:vAlign w:val="bottom"/>
            <w:shd w:val="clear" w:color="auto" w:fill="007CBA"/>
          </w:tcPr>
          <w:p>
            <w:pPr>
              <w:ind w:left="560"/>
              <w:spacing w:after="0"/>
              <w:rPr>
                <w:sz w:val="20"/>
                <w:szCs w:val="20"/>
                <w:color w:val="auto"/>
              </w:rPr>
            </w:pPr>
            <w:r>
              <w:rPr>
                <w:rFonts w:ascii="Arial" w:cs="Arial" w:eastAsia="Arial" w:hAnsi="Arial"/>
                <w:sz w:val="16"/>
                <w:szCs w:val="16"/>
                <w:b w:val="1"/>
                <w:bCs w:val="1"/>
                <w:color w:val="FFFFFF"/>
              </w:rPr>
              <w:t>Other Positions and Other Business</w:t>
            </w:r>
          </w:p>
        </w:tc>
      </w:tr>
      <w:tr>
        <w:trPr>
          <w:trHeight w:val="234"/>
        </w:trPr>
        <w:tc>
          <w:tcPr>
            <w:tcW w:w="22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6"/>
                <w:szCs w:val="16"/>
                <w:b w:val="1"/>
                <w:bCs w:val="1"/>
                <w:color w:val="FFFFFF"/>
              </w:rPr>
              <w:t>Name</w:t>
            </w:r>
          </w:p>
        </w:tc>
        <w:tc>
          <w:tcPr>
            <w:tcW w:w="6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w w:val="99"/>
              </w:rPr>
              <w:t>Age</w:t>
            </w:r>
          </w:p>
        </w:tc>
        <w:tc>
          <w:tcPr>
            <w:tcW w:w="2940" w:type="dxa"/>
            <w:vAlign w:val="bottom"/>
            <w:tcBorders>
              <w:right w:val="single" w:sz="8" w:color="007CBA"/>
            </w:tcBorders>
            <w:shd w:val="clear" w:color="auto" w:fill="007CBA"/>
          </w:tcPr>
          <w:p>
            <w:pPr>
              <w:ind w:left="860"/>
              <w:spacing w:after="0"/>
              <w:rPr>
                <w:sz w:val="20"/>
                <w:szCs w:val="20"/>
                <w:color w:val="auto"/>
              </w:rPr>
            </w:pPr>
            <w:r>
              <w:rPr>
                <w:rFonts w:ascii="Arial" w:cs="Arial" w:eastAsia="Arial" w:hAnsi="Arial"/>
                <w:sz w:val="16"/>
                <w:szCs w:val="16"/>
                <w:b w:val="1"/>
                <w:bCs w:val="1"/>
                <w:color w:val="FFFFFF"/>
              </w:rPr>
              <w:t>Present Position</w:t>
            </w:r>
          </w:p>
        </w:tc>
        <w:tc>
          <w:tcPr>
            <w:tcW w:w="18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rPr>
              <w:t>Present Position</w:t>
            </w:r>
          </w:p>
        </w:tc>
        <w:tc>
          <w:tcPr>
            <w:tcW w:w="3820" w:type="dxa"/>
            <w:vAlign w:val="bottom"/>
            <w:shd w:val="clear" w:color="auto" w:fill="007CBA"/>
          </w:tcPr>
          <w:p>
            <w:pPr>
              <w:ind w:left="500"/>
              <w:spacing w:after="0"/>
              <w:rPr>
                <w:sz w:val="20"/>
                <w:szCs w:val="20"/>
                <w:color w:val="auto"/>
              </w:rPr>
            </w:pPr>
            <w:r>
              <w:rPr>
                <w:rFonts w:ascii="Arial" w:cs="Arial" w:eastAsia="Arial" w:hAnsi="Arial"/>
                <w:sz w:val="16"/>
                <w:szCs w:val="16"/>
                <w:b w:val="1"/>
                <w:bCs w:val="1"/>
                <w:color w:val="FFFFFF"/>
              </w:rPr>
              <w:t>Experience Within the Last Five Years</w:t>
            </w:r>
          </w:p>
        </w:tc>
      </w:tr>
      <w:tr>
        <w:trPr>
          <w:trHeight w:val="239"/>
        </w:trPr>
        <w:tc>
          <w:tcPr>
            <w:tcW w:w="22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7"/>
                <w:szCs w:val="17"/>
                <w:color w:val="auto"/>
              </w:rPr>
              <w:t>C. Howard Nye</w:t>
            </w:r>
          </w:p>
        </w:tc>
        <w:tc>
          <w:tcPr>
            <w:tcW w:w="6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7"/>
                <w:szCs w:val="17"/>
                <w:color w:val="auto"/>
                <w:w w:val="94"/>
              </w:rPr>
              <w:t>56</w:t>
            </w:r>
          </w:p>
        </w:tc>
        <w:tc>
          <w:tcPr>
            <w:tcW w:w="294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7"/>
                <w:szCs w:val="17"/>
                <w:color w:val="auto"/>
              </w:rPr>
              <w:t>Chairman of the Board;</w:t>
            </w:r>
          </w:p>
        </w:tc>
        <w:tc>
          <w:tcPr>
            <w:tcW w:w="18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7"/>
                <w:szCs w:val="17"/>
                <w:color w:val="auto"/>
              </w:rPr>
              <w:t>2014</w:t>
            </w:r>
          </w:p>
        </w:tc>
        <w:tc>
          <w:tcPr>
            <w:tcW w:w="3820" w:type="dxa"/>
            <w:vAlign w:val="bottom"/>
            <w:shd w:val="clear" w:color="auto" w:fill="E5F1F8"/>
          </w:tcPr>
          <w:p>
            <w:pPr>
              <w:spacing w:after="0"/>
              <w:rPr>
                <w:sz w:val="20"/>
                <w:szCs w:val="20"/>
                <w:color w:val="auto"/>
              </w:rPr>
            </w:pPr>
          </w:p>
        </w:tc>
      </w:tr>
      <w:tr>
        <w:trPr>
          <w:trHeight w:val="216"/>
        </w:trPr>
        <w:tc>
          <w:tcPr>
            <w:tcW w:w="2220" w:type="dxa"/>
            <w:vAlign w:val="bottom"/>
            <w:tcBorders>
              <w:right w:val="single" w:sz="8" w:color="007CBA"/>
            </w:tcBorders>
            <w:shd w:val="clear" w:color="auto" w:fill="E5F1F8"/>
          </w:tcPr>
          <w:p>
            <w:pPr>
              <w:spacing w:after="0"/>
              <w:rPr>
                <w:sz w:val="18"/>
                <w:szCs w:val="18"/>
                <w:color w:val="auto"/>
              </w:rPr>
            </w:pPr>
          </w:p>
        </w:tc>
        <w:tc>
          <w:tcPr>
            <w:tcW w:w="600" w:type="dxa"/>
            <w:vAlign w:val="bottom"/>
            <w:tcBorders>
              <w:right w:val="single" w:sz="8" w:color="007CBA"/>
            </w:tcBorders>
            <w:shd w:val="clear" w:color="auto" w:fill="E5F1F8"/>
          </w:tcPr>
          <w:p>
            <w:pPr>
              <w:spacing w:after="0"/>
              <w:rPr>
                <w:sz w:val="18"/>
                <w:szCs w:val="18"/>
                <w:color w:val="auto"/>
              </w:rPr>
            </w:pPr>
          </w:p>
        </w:tc>
        <w:tc>
          <w:tcPr>
            <w:tcW w:w="294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7"/>
                <w:szCs w:val="17"/>
                <w:color w:val="auto"/>
              </w:rPr>
              <w:t>Chief Executive Officer;</w:t>
            </w:r>
          </w:p>
        </w:tc>
        <w:tc>
          <w:tcPr>
            <w:tcW w:w="18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7"/>
                <w:szCs w:val="17"/>
                <w:color w:val="auto"/>
              </w:rPr>
              <w:t>2010</w:t>
            </w:r>
          </w:p>
        </w:tc>
        <w:tc>
          <w:tcPr>
            <w:tcW w:w="3820" w:type="dxa"/>
            <w:vAlign w:val="bottom"/>
            <w:shd w:val="clear" w:color="auto" w:fill="E5F1F8"/>
          </w:tcPr>
          <w:p>
            <w:pPr>
              <w:spacing w:after="0"/>
              <w:rPr>
                <w:sz w:val="18"/>
                <w:szCs w:val="18"/>
                <w:color w:val="auto"/>
              </w:rPr>
            </w:pPr>
          </w:p>
        </w:tc>
      </w:tr>
      <w:tr>
        <w:trPr>
          <w:trHeight w:val="257"/>
        </w:trPr>
        <w:tc>
          <w:tcPr>
            <w:tcW w:w="2220" w:type="dxa"/>
            <w:vAlign w:val="bottom"/>
            <w:tcBorders>
              <w:right w:val="single" w:sz="8" w:color="007CBA"/>
            </w:tcBorders>
            <w:shd w:val="clear" w:color="auto" w:fill="E5F1F8"/>
          </w:tcPr>
          <w:p>
            <w:pPr>
              <w:spacing w:after="0"/>
              <w:rPr>
                <w:sz w:val="22"/>
                <w:szCs w:val="22"/>
                <w:color w:val="auto"/>
              </w:rPr>
            </w:pPr>
          </w:p>
        </w:tc>
        <w:tc>
          <w:tcPr>
            <w:tcW w:w="600" w:type="dxa"/>
            <w:vAlign w:val="bottom"/>
            <w:tcBorders>
              <w:right w:val="single" w:sz="8" w:color="007CBA"/>
            </w:tcBorders>
            <w:shd w:val="clear" w:color="auto" w:fill="E5F1F8"/>
          </w:tcPr>
          <w:p>
            <w:pPr>
              <w:spacing w:after="0"/>
              <w:rPr>
                <w:sz w:val="22"/>
                <w:szCs w:val="22"/>
                <w:color w:val="auto"/>
              </w:rPr>
            </w:pPr>
          </w:p>
        </w:tc>
        <w:tc>
          <w:tcPr>
            <w:tcW w:w="294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7"/>
                <w:szCs w:val="17"/>
                <w:color w:val="auto"/>
              </w:rPr>
              <w:t>President;</w:t>
            </w:r>
          </w:p>
        </w:tc>
        <w:tc>
          <w:tcPr>
            <w:tcW w:w="18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7"/>
                <w:szCs w:val="17"/>
                <w:color w:val="auto"/>
              </w:rPr>
              <w:t>2006</w:t>
            </w:r>
          </w:p>
        </w:tc>
        <w:tc>
          <w:tcPr>
            <w:tcW w:w="3820" w:type="dxa"/>
            <w:vAlign w:val="bottom"/>
            <w:shd w:val="clear" w:color="auto" w:fill="E5F1F8"/>
          </w:tcPr>
          <w:p>
            <w:pPr>
              <w:spacing w:after="0"/>
              <w:rPr>
                <w:sz w:val="22"/>
                <w:szCs w:val="22"/>
                <w:color w:val="auto"/>
              </w:rPr>
            </w:pPr>
          </w:p>
        </w:tc>
      </w:tr>
      <w:tr>
        <w:trPr>
          <w:trHeight w:val="257"/>
        </w:trPr>
        <w:tc>
          <w:tcPr>
            <w:tcW w:w="2220" w:type="dxa"/>
            <w:vAlign w:val="bottom"/>
            <w:tcBorders>
              <w:right w:val="single" w:sz="8" w:color="007CBA"/>
            </w:tcBorders>
            <w:shd w:val="clear" w:color="auto" w:fill="E5F1F8"/>
          </w:tcPr>
          <w:p>
            <w:pPr>
              <w:spacing w:after="0"/>
              <w:rPr>
                <w:sz w:val="22"/>
                <w:szCs w:val="22"/>
                <w:color w:val="auto"/>
              </w:rPr>
            </w:pPr>
          </w:p>
        </w:tc>
        <w:tc>
          <w:tcPr>
            <w:tcW w:w="600" w:type="dxa"/>
            <w:vAlign w:val="bottom"/>
            <w:tcBorders>
              <w:right w:val="single" w:sz="8" w:color="007CBA"/>
            </w:tcBorders>
            <w:shd w:val="clear" w:color="auto" w:fill="E5F1F8"/>
          </w:tcPr>
          <w:p>
            <w:pPr>
              <w:spacing w:after="0"/>
              <w:rPr>
                <w:sz w:val="22"/>
                <w:szCs w:val="22"/>
                <w:color w:val="auto"/>
              </w:rPr>
            </w:pPr>
          </w:p>
        </w:tc>
        <w:tc>
          <w:tcPr>
            <w:tcW w:w="294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7"/>
                <w:szCs w:val="17"/>
                <w:color w:val="auto"/>
              </w:rPr>
              <w:t>President of Aggregates</w:t>
            </w:r>
          </w:p>
        </w:tc>
        <w:tc>
          <w:tcPr>
            <w:tcW w:w="18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7"/>
                <w:szCs w:val="17"/>
                <w:color w:val="auto"/>
              </w:rPr>
              <w:t>2010</w:t>
            </w:r>
          </w:p>
        </w:tc>
        <w:tc>
          <w:tcPr>
            <w:tcW w:w="3820" w:type="dxa"/>
            <w:vAlign w:val="bottom"/>
            <w:shd w:val="clear" w:color="auto" w:fill="E5F1F8"/>
          </w:tcPr>
          <w:p>
            <w:pPr>
              <w:spacing w:after="0"/>
              <w:rPr>
                <w:sz w:val="22"/>
                <w:szCs w:val="22"/>
                <w:color w:val="auto"/>
              </w:rPr>
            </w:pPr>
          </w:p>
        </w:tc>
      </w:tr>
      <w:tr>
        <w:trPr>
          <w:trHeight w:val="257"/>
        </w:trPr>
        <w:tc>
          <w:tcPr>
            <w:tcW w:w="2220" w:type="dxa"/>
            <w:vAlign w:val="bottom"/>
            <w:tcBorders>
              <w:right w:val="single" w:sz="8" w:color="007CBA"/>
            </w:tcBorders>
            <w:shd w:val="clear" w:color="auto" w:fill="E5F1F8"/>
          </w:tcPr>
          <w:p>
            <w:pPr>
              <w:spacing w:after="0"/>
              <w:rPr>
                <w:sz w:val="22"/>
                <w:szCs w:val="22"/>
                <w:color w:val="auto"/>
              </w:rPr>
            </w:pPr>
          </w:p>
        </w:tc>
        <w:tc>
          <w:tcPr>
            <w:tcW w:w="600" w:type="dxa"/>
            <w:vAlign w:val="bottom"/>
            <w:tcBorders>
              <w:right w:val="single" w:sz="8" w:color="007CBA"/>
            </w:tcBorders>
            <w:shd w:val="clear" w:color="auto" w:fill="E5F1F8"/>
          </w:tcPr>
          <w:p>
            <w:pPr>
              <w:spacing w:after="0"/>
              <w:rPr>
                <w:sz w:val="22"/>
                <w:szCs w:val="22"/>
                <w:color w:val="auto"/>
              </w:rPr>
            </w:pPr>
          </w:p>
        </w:tc>
        <w:tc>
          <w:tcPr>
            <w:tcW w:w="294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7"/>
                <w:szCs w:val="17"/>
                <w:color w:val="auto"/>
              </w:rPr>
              <w:t>Business;</w:t>
            </w:r>
          </w:p>
        </w:tc>
        <w:tc>
          <w:tcPr>
            <w:tcW w:w="1840" w:type="dxa"/>
            <w:vAlign w:val="bottom"/>
            <w:tcBorders>
              <w:right w:val="single" w:sz="8" w:color="007CBA"/>
            </w:tcBorders>
            <w:shd w:val="clear" w:color="auto" w:fill="E5F1F8"/>
          </w:tcPr>
          <w:p>
            <w:pPr>
              <w:spacing w:after="0"/>
              <w:rPr>
                <w:sz w:val="22"/>
                <w:szCs w:val="22"/>
                <w:color w:val="auto"/>
              </w:rPr>
            </w:pPr>
          </w:p>
        </w:tc>
        <w:tc>
          <w:tcPr>
            <w:tcW w:w="3820" w:type="dxa"/>
            <w:vAlign w:val="bottom"/>
            <w:shd w:val="clear" w:color="auto" w:fill="E5F1F8"/>
          </w:tcPr>
          <w:p>
            <w:pPr>
              <w:spacing w:after="0"/>
              <w:rPr>
                <w:sz w:val="22"/>
                <w:szCs w:val="22"/>
                <w:color w:val="auto"/>
              </w:rPr>
            </w:pPr>
          </w:p>
        </w:tc>
      </w:tr>
      <w:tr>
        <w:trPr>
          <w:trHeight w:val="257"/>
        </w:trPr>
        <w:tc>
          <w:tcPr>
            <w:tcW w:w="2220" w:type="dxa"/>
            <w:vAlign w:val="bottom"/>
            <w:tcBorders>
              <w:right w:val="single" w:sz="8" w:color="007CBA"/>
            </w:tcBorders>
            <w:shd w:val="clear" w:color="auto" w:fill="E5F1F8"/>
          </w:tcPr>
          <w:p>
            <w:pPr>
              <w:spacing w:after="0"/>
              <w:rPr>
                <w:sz w:val="22"/>
                <w:szCs w:val="22"/>
                <w:color w:val="auto"/>
              </w:rPr>
            </w:pPr>
          </w:p>
        </w:tc>
        <w:tc>
          <w:tcPr>
            <w:tcW w:w="600" w:type="dxa"/>
            <w:vAlign w:val="bottom"/>
            <w:tcBorders>
              <w:right w:val="single" w:sz="8" w:color="007CBA"/>
            </w:tcBorders>
            <w:shd w:val="clear" w:color="auto" w:fill="E5F1F8"/>
          </w:tcPr>
          <w:p>
            <w:pPr>
              <w:spacing w:after="0"/>
              <w:rPr>
                <w:sz w:val="22"/>
                <w:szCs w:val="22"/>
                <w:color w:val="auto"/>
              </w:rPr>
            </w:pPr>
          </w:p>
        </w:tc>
        <w:tc>
          <w:tcPr>
            <w:tcW w:w="294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7"/>
                <w:szCs w:val="17"/>
                <w:color w:val="auto"/>
              </w:rPr>
              <w:t>Chairman of Magnesia</w:t>
            </w:r>
          </w:p>
        </w:tc>
        <w:tc>
          <w:tcPr>
            <w:tcW w:w="18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7"/>
                <w:szCs w:val="17"/>
                <w:color w:val="auto"/>
              </w:rPr>
              <w:t>2007</w:t>
            </w:r>
          </w:p>
        </w:tc>
        <w:tc>
          <w:tcPr>
            <w:tcW w:w="3820" w:type="dxa"/>
            <w:vAlign w:val="bottom"/>
            <w:shd w:val="clear" w:color="auto" w:fill="E5F1F8"/>
          </w:tcPr>
          <w:p>
            <w:pPr>
              <w:spacing w:after="0"/>
              <w:rPr>
                <w:sz w:val="22"/>
                <w:szCs w:val="22"/>
                <w:color w:val="auto"/>
              </w:rPr>
            </w:pPr>
          </w:p>
        </w:tc>
      </w:tr>
      <w:tr>
        <w:trPr>
          <w:trHeight w:val="295"/>
        </w:trPr>
        <w:tc>
          <w:tcPr>
            <w:tcW w:w="2220" w:type="dxa"/>
            <w:vAlign w:val="bottom"/>
            <w:tcBorders>
              <w:bottom w:val="single" w:sz="8" w:color="E5F1F8"/>
              <w:right w:val="single" w:sz="8" w:color="007CBA"/>
            </w:tcBorders>
            <w:shd w:val="clear" w:color="auto" w:fill="E5F1F8"/>
          </w:tcPr>
          <w:p>
            <w:pPr>
              <w:spacing w:after="0"/>
              <w:rPr>
                <w:sz w:val="24"/>
                <w:szCs w:val="24"/>
                <w:color w:val="auto"/>
              </w:rPr>
            </w:pPr>
          </w:p>
        </w:tc>
        <w:tc>
          <w:tcPr>
            <w:tcW w:w="600" w:type="dxa"/>
            <w:vAlign w:val="bottom"/>
            <w:tcBorders>
              <w:bottom w:val="single" w:sz="8" w:color="E5F1F8"/>
              <w:right w:val="single" w:sz="8" w:color="007CBA"/>
            </w:tcBorders>
            <w:shd w:val="clear" w:color="auto" w:fill="E5F1F8"/>
          </w:tcPr>
          <w:p>
            <w:pPr>
              <w:spacing w:after="0"/>
              <w:rPr>
                <w:sz w:val="24"/>
                <w:szCs w:val="24"/>
                <w:color w:val="auto"/>
              </w:rPr>
            </w:pPr>
          </w:p>
        </w:tc>
        <w:tc>
          <w:tcPr>
            <w:tcW w:w="2940" w:type="dxa"/>
            <w:vAlign w:val="bottom"/>
            <w:tcBorders>
              <w:bottom w:val="single" w:sz="8" w:color="E5F1F8"/>
              <w:right w:val="single" w:sz="8" w:color="007CBA"/>
            </w:tcBorders>
            <w:shd w:val="clear" w:color="auto" w:fill="E5F1F8"/>
          </w:tcPr>
          <w:p>
            <w:pPr>
              <w:ind w:left="100"/>
              <w:spacing w:after="0"/>
              <w:rPr>
                <w:sz w:val="20"/>
                <w:szCs w:val="20"/>
                <w:color w:val="auto"/>
              </w:rPr>
            </w:pPr>
            <w:r>
              <w:rPr>
                <w:rFonts w:ascii="Arial" w:cs="Arial" w:eastAsia="Arial" w:hAnsi="Arial"/>
                <w:sz w:val="17"/>
                <w:szCs w:val="17"/>
                <w:color w:val="auto"/>
              </w:rPr>
              <w:t>Specialties Business</w:t>
            </w:r>
          </w:p>
        </w:tc>
        <w:tc>
          <w:tcPr>
            <w:tcW w:w="1840" w:type="dxa"/>
            <w:vAlign w:val="bottom"/>
            <w:tcBorders>
              <w:bottom w:val="single" w:sz="8" w:color="E5F1F8"/>
              <w:right w:val="single" w:sz="8" w:color="007CBA"/>
            </w:tcBorders>
            <w:shd w:val="clear" w:color="auto" w:fill="E5F1F8"/>
          </w:tcPr>
          <w:p>
            <w:pPr>
              <w:spacing w:after="0"/>
              <w:rPr>
                <w:sz w:val="24"/>
                <w:szCs w:val="24"/>
                <w:color w:val="auto"/>
              </w:rPr>
            </w:pPr>
          </w:p>
        </w:tc>
        <w:tc>
          <w:tcPr>
            <w:tcW w:w="3820" w:type="dxa"/>
            <w:vAlign w:val="bottom"/>
            <w:tcBorders>
              <w:bottom w:val="single" w:sz="8" w:color="E5F1F8"/>
            </w:tcBorders>
            <w:shd w:val="clear" w:color="auto" w:fill="E5F1F8"/>
          </w:tcPr>
          <w:p>
            <w:pPr>
              <w:spacing w:after="0"/>
              <w:rPr>
                <w:sz w:val="24"/>
                <w:szCs w:val="24"/>
                <w:color w:val="auto"/>
              </w:rPr>
            </w:pPr>
          </w:p>
        </w:tc>
      </w:tr>
      <w:tr>
        <w:trPr>
          <w:trHeight w:val="189"/>
        </w:trPr>
        <w:tc>
          <w:tcPr>
            <w:tcW w:w="2220" w:type="dxa"/>
            <w:vAlign w:val="bottom"/>
            <w:tcBorders>
              <w:right w:val="single" w:sz="8" w:color="007CBA"/>
            </w:tcBorders>
          </w:tcPr>
          <w:p>
            <w:pPr>
              <w:ind w:left="80"/>
              <w:spacing w:after="0" w:line="189" w:lineRule="exact"/>
              <w:rPr>
                <w:sz w:val="20"/>
                <w:szCs w:val="20"/>
                <w:color w:val="auto"/>
              </w:rPr>
            </w:pPr>
            <w:r>
              <w:rPr>
                <w:rFonts w:ascii="Arial" w:cs="Arial" w:eastAsia="Arial" w:hAnsi="Arial"/>
                <w:sz w:val="17"/>
                <w:szCs w:val="17"/>
                <w:color w:val="auto"/>
              </w:rPr>
              <w:t>James A. J. Nickolas</w:t>
            </w:r>
          </w:p>
        </w:tc>
        <w:tc>
          <w:tcPr>
            <w:tcW w:w="600" w:type="dxa"/>
            <w:vAlign w:val="bottom"/>
            <w:tcBorders>
              <w:right w:val="single" w:sz="8" w:color="007CBA"/>
            </w:tcBorders>
          </w:tcPr>
          <w:p>
            <w:pPr>
              <w:jc w:val="center"/>
              <w:spacing w:after="0" w:line="189" w:lineRule="exact"/>
              <w:rPr>
                <w:sz w:val="20"/>
                <w:szCs w:val="20"/>
                <w:color w:val="auto"/>
              </w:rPr>
            </w:pPr>
            <w:r>
              <w:rPr>
                <w:rFonts w:ascii="Arial" w:cs="Arial" w:eastAsia="Arial" w:hAnsi="Arial"/>
                <w:sz w:val="17"/>
                <w:szCs w:val="17"/>
                <w:color w:val="auto"/>
                <w:w w:val="94"/>
              </w:rPr>
              <w:t>48</w:t>
            </w:r>
          </w:p>
        </w:tc>
        <w:tc>
          <w:tcPr>
            <w:tcW w:w="2940" w:type="dxa"/>
            <w:vAlign w:val="bottom"/>
            <w:tcBorders>
              <w:right w:val="single" w:sz="8" w:color="007CBA"/>
            </w:tcBorders>
          </w:tcPr>
          <w:p>
            <w:pPr>
              <w:ind w:left="100"/>
              <w:spacing w:after="0" w:line="189" w:lineRule="exact"/>
              <w:rPr>
                <w:sz w:val="20"/>
                <w:szCs w:val="20"/>
                <w:color w:val="auto"/>
              </w:rPr>
            </w:pPr>
            <w:r>
              <w:rPr>
                <w:rFonts w:ascii="Arial" w:cs="Arial" w:eastAsia="Arial" w:hAnsi="Arial"/>
                <w:sz w:val="17"/>
                <w:szCs w:val="17"/>
                <w:color w:val="auto"/>
              </w:rPr>
              <w:t>Senior Vice President, Chief</w:t>
            </w:r>
          </w:p>
        </w:tc>
        <w:tc>
          <w:tcPr>
            <w:tcW w:w="1840" w:type="dxa"/>
            <w:vAlign w:val="bottom"/>
            <w:tcBorders>
              <w:right w:val="single" w:sz="8" w:color="007CBA"/>
            </w:tcBorders>
          </w:tcPr>
          <w:p>
            <w:pPr>
              <w:jc w:val="center"/>
              <w:spacing w:after="0" w:line="189" w:lineRule="exact"/>
              <w:rPr>
                <w:sz w:val="20"/>
                <w:szCs w:val="20"/>
                <w:color w:val="auto"/>
              </w:rPr>
            </w:pPr>
            <w:r>
              <w:rPr>
                <w:rFonts w:ascii="Arial" w:cs="Arial" w:eastAsia="Arial" w:hAnsi="Arial"/>
                <w:sz w:val="17"/>
                <w:szCs w:val="17"/>
                <w:color w:val="auto"/>
              </w:rPr>
              <w:t>2017</w:t>
            </w:r>
          </w:p>
        </w:tc>
        <w:tc>
          <w:tcPr>
            <w:tcW w:w="3820" w:type="dxa"/>
            <w:vAlign w:val="bottom"/>
          </w:tcPr>
          <w:p>
            <w:pPr>
              <w:ind w:left="100"/>
              <w:spacing w:after="0" w:line="189" w:lineRule="exact"/>
              <w:rPr>
                <w:sz w:val="20"/>
                <w:szCs w:val="20"/>
                <w:color w:val="auto"/>
              </w:rPr>
            </w:pPr>
            <w:r>
              <w:rPr>
                <w:rFonts w:ascii="Arial" w:cs="Arial" w:eastAsia="Arial" w:hAnsi="Arial"/>
                <w:sz w:val="17"/>
                <w:szCs w:val="17"/>
                <w:color w:val="auto"/>
              </w:rPr>
              <w:t>Head, Corporate Development group, Caterpillar</w:t>
            </w:r>
          </w:p>
        </w:tc>
      </w:tr>
      <w:tr>
        <w:trPr>
          <w:trHeight w:val="183"/>
        </w:trPr>
        <w:tc>
          <w:tcPr>
            <w:tcW w:w="2220" w:type="dxa"/>
            <w:vAlign w:val="bottom"/>
            <w:tcBorders>
              <w:right w:val="single" w:sz="8" w:color="007CBA"/>
            </w:tcBorders>
          </w:tcPr>
          <w:p>
            <w:pPr>
              <w:spacing w:after="0"/>
              <w:rPr>
                <w:sz w:val="15"/>
                <w:szCs w:val="15"/>
                <w:color w:val="auto"/>
              </w:rPr>
            </w:pPr>
          </w:p>
        </w:tc>
        <w:tc>
          <w:tcPr>
            <w:tcW w:w="600" w:type="dxa"/>
            <w:vAlign w:val="bottom"/>
            <w:tcBorders>
              <w:right w:val="single" w:sz="8" w:color="007CBA"/>
            </w:tcBorders>
          </w:tcPr>
          <w:p>
            <w:pPr>
              <w:spacing w:after="0"/>
              <w:rPr>
                <w:sz w:val="15"/>
                <w:szCs w:val="15"/>
                <w:color w:val="auto"/>
              </w:rPr>
            </w:pPr>
          </w:p>
        </w:tc>
        <w:tc>
          <w:tcPr>
            <w:tcW w:w="2940" w:type="dxa"/>
            <w:vAlign w:val="bottom"/>
            <w:tcBorders>
              <w:right w:val="single" w:sz="8" w:color="007CBA"/>
            </w:tcBorders>
          </w:tcPr>
          <w:p>
            <w:pPr>
              <w:ind w:left="100"/>
              <w:spacing w:after="0" w:line="183" w:lineRule="exact"/>
              <w:rPr>
                <w:sz w:val="20"/>
                <w:szCs w:val="20"/>
                <w:color w:val="auto"/>
              </w:rPr>
            </w:pPr>
            <w:r>
              <w:rPr>
                <w:rFonts w:ascii="Arial" w:cs="Arial" w:eastAsia="Arial" w:hAnsi="Arial"/>
                <w:sz w:val="17"/>
                <w:szCs w:val="17"/>
                <w:color w:val="auto"/>
              </w:rPr>
              <w:t>Financial Officer</w:t>
            </w:r>
          </w:p>
        </w:tc>
        <w:tc>
          <w:tcPr>
            <w:tcW w:w="1840" w:type="dxa"/>
            <w:vAlign w:val="bottom"/>
            <w:tcBorders>
              <w:right w:val="single" w:sz="8" w:color="007CBA"/>
            </w:tcBorders>
          </w:tcPr>
          <w:p>
            <w:pPr>
              <w:spacing w:after="0"/>
              <w:rPr>
                <w:sz w:val="15"/>
                <w:szCs w:val="15"/>
                <w:color w:val="auto"/>
              </w:rPr>
            </w:pPr>
          </w:p>
        </w:tc>
        <w:tc>
          <w:tcPr>
            <w:tcW w:w="3820" w:type="dxa"/>
            <w:vAlign w:val="bottom"/>
          </w:tcPr>
          <w:p>
            <w:pPr>
              <w:ind w:left="100"/>
              <w:spacing w:after="0" w:line="183" w:lineRule="exact"/>
              <w:rPr>
                <w:sz w:val="20"/>
                <w:szCs w:val="20"/>
                <w:color w:val="auto"/>
              </w:rPr>
            </w:pPr>
            <w:r>
              <w:rPr>
                <w:rFonts w:ascii="Arial" w:cs="Arial" w:eastAsia="Arial" w:hAnsi="Arial"/>
                <w:sz w:val="17"/>
                <w:szCs w:val="17"/>
                <w:color w:val="auto"/>
              </w:rPr>
              <w:t>Inc. (January-July 2017), Group Chief Financial</w:t>
            </w:r>
          </w:p>
        </w:tc>
      </w:tr>
      <w:tr>
        <w:trPr>
          <w:trHeight w:val="189"/>
        </w:trPr>
        <w:tc>
          <w:tcPr>
            <w:tcW w:w="2220" w:type="dxa"/>
            <w:vAlign w:val="bottom"/>
            <w:tcBorders>
              <w:right w:val="single" w:sz="8" w:color="007CBA"/>
            </w:tcBorders>
          </w:tcPr>
          <w:p>
            <w:pPr>
              <w:spacing w:after="0"/>
              <w:rPr>
                <w:sz w:val="16"/>
                <w:szCs w:val="16"/>
                <w:color w:val="auto"/>
              </w:rPr>
            </w:pPr>
          </w:p>
        </w:tc>
        <w:tc>
          <w:tcPr>
            <w:tcW w:w="600" w:type="dxa"/>
            <w:vAlign w:val="bottom"/>
            <w:tcBorders>
              <w:right w:val="single" w:sz="8" w:color="007CBA"/>
            </w:tcBorders>
          </w:tcPr>
          <w:p>
            <w:pPr>
              <w:spacing w:after="0"/>
              <w:rPr>
                <w:sz w:val="16"/>
                <w:szCs w:val="16"/>
                <w:color w:val="auto"/>
              </w:rPr>
            </w:pPr>
          </w:p>
        </w:tc>
        <w:tc>
          <w:tcPr>
            <w:tcW w:w="2940" w:type="dxa"/>
            <w:vAlign w:val="bottom"/>
            <w:tcBorders>
              <w:right w:val="single" w:sz="8" w:color="007CBA"/>
            </w:tcBorders>
          </w:tcPr>
          <w:p>
            <w:pPr>
              <w:spacing w:after="0"/>
              <w:rPr>
                <w:sz w:val="16"/>
                <w:szCs w:val="16"/>
                <w:color w:val="auto"/>
              </w:rPr>
            </w:pPr>
          </w:p>
        </w:tc>
        <w:tc>
          <w:tcPr>
            <w:tcW w:w="1840" w:type="dxa"/>
            <w:vAlign w:val="bottom"/>
            <w:tcBorders>
              <w:right w:val="single" w:sz="8" w:color="007CBA"/>
            </w:tcBorders>
          </w:tcPr>
          <w:p>
            <w:pPr>
              <w:spacing w:after="0"/>
              <w:rPr>
                <w:sz w:val="16"/>
                <w:szCs w:val="16"/>
                <w:color w:val="auto"/>
              </w:rPr>
            </w:pPr>
          </w:p>
        </w:tc>
        <w:tc>
          <w:tcPr>
            <w:tcW w:w="3820" w:type="dxa"/>
            <w:vAlign w:val="bottom"/>
          </w:tcPr>
          <w:p>
            <w:pPr>
              <w:ind w:left="100"/>
              <w:spacing w:after="0" w:line="189" w:lineRule="exact"/>
              <w:rPr>
                <w:sz w:val="20"/>
                <w:szCs w:val="20"/>
                <w:color w:val="auto"/>
              </w:rPr>
            </w:pPr>
            <w:r>
              <w:rPr>
                <w:rFonts w:ascii="Arial" w:cs="Arial" w:eastAsia="Arial" w:hAnsi="Arial"/>
                <w:sz w:val="17"/>
                <w:szCs w:val="17"/>
                <w:color w:val="auto"/>
              </w:rPr>
              <w:t>Officer of Caterpillar’s Resources Industries</w:t>
            </w:r>
          </w:p>
        </w:tc>
      </w:tr>
      <w:tr>
        <w:trPr>
          <w:trHeight w:val="189"/>
        </w:trPr>
        <w:tc>
          <w:tcPr>
            <w:tcW w:w="2220" w:type="dxa"/>
            <w:vAlign w:val="bottom"/>
            <w:tcBorders>
              <w:right w:val="single" w:sz="8" w:color="007CBA"/>
            </w:tcBorders>
          </w:tcPr>
          <w:p>
            <w:pPr>
              <w:spacing w:after="0"/>
              <w:rPr>
                <w:sz w:val="16"/>
                <w:szCs w:val="16"/>
                <w:color w:val="auto"/>
              </w:rPr>
            </w:pPr>
          </w:p>
        </w:tc>
        <w:tc>
          <w:tcPr>
            <w:tcW w:w="600" w:type="dxa"/>
            <w:vAlign w:val="bottom"/>
            <w:tcBorders>
              <w:right w:val="single" w:sz="8" w:color="007CBA"/>
            </w:tcBorders>
          </w:tcPr>
          <w:p>
            <w:pPr>
              <w:spacing w:after="0"/>
              <w:rPr>
                <w:sz w:val="16"/>
                <w:szCs w:val="16"/>
                <w:color w:val="auto"/>
              </w:rPr>
            </w:pPr>
          </w:p>
        </w:tc>
        <w:tc>
          <w:tcPr>
            <w:tcW w:w="2940" w:type="dxa"/>
            <w:vAlign w:val="bottom"/>
            <w:tcBorders>
              <w:right w:val="single" w:sz="8" w:color="007CBA"/>
            </w:tcBorders>
          </w:tcPr>
          <w:p>
            <w:pPr>
              <w:spacing w:after="0"/>
              <w:rPr>
                <w:sz w:val="16"/>
                <w:szCs w:val="16"/>
                <w:color w:val="auto"/>
              </w:rPr>
            </w:pPr>
          </w:p>
        </w:tc>
        <w:tc>
          <w:tcPr>
            <w:tcW w:w="1840" w:type="dxa"/>
            <w:vAlign w:val="bottom"/>
            <w:tcBorders>
              <w:right w:val="single" w:sz="8" w:color="007CBA"/>
            </w:tcBorders>
          </w:tcPr>
          <w:p>
            <w:pPr>
              <w:spacing w:after="0"/>
              <w:rPr>
                <w:sz w:val="16"/>
                <w:szCs w:val="16"/>
                <w:color w:val="auto"/>
              </w:rPr>
            </w:pPr>
          </w:p>
        </w:tc>
        <w:tc>
          <w:tcPr>
            <w:tcW w:w="3820" w:type="dxa"/>
            <w:vAlign w:val="bottom"/>
          </w:tcPr>
          <w:p>
            <w:pPr>
              <w:ind w:left="100"/>
              <w:spacing w:after="0" w:line="189" w:lineRule="exact"/>
              <w:rPr>
                <w:sz w:val="20"/>
                <w:szCs w:val="20"/>
                <w:color w:val="auto"/>
              </w:rPr>
            </w:pPr>
            <w:r>
              <w:rPr>
                <w:rFonts w:ascii="Arial" w:cs="Arial" w:eastAsia="Arial" w:hAnsi="Arial"/>
                <w:sz w:val="17"/>
                <w:szCs w:val="17"/>
                <w:color w:val="auto"/>
              </w:rPr>
              <w:t>segment (October 2014-December 2016), Group</w:t>
            </w:r>
          </w:p>
        </w:tc>
      </w:tr>
      <w:tr>
        <w:trPr>
          <w:trHeight w:val="189"/>
        </w:trPr>
        <w:tc>
          <w:tcPr>
            <w:tcW w:w="2220" w:type="dxa"/>
            <w:vAlign w:val="bottom"/>
            <w:tcBorders>
              <w:right w:val="single" w:sz="8" w:color="007CBA"/>
            </w:tcBorders>
          </w:tcPr>
          <w:p>
            <w:pPr>
              <w:spacing w:after="0"/>
              <w:rPr>
                <w:sz w:val="16"/>
                <w:szCs w:val="16"/>
                <w:color w:val="auto"/>
              </w:rPr>
            </w:pPr>
          </w:p>
        </w:tc>
        <w:tc>
          <w:tcPr>
            <w:tcW w:w="600" w:type="dxa"/>
            <w:vAlign w:val="bottom"/>
            <w:tcBorders>
              <w:right w:val="single" w:sz="8" w:color="007CBA"/>
            </w:tcBorders>
          </w:tcPr>
          <w:p>
            <w:pPr>
              <w:spacing w:after="0"/>
              <w:rPr>
                <w:sz w:val="16"/>
                <w:szCs w:val="16"/>
                <w:color w:val="auto"/>
              </w:rPr>
            </w:pPr>
          </w:p>
        </w:tc>
        <w:tc>
          <w:tcPr>
            <w:tcW w:w="2940" w:type="dxa"/>
            <w:vAlign w:val="bottom"/>
            <w:tcBorders>
              <w:right w:val="single" w:sz="8" w:color="007CBA"/>
            </w:tcBorders>
          </w:tcPr>
          <w:p>
            <w:pPr>
              <w:spacing w:after="0"/>
              <w:rPr>
                <w:sz w:val="16"/>
                <w:szCs w:val="16"/>
                <w:color w:val="auto"/>
              </w:rPr>
            </w:pPr>
          </w:p>
        </w:tc>
        <w:tc>
          <w:tcPr>
            <w:tcW w:w="1840" w:type="dxa"/>
            <w:vAlign w:val="bottom"/>
            <w:tcBorders>
              <w:right w:val="single" w:sz="8" w:color="007CBA"/>
            </w:tcBorders>
          </w:tcPr>
          <w:p>
            <w:pPr>
              <w:spacing w:after="0"/>
              <w:rPr>
                <w:sz w:val="16"/>
                <w:szCs w:val="16"/>
                <w:color w:val="auto"/>
              </w:rPr>
            </w:pPr>
          </w:p>
        </w:tc>
        <w:tc>
          <w:tcPr>
            <w:tcW w:w="3820" w:type="dxa"/>
            <w:vAlign w:val="bottom"/>
          </w:tcPr>
          <w:p>
            <w:pPr>
              <w:ind w:left="100"/>
              <w:spacing w:after="0" w:line="189" w:lineRule="exact"/>
              <w:rPr>
                <w:sz w:val="20"/>
                <w:szCs w:val="20"/>
                <w:color w:val="auto"/>
              </w:rPr>
            </w:pPr>
            <w:r>
              <w:rPr>
                <w:rFonts w:ascii="Arial" w:cs="Arial" w:eastAsia="Arial" w:hAnsi="Arial"/>
                <w:sz w:val="17"/>
                <w:szCs w:val="17"/>
                <w:color w:val="auto"/>
              </w:rPr>
              <w:t>Chief Financial Officer of Caterpillar’s Global</w:t>
            </w:r>
          </w:p>
        </w:tc>
      </w:tr>
      <w:tr>
        <w:trPr>
          <w:trHeight w:val="189"/>
        </w:trPr>
        <w:tc>
          <w:tcPr>
            <w:tcW w:w="2220" w:type="dxa"/>
            <w:vAlign w:val="bottom"/>
            <w:tcBorders>
              <w:right w:val="single" w:sz="8" w:color="007CBA"/>
            </w:tcBorders>
          </w:tcPr>
          <w:p>
            <w:pPr>
              <w:spacing w:after="0"/>
              <w:rPr>
                <w:sz w:val="16"/>
                <w:szCs w:val="16"/>
                <w:color w:val="auto"/>
              </w:rPr>
            </w:pPr>
          </w:p>
        </w:tc>
        <w:tc>
          <w:tcPr>
            <w:tcW w:w="600" w:type="dxa"/>
            <w:vAlign w:val="bottom"/>
            <w:tcBorders>
              <w:right w:val="single" w:sz="8" w:color="007CBA"/>
            </w:tcBorders>
          </w:tcPr>
          <w:p>
            <w:pPr>
              <w:spacing w:after="0"/>
              <w:rPr>
                <w:sz w:val="16"/>
                <w:szCs w:val="16"/>
                <w:color w:val="auto"/>
              </w:rPr>
            </w:pPr>
          </w:p>
        </w:tc>
        <w:tc>
          <w:tcPr>
            <w:tcW w:w="2940" w:type="dxa"/>
            <w:vAlign w:val="bottom"/>
            <w:tcBorders>
              <w:right w:val="single" w:sz="8" w:color="007CBA"/>
            </w:tcBorders>
          </w:tcPr>
          <w:p>
            <w:pPr>
              <w:spacing w:after="0"/>
              <w:rPr>
                <w:sz w:val="16"/>
                <w:szCs w:val="16"/>
                <w:color w:val="auto"/>
              </w:rPr>
            </w:pPr>
          </w:p>
        </w:tc>
        <w:tc>
          <w:tcPr>
            <w:tcW w:w="1840" w:type="dxa"/>
            <w:vAlign w:val="bottom"/>
            <w:tcBorders>
              <w:right w:val="single" w:sz="8" w:color="007CBA"/>
            </w:tcBorders>
          </w:tcPr>
          <w:p>
            <w:pPr>
              <w:spacing w:after="0"/>
              <w:rPr>
                <w:sz w:val="16"/>
                <w:szCs w:val="16"/>
                <w:color w:val="auto"/>
              </w:rPr>
            </w:pPr>
          </w:p>
        </w:tc>
        <w:tc>
          <w:tcPr>
            <w:tcW w:w="3820" w:type="dxa"/>
            <w:vAlign w:val="bottom"/>
          </w:tcPr>
          <w:p>
            <w:pPr>
              <w:ind w:left="100"/>
              <w:spacing w:after="0" w:line="189" w:lineRule="exact"/>
              <w:rPr>
                <w:sz w:val="20"/>
                <w:szCs w:val="20"/>
                <w:color w:val="auto"/>
              </w:rPr>
            </w:pPr>
            <w:r>
              <w:rPr>
                <w:rFonts w:ascii="Arial" w:cs="Arial" w:eastAsia="Arial" w:hAnsi="Arial"/>
                <w:sz w:val="17"/>
                <w:szCs w:val="17"/>
                <w:color w:val="auto"/>
              </w:rPr>
              <w:t>Mining business unit (December 2012-</w:t>
            </w:r>
          </w:p>
        </w:tc>
      </w:tr>
      <w:tr>
        <w:trPr>
          <w:trHeight w:val="205"/>
        </w:trPr>
        <w:tc>
          <w:tcPr>
            <w:tcW w:w="2220" w:type="dxa"/>
            <w:vAlign w:val="bottom"/>
            <w:tcBorders>
              <w:right w:val="single" w:sz="8" w:color="007CBA"/>
            </w:tcBorders>
          </w:tcPr>
          <w:p>
            <w:pPr>
              <w:spacing w:after="0"/>
              <w:rPr>
                <w:sz w:val="17"/>
                <w:szCs w:val="17"/>
                <w:color w:val="auto"/>
              </w:rPr>
            </w:pPr>
          </w:p>
        </w:tc>
        <w:tc>
          <w:tcPr>
            <w:tcW w:w="600" w:type="dxa"/>
            <w:vAlign w:val="bottom"/>
            <w:tcBorders>
              <w:right w:val="single" w:sz="8" w:color="007CBA"/>
            </w:tcBorders>
          </w:tcPr>
          <w:p>
            <w:pPr>
              <w:spacing w:after="0"/>
              <w:rPr>
                <w:sz w:val="17"/>
                <w:szCs w:val="17"/>
                <w:color w:val="auto"/>
              </w:rPr>
            </w:pPr>
          </w:p>
        </w:tc>
        <w:tc>
          <w:tcPr>
            <w:tcW w:w="2940" w:type="dxa"/>
            <w:vAlign w:val="bottom"/>
            <w:tcBorders>
              <w:right w:val="single" w:sz="8" w:color="007CBA"/>
            </w:tcBorders>
          </w:tcPr>
          <w:p>
            <w:pPr>
              <w:spacing w:after="0"/>
              <w:rPr>
                <w:sz w:val="17"/>
                <w:szCs w:val="17"/>
                <w:color w:val="auto"/>
              </w:rPr>
            </w:pPr>
          </w:p>
        </w:tc>
        <w:tc>
          <w:tcPr>
            <w:tcW w:w="1840" w:type="dxa"/>
            <w:vAlign w:val="bottom"/>
            <w:tcBorders>
              <w:right w:val="single" w:sz="8" w:color="007CBA"/>
            </w:tcBorders>
          </w:tcPr>
          <w:p>
            <w:pPr>
              <w:spacing w:after="0"/>
              <w:rPr>
                <w:sz w:val="17"/>
                <w:szCs w:val="17"/>
                <w:color w:val="auto"/>
              </w:rPr>
            </w:pPr>
          </w:p>
        </w:tc>
        <w:tc>
          <w:tcPr>
            <w:tcW w:w="3820" w:type="dxa"/>
            <w:vAlign w:val="bottom"/>
          </w:tcPr>
          <w:p>
            <w:pPr>
              <w:ind w:left="100"/>
              <w:spacing w:after="0"/>
              <w:rPr>
                <w:sz w:val="20"/>
                <w:szCs w:val="20"/>
                <w:color w:val="auto"/>
              </w:rPr>
            </w:pPr>
            <w:r>
              <w:rPr>
                <w:rFonts w:ascii="Arial" w:cs="Arial" w:eastAsia="Arial" w:hAnsi="Arial"/>
                <w:sz w:val="17"/>
                <w:szCs w:val="17"/>
                <w:color w:val="auto"/>
              </w:rPr>
              <w:t>September 2014)</w:t>
            </w:r>
          </w:p>
        </w:tc>
      </w:tr>
      <w:tr>
        <w:trPr>
          <w:trHeight w:val="72"/>
        </w:trPr>
        <w:tc>
          <w:tcPr>
            <w:tcW w:w="2220" w:type="dxa"/>
            <w:vAlign w:val="bottom"/>
            <w:tcBorders>
              <w:right w:val="single" w:sz="8" w:color="007CBA"/>
            </w:tcBorders>
          </w:tcPr>
          <w:p>
            <w:pPr>
              <w:spacing w:after="0"/>
              <w:rPr>
                <w:sz w:val="6"/>
                <w:szCs w:val="6"/>
                <w:color w:val="auto"/>
              </w:rPr>
            </w:pPr>
          </w:p>
        </w:tc>
        <w:tc>
          <w:tcPr>
            <w:tcW w:w="600" w:type="dxa"/>
            <w:vAlign w:val="bottom"/>
            <w:tcBorders>
              <w:right w:val="single" w:sz="8" w:color="007CBA"/>
            </w:tcBorders>
          </w:tcPr>
          <w:p>
            <w:pPr>
              <w:spacing w:after="0"/>
              <w:rPr>
                <w:sz w:val="6"/>
                <w:szCs w:val="6"/>
                <w:color w:val="auto"/>
              </w:rPr>
            </w:pPr>
          </w:p>
        </w:tc>
        <w:tc>
          <w:tcPr>
            <w:tcW w:w="2940" w:type="dxa"/>
            <w:vAlign w:val="bottom"/>
            <w:tcBorders>
              <w:right w:val="single" w:sz="8" w:color="007CBA"/>
            </w:tcBorders>
          </w:tcPr>
          <w:p>
            <w:pPr>
              <w:spacing w:after="0"/>
              <w:rPr>
                <w:sz w:val="6"/>
                <w:szCs w:val="6"/>
                <w:color w:val="auto"/>
              </w:rPr>
            </w:pPr>
          </w:p>
        </w:tc>
        <w:tc>
          <w:tcPr>
            <w:tcW w:w="1840" w:type="dxa"/>
            <w:vAlign w:val="bottom"/>
            <w:tcBorders>
              <w:right w:val="single" w:sz="8" w:color="007CBA"/>
            </w:tcBorders>
          </w:tcPr>
          <w:p>
            <w:pPr>
              <w:spacing w:after="0"/>
              <w:rPr>
                <w:sz w:val="6"/>
                <w:szCs w:val="6"/>
                <w:color w:val="auto"/>
              </w:rPr>
            </w:pPr>
          </w:p>
        </w:tc>
        <w:tc>
          <w:tcPr>
            <w:tcW w:w="3820" w:type="dxa"/>
            <w:vAlign w:val="bottom"/>
          </w:tcPr>
          <w:p>
            <w:pPr>
              <w:spacing w:after="0"/>
              <w:rPr>
                <w:sz w:val="6"/>
                <w:szCs w:val="6"/>
                <w:color w:val="auto"/>
              </w:rPr>
            </w:pPr>
          </w:p>
        </w:tc>
      </w:tr>
      <w:tr>
        <w:trPr>
          <w:trHeight w:val="239"/>
        </w:trPr>
        <w:tc>
          <w:tcPr>
            <w:tcW w:w="22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7"/>
                <w:szCs w:val="17"/>
                <w:color w:val="auto"/>
              </w:rPr>
              <w:t>Roselyn R. Bar</w:t>
            </w:r>
          </w:p>
        </w:tc>
        <w:tc>
          <w:tcPr>
            <w:tcW w:w="6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7"/>
                <w:szCs w:val="17"/>
                <w:color w:val="auto"/>
                <w:w w:val="94"/>
              </w:rPr>
              <w:t>60</w:t>
            </w:r>
          </w:p>
        </w:tc>
        <w:tc>
          <w:tcPr>
            <w:tcW w:w="294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7"/>
                <w:szCs w:val="17"/>
                <w:color w:val="auto"/>
              </w:rPr>
              <w:t>Executive Vice President;</w:t>
            </w:r>
          </w:p>
        </w:tc>
        <w:tc>
          <w:tcPr>
            <w:tcW w:w="18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7"/>
                <w:szCs w:val="17"/>
                <w:color w:val="auto"/>
              </w:rPr>
              <w:t>2015</w:t>
            </w:r>
          </w:p>
        </w:tc>
        <w:tc>
          <w:tcPr>
            <w:tcW w:w="3820" w:type="dxa"/>
            <w:vAlign w:val="bottom"/>
            <w:shd w:val="clear" w:color="auto" w:fill="E5F1F8"/>
          </w:tcPr>
          <w:p>
            <w:pPr>
              <w:ind w:left="100"/>
              <w:spacing w:after="0"/>
              <w:rPr>
                <w:sz w:val="20"/>
                <w:szCs w:val="20"/>
                <w:color w:val="auto"/>
              </w:rPr>
            </w:pPr>
            <w:r>
              <w:rPr>
                <w:rFonts w:ascii="Arial" w:cs="Arial" w:eastAsia="Arial" w:hAnsi="Arial"/>
                <w:sz w:val="17"/>
                <w:szCs w:val="17"/>
                <w:color w:val="auto"/>
              </w:rPr>
              <w:t>Senior Vice President (2005-2015)</w:t>
            </w:r>
          </w:p>
        </w:tc>
      </w:tr>
      <w:tr>
        <w:trPr>
          <w:trHeight w:val="216"/>
        </w:trPr>
        <w:tc>
          <w:tcPr>
            <w:tcW w:w="2220" w:type="dxa"/>
            <w:vAlign w:val="bottom"/>
            <w:tcBorders>
              <w:right w:val="single" w:sz="8" w:color="007CBA"/>
            </w:tcBorders>
            <w:shd w:val="clear" w:color="auto" w:fill="E5F1F8"/>
          </w:tcPr>
          <w:p>
            <w:pPr>
              <w:spacing w:after="0"/>
              <w:rPr>
                <w:sz w:val="18"/>
                <w:szCs w:val="18"/>
                <w:color w:val="auto"/>
              </w:rPr>
            </w:pPr>
          </w:p>
        </w:tc>
        <w:tc>
          <w:tcPr>
            <w:tcW w:w="600" w:type="dxa"/>
            <w:vAlign w:val="bottom"/>
            <w:tcBorders>
              <w:right w:val="single" w:sz="8" w:color="007CBA"/>
            </w:tcBorders>
            <w:shd w:val="clear" w:color="auto" w:fill="E5F1F8"/>
          </w:tcPr>
          <w:p>
            <w:pPr>
              <w:spacing w:after="0"/>
              <w:rPr>
                <w:sz w:val="18"/>
                <w:szCs w:val="18"/>
                <w:color w:val="auto"/>
              </w:rPr>
            </w:pPr>
          </w:p>
        </w:tc>
        <w:tc>
          <w:tcPr>
            <w:tcW w:w="294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7"/>
                <w:szCs w:val="17"/>
                <w:color w:val="auto"/>
              </w:rPr>
              <w:t>General Counsel;</w:t>
            </w:r>
          </w:p>
        </w:tc>
        <w:tc>
          <w:tcPr>
            <w:tcW w:w="18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7"/>
                <w:szCs w:val="17"/>
                <w:color w:val="auto"/>
              </w:rPr>
              <w:t>2001</w:t>
            </w:r>
          </w:p>
        </w:tc>
        <w:tc>
          <w:tcPr>
            <w:tcW w:w="3820" w:type="dxa"/>
            <w:vAlign w:val="bottom"/>
            <w:shd w:val="clear" w:color="auto" w:fill="E5F1F8"/>
          </w:tcPr>
          <w:p>
            <w:pPr>
              <w:spacing w:after="0"/>
              <w:rPr>
                <w:sz w:val="18"/>
                <w:szCs w:val="18"/>
                <w:color w:val="auto"/>
              </w:rPr>
            </w:pPr>
          </w:p>
        </w:tc>
      </w:tr>
      <w:tr>
        <w:trPr>
          <w:trHeight w:val="257"/>
        </w:trPr>
        <w:tc>
          <w:tcPr>
            <w:tcW w:w="2220" w:type="dxa"/>
            <w:vAlign w:val="bottom"/>
            <w:tcBorders>
              <w:right w:val="single" w:sz="8" w:color="007CBA"/>
            </w:tcBorders>
            <w:shd w:val="clear" w:color="auto" w:fill="E5F1F8"/>
          </w:tcPr>
          <w:p>
            <w:pPr>
              <w:spacing w:after="0"/>
              <w:rPr>
                <w:sz w:val="22"/>
                <w:szCs w:val="22"/>
                <w:color w:val="auto"/>
              </w:rPr>
            </w:pPr>
          </w:p>
        </w:tc>
        <w:tc>
          <w:tcPr>
            <w:tcW w:w="600" w:type="dxa"/>
            <w:vAlign w:val="bottom"/>
            <w:tcBorders>
              <w:right w:val="single" w:sz="8" w:color="007CBA"/>
            </w:tcBorders>
            <w:shd w:val="clear" w:color="auto" w:fill="E5F1F8"/>
          </w:tcPr>
          <w:p>
            <w:pPr>
              <w:spacing w:after="0"/>
              <w:rPr>
                <w:sz w:val="22"/>
                <w:szCs w:val="22"/>
                <w:color w:val="auto"/>
              </w:rPr>
            </w:pPr>
          </w:p>
        </w:tc>
        <w:tc>
          <w:tcPr>
            <w:tcW w:w="294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7"/>
                <w:szCs w:val="17"/>
                <w:color w:val="auto"/>
              </w:rPr>
              <w:t>Corporate Secretary</w:t>
            </w:r>
          </w:p>
        </w:tc>
        <w:tc>
          <w:tcPr>
            <w:tcW w:w="18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7"/>
                <w:szCs w:val="17"/>
                <w:color w:val="auto"/>
              </w:rPr>
              <w:t>1997</w:t>
            </w:r>
          </w:p>
        </w:tc>
        <w:tc>
          <w:tcPr>
            <w:tcW w:w="3820" w:type="dxa"/>
            <w:vAlign w:val="bottom"/>
            <w:shd w:val="clear" w:color="auto" w:fill="E5F1F8"/>
          </w:tcPr>
          <w:p>
            <w:pPr>
              <w:spacing w:after="0"/>
              <w:rPr>
                <w:sz w:val="22"/>
                <w:szCs w:val="22"/>
                <w:color w:val="auto"/>
              </w:rPr>
            </w:pPr>
          </w:p>
        </w:tc>
      </w:tr>
      <w:tr>
        <w:trPr>
          <w:trHeight w:val="72"/>
        </w:trPr>
        <w:tc>
          <w:tcPr>
            <w:tcW w:w="2220" w:type="dxa"/>
            <w:vAlign w:val="bottom"/>
            <w:tcBorders>
              <w:right w:val="single" w:sz="8" w:color="007CBA"/>
            </w:tcBorders>
            <w:shd w:val="clear" w:color="auto" w:fill="E5F1F8"/>
          </w:tcPr>
          <w:p>
            <w:pPr>
              <w:spacing w:after="0"/>
              <w:rPr>
                <w:sz w:val="6"/>
                <w:szCs w:val="6"/>
                <w:color w:val="auto"/>
              </w:rPr>
            </w:pPr>
          </w:p>
        </w:tc>
        <w:tc>
          <w:tcPr>
            <w:tcW w:w="600" w:type="dxa"/>
            <w:vAlign w:val="bottom"/>
            <w:tcBorders>
              <w:right w:val="single" w:sz="8" w:color="007CBA"/>
            </w:tcBorders>
            <w:shd w:val="clear" w:color="auto" w:fill="E5F1F8"/>
          </w:tcPr>
          <w:p>
            <w:pPr>
              <w:spacing w:after="0"/>
              <w:rPr>
                <w:sz w:val="6"/>
                <w:szCs w:val="6"/>
                <w:color w:val="auto"/>
              </w:rPr>
            </w:pPr>
          </w:p>
        </w:tc>
        <w:tc>
          <w:tcPr>
            <w:tcW w:w="2940" w:type="dxa"/>
            <w:vAlign w:val="bottom"/>
            <w:tcBorders>
              <w:right w:val="single" w:sz="8" w:color="007CBA"/>
            </w:tcBorders>
            <w:shd w:val="clear" w:color="auto" w:fill="E5F1F8"/>
          </w:tcPr>
          <w:p>
            <w:pPr>
              <w:spacing w:after="0"/>
              <w:rPr>
                <w:sz w:val="6"/>
                <w:szCs w:val="6"/>
                <w:color w:val="auto"/>
              </w:rPr>
            </w:pPr>
          </w:p>
        </w:tc>
        <w:tc>
          <w:tcPr>
            <w:tcW w:w="1840" w:type="dxa"/>
            <w:vAlign w:val="bottom"/>
            <w:tcBorders>
              <w:right w:val="single" w:sz="8" w:color="007CBA"/>
            </w:tcBorders>
            <w:shd w:val="clear" w:color="auto" w:fill="E5F1F8"/>
          </w:tcPr>
          <w:p>
            <w:pPr>
              <w:spacing w:after="0"/>
              <w:rPr>
                <w:sz w:val="6"/>
                <w:szCs w:val="6"/>
                <w:color w:val="auto"/>
              </w:rPr>
            </w:pPr>
          </w:p>
        </w:tc>
        <w:tc>
          <w:tcPr>
            <w:tcW w:w="3820" w:type="dxa"/>
            <w:vAlign w:val="bottom"/>
            <w:shd w:val="clear" w:color="auto" w:fill="E5F1F8"/>
          </w:tcPr>
          <w:p>
            <w:pPr>
              <w:spacing w:after="0"/>
              <w:rPr>
                <w:sz w:val="6"/>
                <w:szCs w:val="6"/>
                <w:color w:val="auto"/>
              </w:rPr>
            </w:pPr>
          </w:p>
        </w:tc>
      </w:tr>
      <w:tr>
        <w:trPr>
          <w:trHeight w:val="239"/>
        </w:trPr>
        <w:tc>
          <w:tcPr>
            <w:tcW w:w="2220" w:type="dxa"/>
            <w:vAlign w:val="bottom"/>
            <w:tcBorders>
              <w:right w:val="single" w:sz="8" w:color="007CBA"/>
            </w:tcBorders>
          </w:tcPr>
          <w:p>
            <w:pPr>
              <w:ind w:left="80"/>
              <w:spacing w:after="0"/>
              <w:rPr>
                <w:sz w:val="20"/>
                <w:szCs w:val="20"/>
                <w:color w:val="auto"/>
              </w:rPr>
            </w:pPr>
            <w:r>
              <w:rPr>
                <w:rFonts w:ascii="Arial" w:cs="Arial" w:eastAsia="Arial" w:hAnsi="Arial"/>
                <w:sz w:val="17"/>
                <w:szCs w:val="17"/>
                <w:color w:val="auto"/>
              </w:rPr>
              <w:t>Daniel L. Grant</w:t>
            </w:r>
          </w:p>
        </w:tc>
        <w:tc>
          <w:tcPr>
            <w:tcW w:w="600" w:type="dxa"/>
            <w:vAlign w:val="bottom"/>
            <w:tcBorders>
              <w:right w:val="single" w:sz="8" w:color="007CBA"/>
            </w:tcBorders>
          </w:tcPr>
          <w:p>
            <w:pPr>
              <w:jc w:val="center"/>
              <w:spacing w:after="0"/>
              <w:rPr>
                <w:sz w:val="20"/>
                <w:szCs w:val="20"/>
                <w:color w:val="auto"/>
              </w:rPr>
            </w:pPr>
            <w:r>
              <w:rPr>
                <w:rFonts w:ascii="Arial" w:cs="Arial" w:eastAsia="Arial" w:hAnsi="Arial"/>
                <w:sz w:val="17"/>
                <w:szCs w:val="17"/>
                <w:color w:val="auto"/>
                <w:w w:val="94"/>
              </w:rPr>
              <w:t>64</w:t>
            </w:r>
          </w:p>
        </w:tc>
        <w:tc>
          <w:tcPr>
            <w:tcW w:w="2940" w:type="dxa"/>
            <w:vAlign w:val="bottom"/>
            <w:tcBorders>
              <w:right w:val="single" w:sz="8" w:color="007CBA"/>
            </w:tcBorders>
          </w:tcPr>
          <w:p>
            <w:pPr>
              <w:ind w:left="100"/>
              <w:spacing w:after="0"/>
              <w:rPr>
                <w:sz w:val="20"/>
                <w:szCs w:val="20"/>
                <w:color w:val="auto"/>
              </w:rPr>
            </w:pPr>
            <w:r>
              <w:rPr>
                <w:rFonts w:ascii="Arial" w:cs="Arial" w:eastAsia="Arial" w:hAnsi="Arial"/>
                <w:sz w:val="17"/>
                <w:szCs w:val="17"/>
                <w:color w:val="auto"/>
              </w:rPr>
              <w:t>Senior Vice President,</w:t>
            </w:r>
          </w:p>
        </w:tc>
        <w:tc>
          <w:tcPr>
            <w:tcW w:w="1840" w:type="dxa"/>
            <w:vAlign w:val="bottom"/>
            <w:tcBorders>
              <w:right w:val="single" w:sz="8" w:color="007CBA"/>
            </w:tcBorders>
          </w:tcPr>
          <w:p>
            <w:pPr>
              <w:jc w:val="center"/>
              <w:spacing w:after="0"/>
              <w:rPr>
                <w:sz w:val="20"/>
                <w:szCs w:val="20"/>
                <w:color w:val="auto"/>
              </w:rPr>
            </w:pPr>
            <w:r>
              <w:rPr>
                <w:rFonts w:ascii="Arial" w:cs="Arial" w:eastAsia="Arial" w:hAnsi="Arial"/>
                <w:sz w:val="17"/>
                <w:szCs w:val="17"/>
                <w:color w:val="auto"/>
              </w:rPr>
              <w:t>2013</w:t>
            </w:r>
          </w:p>
        </w:tc>
        <w:tc>
          <w:tcPr>
            <w:tcW w:w="3820" w:type="dxa"/>
            <w:vAlign w:val="bottom"/>
          </w:tcPr>
          <w:p>
            <w:pPr>
              <w:spacing w:after="0"/>
              <w:rPr>
                <w:sz w:val="20"/>
                <w:szCs w:val="20"/>
                <w:color w:val="auto"/>
              </w:rPr>
            </w:pPr>
          </w:p>
        </w:tc>
      </w:tr>
      <w:tr>
        <w:trPr>
          <w:trHeight w:val="216"/>
        </w:trPr>
        <w:tc>
          <w:tcPr>
            <w:tcW w:w="2220" w:type="dxa"/>
            <w:vAlign w:val="bottom"/>
            <w:tcBorders>
              <w:right w:val="single" w:sz="8" w:color="007CBA"/>
            </w:tcBorders>
          </w:tcPr>
          <w:p>
            <w:pPr>
              <w:spacing w:after="0"/>
              <w:rPr>
                <w:sz w:val="18"/>
                <w:szCs w:val="18"/>
                <w:color w:val="auto"/>
              </w:rPr>
            </w:pPr>
          </w:p>
        </w:tc>
        <w:tc>
          <w:tcPr>
            <w:tcW w:w="600" w:type="dxa"/>
            <w:vAlign w:val="bottom"/>
            <w:tcBorders>
              <w:right w:val="single" w:sz="8" w:color="007CBA"/>
            </w:tcBorders>
          </w:tcPr>
          <w:p>
            <w:pPr>
              <w:spacing w:after="0"/>
              <w:rPr>
                <w:sz w:val="18"/>
                <w:szCs w:val="18"/>
                <w:color w:val="auto"/>
              </w:rPr>
            </w:pPr>
          </w:p>
        </w:tc>
        <w:tc>
          <w:tcPr>
            <w:tcW w:w="2940" w:type="dxa"/>
            <w:vAlign w:val="bottom"/>
            <w:tcBorders>
              <w:right w:val="single" w:sz="8" w:color="007CBA"/>
            </w:tcBorders>
          </w:tcPr>
          <w:p>
            <w:pPr>
              <w:ind w:left="100"/>
              <w:spacing w:after="0"/>
              <w:rPr>
                <w:sz w:val="20"/>
                <w:szCs w:val="20"/>
                <w:color w:val="auto"/>
              </w:rPr>
            </w:pPr>
            <w:r>
              <w:rPr>
                <w:rFonts w:ascii="Arial" w:cs="Arial" w:eastAsia="Arial" w:hAnsi="Arial"/>
                <w:sz w:val="17"/>
                <w:szCs w:val="17"/>
                <w:color w:val="auto"/>
              </w:rPr>
              <w:t>Strategy &amp; Development</w:t>
            </w:r>
          </w:p>
        </w:tc>
        <w:tc>
          <w:tcPr>
            <w:tcW w:w="1840" w:type="dxa"/>
            <w:vAlign w:val="bottom"/>
            <w:tcBorders>
              <w:right w:val="single" w:sz="8" w:color="007CBA"/>
            </w:tcBorders>
          </w:tcPr>
          <w:p>
            <w:pPr>
              <w:spacing w:after="0"/>
              <w:rPr>
                <w:sz w:val="18"/>
                <w:szCs w:val="18"/>
                <w:color w:val="auto"/>
              </w:rPr>
            </w:pPr>
          </w:p>
        </w:tc>
        <w:tc>
          <w:tcPr>
            <w:tcW w:w="3820" w:type="dxa"/>
            <w:vAlign w:val="bottom"/>
          </w:tcPr>
          <w:p>
            <w:pPr>
              <w:spacing w:after="0"/>
              <w:rPr>
                <w:sz w:val="18"/>
                <w:szCs w:val="18"/>
                <w:color w:val="auto"/>
              </w:rPr>
            </w:pPr>
          </w:p>
        </w:tc>
      </w:tr>
      <w:tr>
        <w:trPr>
          <w:trHeight w:val="72"/>
        </w:trPr>
        <w:tc>
          <w:tcPr>
            <w:tcW w:w="2220" w:type="dxa"/>
            <w:vAlign w:val="bottom"/>
            <w:tcBorders>
              <w:right w:val="single" w:sz="8" w:color="007CBA"/>
            </w:tcBorders>
          </w:tcPr>
          <w:p>
            <w:pPr>
              <w:spacing w:after="0"/>
              <w:rPr>
                <w:sz w:val="6"/>
                <w:szCs w:val="6"/>
                <w:color w:val="auto"/>
              </w:rPr>
            </w:pPr>
          </w:p>
        </w:tc>
        <w:tc>
          <w:tcPr>
            <w:tcW w:w="600" w:type="dxa"/>
            <w:vAlign w:val="bottom"/>
            <w:tcBorders>
              <w:right w:val="single" w:sz="8" w:color="007CBA"/>
            </w:tcBorders>
          </w:tcPr>
          <w:p>
            <w:pPr>
              <w:spacing w:after="0"/>
              <w:rPr>
                <w:sz w:val="6"/>
                <w:szCs w:val="6"/>
                <w:color w:val="auto"/>
              </w:rPr>
            </w:pPr>
          </w:p>
        </w:tc>
        <w:tc>
          <w:tcPr>
            <w:tcW w:w="2940" w:type="dxa"/>
            <w:vAlign w:val="bottom"/>
            <w:tcBorders>
              <w:right w:val="single" w:sz="8" w:color="007CBA"/>
            </w:tcBorders>
          </w:tcPr>
          <w:p>
            <w:pPr>
              <w:spacing w:after="0"/>
              <w:rPr>
                <w:sz w:val="6"/>
                <w:szCs w:val="6"/>
                <w:color w:val="auto"/>
              </w:rPr>
            </w:pPr>
          </w:p>
        </w:tc>
        <w:tc>
          <w:tcPr>
            <w:tcW w:w="1840" w:type="dxa"/>
            <w:vAlign w:val="bottom"/>
            <w:tcBorders>
              <w:right w:val="single" w:sz="8" w:color="007CBA"/>
            </w:tcBorders>
          </w:tcPr>
          <w:p>
            <w:pPr>
              <w:spacing w:after="0"/>
              <w:rPr>
                <w:sz w:val="6"/>
                <w:szCs w:val="6"/>
                <w:color w:val="auto"/>
              </w:rPr>
            </w:pPr>
          </w:p>
        </w:tc>
        <w:tc>
          <w:tcPr>
            <w:tcW w:w="3820" w:type="dxa"/>
            <w:vAlign w:val="bottom"/>
          </w:tcPr>
          <w:p>
            <w:pPr>
              <w:spacing w:after="0"/>
              <w:rPr>
                <w:sz w:val="6"/>
                <w:szCs w:val="6"/>
                <w:color w:val="auto"/>
              </w:rPr>
            </w:pPr>
          </w:p>
        </w:tc>
      </w:tr>
      <w:tr>
        <w:trPr>
          <w:trHeight w:val="239"/>
        </w:trPr>
        <w:tc>
          <w:tcPr>
            <w:tcW w:w="22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7"/>
                <w:szCs w:val="17"/>
                <w:color w:val="auto"/>
              </w:rPr>
              <w:t>Dana F. Guzzo</w:t>
            </w:r>
          </w:p>
        </w:tc>
        <w:tc>
          <w:tcPr>
            <w:tcW w:w="6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7"/>
                <w:szCs w:val="17"/>
                <w:color w:val="auto"/>
                <w:w w:val="94"/>
              </w:rPr>
              <w:t>53</w:t>
            </w:r>
          </w:p>
        </w:tc>
        <w:tc>
          <w:tcPr>
            <w:tcW w:w="294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7"/>
                <w:szCs w:val="17"/>
                <w:color w:val="auto"/>
              </w:rPr>
              <w:t>Senior Vice President;</w:t>
            </w:r>
          </w:p>
        </w:tc>
        <w:tc>
          <w:tcPr>
            <w:tcW w:w="18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7"/>
                <w:szCs w:val="17"/>
                <w:color w:val="auto"/>
              </w:rPr>
              <w:t>2011</w:t>
            </w:r>
          </w:p>
        </w:tc>
        <w:tc>
          <w:tcPr>
            <w:tcW w:w="3820" w:type="dxa"/>
            <w:vAlign w:val="bottom"/>
            <w:shd w:val="clear" w:color="auto" w:fill="E5F1F8"/>
          </w:tcPr>
          <w:p>
            <w:pPr>
              <w:ind w:left="100"/>
              <w:spacing w:after="0"/>
              <w:rPr>
                <w:sz w:val="20"/>
                <w:szCs w:val="20"/>
                <w:color w:val="auto"/>
              </w:rPr>
            </w:pPr>
            <w:r>
              <w:rPr>
                <w:rFonts w:ascii="Arial" w:cs="Arial" w:eastAsia="Arial" w:hAnsi="Arial"/>
                <w:sz w:val="17"/>
                <w:szCs w:val="17"/>
                <w:color w:val="auto"/>
              </w:rPr>
              <w:t>Chief Information Officer (2011-2015)</w:t>
            </w:r>
          </w:p>
        </w:tc>
      </w:tr>
      <w:tr>
        <w:trPr>
          <w:trHeight w:val="216"/>
        </w:trPr>
        <w:tc>
          <w:tcPr>
            <w:tcW w:w="2220" w:type="dxa"/>
            <w:vAlign w:val="bottom"/>
            <w:tcBorders>
              <w:right w:val="single" w:sz="8" w:color="007CBA"/>
            </w:tcBorders>
            <w:shd w:val="clear" w:color="auto" w:fill="E5F1F8"/>
          </w:tcPr>
          <w:p>
            <w:pPr>
              <w:spacing w:after="0"/>
              <w:rPr>
                <w:sz w:val="18"/>
                <w:szCs w:val="18"/>
                <w:color w:val="auto"/>
              </w:rPr>
            </w:pPr>
          </w:p>
        </w:tc>
        <w:tc>
          <w:tcPr>
            <w:tcW w:w="600" w:type="dxa"/>
            <w:vAlign w:val="bottom"/>
            <w:tcBorders>
              <w:right w:val="single" w:sz="8" w:color="007CBA"/>
            </w:tcBorders>
            <w:shd w:val="clear" w:color="auto" w:fill="E5F1F8"/>
          </w:tcPr>
          <w:p>
            <w:pPr>
              <w:spacing w:after="0"/>
              <w:rPr>
                <w:sz w:val="18"/>
                <w:szCs w:val="18"/>
                <w:color w:val="auto"/>
              </w:rPr>
            </w:pPr>
          </w:p>
        </w:tc>
        <w:tc>
          <w:tcPr>
            <w:tcW w:w="294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7"/>
                <w:szCs w:val="17"/>
                <w:color w:val="auto"/>
              </w:rPr>
              <w:t>Chief Accounting Officer;</w:t>
            </w:r>
          </w:p>
        </w:tc>
        <w:tc>
          <w:tcPr>
            <w:tcW w:w="18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7"/>
                <w:szCs w:val="17"/>
                <w:color w:val="auto"/>
              </w:rPr>
              <w:t>2006</w:t>
            </w:r>
          </w:p>
        </w:tc>
        <w:tc>
          <w:tcPr>
            <w:tcW w:w="3820" w:type="dxa"/>
            <w:vAlign w:val="bottom"/>
            <w:shd w:val="clear" w:color="auto" w:fill="E5F1F8"/>
          </w:tcPr>
          <w:p>
            <w:pPr>
              <w:spacing w:after="0"/>
              <w:rPr>
                <w:sz w:val="18"/>
                <w:szCs w:val="18"/>
                <w:color w:val="auto"/>
              </w:rPr>
            </w:pPr>
          </w:p>
        </w:tc>
      </w:tr>
      <w:tr>
        <w:trPr>
          <w:trHeight w:val="257"/>
        </w:trPr>
        <w:tc>
          <w:tcPr>
            <w:tcW w:w="2220" w:type="dxa"/>
            <w:vAlign w:val="bottom"/>
            <w:tcBorders>
              <w:right w:val="single" w:sz="8" w:color="007CBA"/>
            </w:tcBorders>
            <w:shd w:val="clear" w:color="auto" w:fill="E5F1F8"/>
          </w:tcPr>
          <w:p>
            <w:pPr>
              <w:spacing w:after="0"/>
              <w:rPr>
                <w:sz w:val="22"/>
                <w:szCs w:val="22"/>
                <w:color w:val="auto"/>
              </w:rPr>
            </w:pPr>
          </w:p>
        </w:tc>
        <w:tc>
          <w:tcPr>
            <w:tcW w:w="600" w:type="dxa"/>
            <w:vAlign w:val="bottom"/>
            <w:tcBorders>
              <w:right w:val="single" w:sz="8" w:color="007CBA"/>
            </w:tcBorders>
            <w:shd w:val="clear" w:color="auto" w:fill="E5F1F8"/>
          </w:tcPr>
          <w:p>
            <w:pPr>
              <w:spacing w:after="0"/>
              <w:rPr>
                <w:sz w:val="22"/>
                <w:szCs w:val="22"/>
                <w:color w:val="auto"/>
              </w:rPr>
            </w:pPr>
          </w:p>
        </w:tc>
        <w:tc>
          <w:tcPr>
            <w:tcW w:w="294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7"/>
                <w:szCs w:val="17"/>
                <w:color w:val="auto"/>
              </w:rPr>
              <w:t>Controller</w:t>
            </w:r>
          </w:p>
        </w:tc>
        <w:tc>
          <w:tcPr>
            <w:tcW w:w="18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7"/>
                <w:szCs w:val="17"/>
                <w:color w:val="auto"/>
              </w:rPr>
              <w:t>2005</w:t>
            </w:r>
          </w:p>
        </w:tc>
        <w:tc>
          <w:tcPr>
            <w:tcW w:w="3820" w:type="dxa"/>
            <w:vAlign w:val="bottom"/>
            <w:shd w:val="clear" w:color="auto" w:fill="E5F1F8"/>
          </w:tcPr>
          <w:p>
            <w:pPr>
              <w:spacing w:after="0"/>
              <w:rPr>
                <w:sz w:val="22"/>
                <w:szCs w:val="22"/>
                <w:color w:val="auto"/>
              </w:rPr>
            </w:pPr>
          </w:p>
        </w:tc>
      </w:tr>
      <w:tr>
        <w:trPr>
          <w:trHeight w:val="85"/>
        </w:trPr>
        <w:tc>
          <w:tcPr>
            <w:tcW w:w="2220" w:type="dxa"/>
            <w:vAlign w:val="bottom"/>
            <w:tcBorders>
              <w:right w:val="single" w:sz="8" w:color="007CBA"/>
            </w:tcBorders>
            <w:shd w:val="clear" w:color="auto" w:fill="E5F1F8"/>
          </w:tcPr>
          <w:p>
            <w:pPr>
              <w:spacing w:after="0"/>
              <w:rPr>
                <w:sz w:val="7"/>
                <w:szCs w:val="7"/>
                <w:color w:val="auto"/>
              </w:rPr>
            </w:pPr>
          </w:p>
        </w:tc>
        <w:tc>
          <w:tcPr>
            <w:tcW w:w="600" w:type="dxa"/>
            <w:vAlign w:val="bottom"/>
            <w:tcBorders>
              <w:right w:val="single" w:sz="8" w:color="007CBA"/>
            </w:tcBorders>
            <w:shd w:val="clear" w:color="auto" w:fill="E5F1F8"/>
          </w:tcPr>
          <w:p>
            <w:pPr>
              <w:spacing w:after="0"/>
              <w:rPr>
                <w:sz w:val="7"/>
                <w:szCs w:val="7"/>
                <w:color w:val="auto"/>
              </w:rPr>
            </w:pPr>
          </w:p>
        </w:tc>
        <w:tc>
          <w:tcPr>
            <w:tcW w:w="2940" w:type="dxa"/>
            <w:vAlign w:val="bottom"/>
            <w:tcBorders>
              <w:right w:val="single" w:sz="8" w:color="007CBA"/>
            </w:tcBorders>
            <w:shd w:val="clear" w:color="auto" w:fill="E5F1F8"/>
          </w:tcPr>
          <w:p>
            <w:pPr>
              <w:spacing w:after="0"/>
              <w:rPr>
                <w:sz w:val="7"/>
                <w:szCs w:val="7"/>
                <w:color w:val="auto"/>
              </w:rPr>
            </w:pPr>
          </w:p>
        </w:tc>
        <w:tc>
          <w:tcPr>
            <w:tcW w:w="1840" w:type="dxa"/>
            <w:vAlign w:val="bottom"/>
            <w:tcBorders>
              <w:right w:val="single" w:sz="8" w:color="007CBA"/>
            </w:tcBorders>
            <w:shd w:val="clear" w:color="auto" w:fill="E5F1F8"/>
          </w:tcPr>
          <w:p>
            <w:pPr>
              <w:spacing w:after="0"/>
              <w:rPr>
                <w:sz w:val="7"/>
                <w:szCs w:val="7"/>
                <w:color w:val="auto"/>
              </w:rPr>
            </w:pPr>
          </w:p>
        </w:tc>
        <w:tc>
          <w:tcPr>
            <w:tcW w:w="3820" w:type="dxa"/>
            <w:vAlign w:val="bottom"/>
            <w:shd w:val="clear" w:color="auto" w:fill="E5F1F8"/>
          </w:tcPr>
          <w:p>
            <w:pPr>
              <w:spacing w:after="0"/>
              <w:rPr>
                <w:sz w:val="7"/>
                <w:szCs w:val="7"/>
                <w:color w:val="auto"/>
              </w:rPr>
            </w:pPr>
          </w:p>
        </w:tc>
      </w:tr>
      <w:tr>
        <w:trPr>
          <w:trHeight w:val="189"/>
        </w:trPr>
        <w:tc>
          <w:tcPr>
            <w:tcW w:w="2220" w:type="dxa"/>
            <w:vAlign w:val="bottom"/>
            <w:tcBorders>
              <w:right w:val="single" w:sz="8" w:color="007CBA"/>
            </w:tcBorders>
          </w:tcPr>
          <w:p>
            <w:pPr>
              <w:ind w:left="80"/>
              <w:spacing w:after="0" w:line="189" w:lineRule="exact"/>
              <w:rPr>
                <w:sz w:val="20"/>
                <w:szCs w:val="20"/>
                <w:color w:val="auto"/>
              </w:rPr>
            </w:pPr>
            <w:r>
              <w:rPr>
                <w:rFonts w:ascii="Arial" w:cs="Arial" w:eastAsia="Arial" w:hAnsi="Arial"/>
                <w:sz w:val="17"/>
                <w:szCs w:val="17"/>
                <w:color w:val="auto"/>
              </w:rPr>
              <w:t>Donald A. McCunniff</w:t>
            </w:r>
          </w:p>
        </w:tc>
        <w:tc>
          <w:tcPr>
            <w:tcW w:w="600" w:type="dxa"/>
            <w:vAlign w:val="bottom"/>
            <w:tcBorders>
              <w:right w:val="single" w:sz="8" w:color="007CBA"/>
            </w:tcBorders>
          </w:tcPr>
          <w:p>
            <w:pPr>
              <w:jc w:val="center"/>
              <w:spacing w:after="0" w:line="189" w:lineRule="exact"/>
              <w:rPr>
                <w:sz w:val="20"/>
                <w:szCs w:val="20"/>
                <w:color w:val="auto"/>
              </w:rPr>
            </w:pPr>
            <w:r>
              <w:rPr>
                <w:rFonts w:ascii="Arial" w:cs="Arial" w:eastAsia="Arial" w:hAnsi="Arial"/>
                <w:sz w:val="17"/>
                <w:szCs w:val="17"/>
                <w:color w:val="auto"/>
                <w:w w:val="94"/>
              </w:rPr>
              <w:t>61</w:t>
            </w:r>
          </w:p>
        </w:tc>
        <w:tc>
          <w:tcPr>
            <w:tcW w:w="2940" w:type="dxa"/>
            <w:vAlign w:val="bottom"/>
            <w:tcBorders>
              <w:right w:val="single" w:sz="8" w:color="007CBA"/>
            </w:tcBorders>
          </w:tcPr>
          <w:p>
            <w:pPr>
              <w:ind w:left="100"/>
              <w:spacing w:after="0" w:line="189" w:lineRule="exact"/>
              <w:rPr>
                <w:sz w:val="20"/>
                <w:szCs w:val="20"/>
                <w:color w:val="auto"/>
              </w:rPr>
            </w:pPr>
            <w:r>
              <w:rPr>
                <w:rFonts w:ascii="Arial" w:cs="Arial" w:eastAsia="Arial" w:hAnsi="Arial"/>
                <w:sz w:val="17"/>
                <w:szCs w:val="17"/>
                <w:color w:val="auto"/>
              </w:rPr>
              <w:t>Senior Vice President, Human</w:t>
            </w:r>
          </w:p>
        </w:tc>
        <w:tc>
          <w:tcPr>
            <w:tcW w:w="1840" w:type="dxa"/>
            <w:vAlign w:val="bottom"/>
            <w:tcBorders>
              <w:right w:val="single" w:sz="8" w:color="007CBA"/>
            </w:tcBorders>
          </w:tcPr>
          <w:p>
            <w:pPr>
              <w:jc w:val="center"/>
              <w:spacing w:after="0" w:line="189" w:lineRule="exact"/>
              <w:rPr>
                <w:sz w:val="20"/>
                <w:szCs w:val="20"/>
                <w:color w:val="auto"/>
              </w:rPr>
            </w:pPr>
            <w:r>
              <w:rPr>
                <w:rFonts w:ascii="Arial" w:cs="Arial" w:eastAsia="Arial" w:hAnsi="Arial"/>
                <w:sz w:val="17"/>
                <w:szCs w:val="17"/>
                <w:color w:val="auto"/>
              </w:rPr>
              <w:t>2011</w:t>
            </w:r>
          </w:p>
        </w:tc>
        <w:tc>
          <w:tcPr>
            <w:tcW w:w="3820" w:type="dxa"/>
            <w:vAlign w:val="bottom"/>
          </w:tcPr>
          <w:p>
            <w:pPr>
              <w:spacing w:after="0"/>
              <w:rPr>
                <w:sz w:val="16"/>
                <w:szCs w:val="16"/>
                <w:color w:val="auto"/>
              </w:rPr>
            </w:pPr>
          </w:p>
        </w:tc>
      </w:tr>
      <w:tr>
        <w:trPr>
          <w:trHeight w:val="205"/>
        </w:trPr>
        <w:tc>
          <w:tcPr>
            <w:tcW w:w="2220" w:type="dxa"/>
            <w:vAlign w:val="bottom"/>
            <w:tcBorders>
              <w:right w:val="single" w:sz="8" w:color="007CBA"/>
            </w:tcBorders>
          </w:tcPr>
          <w:p>
            <w:pPr>
              <w:spacing w:after="0"/>
              <w:rPr>
                <w:sz w:val="17"/>
                <w:szCs w:val="17"/>
                <w:color w:val="auto"/>
              </w:rPr>
            </w:pPr>
          </w:p>
        </w:tc>
        <w:tc>
          <w:tcPr>
            <w:tcW w:w="600" w:type="dxa"/>
            <w:vAlign w:val="bottom"/>
            <w:tcBorders>
              <w:right w:val="single" w:sz="8" w:color="007CBA"/>
            </w:tcBorders>
          </w:tcPr>
          <w:p>
            <w:pPr>
              <w:spacing w:after="0"/>
              <w:rPr>
                <w:sz w:val="17"/>
                <w:szCs w:val="17"/>
                <w:color w:val="auto"/>
              </w:rPr>
            </w:pPr>
          </w:p>
        </w:tc>
        <w:tc>
          <w:tcPr>
            <w:tcW w:w="2940" w:type="dxa"/>
            <w:vAlign w:val="bottom"/>
            <w:tcBorders>
              <w:right w:val="single" w:sz="8" w:color="007CBA"/>
            </w:tcBorders>
          </w:tcPr>
          <w:p>
            <w:pPr>
              <w:ind w:left="100"/>
              <w:spacing w:after="0"/>
              <w:rPr>
                <w:sz w:val="20"/>
                <w:szCs w:val="20"/>
                <w:color w:val="auto"/>
              </w:rPr>
            </w:pPr>
            <w:r>
              <w:rPr>
                <w:rFonts w:ascii="Arial" w:cs="Arial" w:eastAsia="Arial" w:hAnsi="Arial"/>
                <w:sz w:val="17"/>
                <w:szCs w:val="17"/>
                <w:color w:val="auto"/>
              </w:rPr>
              <w:t>Resources</w:t>
            </w:r>
          </w:p>
        </w:tc>
        <w:tc>
          <w:tcPr>
            <w:tcW w:w="1840" w:type="dxa"/>
            <w:vAlign w:val="bottom"/>
            <w:tcBorders>
              <w:right w:val="single" w:sz="8" w:color="007CBA"/>
            </w:tcBorders>
          </w:tcPr>
          <w:p>
            <w:pPr>
              <w:spacing w:after="0"/>
              <w:rPr>
                <w:sz w:val="17"/>
                <w:szCs w:val="17"/>
                <w:color w:val="auto"/>
              </w:rPr>
            </w:pPr>
          </w:p>
        </w:tc>
        <w:tc>
          <w:tcPr>
            <w:tcW w:w="3820" w:type="dxa"/>
            <w:vAlign w:val="bottom"/>
          </w:tcPr>
          <w:p>
            <w:pPr>
              <w:spacing w:after="0"/>
              <w:rPr>
                <w:sz w:val="17"/>
                <w:szCs w:val="17"/>
                <w:color w:val="auto"/>
              </w:rPr>
            </w:pPr>
          </w:p>
        </w:tc>
      </w:tr>
      <w:tr>
        <w:trPr>
          <w:trHeight w:val="65"/>
        </w:trPr>
        <w:tc>
          <w:tcPr>
            <w:tcW w:w="2220" w:type="dxa"/>
            <w:vAlign w:val="bottom"/>
            <w:tcBorders>
              <w:right w:val="single" w:sz="8" w:color="007CBA"/>
            </w:tcBorders>
          </w:tcPr>
          <w:p>
            <w:pPr>
              <w:spacing w:after="0"/>
              <w:rPr>
                <w:sz w:val="5"/>
                <w:szCs w:val="5"/>
                <w:color w:val="auto"/>
              </w:rPr>
            </w:pPr>
          </w:p>
        </w:tc>
        <w:tc>
          <w:tcPr>
            <w:tcW w:w="600" w:type="dxa"/>
            <w:vAlign w:val="bottom"/>
            <w:tcBorders>
              <w:right w:val="single" w:sz="8" w:color="007CBA"/>
            </w:tcBorders>
          </w:tcPr>
          <w:p>
            <w:pPr>
              <w:spacing w:after="0"/>
              <w:rPr>
                <w:sz w:val="5"/>
                <w:szCs w:val="5"/>
                <w:color w:val="auto"/>
              </w:rPr>
            </w:pPr>
          </w:p>
        </w:tc>
        <w:tc>
          <w:tcPr>
            <w:tcW w:w="2940" w:type="dxa"/>
            <w:vAlign w:val="bottom"/>
            <w:tcBorders>
              <w:right w:val="single" w:sz="8" w:color="007CBA"/>
            </w:tcBorders>
          </w:tcPr>
          <w:p>
            <w:pPr>
              <w:spacing w:after="0"/>
              <w:rPr>
                <w:sz w:val="5"/>
                <w:szCs w:val="5"/>
                <w:color w:val="auto"/>
              </w:rPr>
            </w:pPr>
          </w:p>
        </w:tc>
        <w:tc>
          <w:tcPr>
            <w:tcW w:w="1840" w:type="dxa"/>
            <w:vAlign w:val="bottom"/>
            <w:tcBorders>
              <w:right w:val="single" w:sz="8" w:color="007CBA"/>
            </w:tcBorders>
          </w:tcPr>
          <w:p>
            <w:pPr>
              <w:spacing w:after="0"/>
              <w:rPr>
                <w:sz w:val="5"/>
                <w:szCs w:val="5"/>
                <w:color w:val="auto"/>
              </w:rPr>
            </w:pPr>
          </w:p>
        </w:tc>
        <w:tc>
          <w:tcPr>
            <w:tcW w:w="3820" w:type="dxa"/>
            <w:vAlign w:val="bottom"/>
          </w:tcPr>
          <w:p>
            <w:pPr>
              <w:spacing w:after="0"/>
              <w:rPr>
                <w:sz w:val="5"/>
                <w:szCs w:val="5"/>
                <w:color w:val="auto"/>
              </w:rPr>
            </w:pPr>
          </w:p>
        </w:tc>
      </w:tr>
      <w:tr>
        <w:trPr>
          <w:trHeight w:val="239"/>
        </w:trPr>
        <w:tc>
          <w:tcPr>
            <w:tcW w:w="22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7"/>
                <w:szCs w:val="17"/>
                <w:color w:val="auto"/>
              </w:rPr>
              <w:t>John P. Mohr</w:t>
            </w:r>
          </w:p>
        </w:tc>
        <w:tc>
          <w:tcPr>
            <w:tcW w:w="6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7"/>
                <w:szCs w:val="17"/>
                <w:color w:val="auto"/>
                <w:w w:val="94"/>
              </w:rPr>
              <w:t>54</w:t>
            </w:r>
          </w:p>
        </w:tc>
        <w:tc>
          <w:tcPr>
            <w:tcW w:w="294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7"/>
                <w:szCs w:val="17"/>
                <w:color w:val="auto"/>
              </w:rPr>
              <w:t>Senior Vice President,</w:t>
            </w:r>
          </w:p>
        </w:tc>
        <w:tc>
          <w:tcPr>
            <w:tcW w:w="18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7"/>
                <w:szCs w:val="17"/>
                <w:color w:val="auto"/>
              </w:rPr>
              <w:t>2017</w:t>
            </w:r>
          </w:p>
        </w:tc>
        <w:tc>
          <w:tcPr>
            <w:tcW w:w="3820" w:type="dxa"/>
            <w:vAlign w:val="bottom"/>
            <w:shd w:val="clear" w:color="auto" w:fill="E5F1F8"/>
          </w:tcPr>
          <w:p>
            <w:pPr>
              <w:ind w:left="100"/>
              <w:spacing w:after="0"/>
              <w:rPr>
                <w:sz w:val="20"/>
                <w:szCs w:val="20"/>
                <w:color w:val="auto"/>
              </w:rPr>
            </w:pPr>
            <w:r>
              <w:rPr>
                <w:rFonts w:ascii="Arial" w:cs="Arial" w:eastAsia="Arial" w:hAnsi="Arial"/>
                <w:sz w:val="17"/>
                <w:szCs w:val="17"/>
                <w:color w:val="auto"/>
              </w:rPr>
              <w:t>Vice President (2015-2017);</w:t>
            </w:r>
          </w:p>
        </w:tc>
      </w:tr>
      <w:tr>
        <w:trPr>
          <w:trHeight w:val="200"/>
        </w:trPr>
        <w:tc>
          <w:tcPr>
            <w:tcW w:w="2220" w:type="dxa"/>
            <w:vAlign w:val="bottom"/>
            <w:tcBorders>
              <w:right w:val="single" w:sz="8" w:color="007CBA"/>
            </w:tcBorders>
            <w:shd w:val="clear" w:color="auto" w:fill="E5F1F8"/>
          </w:tcPr>
          <w:p>
            <w:pPr>
              <w:spacing w:after="0"/>
              <w:rPr>
                <w:sz w:val="17"/>
                <w:szCs w:val="17"/>
                <w:color w:val="auto"/>
              </w:rPr>
            </w:pPr>
          </w:p>
        </w:tc>
        <w:tc>
          <w:tcPr>
            <w:tcW w:w="600" w:type="dxa"/>
            <w:vAlign w:val="bottom"/>
            <w:tcBorders>
              <w:right w:val="single" w:sz="8" w:color="007CBA"/>
            </w:tcBorders>
            <w:shd w:val="clear" w:color="auto" w:fill="E5F1F8"/>
          </w:tcPr>
          <w:p>
            <w:pPr>
              <w:spacing w:after="0"/>
              <w:rPr>
                <w:sz w:val="17"/>
                <w:szCs w:val="17"/>
                <w:color w:val="auto"/>
              </w:rPr>
            </w:pPr>
          </w:p>
        </w:tc>
        <w:tc>
          <w:tcPr>
            <w:tcW w:w="294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7"/>
                <w:szCs w:val="17"/>
                <w:color w:val="auto"/>
              </w:rPr>
              <w:t>Chief Information Officer</w:t>
            </w:r>
          </w:p>
        </w:tc>
        <w:tc>
          <w:tcPr>
            <w:tcW w:w="18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7"/>
                <w:szCs w:val="17"/>
                <w:color w:val="auto"/>
              </w:rPr>
              <w:t>2015</w:t>
            </w:r>
          </w:p>
        </w:tc>
        <w:tc>
          <w:tcPr>
            <w:tcW w:w="3820" w:type="dxa"/>
            <w:vAlign w:val="bottom"/>
            <w:shd w:val="clear" w:color="auto" w:fill="E5F1F8"/>
          </w:tcPr>
          <w:p>
            <w:pPr>
              <w:ind w:left="100"/>
              <w:spacing w:after="0"/>
              <w:rPr>
                <w:sz w:val="20"/>
                <w:szCs w:val="20"/>
                <w:color w:val="auto"/>
              </w:rPr>
            </w:pPr>
            <w:r>
              <w:rPr>
                <w:rFonts w:ascii="Arial" w:cs="Arial" w:eastAsia="Arial" w:hAnsi="Arial"/>
                <w:sz w:val="17"/>
                <w:szCs w:val="17"/>
                <w:color w:val="auto"/>
              </w:rPr>
              <w:t>Vice President, Information Services, Liggett</w:t>
            </w:r>
          </w:p>
        </w:tc>
      </w:tr>
      <w:tr>
        <w:trPr>
          <w:trHeight w:val="205"/>
        </w:trPr>
        <w:tc>
          <w:tcPr>
            <w:tcW w:w="2220" w:type="dxa"/>
            <w:vAlign w:val="bottom"/>
            <w:tcBorders>
              <w:right w:val="single" w:sz="8" w:color="007CBA"/>
            </w:tcBorders>
            <w:shd w:val="clear" w:color="auto" w:fill="E5F1F8"/>
          </w:tcPr>
          <w:p>
            <w:pPr>
              <w:spacing w:after="0"/>
              <w:rPr>
                <w:sz w:val="17"/>
                <w:szCs w:val="17"/>
                <w:color w:val="auto"/>
              </w:rPr>
            </w:pPr>
          </w:p>
        </w:tc>
        <w:tc>
          <w:tcPr>
            <w:tcW w:w="600" w:type="dxa"/>
            <w:vAlign w:val="bottom"/>
            <w:tcBorders>
              <w:right w:val="single" w:sz="8" w:color="007CBA"/>
            </w:tcBorders>
            <w:shd w:val="clear" w:color="auto" w:fill="E5F1F8"/>
          </w:tcPr>
          <w:p>
            <w:pPr>
              <w:spacing w:after="0"/>
              <w:rPr>
                <w:sz w:val="17"/>
                <w:szCs w:val="17"/>
                <w:color w:val="auto"/>
              </w:rPr>
            </w:pPr>
          </w:p>
        </w:tc>
        <w:tc>
          <w:tcPr>
            <w:tcW w:w="2940" w:type="dxa"/>
            <w:vAlign w:val="bottom"/>
            <w:tcBorders>
              <w:right w:val="single" w:sz="8" w:color="007CBA"/>
            </w:tcBorders>
            <w:shd w:val="clear" w:color="auto" w:fill="E5F1F8"/>
          </w:tcPr>
          <w:p>
            <w:pPr>
              <w:spacing w:after="0"/>
              <w:rPr>
                <w:sz w:val="17"/>
                <w:szCs w:val="17"/>
                <w:color w:val="auto"/>
              </w:rPr>
            </w:pPr>
          </w:p>
        </w:tc>
        <w:tc>
          <w:tcPr>
            <w:tcW w:w="1840" w:type="dxa"/>
            <w:vAlign w:val="bottom"/>
            <w:tcBorders>
              <w:right w:val="single" w:sz="8" w:color="007CBA"/>
            </w:tcBorders>
            <w:shd w:val="clear" w:color="auto" w:fill="E5F1F8"/>
          </w:tcPr>
          <w:p>
            <w:pPr>
              <w:spacing w:after="0"/>
              <w:rPr>
                <w:sz w:val="17"/>
                <w:szCs w:val="17"/>
                <w:color w:val="auto"/>
              </w:rPr>
            </w:pPr>
          </w:p>
        </w:tc>
        <w:tc>
          <w:tcPr>
            <w:tcW w:w="3820" w:type="dxa"/>
            <w:vAlign w:val="bottom"/>
            <w:shd w:val="clear" w:color="auto" w:fill="E5F1F8"/>
          </w:tcPr>
          <w:p>
            <w:pPr>
              <w:ind w:left="100"/>
              <w:spacing w:after="0"/>
              <w:rPr>
                <w:sz w:val="20"/>
                <w:szCs w:val="20"/>
                <w:color w:val="auto"/>
              </w:rPr>
            </w:pPr>
            <w:r>
              <w:rPr>
                <w:rFonts w:ascii="Arial" w:cs="Arial" w:eastAsia="Arial" w:hAnsi="Arial"/>
                <w:sz w:val="17"/>
                <w:szCs w:val="17"/>
                <w:color w:val="auto"/>
              </w:rPr>
              <w:t>Vector Brands (2007-2015)</w:t>
            </w:r>
          </w:p>
        </w:tc>
      </w:tr>
      <w:tr>
        <w:trPr>
          <w:trHeight w:val="72"/>
        </w:trPr>
        <w:tc>
          <w:tcPr>
            <w:tcW w:w="2220" w:type="dxa"/>
            <w:vAlign w:val="bottom"/>
            <w:tcBorders>
              <w:bottom w:val="single" w:sz="8" w:color="007CBA"/>
              <w:right w:val="single" w:sz="8" w:color="007CBA"/>
            </w:tcBorders>
            <w:shd w:val="clear" w:color="auto" w:fill="E5F1F8"/>
          </w:tcPr>
          <w:p>
            <w:pPr>
              <w:spacing w:after="0"/>
              <w:rPr>
                <w:sz w:val="6"/>
                <w:szCs w:val="6"/>
                <w:color w:val="auto"/>
              </w:rPr>
            </w:pPr>
          </w:p>
        </w:tc>
        <w:tc>
          <w:tcPr>
            <w:tcW w:w="600" w:type="dxa"/>
            <w:vAlign w:val="bottom"/>
            <w:tcBorders>
              <w:bottom w:val="single" w:sz="8" w:color="007CBA"/>
              <w:right w:val="single" w:sz="8" w:color="007CBA"/>
            </w:tcBorders>
            <w:shd w:val="clear" w:color="auto" w:fill="E5F1F8"/>
          </w:tcPr>
          <w:p>
            <w:pPr>
              <w:spacing w:after="0"/>
              <w:rPr>
                <w:sz w:val="6"/>
                <w:szCs w:val="6"/>
                <w:color w:val="auto"/>
              </w:rPr>
            </w:pPr>
          </w:p>
        </w:tc>
        <w:tc>
          <w:tcPr>
            <w:tcW w:w="2940" w:type="dxa"/>
            <w:vAlign w:val="bottom"/>
            <w:tcBorders>
              <w:bottom w:val="single" w:sz="8" w:color="007CBA"/>
              <w:right w:val="single" w:sz="8" w:color="007CBA"/>
            </w:tcBorders>
            <w:shd w:val="clear" w:color="auto" w:fill="E5F1F8"/>
          </w:tcPr>
          <w:p>
            <w:pPr>
              <w:spacing w:after="0"/>
              <w:rPr>
                <w:sz w:val="6"/>
                <w:szCs w:val="6"/>
                <w:color w:val="auto"/>
              </w:rPr>
            </w:pPr>
          </w:p>
        </w:tc>
        <w:tc>
          <w:tcPr>
            <w:tcW w:w="1840" w:type="dxa"/>
            <w:vAlign w:val="bottom"/>
            <w:tcBorders>
              <w:bottom w:val="single" w:sz="8" w:color="007CBA"/>
              <w:right w:val="single" w:sz="8" w:color="007CBA"/>
            </w:tcBorders>
            <w:shd w:val="clear" w:color="auto" w:fill="E5F1F8"/>
          </w:tcPr>
          <w:p>
            <w:pPr>
              <w:spacing w:after="0"/>
              <w:rPr>
                <w:sz w:val="6"/>
                <w:szCs w:val="6"/>
                <w:color w:val="auto"/>
              </w:rPr>
            </w:pPr>
          </w:p>
        </w:tc>
        <w:tc>
          <w:tcPr>
            <w:tcW w:w="3820" w:type="dxa"/>
            <w:vAlign w:val="bottom"/>
            <w:tcBorders>
              <w:bottom w:val="single" w:sz="8" w:color="007CBA"/>
            </w:tcBorders>
            <w:shd w:val="clear" w:color="auto" w:fill="E5F1F8"/>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94615</wp:posOffset>
            </wp:positionV>
            <wp:extent cx="411480" cy="2489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63"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3"/>
          <w:szCs w:val="13"/>
          <w:b w:val="1"/>
          <w:bCs w:val="1"/>
          <w:color w:val="auto"/>
        </w:rPr>
      </w:pPr>
      <w:r>
        <w:rPr>
          <w:rFonts w:ascii="Arial" w:cs="Arial" w:eastAsia="Arial" w:hAnsi="Arial"/>
          <w:sz w:val="13"/>
          <w:szCs w:val="13"/>
          <w:color w:val="007CBA"/>
        </w:rPr>
        <w:t>2018 FORM 10-K</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Item 5 - Market for Registrant’s Common Equity, Related Stockholder Matters and Issuer Purchases of Equity Securities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Part II</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PART II</w:t>
      </w:r>
    </w:p>
    <w:p>
      <w:pPr>
        <w:spacing w:after="0" w:line="165" w:lineRule="exact"/>
        <w:rPr>
          <w:sz w:val="20"/>
          <w:szCs w:val="20"/>
          <w:color w:val="auto"/>
        </w:rPr>
      </w:pPr>
    </w:p>
    <w:p>
      <w:pPr>
        <w:ind w:right="1200"/>
        <w:spacing w:after="0" w:line="288" w:lineRule="auto"/>
        <w:rPr>
          <w:sz w:val="20"/>
          <w:szCs w:val="20"/>
          <w:color w:val="auto"/>
        </w:rPr>
      </w:pPr>
      <w:r>
        <w:rPr>
          <w:rFonts w:ascii="Arial" w:cs="Arial" w:eastAsia="Arial" w:hAnsi="Arial"/>
          <w:sz w:val="25"/>
          <w:szCs w:val="25"/>
          <w:b w:val="1"/>
          <w:bCs w:val="1"/>
          <w:color w:val="auto"/>
        </w:rPr>
        <w:t>ITEM 5 - MARKET FOR REGISTRANT’S COMMON EQUITY, RELATED STOCKHOLDER MATTERS AND ISSUER PURCHASES OF EQUITY SECURITIES</w:t>
      </w:r>
    </w:p>
    <w:p>
      <w:pPr>
        <w:spacing w:after="0" w:line="12"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Market Information and Holders</w:t>
      </w:r>
    </w:p>
    <w:p>
      <w:pPr>
        <w:spacing w:after="0" w:line="15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Company’s Common Stock, $.01 par value, is traded on the New York Stock Exchange (“NYSE”) (Symbol: MLM). There were 878 holders of record of the Company’s Common Stock as of February 15, 2019.</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Recent Sales of Unregistered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Issuer Purchases of Equity Securities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tcBorders>
              <w:right w:val="single" w:sz="8" w:color="007CBA"/>
            </w:tcBorders>
            <w:shd w:val="clear" w:color="auto" w:fill="007CBA"/>
          </w:tcPr>
          <w:p>
            <w:pPr>
              <w:spacing w:after="0"/>
              <w:rPr>
                <w:sz w:val="16"/>
                <w:szCs w:val="16"/>
                <w:color w:val="auto"/>
              </w:rPr>
            </w:pPr>
          </w:p>
        </w:tc>
        <w:tc>
          <w:tcPr>
            <w:tcW w:w="1060" w:type="dxa"/>
            <w:vAlign w:val="bottom"/>
            <w:tcBorders>
              <w:right w:val="single" w:sz="8" w:color="007CBA"/>
            </w:tcBorders>
            <w:shd w:val="clear" w:color="auto" w:fill="007CBA"/>
          </w:tcPr>
          <w:p>
            <w:pPr>
              <w:spacing w:after="0"/>
              <w:rPr>
                <w:sz w:val="16"/>
                <w:szCs w:val="16"/>
                <w:color w:val="auto"/>
              </w:rPr>
            </w:pPr>
          </w:p>
        </w:tc>
        <w:tc>
          <w:tcPr>
            <w:tcW w:w="240" w:type="dxa"/>
            <w:vAlign w:val="bottom"/>
            <w:shd w:val="clear" w:color="auto" w:fill="007CBA"/>
          </w:tcPr>
          <w:p>
            <w:pPr>
              <w:spacing w:after="0"/>
              <w:rPr>
                <w:sz w:val="16"/>
                <w:szCs w:val="16"/>
                <w:color w:val="auto"/>
              </w:rPr>
            </w:pPr>
          </w:p>
        </w:tc>
        <w:tc>
          <w:tcPr>
            <w:tcW w:w="800" w:type="dxa"/>
            <w:vAlign w:val="bottom"/>
            <w:tcBorders>
              <w:right w:val="single" w:sz="8" w:color="007CBA"/>
            </w:tcBorders>
            <w:shd w:val="clear" w:color="auto" w:fill="007CBA"/>
          </w:tcPr>
          <w:p>
            <w:pPr>
              <w:spacing w:after="0"/>
              <w:rPr>
                <w:sz w:val="16"/>
                <w:szCs w:val="16"/>
                <w:color w:val="auto"/>
              </w:rPr>
            </w:pPr>
          </w:p>
        </w:tc>
        <w:tc>
          <w:tcPr>
            <w:tcW w:w="1140" w:type="dxa"/>
            <w:vAlign w:val="bottom"/>
            <w:tcBorders>
              <w:right w:val="single" w:sz="8" w:color="007CBA"/>
            </w:tcBorders>
            <w:shd w:val="clear" w:color="auto" w:fill="007CBA"/>
          </w:tcPr>
          <w:p>
            <w:pPr>
              <w:jc w:val="center"/>
              <w:ind w:right="85"/>
              <w:spacing w:after="0"/>
              <w:rPr>
                <w:sz w:val="20"/>
                <w:szCs w:val="20"/>
                <w:color w:val="auto"/>
              </w:rPr>
            </w:pPr>
            <w:r>
              <w:rPr>
                <w:rFonts w:ascii="Arial" w:cs="Arial" w:eastAsia="Arial" w:hAnsi="Arial"/>
                <w:sz w:val="14"/>
                <w:szCs w:val="14"/>
                <w:b w:val="1"/>
                <w:bCs w:val="1"/>
                <w:color w:val="FFFFFF"/>
              </w:rPr>
              <w:t>Total</w:t>
            </w:r>
          </w:p>
        </w:tc>
        <w:tc>
          <w:tcPr>
            <w:tcW w:w="1180" w:type="dxa"/>
            <w:vAlign w:val="bottom"/>
            <w:shd w:val="clear" w:color="auto" w:fill="007CBA"/>
          </w:tcPr>
          <w:p>
            <w:pPr>
              <w:spacing w:after="0"/>
              <w:rPr>
                <w:sz w:val="16"/>
                <w:szCs w:val="16"/>
                <w:color w:val="auto"/>
              </w:rPr>
            </w:pPr>
          </w:p>
        </w:tc>
      </w:tr>
      <w:tr>
        <w:trPr>
          <w:trHeight w:val="162"/>
        </w:trPr>
        <w:tc>
          <w:tcPr>
            <w:tcW w:w="7000" w:type="dxa"/>
            <w:vAlign w:val="bottom"/>
            <w:tcBorders>
              <w:right w:val="single" w:sz="8" w:color="007CBA"/>
            </w:tcBorders>
            <w:shd w:val="clear" w:color="auto" w:fill="007CBA"/>
          </w:tcPr>
          <w:p>
            <w:pPr>
              <w:spacing w:after="0"/>
              <w:rPr>
                <w:sz w:val="14"/>
                <w:szCs w:val="14"/>
                <w:color w:val="auto"/>
              </w:rPr>
            </w:pPr>
          </w:p>
        </w:tc>
        <w:tc>
          <w:tcPr>
            <w:tcW w:w="1060" w:type="dxa"/>
            <w:vAlign w:val="bottom"/>
            <w:tcBorders>
              <w:right w:val="single" w:sz="8" w:color="007CBA"/>
            </w:tcBorders>
            <w:shd w:val="clear" w:color="auto" w:fill="007CBA"/>
          </w:tcPr>
          <w:p>
            <w:pPr>
              <w:spacing w:after="0"/>
              <w:rPr>
                <w:sz w:val="14"/>
                <w:szCs w:val="14"/>
                <w:color w:val="auto"/>
              </w:rPr>
            </w:pPr>
          </w:p>
        </w:tc>
        <w:tc>
          <w:tcPr>
            <w:tcW w:w="24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1140" w:type="dxa"/>
            <w:vAlign w:val="bottom"/>
            <w:tcBorders>
              <w:right w:val="single" w:sz="8" w:color="007CBA"/>
            </w:tcBorders>
            <w:shd w:val="clear" w:color="auto" w:fill="007CBA"/>
          </w:tcPr>
          <w:p>
            <w:pPr>
              <w:jc w:val="center"/>
              <w:ind w:right="85"/>
              <w:spacing w:after="0"/>
              <w:rPr>
                <w:sz w:val="20"/>
                <w:szCs w:val="20"/>
                <w:color w:val="auto"/>
              </w:rPr>
            </w:pPr>
            <w:r>
              <w:rPr>
                <w:rFonts w:ascii="Arial" w:cs="Arial" w:eastAsia="Arial" w:hAnsi="Arial"/>
                <w:sz w:val="14"/>
                <w:szCs w:val="14"/>
                <w:b w:val="1"/>
                <w:bCs w:val="1"/>
                <w:color w:val="FFFFFF"/>
                <w:w w:val="99"/>
              </w:rPr>
              <w:t>Number of</w:t>
            </w:r>
          </w:p>
        </w:tc>
        <w:tc>
          <w:tcPr>
            <w:tcW w:w="1180" w:type="dxa"/>
            <w:vAlign w:val="bottom"/>
            <w:shd w:val="clear" w:color="auto" w:fill="007CBA"/>
          </w:tcPr>
          <w:p>
            <w:pPr>
              <w:jc w:val="center"/>
              <w:ind w:right="45"/>
              <w:spacing w:after="0"/>
              <w:rPr>
                <w:sz w:val="20"/>
                <w:szCs w:val="20"/>
                <w:color w:val="auto"/>
              </w:rPr>
            </w:pPr>
            <w:r>
              <w:rPr>
                <w:rFonts w:ascii="Arial" w:cs="Arial" w:eastAsia="Arial" w:hAnsi="Arial"/>
                <w:sz w:val="14"/>
                <w:szCs w:val="14"/>
                <w:b w:val="1"/>
                <w:bCs w:val="1"/>
                <w:color w:val="FFFFFF"/>
              </w:rPr>
              <w:t>Maximum</w:t>
            </w:r>
          </w:p>
        </w:tc>
      </w:tr>
      <w:tr>
        <w:trPr>
          <w:trHeight w:val="162"/>
        </w:trPr>
        <w:tc>
          <w:tcPr>
            <w:tcW w:w="7000" w:type="dxa"/>
            <w:vAlign w:val="bottom"/>
            <w:tcBorders>
              <w:right w:val="single" w:sz="8" w:color="007CBA"/>
            </w:tcBorders>
            <w:shd w:val="clear" w:color="auto" w:fill="007CBA"/>
          </w:tcPr>
          <w:p>
            <w:pPr>
              <w:spacing w:after="0"/>
              <w:rPr>
                <w:sz w:val="14"/>
                <w:szCs w:val="14"/>
                <w:color w:val="auto"/>
              </w:rPr>
            </w:pPr>
          </w:p>
        </w:tc>
        <w:tc>
          <w:tcPr>
            <w:tcW w:w="1060" w:type="dxa"/>
            <w:vAlign w:val="bottom"/>
            <w:tcBorders>
              <w:right w:val="single" w:sz="8" w:color="007CBA"/>
            </w:tcBorders>
            <w:shd w:val="clear" w:color="auto" w:fill="007CBA"/>
          </w:tcPr>
          <w:p>
            <w:pPr>
              <w:spacing w:after="0"/>
              <w:rPr>
                <w:sz w:val="14"/>
                <w:szCs w:val="14"/>
                <w:color w:val="auto"/>
              </w:rPr>
            </w:pPr>
          </w:p>
        </w:tc>
        <w:tc>
          <w:tcPr>
            <w:tcW w:w="24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1140" w:type="dxa"/>
            <w:vAlign w:val="bottom"/>
            <w:tcBorders>
              <w:right w:val="single" w:sz="8" w:color="007CBA"/>
            </w:tcBorders>
            <w:shd w:val="clear" w:color="auto" w:fill="007CBA"/>
          </w:tcPr>
          <w:p>
            <w:pPr>
              <w:jc w:val="center"/>
              <w:ind w:right="65"/>
              <w:spacing w:after="0"/>
              <w:rPr>
                <w:sz w:val="20"/>
                <w:szCs w:val="20"/>
                <w:color w:val="auto"/>
              </w:rPr>
            </w:pPr>
            <w:r>
              <w:rPr>
                <w:rFonts w:ascii="Arial" w:cs="Arial" w:eastAsia="Arial" w:hAnsi="Arial"/>
                <w:sz w:val="14"/>
                <w:szCs w:val="14"/>
                <w:b w:val="1"/>
                <w:bCs w:val="1"/>
                <w:color w:val="FFFFFF"/>
              </w:rPr>
              <w:t>Shares</w:t>
            </w:r>
          </w:p>
        </w:tc>
        <w:tc>
          <w:tcPr>
            <w:tcW w:w="1180" w:type="dxa"/>
            <w:vAlign w:val="bottom"/>
            <w:shd w:val="clear" w:color="auto" w:fill="007CBA"/>
          </w:tcPr>
          <w:p>
            <w:pPr>
              <w:jc w:val="center"/>
              <w:ind w:right="65"/>
              <w:spacing w:after="0"/>
              <w:rPr>
                <w:sz w:val="20"/>
                <w:szCs w:val="20"/>
                <w:color w:val="auto"/>
              </w:rPr>
            </w:pPr>
            <w:r>
              <w:rPr>
                <w:rFonts w:ascii="Arial" w:cs="Arial" w:eastAsia="Arial" w:hAnsi="Arial"/>
                <w:sz w:val="14"/>
                <w:szCs w:val="14"/>
                <w:b w:val="1"/>
                <w:bCs w:val="1"/>
                <w:color w:val="FFFFFF"/>
              </w:rPr>
              <w:t>Number of</w:t>
            </w:r>
          </w:p>
        </w:tc>
      </w:tr>
      <w:tr>
        <w:trPr>
          <w:trHeight w:val="162"/>
        </w:trPr>
        <w:tc>
          <w:tcPr>
            <w:tcW w:w="7000" w:type="dxa"/>
            <w:vAlign w:val="bottom"/>
            <w:tcBorders>
              <w:right w:val="single" w:sz="8" w:color="007CBA"/>
            </w:tcBorders>
            <w:shd w:val="clear" w:color="auto" w:fill="007CBA"/>
          </w:tcPr>
          <w:p>
            <w:pPr>
              <w:spacing w:after="0"/>
              <w:rPr>
                <w:sz w:val="14"/>
                <w:szCs w:val="14"/>
                <w:color w:val="auto"/>
              </w:rPr>
            </w:pPr>
          </w:p>
        </w:tc>
        <w:tc>
          <w:tcPr>
            <w:tcW w:w="1060" w:type="dxa"/>
            <w:vAlign w:val="bottom"/>
            <w:tcBorders>
              <w:right w:val="single" w:sz="8" w:color="007CBA"/>
            </w:tcBorders>
            <w:shd w:val="clear" w:color="auto" w:fill="007CBA"/>
          </w:tcPr>
          <w:p>
            <w:pPr>
              <w:spacing w:after="0"/>
              <w:rPr>
                <w:sz w:val="14"/>
                <w:szCs w:val="14"/>
                <w:color w:val="auto"/>
              </w:rPr>
            </w:pPr>
          </w:p>
        </w:tc>
        <w:tc>
          <w:tcPr>
            <w:tcW w:w="24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1140" w:type="dxa"/>
            <w:vAlign w:val="bottom"/>
            <w:tcBorders>
              <w:right w:val="single" w:sz="8" w:color="007CBA"/>
            </w:tcBorders>
            <w:shd w:val="clear" w:color="auto" w:fill="007CBA"/>
          </w:tcPr>
          <w:p>
            <w:pPr>
              <w:jc w:val="center"/>
              <w:ind w:right="85"/>
              <w:spacing w:after="0"/>
              <w:rPr>
                <w:sz w:val="20"/>
                <w:szCs w:val="20"/>
                <w:color w:val="auto"/>
              </w:rPr>
            </w:pPr>
            <w:r>
              <w:rPr>
                <w:rFonts w:ascii="Arial" w:cs="Arial" w:eastAsia="Arial" w:hAnsi="Arial"/>
                <w:sz w:val="14"/>
                <w:szCs w:val="14"/>
                <w:b w:val="1"/>
                <w:bCs w:val="1"/>
                <w:color w:val="FFFFFF"/>
              </w:rPr>
              <w:t>Purchased</w:t>
            </w:r>
          </w:p>
        </w:tc>
        <w:tc>
          <w:tcPr>
            <w:tcW w:w="1180" w:type="dxa"/>
            <w:vAlign w:val="bottom"/>
            <w:shd w:val="clear" w:color="auto" w:fill="007CBA"/>
          </w:tcPr>
          <w:p>
            <w:pPr>
              <w:jc w:val="center"/>
              <w:ind w:right="45"/>
              <w:spacing w:after="0"/>
              <w:rPr>
                <w:sz w:val="20"/>
                <w:szCs w:val="20"/>
                <w:color w:val="auto"/>
              </w:rPr>
            </w:pPr>
            <w:r>
              <w:rPr>
                <w:rFonts w:ascii="Arial" w:cs="Arial" w:eastAsia="Arial" w:hAnsi="Arial"/>
                <w:sz w:val="14"/>
                <w:szCs w:val="14"/>
                <w:b w:val="1"/>
                <w:bCs w:val="1"/>
                <w:color w:val="FFFFFF"/>
              </w:rPr>
              <w:t>Shares that</w:t>
            </w:r>
          </w:p>
        </w:tc>
      </w:tr>
      <w:tr>
        <w:trPr>
          <w:trHeight w:val="162"/>
        </w:trPr>
        <w:tc>
          <w:tcPr>
            <w:tcW w:w="7000" w:type="dxa"/>
            <w:vAlign w:val="bottom"/>
            <w:tcBorders>
              <w:right w:val="single" w:sz="8" w:color="007CBA"/>
            </w:tcBorders>
            <w:shd w:val="clear" w:color="auto" w:fill="007CBA"/>
          </w:tcPr>
          <w:p>
            <w:pPr>
              <w:spacing w:after="0"/>
              <w:rPr>
                <w:sz w:val="14"/>
                <w:szCs w:val="14"/>
                <w:color w:val="auto"/>
              </w:rPr>
            </w:pPr>
          </w:p>
        </w:tc>
        <w:tc>
          <w:tcPr>
            <w:tcW w:w="1060" w:type="dxa"/>
            <w:vAlign w:val="bottom"/>
            <w:tcBorders>
              <w:right w:val="single" w:sz="8" w:color="007CBA"/>
            </w:tcBorders>
            <w:shd w:val="clear" w:color="auto" w:fill="007CBA"/>
          </w:tcPr>
          <w:p>
            <w:pPr>
              <w:spacing w:after="0"/>
              <w:rPr>
                <w:sz w:val="14"/>
                <w:szCs w:val="14"/>
                <w:color w:val="auto"/>
              </w:rPr>
            </w:pPr>
          </w:p>
        </w:tc>
        <w:tc>
          <w:tcPr>
            <w:tcW w:w="24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1140" w:type="dxa"/>
            <w:vAlign w:val="bottom"/>
            <w:tcBorders>
              <w:right w:val="single" w:sz="8" w:color="007CBA"/>
            </w:tcBorders>
            <w:shd w:val="clear" w:color="auto" w:fill="007CBA"/>
          </w:tcPr>
          <w:p>
            <w:pPr>
              <w:jc w:val="center"/>
              <w:ind w:right="85"/>
              <w:spacing w:after="0"/>
              <w:rPr>
                <w:sz w:val="20"/>
                <w:szCs w:val="20"/>
                <w:color w:val="auto"/>
              </w:rPr>
            </w:pPr>
            <w:r>
              <w:rPr>
                <w:rFonts w:ascii="Arial" w:cs="Arial" w:eastAsia="Arial" w:hAnsi="Arial"/>
                <w:sz w:val="14"/>
                <w:szCs w:val="14"/>
                <w:b w:val="1"/>
                <w:bCs w:val="1"/>
                <w:color w:val="FFFFFF"/>
              </w:rPr>
              <w:t>as Part of</w:t>
            </w:r>
          </w:p>
        </w:tc>
        <w:tc>
          <w:tcPr>
            <w:tcW w:w="1180" w:type="dxa"/>
            <w:vAlign w:val="bottom"/>
            <w:shd w:val="clear" w:color="auto" w:fill="007CBA"/>
          </w:tcPr>
          <w:p>
            <w:pPr>
              <w:jc w:val="center"/>
              <w:ind w:right="45"/>
              <w:spacing w:after="0"/>
              <w:rPr>
                <w:sz w:val="20"/>
                <w:szCs w:val="20"/>
                <w:color w:val="auto"/>
              </w:rPr>
            </w:pPr>
            <w:r>
              <w:rPr>
                <w:rFonts w:ascii="Arial" w:cs="Arial" w:eastAsia="Arial" w:hAnsi="Arial"/>
                <w:sz w:val="14"/>
                <w:szCs w:val="14"/>
                <w:b w:val="1"/>
                <w:bCs w:val="1"/>
                <w:color w:val="FFFFFF"/>
              </w:rPr>
              <w:t>May Yet be</w:t>
            </w:r>
          </w:p>
        </w:tc>
      </w:tr>
      <w:tr>
        <w:trPr>
          <w:trHeight w:val="162"/>
        </w:trPr>
        <w:tc>
          <w:tcPr>
            <w:tcW w:w="7000" w:type="dxa"/>
            <w:vAlign w:val="bottom"/>
            <w:tcBorders>
              <w:right w:val="single" w:sz="8" w:color="007CBA"/>
            </w:tcBorders>
            <w:shd w:val="clear" w:color="auto" w:fill="007CBA"/>
          </w:tcPr>
          <w:p>
            <w:pPr>
              <w:spacing w:after="0"/>
              <w:rPr>
                <w:sz w:val="14"/>
                <w:szCs w:val="14"/>
                <w:color w:val="auto"/>
              </w:rPr>
            </w:pPr>
          </w:p>
        </w:tc>
        <w:tc>
          <w:tcPr>
            <w:tcW w:w="1060" w:type="dxa"/>
            <w:vAlign w:val="bottom"/>
            <w:tcBorders>
              <w:right w:val="single" w:sz="8" w:color="007CBA"/>
            </w:tcBorders>
            <w:shd w:val="clear" w:color="auto" w:fill="007CBA"/>
          </w:tcPr>
          <w:p>
            <w:pPr>
              <w:jc w:val="center"/>
              <w:ind w:right="83"/>
              <w:spacing w:after="0"/>
              <w:rPr>
                <w:sz w:val="20"/>
                <w:szCs w:val="20"/>
                <w:color w:val="auto"/>
              </w:rPr>
            </w:pPr>
            <w:r>
              <w:rPr>
                <w:rFonts w:ascii="Arial" w:cs="Arial" w:eastAsia="Arial" w:hAnsi="Arial"/>
                <w:sz w:val="14"/>
                <w:szCs w:val="14"/>
                <w:b w:val="1"/>
                <w:bCs w:val="1"/>
                <w:color w:val="FFFFFF"/>
              </w:rPr>
              <w:t>Total</w:t>
            </w:r>
          </w:p>
        </w:tc>
        <w:tc>
          <w:tcPr>
            <w:tcW w:w="24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1140" w:type="dxa"/>
            <w:vAlign w:val="bottom"/>
            <w:tcBorders>
              <w:right w:val="single" w:sz="8" w:color="007CBA"/>
            </w:tcBorders>
            <w:shd w:val="clear" w:color="auto" w:fill="007CBA"/>
          </w:tcPr>
          <w:p>
            <w:pPr>
              <w:jc w:val="center"/>
              <w:ind w:right="85"/>
              <w:spacing w:after="0"/>
              <w:rPr>
                <w:sz w:val="20"/>
                <w:szCs w:val="20"/>
                <w:color w:val="auto"/>
              </w:rPr>
            </w:pPr>
            <w:r>
              <w:rPr>
                <w:rFonts w:ascii="Arial" w:cs="Arial" w:eastAsia="Arial" w:hAnsi="Arial"/>
                <w:sz w:val="14"/>
                <w:szCs w:val="14"/>
                <w:b w:val="1"/>
                <w:bCs w:val="1"/>
                <w:color w:val="FFFFFF"/>
              </w:rPr>
              <w:t>Publicly</w:t>
            </w:r>
          </w:p>
        </w:tc>
        <w:tc>
          <w:tcPr>
            <w:tcW w:w="1180" w:type="dxa"/>
            <w:vAlign w:val="bottom"/>
            <w:shd w:val="clear" w:color="auto" w:fill="007CBA"/>
          </w:tcPr>
          <w:p>
            <w:pPr>
              <w:jc w:val="center"/>
              <w:ind w:right="45"/>
              <w:spacing w:after="0"/>
              <w:rPr>
                <w:sz w:val="20"/>
                <w:szCs w:val="20"/>
                <w:color w:val="auto"/>
              </w:rPr>
            </w:pPr>
            <w:r>
              <w:rPr>
                <w:rFonts w:ascii="Arial" w:cs="Arial" w:eastAsia="Arial" w:hAnsi="Arial"/>
                <w:sz w:val="14"/>
                <w:szCs w:val="14"/>
                <w:b w:val="1"/>
                <w:bCs w:val="1"/>
                <w:color w:val="FFFFFF"/>
              </w:rPr>
              <w:t>Purchased</w:t>
            </w:r>
          </w:p>
        </w:tc>
      </w:tr>
      <w:tr>
        <w:trPr>
          <w:trHeight w:val="162"/>
        </w:trPr>
        <w:tc>
          <w:tcPr>
            <w:tcW w:w="7000" w:type="dxa"/>
            <w:vAlign w:val="bottom"/>
            <w:tcBorders>
              <w:right w:val="single" w:sz="8" w:color="007CBA"/>
            </w:tcBorders>
            <w:shd w:val="clear" w:color="auto" w:fill="007CBA"/>
          </w:tcPr>
          <w:p>
            <w:pPr>
              <w:spacing w:after="0"/>
              <w:rPr>
                <w:sz w:val="14"/>
                <w:szCs w:val="14"/>
                <w:color w:val="auto"/>
              </w:rPr>
            </w:pPr>
          </w:p>
        </w:tc>
        <w:tc>
          <w:tcPr>
            <w:tcW w:w="1060" w:type="dxa"/>
            <w:vAlign w:val="bottom"/>
            <w:tcBorders>
              <w:right w:val="single" w:sz="8" w:color="007CBA"/>
            </w:tcBorders>
            <w:shd w:val="clear" w:color="auto" w:fill="007CBA"/>
          </w:tcPr>
          <w:p>
            <w:pPr>
              <w:jc w:val="center"/>
              <w:ind w:right="63"/>
              <w:spacing w:after="0"/>
              <w:rPr>
                <w:sz w:val="20"/>
                <w:szCs w:val="20"/>
                <w:color w:val="auto"/>
              </w:rPr>
            </w:pPr>
            <w:r>
              <w:rPr>
                <w:rFonts w:ascii="Arial" w:cs="Arial" w:eastAsia="Arial" w:hAnsi="Arial"/>
                <w:sz w:val="14"/>
                <w:szCs w:val="14"/>
                <w:b w:val="1"/>
                <w:bCs w:val="1"/>
                <w:color w:val="FFFFFF"/>
              </w:rPr>
              <w:t>Number of</w:t>
            </w:r>
          </w:p>
        </w:tc>
        <w:tc>
          <w:tcPr>
            <w:tcW w:w="1040" w:type="dxa"/>
            <w:vAlign w:val="bottom"/>
            <w:tcBorders>
              <w:right w:val="single" w:sz="8" w:color="007CBA"/>
            </w:tcBorders>
            <w:gridSpan w:val="2"/>
            <w:shd w:val="clear" w:color="auto" w:fill="007CBA"/>
          </w:tcPr>
          <w:p>
            <w:pPr>
              <w:ind w:left="160"/>
              <w:spacing w:after="0"/>
              <w:rPr>
                <w:sz w:val="20"/>
                <w:szCs w:val="20"/>
                <w:color w:val="auto"/>
              </w:rPr>
            </w:pPr>
            <w:r>
              <w:rPr>
                <w:rFonts w:ascii="Arial" w:cs="Arial" w:eastAsia="Arial" w:hAnsi="Arial"/>
                <w:sz w:val="14"/>
                <w:szCs w:val="14"/>
                <w:b w:val="1"/>
                <w:bCs w:val="1"/>
                <w:color w:val="FFFFFF"/>
              </w:rPr>
              <w:t>Average</w:t>
            </w:r>
          </w:p>
        </w:tc>
        <w:tc>
          <w:tcPr>
            <w:tcW w:w="1140" w:type="dxa"/>
            <w:vAlign w:val="bottom"/>
            <w:tcBorders>
              <w:right w:val="single" w:sz="8" w:color="007CBA"/>
            </w:tcBorders>
            <w:shd w:val="clear" w:color="auto" w:fill="007CBA"/>
          </w:tcPr>
          <w:p>
            <w:pPr>
              <w:jc w:val="center"/>
              <w:ind w:right="85"/>
              <w:spacing w:after="0"/>
              <w:rPr>
                <w:sz w:val="20"/>
                <w:szCs w:val="20"/>
                <w:color w:val="auto"/>
              </w:rPr>
            </w:pPr>
            <w:r>
              <w:rPr>
                <w:rFonts w:ascii="Arial" w:cs="Arial" w:eastAsia="Arial" w:hAnsi="Arial"/>
                <w:sz w:val="14"/>
                <w:szCs w:val="14"/>
                <w:b w:val="1"/>
                <w:bCs w:val="1"/>
                <w:color w:val="FFFFFF"/>
              </w:rPr>
              <w:t>Announced</w:t>
            </w:r>
          </w:p>
        </w:tc>
        <w:tc>
          <w:tcPr>
            <w:tcW w:w="1180" w:type="dxa"/>
            <w:vAlign w:val="bottom"/>
            <w:shd w:val="clear" w:color="auto" w:fill="007CBA"/>
          </w:tcPr>
          <w:p>
            <w:pPr>
              <w:jc w:val="center"/>
              <w:ind w:right="65"/>
              <w:spacing w:after="0"/>
              <w:rPr>
                <w:sz w:val="20"/>
                <w:szCs w:val="20"/>
                <w:color w:val="auto"/>
              </w:rPr>
            </w:pPr>
            <w:r>
              <w:rPr>
                <w:rFonts w:ascii="Arial" w:cs="Arial" w:eastAsia="Arial" w:hAnsi="Arial"/>
                <w:sz w:val="14"/>
                <w:szCs w:val="14"/>
                <w:b w:val="1"/>
                <w:bCs w:val="1"/>
                <w:color w:val="FFFFFF"/>
              </w:rPr>
              <w:t>Under the</w:t>
            </w:r>
          </w:p>
        </w:tc>
      </w:tr>
      <w:tr>
        <w:trPr>
          <w:trHeight w:val="159"/>
        </w:trPr>
        <w:tc>
          <w:tcPr>
            <w:tcW w:w="7000" w:type="dxa"/>
            <w:vAlign w:val="bottom"/>
            <w:tcBorders>
              <w:right w:val="single" w:sz="8" w:color="007CBA"/>
            </w:tcBorders>
            <w:shd w:val="clear" w:color="auto" w:fill="007CBA"/>
          </w:tcPr>
          <w:p>
            <w:pPr>
              <w:spacing w:after="0"/>
              <w:rPr>
                <w:sz w:val="13"/>
                <w:szCs w:val="13"/>
                <w:color w:val="auto"/>
              </w:rPr>
            </w:pPr>
          </w:p>
        </w:tc>
        <w:tc>
          <w:tcPr>
            <w:tcW w:w="1060" w:type="dxa"/>
            <w:vAlign w:val="bottom"/>
            <w:tcBorders>
              <w:right w:val="single" w:sz="8" w:color="007CBA"/>
            </w:tcBorders>
            <w:shd w:val="clear" w:color="auto" w:fill="007CBA"/>
          </w:tcPr>
          <w:p>
            <w:pPr>
              <w:jc w:val="center"/>
              <w:ind w:right="63"/>
              <w:spacing w:after="0" w:line="159" w:lineRule="exact"/>
              <w:rPr>
                <w:sz w:val="20"/>
                <w:szCs w:val="20"/>
                <w:color w:val="auto"/>
              </w:rPr>
            </w:pPr>
            <w:r>
              <w:rPr>
                <w:rFonts w:ascii="Arial" w:cs="Arial" w:eastAsia="Arial" w:hAnsi="Arial"/>
                <w:sz w:val="14"/>
                <w:szCs w:val="14"/>
                <w:b w:val="1"/>
                <w:bCs w:val="1"/>
                <w:color w:val="FFFFFF"/>
              </w:rPr>
              <w:t>Shares</w:t>
            </w:r>
          </w:p>
        </w:tc>
        <w:tc>
          <w:tcPr>
            <w:tcW w:w="1040" w:type="dxa"/>
            <w:vAlign w:val="bottom"/>
            <w:tcBorders>
              <w:right w:val="single" w:sz="8" w:color="007CBA"/>
            </w:tcBorders>
            <w:gridSpan w:val="2"/>
            <w:shd w:val="clear" w:color="auto" w:fill="007CBA"/>
          </w:tcPr>
          <w:p>
            <w:pPr>
              <w:ind w:left="100"/>
              <w:spacing w:after="0" w:line="159" w:lineRule="exact"/>
              <w:rPr>
                <w:sz w:val="20"/>
                <w:szCs w:val="20"/>
                <w:color w:val="auto"/>
              </w:rPr>
            </w:pPr>
            <w:r>
              <w:rPr>
                <w:rFonts w:ascii="Arial" w:cs="Arial" w:eastAsia="Arial" w:hAnsi="Arial"/>
                <w:sz w:val="14"/>
                <w:szCs w:val="14"/>
                <w:b w:val="1"/>
                <w:bCs w:val="1"/>
                <w:color w:val="FFFFFF"/>
              </w:rPr>
              <w:t>Price Paid</w:t>
            </w:r>
          </w:p>
        </w:tc>
        <w:tc>
          <w:tcPr>
            <w:tcW w:w="1140" w:type="dxa"/>
            <w:vAlign w:val="bottom"/>
            <w:tcBorders>
              <w:right w:val="single" w:sz="8" w:color="007CBA"/>
            </w:tcBorders>
            <w:shd w:val="clear" w:color="auto" w:fill="007CBA"/>
          </w:tcPr>
          <w:p>
            <w:pPr>
              <w:jc w:val="center"/>
              <w:ind w:right="85"/>
              <w:spacing w:after="0" w:line="159" w:lineRule="exact"/>
              <w:rPr>
                <w:sz w:val="20"/>
                <w:szCs w:val="20"/>
                <w:color w:val="auto"/>
              </w:rPr>
            </w:pPr>
            <w:r>
              <w:rPr>
                <w:rFonts w:ascii="Arial" w:cs="Arial" w:eastAsia="Arial" w:hAnsi="Arial"/>
                <w:sz w:val="14"/>
                <w:szCs w:val="14"/>
                <w:b w:val="1"/>
                <w:bCs w:val="1"/>
                <w:color w:val="FFFFFF"/>
              </w:rPr>
              <w:t>Plans or</w:t>
            </w:r>
          </w:p>
        </w:tc>
        <w:tc>
          <w:tcPr>
            <w:tcW w:w="1180" w:type="dxa"/>
            <w:vAlign w:val="bottom"/>
            <w:shd w:val="clear" w:color="auto" w:fill="007CBA"/>
          </w:tcPr>
          <w:p>
            <w:pPr>
              <w:jc w:val="center"/>
              <w:ind w:right="65"/>
              <w:spacing w:after="0" w:line="159" w:lineRule="exact"/>
              <w:rPr>
                <w:sz w:val="20"/>
                <w:szCs w:val="20"/>
                <w:color w:val="auto"/>
              </w:rPr>
            </w:pPr>
            <w:r>
              <w:rPr>
                <w:rFonts w:ascii="Arial" w:cs="Arial" w:eastAsia="Arial" w:hAnsi="Arial"/>
                <w:sz w:val="14"/>
                <w:szCs w:val="14"/>
                <w:b w:val="1"/>
                <w:bCs w:val="1"/>
                <w:color w:val="FFFFFF"/>
              </w:rPr>
              <w:t>Plans or</w:t>
            </w:r>
          </w:p>
        </w:tc>
      </w:tr>
      <w:tr>
        <w:trPr>
          <w:trHeight w:val="206"/>
        </w:trPr>
        <w:tc>
          <w:tcPr>
            <w:tcW w:w="70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Period</w:t>
            </w:r>
          </w:p>
        </w:tc>
        <w:tc>
          <w:tcPr>
            <w:tcW w:w="1060" w:type="dxa"/>
            <w:vAlign w:val="bottom"/>
            <w:tcBorders>
              <w:right w:val="single" w:sz="8" w:color="007CBA"/>
            </w:tcBorders>
            <w:shd w:val="clear" w:color="auto" w:fill="007CBA"/>
          </w:tcPr>
          <w:p>
            <w:pPr>
              <w:jc w:val="center"/>
              <w:ind w:right="83"/>
              <w:spacing w:after="0"/>
              <w:rPr>
                <w:sz w:val="20"/>
                <w:szCs w:val="20"/>
                <w:color w:val="auto"/>
              </w:rPr>
            </w:pPr>
            <w:r>
              <w:rPr>
                <w:rFonts w:ascii="Arial" w:cs="Arial" w:eastAsia="Arial" w:hAnsi="Arial"/>
                <w:sz w:val="14"/>
                <w:szCs w:val="14"/>
                <w:b w:val="1"/>
                <w:bCs w:val="1"/>
                <w:color w:val="FFFFFF"/>
              </w:rPr>
              <w:t>Purchased</w:t>
            </w:r>
          </w:p>
        </w:tc>
        <w:tc>
          <w:tcPr>
            <w:tcW w:w="1040" w:type="dxa"/>
            <w:vAlign w:val="bottom"/>
            <w:tcBorders>
              <w:right w:val="single" w:sz="8" w:color="007CBA"/>
            </w:tcBorders>
            <w:gridSpan w:val="2"/>
            <w:shd w:val="clear" w:color="auto" w:fill="007CBA"/>
          </w:tcPr>
          <w:p>
            <w:pPr>
              <w:ind w:left="120"/>
              <w:spacing w:after="0"/>
              <w:rPr>
                <w:sz w:val="20"/>
                <w:szCs w:val="20"/>
                <w:color w:val="auto"/>
              </w:rPr>
            </w:pPr>
            <w:r>
              <w:rPr>
                <w:rFonts w:ascii="Arial" w:cs="Arial" w:eastAsia="Arial" w:hAnsi="Arial"/>
                <w:sz w:val="14"/>
                <w:szCs w:val="14"/>
                <w:b w:val="1"/>
                <w:bCs w:val="1"/>
                <w:color w:val="FFFFFF"/>
              </w:rPr>
              <w:t>per Share</w:t>
            </w:r>
          </w:p>
        </w:tc>
        <w:tc>
          <w:tcPr>
            <w:tcW w:w="1140" w:type="dxa"/>
            <w:vAlign w:val="bottom"/>
            <w:tcBorders>
              <w:right w:val="single" w:sz="8" w:color="007CBA"/>
            </w:tcBorders>
            <w:shd w:val="clear" w:color="auto" w:fill="007CBA"/>
          </w:tcPr>
          <w:p>
            <w:pPr>
              <w:jc w:val="center"/>
              <w:ind w:right="85"/>
              <w:spacing w:after="0" w:line="205" w:lineRule="exact"/>
              <w:rPr>
                <w:sz w:val="20"/>
                <w:szCs w:val="20"/>
                <w:color w:val="auto"/>
              </w:rPr>
            </w:pPr>
            <w:r>
              <w:rPr>
                <w:rFonts w:ascii="Arial" w:cs="Arial" w:eastAsia="Arial" w:hAnsi="Arial"/>
                <w:sz w:val="14"/>
                <w:szCs w:val="14"/>
                <w:b w:val="1"/>
                <w:bCs w:val="1"/>
                <w:color w:val="FFFFFF"/>
                <w:w w:val="97"/>
              </w:rPr>
              <w:t>Programs</w:t>
            </w:r>
            <w:r>
              <w:rPr>
                <w:rFonts w:ascii="Arial" w:cs="Arial" w:eastAsia="Arial" w:hAnsi="Arial"/>
                <w:sz w:val="23"/>
                <w:szCs w:val="23"/>
                <w:b w:val="1"/>
                <w:bCs w:val="1"/>
                <w:color w:val="FFFFFF"/>
                <w:w w:val="97"/>
                <w:vertAlign w:val="superscript"/>
              </w:rPr>
              <w:t>(1)</w:t>
            </w:r>
          </w:p>
        </w:tc>
        <w:tc>
          <w:tcPr>
            <w:tcW w:w="1180" w:type="dxa"/>
            <w:vAlign w:val="bottom"/>
            <w:shd w:val="clear" w:color="auto" w:fill="007CBA"/>
          </w:tcPr>
          <w:p>
            <w:pPr>
              <w:jc w:val="center"/>
              <w:ind w:right="65"/>
              <w:spacing w:after="0"/>
              <w:rPr>
                <w:sz w:val="20"/>
                <w:szCs w:val="20"/>
                <w:color w:val="auto"/>
              </w:rPr>
            </w:pPr>
            <w:r>
              <w:rPr>
                <w:rFonts w:ascii="Arial" w:cs="Arial" w:eastAsia="Arial" w:hAnsi="Arial"/>
                <w:sz w:val="14"/>
                <w:szCs w:val="14"/>
                <w:b w:val="1"/>
                <w:bCs w:val="1"/>
                <w:color w:val="FFFFFF"/>
              </w:rPr>
              <w:t>Programs</w:t>
            </w:r>
          </w:p>
        </w:tc>
      </w:tr>
      <w:tr>
        <w:trPr>
          <w:trHeight w:val="260"/>
        </w:trPr>
        <w:tc>
          <w:tcPr>
            <w:tcW w:w="700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October 1, 2018 – October 31, 2018</w:t>
            </w:r>
          </w:p>
        </w:tc>
        <w:tc>
          <w:tcPr>
            <w:tcW w:w="1060" w:type="dxa"/>
            <w:vAlign w:val="bottom"/>
            <w:tcBorders>
              <w:right w:val="single" w:sz="8" w:color="007CBA"/>
            </w:tcBorders>
          </w:tcPr>
          <w:p>
            <w:pPr>
              <w:jc w:val="right"/>
              <w:ind w:right="163"/>
              <w:spacing w:after="0"/>
              <w:rPr>
                <w:sz w:val="20"/>
                <w:szCs w:val="20"/>
                <w:color w:val="auto"/>
              </w:rPr>
            </w:pPr>
            <w:r>
              <w:rPr>
                <w:rFonts w:ascii="Arial" w:cs="Arial" w:eastAsia="Arial" w:hAnsi="Arial"/>
                <w:sz w:val="16"/>
                <w:szCs w:val="16"/>
                <w:color w:val="auto"/>
              </w:rPr>
              <w:t>0</w:t>
            </w: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007CBA"/>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007CBA"/>
            </w:tcBorders>
          </w:tcPr>
          <w:p>
            <w:pPr>
              <w:jc w:val="right"/>
              <w:ind w:right="165"/>
              <w:spacing w:after="0"/>
              <w:rPr>
                <w:sz w:val="20"/>
                <w:szCs w:val="20"/>
                <w:color w:val="auto"/>
              </w:rPr>
            </w:pPr>
            <w:r>
              <w:rPr>
                <w:rFonts w:ascii="Arial" w:cs="Arial" w:eastAsia="Arial" w:hAnsi="Arial"/>
                <w:sz w:val="16"/>
                <w:szCs w:val="16"/>
                <w:color w:val="auto"/>
              </w:rPr>
              <w:t>0</w:t>
            </w:r>
          </w:p>
        </w:tc>
        <w:tc>
          <w:tcPr>
            <w:tcW w:w="1180" w:type="dxa"/>
            <w:vAlign w:val="bottom"/>
          </w:tcPr>
          <w:p>
            <w:pPr>
              <w:jc w:val="right"/>
              <w:ind w:right="145"/>
              <w:spacing w:after="0"/>
              <w:rPr>
                <w:sz w:val="20"/>
                <w:szCs w:val="20"/>
                <w:color w:val="auto"/>
              </w:rPr>
            </w:pPr>
            <w:r>
              <w:rPr>
                <w:rFonts w:ascii="Arial" w:cs="Arial" w:eastAsia="Arial" w:hAnsi="Arial"/>
                <w:sz w:val="16"/>
                <w:szCs w:val="16"/>
                <w:color w:val="auto"/>
              </w:rPr>
              <w:t>14,364,323</w:t>
            </w:r>
          </w:p>
        </w:tc>
      </w:tr>
      <w:tr>
        <w:trPr>
          <w:trHeight w:val="280"/>
        </w:trPr>
        <w:tc>
          <w:tcPr>
            <w:tcW w:w="70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November 1, 2018 – November 30, 2018</w:t>
            </w:r>
          </w:p>
        </w:tc>
        <w:tc>
          <w:tcPr>
            <w:tcW w:w="1060" w:type="dxa"/>
            <w:vAlign w:val="bottom"/>
            <w:tcBorders>
              <w:right w:val="single" w:sz="8" w:color="007CBA"/>
            </w:tcBorders>
            <w:shd w:val="clear" w:color="auto" w:fill="E5F1F8"/>
          </w:tcPr>
          <w:p>
            <w:pPr>
              <w:jc w:val="right"/>
              <w:ind w:right="163"/>
              <w:spacing w:after="0"/>
              <w:rPr>
                <w:sz w:val="20"/>
                <w:szCs w:val="20"/>
                <w:color w:val="auto"/>
              </w:rPr>
            </w:pPr>
            <w:r>
              <w:rPr>
                <w:rFonts w:ascii="Arial" w:cs="Arial" w:eastAsia="Arial" w:hAnsi="Arial"/>
                <w:sz w:val="16"/>
                <w:szCs w:val="16"/>
                <w:color w:val="auto"/>
              </w:rPr>
              <w:t>125,507</w:t>
            </w:r>
          </w:p>
        </w:tc>
        <w:tc>
          <w:tcPr>
            <w:tcW w:w="240" w:type="dxa"/>
            <w:vAlign w:val="bottom"/>
            <w:shd w:val="clear" w:color="auto" w:fill="E5F1F8"/>
          </w:tcPr>
          <w:p>
            <w:pPr>
              <w:ind w:left="10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007CBA"/>
            </w:tcBorders>
            <w:shd w:val="clear" w:color="auto" w:fill="E5F1F8"/>
          </w:tcPr>
          <w:p>
            <w:pPr>
              <w:jc w:val="right"/>
              <w:ind w:right="159"/>
              <w:spacing w:after="0"/>
              <w:rPr>
                <w:sz w:val="20"/>
                <w:szCs w:val="20"/>
                <w:color w:val="auto"/>
              </w:rPr>
            </w:pPr>
            <w:r>
              <w:rPr>
                <w:rFonts w:ascii="Arial" w:cs="Arial" w:eastAsia="Arial" w:hAnsi="Arial"/>
                <w:sz w:val="16"/>
                <w:szCs w:val="16"/>
                <w:color w:val="auto"/>
              </w:rPr>
              <w:t>186.92</w:t>
            </w:r>
          </w:p>
        </w:tc>
        <w:tc>
          <w:tcPr>
            <w:tcW w:w="1140" w:type="dxa"/>
            <w:vAlign w:val="bottom"/>
            <w:tcBorders>
              <w:right w:val="single" w:sz="8" w:color="007CBA"/>
            </w:tcBorders>
            <w:shd w:val="clear" w:color="auto" w:fill="E5F1F8"/>
          </w:tcPr>
          <w:p>
            <w:pPr>
              <w:jc w:val="right"/>
              <w:ind w:right="165"/>
              <w:spacing w:after="0"/>
              <w:rPr>
                <w:sz w:val="20"/>
                <w:szCs w:val="20"/>
                <w:color w:val="auto"/>
              </w:rPr>
            </w:pPr>
            <w:r>
              <w:rPr>
                <w:rFonts w:ascii="Arial" w:cs="Arial" w:eastAsia="Arial" w:hAnsi="Arial"/>
                <w:sz w:val="16"/>
                <w:szCs w:val="16"/>
                <w:color w:val="auto"/>
              </w:rPr>
              <w:t>125,507</w:t>
            </w:r>
          </w:p>
        </w:tc>
        <w:tc>
          <w:tcPr>
            <w:tcW w:w="1180" w:type="dxa"/>
            <w:vAlign w:val="bottom"/>
            <w:shd w:val="clear" w:color="auto" w:fill="E5F1F8"/>
          </w:tcPr>
          <w:p>
            <w:pPr>
              <w:jc w:val="right"/>
              <w:ind w:right="145"/>
              <w:spacing w:after="0"/>
              <w:rPr>
                <w:sz w:val="20"/>
                <w:szCs w:val="20"/>
                <w:color w:val="auto"/>
              </w:rPr>
            </w:pPr>
            <w:r>
              <w:rPr>
                <w:rFonts w:ascii="Arial" w:cs="Arial" w:eastAsia="Arial" w:hAnsi="Arial"/>
                <w:sz w:val="16"/>
                <w:szCs w:val="16"/>
                <w:color w:val="auto"/>
              </w:rPr>
              <w:t>14,238,816</w:t>
            </w:r>
          </w:p>
        </w:tc>
      </w:tr>
      <w:tr>
        <w:trPr>
          <w:trHeight w:val="260"/>
        </w:trPr>
        <w:tc>
          <w:tcPr>
            <w:tcW w:w="700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December 1, 2018 – December 31, 2018</w:t>
            </w:r>
          </w:p>
        </w:tc>
        <w:tc>
          <w:tcPr>
            <w:tcW w:w="1060" w:type="dxa"/>
            <w:vAlign w:val="bottom"/>
            <w:tcBorders>
              <w:right w:val="single" w:sz="8" w:color="007CBA"/>
            </w:tcBorders>
          </w:tcPr>
          <w:p>
            <w:pPr>
              <w:jc w:val="right"/>
              <w:ind w:right="163"/>
              <w:spacing w:after="0"/>
              <w:rPr>
                <w:sz w:val="20"/>
                <w:szCs w:val="20"/>
                <w:color w:val="auto"/>
              </w:rPr>
            </w:pPr>
            <w:r>
              <w:rPr>
                <w:rFonts w:ascii="Arial" w:cs="Arial" w:eastAsia="Arial" w:hAnsi="Arial"/>
                <w:sz w:val="16"/>
                <w:szCs w:val="16"/>
                <w:color w:val="auto"/>
              </w:rPr>
              <w:t>91,065</w:t>
            </w: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007CBA"/>
            </w:tcBorders>
          </w:tcPr>
          <w:p>
            <w:pPr>
              <w:jc w:val="right"/>
              <w:ind w:right="159"/>
              <w:spacing w:after="0"/>
              <w:rPr>
                <w:sz w:val="20"/>
                <w:szCs w:val="20"/>
                <w:color w:val="auto"/>
              </w:rPr>
            </w:pPr>
            <w:r>
              <w:rPr>
                <w:rFonts w:ascii="Arial" w:cs="Arial" w:eastAsia="Arial" w:hAnsi="Arial"/>
                <w:sz w:val="16"/>
                <w:szCs w:val="16"/>
                <w:color w:val="auto"/>
              </w:rPr>
              <w:t>181.63</w:t>
            </w:r>
          </w:p>
        </w:tc>
        <w:tc>
          <w:tcPr>
            <w:tcW w:w="1140" w:type="dxa"/>
            <w:vAlign w:val="bottom"/>
            <w:tcBorders>
              <w:right w:val="single" w:sz="8" w:color="007CBA"/>
            </w:tcBorders>
          </w:tcPr>
          <w:p>
            <w:pPr>
              <w:jc w:val="right"/>
              <w:ind w:right="165"/>
              <w:spacing w:after="0"/>
              <w:rPr>
                <w:sz w:val="20"/>
                <w:szCs w:val="20"/>
                <w:color w:val="auto"/>
              </w:rPr>
            </w:pPr>
            <w:r>
              <w:rPr>
                <w:rFonts w:ascii="Arial" w:cs="Arial" w:eastAsia="Arial" w:hAnsi="Arial"/>
                <w:sz w:val="16"/>
                <w:szCs w:val="16"/>
                <w:color w:val="auto"/>
              </w:rPr>
              <w:t>91,065</w:t>
            </w:r>
          </w:p>
        </w:tc>
        <w:tc>
          <w:tcPr>
            <w:tcW w:w="1180" w:type="dxa"/>
            <w:vAlign w:val="bottom"/>
          </w:tcPr>
          <w:p>
            <w:pPr>
              <w:jc w:val="right"/>
              <w:ind w:right="145"/>
              <w:spacing w:after="0"/>
              <w:rPr>
                <w:sz w:val="20"/>
                <w:szCs w:val="20"/>
                <w:color w:val="auto"/>
              </w:rPr>
            </w:pPr>
            <w:r>
              <w:rPr>
                <w:rFonts w:ascii="Arial" w:cs="Arial" w:eastAsia="Arial" w:hAnsi="Arial"/>
                <w:sz w:val="16"/>
                <w:szCs w:val="16"/>
                <w:color w:val="auto"/>
              </w:rPr>
              <w:t>14,147,751</w:t>
            </w:r>
          </w:p>
        </w:tc>
      </w:tr>
      <w:tr>
        <w:trPr>
          <w:trHeight w:val="273"/>
        </w:trPr>
        <w:tc>
          <w:tcPr>
            <w:tcW w:w="7000" w:type="dxa"/>
            <w:vAlign w:val="bottom"/>
            <w:tcBorders>
              <w:bottom w:val="single" w:sz="8" w:color="007CBA"/>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007CBA"/>
              <w:right w:val="single" w:sz="8" w:color="007CBA"/>
            </w:tcBorders>
            <w:shd w:val="clear" w:color="auto" w:fill="E5F1F8"/>
          </w:tcPr>
          <w:p>
            <w:pPr>
              <w:jc w:val="right"/>
              <w:ind w:right="163"/>
              <w:spacing w:after="0"/>
              <w:rPr>
                <w:sz w:val="20"/>
                <w:szCs w:val="20"/>
                <w:color w:val="auto"/>
              </w:rPr>
            </w:pPr>
            <w:r>
              <w:rPr>
                <w:rFonts w:ascii="Arial" w:cs="Arial" w:eastAsia="Arial" w:hAnsi="Arial"/>
                <w:sz w:val="16"/>
                <w:szCs w:val="16"/>
                <w:color w:val="auto"/>
              </w:rPr>
              <w:t>216,572</w:t>
            </w:r>
          </w:p>
        </w:tc>
        <w:tc>
          <w:tcPr>
            <w:tcW w:w="240" w:type="dxa"/>
            <w:vAlign w:val="bottom"/>
            <w:tcBorders>
              <w:bottom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007CBA"/>
              <w:right w:val="single" w:sz="8" w:color="007CBA"/>
            </w:tcBorders>
            <w:shd w:val="clear" w:color="auto" w:fill="E5F1F8"/>
          </w:tcPr>
          <w:p>
            <w:pPr>
              <w:jc w:val="right"/>
              <w:ind w:right="159"/>
              <w:spacing w:after="0"/>
              <w:rPr>
                <w:sz w:val="20"/>
                <w:szCs w:val="20"/>
                <w:color w:val="auto"/>
              </w:rPr>
            </w:pPr>
            <w:r>
              <w:rPr>
                <w:rFonts w:ascii="Arial" w:cs="Arial" w:eastAsia="Arial" w:hAnsi="Arial"/>
                <w:sz w:val="16"/>
                <w:szCs w:val="16"/>
                <w:color w:val="auto"/>
              </w:rPr>
              <w:t>184.70</w:t>
            </w:r>
          </w:p>
        </w:tc>
        <w:tc>
          <w:tcPr>
            <w:tcW w:w="1140" w:type="dxa"/>
            <w:vAlign w:val="bottom"/>
            <w:tcBorders>
              <w:bottom w:val="single" w:sz="8" w:color="007CBA"/>
              <w:right w:val="single" w:sz="8" w:color="007CBA"/>
            </w:tcBorders>
            <w:shd w:val="clear" w:color="auto" w:fill="E5F1F8"/>
          </w:tcPr>
          <w:p>
            <w:pPr>
              <w:jc w:val="right"/>
              <w:ind w:right="165"/>
              <w:spacing w:after="0"/>
              <w:rPr>
                <w:sz w:val="20"/>
                <w:szCs w:val="20"/>
                <w:color w:val="auto"/>
              </w:rPr>
            </w:pPr>
            <w:r>
              <w:rPr>
                <w:rFonts w:ascii="Arial" w:cs="Arial" w:eastAsia="Arial" w:hAnsi="Arial"/>
                <w:sz w:val="16"/>
                <w:szCs w:val="16"/>
                <w:color w:val="auto"/>
              </w:rPr>
              <w:t>216,572</w:t>
            </w:r>
          </w:p>
        </w:tc>
        <w:tc>
          <w:tcPr>
            <w:tcW w:w="1180" w:type="dxa"/>
            <w:vAlign w:val="bottom"/>
            <w:tcBorders>
              <w:bottom w:val="single" w:sz="8" w:color="007CBA"/>
            </w:tcBorders>
            <w:shd w:val="clear" w:color="auto" w:fill="E5F1F8"/>
          </w:tcPr>
          <w:p>
            <w:pPr>
              <w:jc w:val="right"/>
              <w:ind w:right="145"/>
              <w:spacing w:after="0"/>
              <w:rPr>
                <w:sz w:val="20"/>
                <w:szCs w:val="20"/>
                <w:color w:val="auto"/>
              </w:rPr>
            </w:pPr>
            <w:r>
              <w:rPr>
                <w:rFonts w:ascii="Arial" w:cs="Arial" w:eastAsia="Arial" w:hAnsi="Arial"/>
                <w:sz w:val="16"/>
                <w:szCs w:val="16"/>
                <w:color w:val="auto"/>
              </w:rPr>
              <w:t>14,147,751</w:t>
            </w:r>
          </w:p>
        </w:tc>
      </w:tr>
    </w:tbl>
    <w:p>
      <w:pPr>
        <w:spacing w:after="0" w:line="86" w:lineRule="exact"/>
        <w:rPr>
          <w:sz w:val="20"/>
          <w:szCs w:val="20"/>
          <w:color w:val="auto"/>
        </w:rPr>
      </w:pPr>
    </w:p>
    <w:p>
      <w:pPr>
        <w:jc w:val="both"/>
        <w:ind w:left="220" w:hanging="212"/>
        <w:spacing w:after="0" w:line="218" w:lineRule="auto"/>
        <w:tabs>
          <w:tab w:leader="none" w:pos="220" w:val="left"/>
        </w:tabs>
        <w:numPr>
          <w:ilvl w:val="0"/>
          <w:numId w:val="25"/>
        </w:numPr>
        <w:rPr>
          <w:rFonts w:ascii="Arial" w:cs="Arial" w:eastAsia="Arial" w:hAnsi="Arial"/>
          <w:sz w:val="24"/>
          <w:szCs w:val="24"/>
          <w:color w:val="auto"/>
          <w:vertAlign w:val="superscript"/>
        </w:rPr>
      </w:pPr>
      <w:r>
        <w:rPr>
          <w:rFonts w:ascii="Arial" w:cs="Arial" w:eastAsia="Arial" w:hAnsi="Arial"/>
          <w:sz w:val="14"/>
          <w:szCs w:val="14"/>
          <w:color w:val="auto"/>
        </w:rPr>
        <w:t>The Company’s stock repurchase program, which currently authorizes the repurchase of 20 million shares of common stock, is approved by the Company’s Board of Directors from time to time, and updated as appropriate by the Board, and announced to the public by press release. The latest announcement on this topic was the Company’s press release dated February 10, 2015 that its Board of Directors had authorized the repurchase of up to 20 million shares of its outstanding common stock, which included 5 million shares authorized under the Company’s previous share repurchase program. Previous press releases announcing prior share repurchase programs and the related amounts of common stock included under the share repurchase authorizations were as follows: (i) press release dated August 15, 2007 (5 million shares); (ii) press release dated February 22, 2006 (5 million shares); and (iii) May 6, 1994 (2.5 million shares).</w:t>
      </w: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6 - SELECTED FINANCIAL DATA</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information required in response to this Item 6 is included under the caption “Five Year Summary” of the 2018 Annual Report filed as Exhibit 13.01 to this Form 10-K, and that information is incorporated herein by reference.</w:t>
      </w:r>
    </w:p>
    <w:p>
      <w:pPr>
        <w:spacing w:after="0" w:line="271" w:lineRule="exact"/>
        <w:rPr>
          <w:sz w:val="20"/>
          <w:szCs w:val="20"/>
          <w:color w:val="auto"/>
        </w:rPr>
      </w:pPr>
    </w:p>
    <w:p>
      <w:pPr>
        <w:ind w:right="800"/>
        <w:spacing w:after="0" w:line="288" w:lineRule="auto"/>
        <w:rPr>
          <w:sz w:val="20"/>
          <w:szCs w:val="20"/>
          <w:color w:val="auto"/>
        </w:rPr>
      </w:pPr>
      <w:r>
        <w:rPr>
          <w:rFonts w:ascii="Arial" w:cs="Arial" w:eastAsia="Arial" w:hAnsi="Arial"/>
          <w:sz w:val="25"/>
          <w:szCs w:val="25"/>
          <w:b w:val="1"/>
          <w:bCs w:val="1"/>
          <w:color w:val="auto"/>
        </w:rPr>
        <w:t>ITEM 7 - MANAGEMENT’S DISCUSSION AND ANALYSIS OF FINANCIAL CONDITION AND RESULTS OF OPERATIONS</w:t>
      </w:r>
    </w:p>
    <w:p>
      <w:pPr>
        <w:spacing w:after="0" w:line="4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information required in response to this Item 7 is included under the caption “Management’s Discussion and Analysis of Financial Condition and Results of Operations” in the 2018 Annual Report filed as Exhibit 13.01 to this Form 10-K, and that information is incorporated herein by reference, except that the information contained under the caption “Management’s Discussion and Analysis of Financial Condition and Results of Operations – Outlook 2019” in the 2018 Annual Report is not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7A - QUANTITATIVE AND QUALITATIVE DISCLOSURES ABOUT MARKET RISK</w:t>
      </w:r>
    </w:p>
    <w:p>
      <w:pPr>
        <w:spacing w:after="0" w:line="150"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information required in response to this Item 7A is included under the caption “Management’s Discussion and Analysis of Financial Condition and Results of Operations-Quantitative and Qualitative Disclosures About Market Risk” of the 2018 Annual Report filed as Exhibit 13.01 to this Form 10-K, and that information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83820</wp:posOffset>
            </wp:positionV>
            <wp:extent cx="411480" cy="2489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31" w:lineRule="exact"/>
        <w:rPr>
          <w:sz w:val="20"/>
          <w:szCs w:val="20"/>
          <w:color w:val="auto"/>
        </w:rPr>
      </w:pPr>
    </w:p>
    <w:tbl>
      <w:tblPr>
        <w:tblLayout w:type="fixed"/>
        <w:tblInd w:w="9980" w:type="dxa"/>
        <w:tblCellMar>
          <w:top w:w="0" w:type="dxa"/>
          <w:left w:w="0" w:type="dxa"/>
          <w:bottom w:w="0" w:type="dxa"/>
          <w:right w:w="0" w:type="dxa"/>
        </w:tblCellMar>
      </w:tblPr>
      <w:tr>
        <w:trPr>
          <w:trHeight w:val="168"/>
        </w:trPr>
        <w:tc>
          <w:tcPr>
            <w:tcW w:w="1140" w:type="dxa"/>
            <w:vAlign w:val="bottom"/>
          </w:tcPr>
          <w:p>
            <w:pPr>
              <w:spacing w:after="0"/>
              <w:rPr>
                <w:sz w:val="20"/>
                <w:szCs w:val="20"/>
                <w:color w:val="auto"/>
              </w:rPr>
            </w:pPr>
            <w:r>
              <w:rPr>
                <w:rFonts w:ascii="Arial" w:cs="Arial" w:eastAsia="Arial" w:hAnsi="Arial"/>
                <w:sz w:val="13"/>
                <w:szCs w:val="13"/>
                <w:color w:val="007CBA"/>
              </w:rPr>
              <w:t>2018 FORM 10-K</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29</w:t>
            </w: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Part II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Item 8 - Financial Statements and Supplementary Data</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8 - FINANCIAL STATEMENTS AND SUPPLEMENTARY DATA</w:t>
      </w:r>
    </w:p>
    <w:p>
      <w:pPr>
        <w:spacing w:after="0" w:line="15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information required in response to this Item 8 is included under the caption “Consolidated Statements of Earnings,” “Consolidated Statements of Comprehensive Earnings,” “Consolidated Balance Sheets,” “Consolidated Statements of Cash Flows,” “Consolidated Statements of Total Equity,” “Notes to Financial Statements,” “Management’s Discussion and Analysis of Financial Condition and Results of Operations,” and “Quarterly Performance (Unaudited)” of the 2018 Annual Report filed as Exhibit 13.01 to this Form 10-K, and that information is incorporated herein by reference, except that the information contained under the caption “Management’s Discussion and Analysis of Financial Condition and Results of Operations – Outlook 2019” in the 2018 Annual Report is not incorporated herein by reference.</w:t>
      </w:r>
    </w:p>
    <w:p>
      <w:pPr>
        <w:spacing w:after="0" w:line="281" w:lineRule="exact"/>
        <w:rPr>
          <w:sz w:val="20"/>
          <w:szCs w:val="20"/>
          <w:color w:val="auto"/>
        </w:rPr>
      </w:pPr>
    </w:p>
    <w:p>
      <w:pPr>
        <w:ind w:right="360"/>
        <w:spacing w:after="0" w:line="288" w:lineRule="auto"/>
        <w:rPr>
          <w:sz w:val="20"/>
          <w:szCs w:val="20"/>
          <w:color w:val="auto"/>
        </w:rPr>
      </w:pPr>
      <w:r>
        <w:rPr>
          <w:rFonts w:ascii="Arial" w:cs="Arial" w:eastAsia="Arial" w:hAnsi="Arial"/>
          <w:sz w:val="25"/>
          <w:szCs w:val="25"/>
          <w:b w:val="1"/>
          <w:bCs w:val="1"/>
          <w:color w:val="auto"/>
        </w:rPr>
        <w:t>ITEM 9 - CHANGES IN AND DISAGREEMENTS WITH ACCOUNTANTS ON ACCOUNTING AND FINANCIAL DISCLOSURE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9A - 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Evaluation of Disclosure Controls and Procedures</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December 31, 2018, an evaluation was performed under the supervision and with the participation of the Company’s management, including the Chief Executive Officer (“CEO”) and Chief Financial Officer (“CFO”), of the effectiveness of the design and operation of the Company’s disclosure controls and procedures. Based on that evaluation, the Company’s CEO and CFO concluded that the Company’s disclosure controls and procedures were effective at the reasonable assurance level.</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foregoing evaluation of the Company’s disclosure controls and procedures was based on the definition in Exchange Act Rule 13a-15(e), which requires that disclosure controls and procedures are effectively designed to provide reasonable assurance that information required to be disclosed by an issuer in the reports that it files or submits with the SEC under the Exchange Act is recorded, processed, summarized, and reported, within the time periods specified in the SEC’s rules and forms, and is accumulated and communicated to the issuer’s management, including its principal executive and principal financial officers, or persons performing similar functions, as appropriate to allow timely decisions regarding required disclosure.</w:t>
      </w:r>
    </w:p>
    <w:p>
      <w:pPr>
        <w:spacing w:after="0" w:line="130"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Management’s Report on Internal Control over Financial Reporting</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management’s report on internal control over financial reporting is included in the Annual Report filed as Exhibit 13.01 to this Form 10-K, under the heading “Statement of Financial Responsibility and Management’s Report on Internal Controls over Financial Reporting,” and is incorporated by reference. The Company’s management concluded that the Company’s internal control over financial reporting was effective in providing reasonable assurance regarding the reliability of financial reporting and the preparation of the Company’s financial statements for external purposes in accordance with generally accepted accounting principles as of December 31, 2018.</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Management has excluded certain elements of the internal control over financial reporting of Bluegrass Materials Company (Bluegrass) from its assessment of the Company’s internal control over financial reporting as of December 31, 2018 because it was acquired by the Company in a purchase business combination during 2018. Subsequent to the acquisition, certain elements of Bluegrass’ internal control over financial reporting and related processes were integrated into the Company’s existing systems and internal control over financial reporting. Those controls that were not integrated have been excluded from management’s assessment of the effectiveness of internal control over financial reporting as of December 31, 2018. The excluded elements represent controls over accounts of less than 1% of consolidated assets and 4% of consolidated total revenues as of and for the year ended December 31, 2018.</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Changes in Internal Control over Financial Reporting</w:t>
      </w:r>
    </w:p>
    <w:p>
      <w:pPr>
        <w:spacing w:after="0" w:line="15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There were no changes in the Company’s internal control over financial reporting during the most recently completed fiscal quarter ended December 31, 2018 that materially affected, or are reasonably likely to materially affect, the Company’s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Limitations on the Effectiveness of Controls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management, including the CEO and CFO, does not expect that the Company’s control system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83820</wp:posOffset>
            </wp:positionV>
            <wp:extent cx="411480" cy="2489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47"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3"/>
          <w:szCs w:val="13"/>
          <w:b w:val="1"/>
          <w:bCs w:val="1"/>
          <w:color w:val="auto"/>
        </w:rPr>
      </w:pPr>
      <w:r>
        <w:rPr>
          <w:rFonts w:ascii="Arial" w:cs="Arial" w:eastAsia="Arial" w:hAnsi="Arial"/>
          <w:sz w:val="13"/>
          <w:szCs w:val="13"/>
          <w:color w:val="007CBA"/>
        </w:rPr>
        <w:t>2018 FORM 10-K</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ind w:left="8700"/>
        <w:spacing w:after="0" w:line="276" w:lineRule="exact"/>
        <w:rPr>
          <w:sz w:val="20"/>
          <w:szCs w:val="20"/>
          <w:color w:val="auto"/>
        </w:rPr>
      </w:pPr>
      <w:r>
        <w:rPr>
          <w:rFonts w:ascii="Arial" w:cs="Arial" w:eastAsia="Arial" w:hAnsi="Arial"/>
          <w:sz w:val="13"/>
          <w:szCs w:val="13"/>
          <w:color w:val="auto"/>
        </w:rPr>
        <w:t xml:space="preserve">Item 9A - Controls and Procedures </w:t>
      </w:r>
      <w:r>
        <w:rPr>
          <w:rFonts w:ascii="MS PGothic" w:cs="MS PGothic" w:eastAsia="MS PGothic" w:hAnsi="MS PGothic"/>
          <w:sz w:val="24"/>
          <w:szCs w:val="24"/>
          <w:color w:val="007CBA"/>
        </w:rPr>
        <w:t>◆</w:t>
      </w:r>
      <w:r>
        <w:rPr>
          <w:rFonts w:ascii="Arial" w:cs="Arial" w:eastAsia="Arial" w:hAnsi="Arial"/>
          <w:sz w:val="13"/>
          <w:szCs w:val="13"/>
          <w:color w:val="007CBA"/>
        </w:rPr>
        <w:t>Part II</w:t>
      </w:r>
    </w:p>
    <w:p>
      <w:pPr>
        <w:spacing w:after="0" w:line="23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CEO and CFO Certifications</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Included among the exhibits to this Form 10-K are forms of “Certifications” of the Company’s CEO and CFO as required in accordance with Section 302 of the Sarbanes-Oxley Act of 2002 (the “Section 302 Certification”). The Section 302 Certifications refer to this evaluation of the Company’s disclosure policies and procedures and internal control over financial reporting. The information in this section should be read in conjunction with the Section 302 Certifications for a more complete understanding of the topics presented.</w:t>
      </w: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9B - OTHER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96520</wp:posOffset>
            </wp:positionV>
            <wp:extent cx="411480" cy="2489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50" w:lineRule="exact"/>
        <w:rPr>
          <w:sz w:val="20"/>
          <w:szCs w:val="20"/>
          <w:color w:val="auto"/>
        </w:rPr>
      </w:pPr>
    </w:p>
    <w:tbl>
      <w:tblPr>
        <w:tblLayout w:type="fixed"/>
        <w:tblInd w:w="9980" w:type="dxa"/>
        <w:tblCellMar>
          <w:top w:w="0" w:type="dxa"/>
          <w:left w:w="0" w:type="dxa"/>
          <w:bottom w:w="0" w:type="dxa"/>
          <w:right w:w="0" w:type="dxa"/>
        </w:tblCellMar>
      </w:tblPr>
      <w:tr>
        <w:trPr>
          <w:trHeight w:val="168"/>
        </w:trPr>
        <w:tc>
          <w:tcPr>
            <w:tcW w:w="1140" w:type="dxa"/>
            <w:vAlign w:val="bottom"/>
          </w:tcPr>
          <w:p>
            <w:pPr>
              <w:spacing w:after="0"/>
              <w:rPr>
                <w:sz w:val="20"/>
                <w:szCs w:val="20"/>
                <w:color w:val="auto"/>
              </w:rPr>
            </w:pPr>
            <w:r>
              <w:rPr>
                <w:rFonts w:ascii="Arial" w:cs="Arial" w:eastAsia="Arial" w:hAnsi="Arial"/>
                <w:sz w:val="13"/>
                <w:szCs w:val="13"/>
                <w:color w:val="007CBA"/>
              </w:rPr>
              <w:t>2018 FORM 10-K</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31</w:t>
            </w: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Part III </w:t>
      </w:r>
      <w:r>
        <w:rPr>
          <w:rFonts w:ascii="MS PGothic" w:cs="MS PGothic" w:eastAsia="MS PGothic" w:hAnsi="MS PGothic"/>
          <w:sz w:val="25"/>
          <w:szCs w:val="25"/>
          <w:color w:val="007CBA"/>
        </w:rPr>
        <w: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PART III</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10 - DIRECTORS, EXECUTIVE OFFICERS AND CORPORATE GOVERNANCE</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information concerning directors of the Company, the Audit Committee of the Board of Directors, and the Audit Committee financial expert serving on the Audit Committee, all as required in response to this Item 10, is included under the captions “Corporate Governance Matters” and “Section 16(a) Beneficial Ownership Reporting Compliance” in the Company’s definitive proxy statement to be filed with the SEC pursuant to Regulation 14A within 120 days after the close of the Company’s fiscal year ended December 31, 2018 (the “2019 Proxy Statement”), and that information is hereby incorporated by reference in this Form 10-K. Information concerning executive officers of the Company required in response to this Item 10 is included in Part I, under the heading “Executive Officers of the Registrant,” of this Form 10-K. The information concerning the Company’s code of ethics required in response to this Item 10 is included in Part I, under the heading “Available Information,” of this Form 10-K.</w:t>
      </w: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11 - EXECUTIVE COMPENSATION</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information required in response to this Item 11 is included under the captions “Executive Compensation,” “Compensation Discussion and Analysis,” “Corporate Governance Matters,” “Management Development and Compensation Committee Report,” and “Compensation Committee Interlocks and Insider Participation” in the Company’s 2019 Proxy Statement, and that information is hereby incorporated by reference in this Form 10-K.</w:t>
      </w:r>
    </w:p>
    <w:p>
      <w:pPr>
        <w:spacing w:after="0" w:line="277" w:lineRule="exact"/>
        <w:rPr>
          <w:sz w:val="20"/>
          <w:szCs w:val="20"/>
          <w:color w:val="auto"/>
        </w:rPr>
      </w:pPr>
    </w:p>
    <w:p>
      <w:pPr>
        <w:ind w:right="440"/>
        <w:spacing w:after="0" w:line="288" w:lineRule="auto"/>
        <w:rPr>
          <w:sz w:val="20"/>
          <w:szCs w:val="20"/>
          <w:color w:val="auto"/>
        </w:rPr>
      </w:pPr>
      <w:r>
        <w:rPr>
          <w:rFonts w:ascii="Arial" w:cs="Arial" w:eastAsia="Arial" w:hAnsi="Arial"/>
          <w:sz w:val="25"/>
          <w:szCs w:val="25"/>
          <w:b w:val="1"/>
          <w:bCs w:val="1"/>
          <w:color w:val="auto"/>
        </w:rPr>
        <w:t>ITEM 12 - SECURITY OWNERSHIP OF CERTAIN BENEFICIAL OWNERS AND MANAGEMENT AND RELATED STOCKHOLDER MATTERS</w:t>
      </w:r>
    </w:p>
    <w:p>
      <w:pPr>
        <w:spacing w:after="0" w:line="4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information required in response to this Item 12 is included under the captions “General Information,” “Security Ownership of Certain Beneficial Owners and Management,” and “Securities Authorized for Issuance Under Equity Compensation Plans” in the Company’s 2019 Proxy Statement, and that information is hereby incorporated by reference in this Form 10-K.</w:t>
      </w:r>
    </w:p>
    <w:p>
      <w:pPr>
        <w:spacing w:after="0" w:line="277" w:lineRule="exact"/>
        <w:rPr>
          <w:sz w:val="20"/>
          <w:szCs w:val="20"/>
          <w:color w:val="auto"/>
        </w:rPr>
      </w:pPr>
    </w:p>
    <w:p>
      <w:pPr>
        <w:ind w:right="1040"/>
        <w:spacing w:after="0" w:line="288" w:lineRule="auto"/>
        <w:rPr>
          <w:sz w:val="20"/>
          <w:szCs w:val="20"/>
          <w:color w:val="auto"/>
        </w:rPr>
      </w:pPr>
      <w:r>
        <w:rPr>
          <w:rFonts w:ascii="Arial" w:cs="Arial" w:eastAsia="Arial" w:hAnsi="Arial"/>
          <w:sz w:val="25"/>
          <w:szCs w:val="25"/>
          <w:b w:val="1"/>
          <w:bCs w:val="1"/>
          <w:color w:val="auto"/>
        </w:rPr>
        <w:t>ITEM 13 - CERTAIN RELATIONSHIPS AND RELATED TRANSACTIONS, AND DIRECTOR INDEPENDENCE</w:t>
      </w:r>
    </w:p>
    <w:p>
      <w:pPr>
        <w:spacing w:after="0" w:line="4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information required in response to this Item 13 is included under the captions “Compensation Committee Interlocks and Insider Participation in Compensation Decisions” and “Corporate Governance Matters” in the Company’s 2019 Proxy Statement, and that information is hereby incorporated by reference in this Form 10-K.</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14 - PRINCIPAL ACCOUNTANT FEES AND SERVICES</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information required in response to this Item 14 is included under the caption “Independent Auditors” in the Company’s 2019 Proxy Statement, and that information is hereby incorporated by reference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80010</wp:posOffset>
            </wp:positionV>
            <wp:extent cx="411480" cy="2489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3"/>
          <w:szCs w:val="13"/>
          <w:b w:val="1"/>
          <w:bCs w:val="1"/>
          <w:color w:val="auto"/>
        </w:rPr>
      </w:pPr>
      <w:r>
        <w:rPr>
          <w:rFonts w:ascii="Arial" w:cs="Arial" w:eastAsia="Arial" w:hAnsi="Arial"/>
          <w:sz w:val="13"/>
          <w:szCs w:val="13"/>
          <w:color w:val="007CBA"/>
        </w:rPr>
        <w:t>2018 FORM 10-K</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Item 15 - Exhibits and Financial Statement Schedules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Part IV</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PART IV</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15 - EXHIBITS AND FINANCIAL STATEMENT SCHEDULES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(a) (1) List of financial statements filed as part of this Form 10-K.</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consolidated financial statements of Martin Marietta Materials, Inc. and consolidated subsidiaries, included in the 2018 Annual Report and incorporated by reference under Item 8 of this Form 10-K:</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Consolidated Statements of Earnings – for years ended December 31, 2018, 2017, and 2016</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Consolidated Statements of Comprehensive Earnings – for years ended December 31, 2018, 2017, and 2016</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Consolidated Balance Sheets – at December 31, 2018 and 2017</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Consolidated Statements of Cash Flows – for years ended December 31, 2018, 2017, and 2016</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Consolidated Statements of Total Equity – for years ended December 31, 2018, 2017, and 2016</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Notes to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(2) List of financial statement schedules filed as part of this Form 10-K</w:t>
      </w:r>
    </w:p>
    <w:p>
      <w:pPr>
        <w:spacing w:after="0" w:line="150" w:lineRule="exact"/>
        <w:rPr>
          <w:sz w:val="20"/>
          <w:szCs w:val="20"/>
          <w:color w:val="auto"/>
        </w:rPr>
      </w:pPr>
    </w:p>
    <w:p>
      <w:pPr>
        <w:ind w:right="740"/>
        <w:spacing w:after="0" w:line="484" w:lineRule="auto"/>
        <w:rPr>
          <w:sz w:val="20"/>
          <w:szCs w:val="20"/>
          <w:color w:val="auto"/>
        </w:rPr>
      </w:pPr>
      <w:r>
        <w:rPr>
          <w:rFonts w:ascii="Arial" w:cs="Arial" w:eastAsia="Arial" w:hAnsi="Arial"/>
          <w:sz w:val="16"/>
          <w:szCs w:val="16"/>
          <w:color w:val="auto"/>
        </w:rPr>
        <w:t>The following financial statement schedule of Martin Marietta Materials, Inc. and consolidated subsidiaries is included in Item 15(c) of this Form 10-K. Schedule II – Valuation and Qualifying Accounts</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All other schedules have been omitted because they are not applicable, not required, or the information has been otherwise supplied in the financial statements or notes to the financial statements.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report of the Company’s independent registered public accounting firm with respect to the above-referenced financial statements is included in the 2018 Annual Report, and that report is hereby incorporated by reference in this Form 10-K. The report on the financial statement schedule and the consent of the Company’s independent registered public accounting firm are attached as Exhibit 23.01 to this Form 10-K.</w:t>
      </w:r>
    </w:p>
    <w:p>
      <w:pPr>
        <w:spacing w:after="0" w:line="129"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(3) Exhibits</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list of Exhibits on the accompanying Index of Exhibits included in Item 15(b) of this Form 10-K is hereby incorporated by reference. Each management contract or compensatory plan or arrangement required to be filed as an exhibit is indicated by asterisks.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80010</wp:posOffset>
            </wp:positionV>
            <wp:extent cx="411480" cy="2489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25" w:lineRule="exact"/>
        <w:rPr>
          <w:sz w:val="20"/>
          <w:szCs w:val="20"/>
          <w:color w:val="auto"/>
        </w:rPr>
      </w:pPr>
    </w:p>
    <w:tbl>
      <w:tblPr>
        <w:tblLayout w:type="fixed"/>
        <w:tblInd w:w="9980" w:type="dxa"/>
        <w:tblCellMar>
          <w:top w:w="0" w:type="dxa"/>
          <w:left w:w="0" w:type="dxa"/>
          <w:bottom w:w="0" w:type="dxa"/>
          <w:right w:w="0" w:type="dxa"/>
        </w:tblCellMar>
      </w:tblPr>
      <w:tr>
        <w:trPr>
          <w:trHeight w:val="168"/>
        </w:trPr>
        <w:tc>
          <w:tcPr>
            <w:tcW w:w="1140" w:type="dxa"/>
            <w:vAlign w:val="bottom"/>
          </w:tcPr>
          <w:p>
            <w:pPr>
              <w:spacing w:after="0"/>
              <w:rPr>
                <w:sz w:val="20"/>
                <w:szCs w:val="20"/>
                <w:color w:val="auto"/>
              </w:rPr>
            </w:pPr>
            <w:r>
              <w:rPr>
                <w:rFonts w:ascii="Arial" w:cs="Arial" w:eastAsia="Arial" w:hAnsi="Arial"/>
                <w:sz w:val="13"/>
                <w:szCs w:val="13"/>
                <w:color w:val="007CBA"/>
              </w:rPr>
              <w:t>2018 FORM 10-K</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33</w:t>
            </w: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76" w:lineRule="exact"/>
        <w:rPr>
          <w:sz w:val="20"/>
          <w:szCs w:val="20"/>
          <w:color w:val="auto"/>
        </w:rPr>
      </w:pPr>
      <w:r>
        <w:rPr>
          <w:rFonts w:ascii="Arial" w:cs="Arial" w:eastAsia="Arial" w:hAnsi="Arial"/>
          <w:sz w:val="13"/>
          <w:szCs w:val="13"/>
          <w:color w:val="007CBA"/>
        </w:rPr>
        <w:t xml:space="preserve">Part IV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Item 15 - Exhibits and Financial Statement Schedules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007CBA"/>
        </w:rPr>
        <w:t>(b) Index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162560</wp:posOffset>
            </wp:positionV>
            <wp:extent cx="66636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7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shd w:val="clear" w:color="auto" w:fill="007CBA"/>
        </w:rPr>
        <w:t>Exhibit No.</w:t>
      </w:r>
    </w:p>
    <w:p>
      <w:pPr>
        <w:spacing w:after="0" w:line="10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3.01</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3.02</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4.01</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4.02</w:t>
      </w:r>
    </w:p>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4.03</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4.04</w:t>
      </w:r>
    </w:p>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4.05</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4.06</w:t>
      </w:r>
    </w:p>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4.08</w:t>
      </w:r>
    </w:p>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4.09</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4.10</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4.11</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4.12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4.13</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right="20"/>
        <w:spacing w:after="0" w:line="260" w:lineRule="auto"/>
        <w:rPr>
          <w:rFonts w:ascii="Arial" w:cs="Arial" w:eastAsia="Arial" w:hAnsi="Arial"/>
          <w:sz w:val="16"/>
          <w:szCs w:val="16"/>
          <w:u w:val="single" w:color="auto"/>
          <w:color w:val="0000EE"/>
        </w:rPr>
      </w:pPr>
      <w:hyperlink r:id="rId82">
        <w:r>
          <w:rPr>
            <w:rFonts w:ascii="Arial" w:cs="Arial" w:eastAsia="Arial" w:hAnsi="Arial"/>
            <w:sz w:val="16"/>
            <w:szCs w:val="16"/>
            <w:u w:val="single" w:color="auto"/>
            <w:color w:val="0000EE"/>
          </w:rPr>
          <w:t>– Restated Articles of Incorporation of the Company, as amended (incorporated by reference to Exhibit 3.01 to the Martin Marietta Materials, Inc.</w:t>
        </w:r>
      </w:hyperlink>
      <w:r>
        <w:rPr>
          <w:rFonts w:ascii="Arial" w:cs="Arial" w:eastAsia="Arial" w:hAnsi="Arial"/>
          <w:sz w:val="16"/>
          <w:szCs w:val="16"/>
          <w:u w:val="single" w:color="auto"/>
          <w:color w:val="0000EE"/>
        </w:rPr>
        <w:t xml:space="preserve"> </w:t>
      </w:r>
      <w:hyperlink r:id="rId82">
        <w:r>
          <w:rPr>
            <w:rFonts w:ascii="Arial" w:cs="Arial" w:eastAsia="Arial" w:hAnsi="Arial"/>
            <w:sz w:val="16"/>
            <w:szCs w:val="16"/>
            <w:u w:val="single" w:color="auto"/>
            <w:color w:val="0000EE"/>
          </w:rPr>
          <w:t>Annual Report on Form 10-K for the fiscal year ended December 31, 2016, filed on February 24, 2017) (Commission File No. 1-12744)</w:t>
        </w:r>
      </w:hyperlink>
    </w:p>
    <w:p>
      <w:pPr>
        <w:spacing w:after="0" w:line="20" w:lineRule="exact"/>
        <w:rPr>
          <w:rFonts w:ascii="Arial" w:cs="Arial" w:eastAsia="Arial" w:hAnsi="Arial"/>
          <w:sz w:val="16"/>
          <w:szCs w:val="16"/>
          <w:u w:val="single" w:color="auto"/>
          <w:color w:val="0000EE"/>
        </w:rPr>
      </w:pPr>
    </w:p>
    <w:p>
      <w:pPr>
        <w:ind w:right="160"/>
        <w:spacing w:after="0" w:line="260" w:lineRule="auto"/>
        <w:rPr>
          <w:rFonts w:ascii="Arial" w:cs="Arial" w:eastAsia="Arial" w:hAnsi="Arial"/>
          <w:sz w:val="16"/>
          <w:szCs w:val="16"/>
          <w:u w:val="single" w:color="auto"/>
          <w:color w:val="0000EE"/>
        </w:rPr>
      </w:pPr>
      <w:hyperlink r:id="rId83">
        <w:r>
          <w:rPr>
            <w:rFonts w:ascii="Arial" w:cs="Arial" w:eastAsia="Arial" w:hAnsi="Arial"/>
            <w:sz w:val="16"/>
            <w:szCs w:val="16"/>
            <w:u w:val="single" w:color="auto"/>
            <w:color w:val="0000EE"/>
          </w:rPr>
          <w:t>– Restated Bylaws of the Company (incorporated by reference to Exhibit 3.2 to the Martin Marietta Materials, Inc. Current Report on Form 8-K,</w:t>
        </w:r>
      </w:hyperlink>
      <w:r>
        <w:rPr>
          <w:rFonts w:ascii="Arial" w:cs="Arial" w:eastAsia="Arial" w:hAnsi="Arial"/>
          <w:sz w:val="16"/>
          <w:szCs w:val="16"/>
          <w:u w:val="single" w:color="auto"/>
          <w:color w:val="0000EE"/>
        </w:rPr>
        <w:t xml:space="preserve"> </w:t>
      </w:r>
      <w:hyperlink r:id="rId83">
        <w:r>
          <w:rPr>
            <w:rFonts w:ascii="Arial" w:cs="Arial" w:eastAsia="Arial" w:hAnsi="Arial"/>
            <w:sz w:val="16"/>
            <w:szCs w:val="16"/>
            <w:u w:val="single" w:color="auto"/>
            <w:color w:val="0000EE"/>
          </w:rPr>
          <w:t>filed on February 22, 2018) (Commission File No. 1-12744)</w:t>
        </w:r>
      </w:hyperlink>
    </w:p>
    <w:p>
      <w:pPr>
        <w:spacing w:after="0" w:line="20" w:lineRule="exact"/>
        <w:rPr>
          <w:rFonts w:ascii="Arial" w:cs="Arial" w:eastAsia="Arial" w:hAnsi="Arial"/>
          <w:sz w:val="16"/>
          <w:szCs w:val="16"/>
          <w:u w:val="single" w:color="auto"/>
          <w:color w:val="0000EE"/>
        </w:rPr>
      </w:pPr>
    </w:p>
    <w:p>
      <w:pPr>
        <w:ind w:right="80"/>
        <w:spacing w:after="0" w:line="260" w:lineRule="auto"/>
        <w:rPr>
          <w:rFonts w:ascii="Arial" w:cs="Arial" w:eastAsia="Arial" w:hAnsi="Arial"/>
          <w:sz w:val="16"/>
          <w:szCs w:val="16"/>
          <w:u w:val="single" w:color="auto"/>
          <w:color w:val="0000EE"/>
        </w:rPr>
      </w:pPr>
      <w:r>
        <w:rPr>
          <w:rFonts w:ascii="Arial" w:cs="Arial" w:eastAsia="Arial" w:hAnsi="Arial"/>
          <w:sz w:val="16"/>
          <w:szCs w:val="16"/>
          <w:color w:val="auto"/>
        </w:rPr>
        <w:t>– Specimen Common Stock Certificate (incorporated by reference to Exhibit 4.01 to the Martin Marietta Materials, Inc. registration statement on Form S-1, filed on December 8, 1993 (SEC Registration No. 33-72648) (P)</w:t>
      </w:r>
    </w:p>
    <w:p>
      <w:pPr>
        <w:spacing w:after="0" w:line="20" w:lineRule="exact"/>
        <w:rPr>
          <w:rFonts w:ascii="Arial" w:cs="Arial" w:eastAsia="Arial" w:hAnsi="Arial"/>
          <w:sz w:val="16"/>
          <w:szCs w:val="16"/>
          <w:u w:val="single" w:color="auto"/>
          <w:color w:val="0000EE"/>
        </w:rPr>
      </w:pPr>
    </w:p>
    <w:p>
      <w:pPr>
        <w:ind w:right="300"/>
        <w:spacing w:after="0" w:line="253" w:lineRule="auto"/>
        <w:rPr>
          <w:rFonts w:ascii="Arial" w:cs="Arial" w:eastAsia="Arial" w:hAnsi="Arial"/>
          <w:sz w:val="16"/>
          <w:szCs w:val="16"/>
          <w:u w:val="single" w:color="auto"/>
          <w:color w:val="0000EE"/>
        </w:rPr>
      </w:pPr>
      <w:hyperlink r:id="rId82">
        <w:r>
          <w:rPr>
            <w:rFonts w:ascii="Arial" w:cs="Arial" w:eastAsia="Arial" w:hAnsi="Arial"/>
            <w:sz w:val="16"/>
            <w:szCs w:val="16"/>
            <w:u w:val="single" w:color="auto"/>
            <w:color w:val="0000EE"/>
          </w:rPr>
          <w:t>– Article 5 of the Company’s Restated Articles of Incorporation, as amended (incorporated by reference to Exhibit 3.01 to the Martin Marietta</w:t>
        </w:r>
      </w:hyperlink>
      <w:r>
        <w:rPr>
          <w:rFonts w:ascii="Arial" w:cs="Arial" w:eastAsia="Arial" w:hAnsi="Arial"/>
          <w:sz w:val="16"/>
          <w:szCs w:val="16"/>
          <w:u w:val="single" w:color="auto"/>
          <w:color w:val="0000EE"/>
        </w:rPr>
        <w:t xml:space="preserve"> </w:t>
      </w:r>
      <w:hyperlink r:id="rId82">
        <w:r>
          <w:rPr>
            <w:rFonts w:ascii="Arial" w:cs="Arial" w:eastAsia="Arial" w:hAnsi="Arial"/>
            <w:sz w:val="16"/>
            <w:szCs w:val="16"/>
            <w:u w:val="single" w:color="auto"/>
            <w:color w:val="0000EE"/>
          </w:rPr>
          <w:t>Materials, Inc. Annual Report on Form 10- K for the fiscal year ended December 31, 2016, filed on February 24, 2017) (Commission File</w:t>
        </w:r>
      </w:hyperlink>
      <w:r>
        <w:rPr>
          <w:rFonts w:ascii="Arial" w:cs="Arial" w:eastAsia="Arial" w:hAnsi="Arial"/>
          <w:sz w:val="16"/>
          <w:szCs w:val="16"/>
          <w:u w:val="single" w:color="auto"/>
          <w:color w:val="0000EE"/>
        </w:rPr>
        <w:t xml:space="preserve"> </w:t>
      </w:r>
      <w:hyperlink r:id="rId82">
        <w:r>
          <w:rPr>
            <w:rFonts w:ascii="Arial" w:cs="Arial" w:eastAsia="Arial" w:hAnsi="Arial"/>
            <w:sz w:val="16"/>
            <w:szCs w:val="16"/>
            <w:u w:val="single" w:color="auto"/>
            <w:color w:val="0000EE"/>
          </w:rPr>
          <w:t>No. 1-12744)</w:t>
        </w:r>
      </w:hyperlink>
    </w:p>
    <w:p>
      <w:pPr>
        <w:spacing w:after="0" w:line="25" w:lineRule="exact"/>
        <w:rPr>
          <w:rFonts w:ascii="Arial" w:cs="Arial" w:eastAsia="Arial" w:hAnsi="Arial"/>
          <w:sz w:val="16"/>
          <w:szCs w:val="16"/>
          <w:u w:val="single" w:color="auto"/>
          <w:color w:val="0000EE"/>
        </w:rPr>
      </w:pPr>
    </w:p>
    <w:p>
      <w:pPr>
        <w:ind w:right="540"/>
        <w:spacing w:after="0" w:line="260" w:lineRule="auto"/>
        <w:rPr>
          <w:rFonts w:ascii="Arial" w:cs="Arial" w:eastAsia="Arial" w:hAnsi="Arial"/>
          <w:sz w:val="16"/>
          <w:szCs w:val="16"/>
          <w:u w:val="single" w:color="auto"/>
          <w:color w:val="0000EE"/>
        </w:rPr>
      </w:pPr>
      <w:hyperlink r:id="rId83">
        <w:r>
          <w:rPr>
            <w:rFonts w:ascii="Arial" w:cs="Arial" w:eastAsia="Arial" w:hAnsi="Arial"/>
            <w:sz w:val="16"/>
            <w:szCs w:val="16"/>
            <w:u w:val="single" w:color="auto"/>
            <w:color w:val="0000EE"/>
          </w:rPr>
          <w:t>– Article 1 of the Company’s Restated Bylaws, as amended (incorporated by reference to Exhibit 3.2 to the Martin Marietta Materials, Inc.</w:t>
        </w:r>
      </w:hyperlink>
      <w:r>
        <w:rPr>
          <w:rFonts w:ascii="Arial" w:cs="Arial" w:eastAsia="Arial" w:hAnsi="Arial"/>
          <w:sz w:val="16"/>
          <w:szCs w:val="16"/>
          <w:u w:val="single" w:color="auto"/>
          <w:color w:val="0000EE"/>
        </w:rPr>
        <w:t xml:space="preserve"> </w:t>
      </w:r>
      <w:hyperlink r:id="rId83">
        <w:r>
          <w:rPr>
            <w:rFonts w:ascii="Arial" w:cs="Arial" w:eastAsia="Arial" w:hAnsi="Arial"/>
            <w:sz w:val="16"/>
            <w:szCs w:val="16"/>
            <w:u w:val="single" w:color="auto"/>
            <w:color w:val="0000EE"/>
          </w:rPr>
          <w:t>Current Report on Form 8-K, filed on February 22, 2018) (Commission File No. 1-12744)</w:t>
        </w:r>
      </w:hyperlink>
    </w:p>
    <w:p>
      <w:pPr>
        <w:spacing w:after="0" w:line="20" w:lineRule="exact"/>
        <w:rPr>
          <w:rFonts w:ascii="Arial" w:cs="Arial" w:eastAsia="Arial" w:hAnsi="Arial"/>
          <w:sz w:val="16"/>
          <w:szCs w:val="16"/>
          <w:u w:val="single" w:color="auto"/>
          <w:color w:val="0000EE"/>
        </w:rPr>
      </w:pPr>
    </w:p>
    <w:p>
      <w:pPr>
        <w:ind w:right="880"/>
        <w:spacing w:after="0" w:line="253" w:lineRule="auto"/>
        <w:rPr>
          <w:rFonts w:ascii="Arial" w:cs="Arial" w:eastAsia="Arial" w:hAnsi="Arial"/>
          <w:sz w:val="16"/>
          <w:szCs w:val="16"/>
          <w:u w:val="single" w:color="auto"/>
          <w:color w:val="0000EE"/>
        </w:rPr>
      </w:pPr>
      <w:r>
        <w:rPr>
          <w:rFonts w:ascii="Arial" w:cs="Arial" w:eastAsia="Arial" w:hAnsi="Arial"/>
          <w:sz w:val="16"/>
          <w:szCs w:val="16"/>
          <w:color w:val="auto"/>
        </w:rPr>
        <w:t>– Indenture dated as of December 1, 1995 between Martin Marietta Materials, Inc. and First Union National Bank of North Carolina (incorporated by reference to Exhibit 4(a) to the Martin Marietta Materials, Inc. registration statement on Form S-3 (SEC Registration No. 33-99082)) (P)</w:t>
      </w:r>
    </w:p>
    <w:p>
      <w:pPr>
        <w:spacing w:after="0" w:line="25" w:lineRule="exact"/>
        <w:rPr>
          <w:rFonts w:ascii="Arial" w:cs="Arial" w:eastAsia="Arial" w:hAnsi="Arial"/>
          <w:sz w:val="16"/>
          <w:szCs w:val="16"/>
          <w:u w:val="single" w:color="auto"/>
          <w:color w:val="0000EE"/>
        </w:rPr>
      </w:pPr>
    </w:p>
    <w:p>
      <w:pPr>
        <w:ind w:right="220"/>
        <w:spacing w:after="0" w:line="260" w:lineRule="auto"/>
        <w:rPr>
          <w:rFonts w:ascii="Arial" w:cs="Arial" w:eastAsia="Arial" w:hAnsi="Arial"/>
          <w:sz w:val="16"/>
          <w:szCs w:val="16"/>
          <w:u w:val="single" w:color="auto"/>
          <w:color w:val="0000EE"/>
        </w:rPr>
      </w:pPr>
      <w:r>
        <w:rPr>
          <w:rFonts w:ascii="Arial" w:cs="Arial" w:eastAsia="Arial" w:hAnsi="Arial"/>
          <w:sz w:val="16"/>
          <w:szCs w:val="16"/>
          <w:color w:val="auto"/>
        </w:rPr>
        <w:t>– Form of Martin Marietta Materials, Inc. 7% Debenture due 2025 (incorporated by reference to Exhibit 4(a)(i) to the Martin Marietta Materials, Inc. registration statement on Form S-3 (SEC Registration No. 33-99082)) (P)</w:t>
      </w:r>
    </w:p>
    <w:p>
      <w:pPr>
        <w:spacing w:after="0" w:line="20" w:lineRule="exact"/>
        <w:rPr>
          <w:rFonts w:ascii="Arial" w:cs="Arial" w:eastAsia="Arial" w:hAnsi="Arial"/>
          <w:sz w:val="16"/>
          <w:szCs w:val="16"/>
          <w:u w:val="single" w:color="auto"/>
          <w:color w:val="0000EE"/>
        </w:rPr>
      </w:pPr>
    </w:p>
    <w:p>
      <w:pPr>
        <w:ind w:right="120"/>
        <w:spacing w:after="0" w:line="253" w:lineRule="auto"/>
        <w:rPr>
          <w:rFonts w:ascii="Arial" w:cs="Arial" w:eastAsia="Arial" w:hAnsi="Arial"/>
          <w:sz w:val="16"/>
          <w:szCs w:val="16"/>
          <w:u w:val="single" w:color="auto"/>
          <w:color w:val="0000EE"/>
        </w:rPr>
      </w:pPr>
      <w:hyperlink r:id="rId84">
        <w:r>
          <w:rPr>
            <w:rFonts w:ascii="Arial" w:cs="Arial" w:eastAsia="Arial" w:hAnsi="Arial"/>
            <w:sz w:val="16"/>
            <w:szCs w:val="16"/>
            <w:u w:val="single" w:color="auto"/>
            <w:color w:val="0000EE"/>
          </w:rPr>
          <w:t>– Indenture dated as of April 30, 2007 between Martin Marietta Materials, Inc. and Branch Banking and Trust Company, Inc., as trustee</w:t>
        </w:r>
      </w:hyperlink>
      <w:r>
        <w:rPr>
          <w:rFonts w:ascii="Arial" w:cs="Arial" w:eastAsia="Arial" w:hAnsi="Arial"/>
          <w:sz w:val="16"/>
          <w:szCs w:val="16"/>
          <w:u w:val="single" w:color="auto"/>
          <w:color w:val="0000EE"/>
        </w:rPr>
        <w:t xml:space="preserve"> </w:t>
      </w:r>
      <w:hyperlink r:id="rId84">
        <w:r>
          <w:rPr>
            <w:rFonts w:ascii="Arial" w:cs="Arial" w:eastAsia="Arial" w:hAnsi="Arial"/>
            <w:sz w:val="16"/>
            <w:szCs w:val="16"/>
            <w:u w:val="single" w:color="auto"/>
            <w:color w:val="0000EE"/>
          </w:rPr>
          <w:t>(incorporated by reference to Exhibit 4.1 to the Martin Marietta Materials, Inc. Current Report on Form 8-K, filed on April 30, 2007 (Commission</w:t>
        </w:r>
      </w:hyperlink>
      <w:r>
        <w:rPr>
          <w:rFonts w:ascii="Arial" w:cs="Arial" w:eastAsia="Arial" w:hAnsi="Arial"/>
          <w:sz w:val="16"/>
          <w:szCs w:val="16"/>
          <w:u w:val="single" w:color="auto"/>
          <w:color w:val="0000EE"/>
        </w:rPr>
        <w:t xml:space="preserve"> </w:t>
      </w:r>
      <w:hyperlink r:id="rId84">
        <w:r>
          <w:rPr>
            <w:rFonts w:ascii="Arial" w:cs="Arial" w:eastAsia="Arial" w:hAnsi="Arial"/>
            <w:sz w:val="16"/>
            <w:szCs w:val="16"/>
            <w:u w:val="single" w:color="auto"/>
            <w:color w:val="0000EE"/>
          </w:rPr>
          <w:t>File No. 1-12744))</w:t>
        </w:r>
      </w:hyperlink>
    </w:p>
    <w:p>
      <w:pPr>
        <w:spacing w:after="0" w:line="25" w:lineRule="exact"/>
        <w:rPr>
          <w:rFonts w:ascii="Arial" w:cs="Arial" w:eastAsia="Arial" w:hAnsi="Arial"/>
          <w:sz w:val="16"/>
          <w:szCs w:val="16"/>
          <w:u w:val="single" w:color="auto"/>
          <w:color w:val="0000EE"/>
        </w:rPr>
      </w:pPr>
    </w:p>
    <w:p>
      <w:pPr>
        <w:ind w:right="80"/>
        <w:spacing w:after="0" w:line="218" w:lineRule="auto"/>
        <w:rPr>
          <w:rFonts w:ascii="Arial" w:cs="Arial" w:eastAsia="Arial" w:hAnsi="Arial"/>
          <w:sz w:val="16"/>
          <w:szCs w:val="16"/>
          <w:u w:val="single" w:color="auto"/>
          <w:color w:val="0000EE"/>
        </w:rPr>
      </w:pPr>
      <w:hyperlink r:id="rId85">
        <w:r>
          <w:rPr>
            <w:rFonts w:ascii="Arial" w:cs="Arial" w:eastAsia="Arial" w:hAnsi="Arial"/>
            <w:sz w:val="16"/>
            <w:szCs w:val="16"/>
            <w:u w:val="single" w:color="auto"/>
            <w:color w:val="0000EE"/>
          </w:rPr>
          <w:t>– Second Supplemental Indenture, dated as of April 30, 2007, between Martin Marietta Materials, Inc. and Branch Banking and Trust Company,</w:t>
        </w:r>
      </w:hyperlink>
      <w:r>
        <w:rPr>
          <w:rFonts w:ascii="Arial" w:cs="Arial" w:eastAsia="Arial" w:hAnsi="Arial"/>
          <w:sz w:val="16"/>
          <w:szCs w:val="16"/>
          <w:u w:val="single" w:color="auto"/>
          <w:color w:val="0000EE"/>
        </w:rPr>
        <w:t xml:space="preserve"> </w:t>
      </w:r>
      <w:hyperlink r:id="rId85">
        <w:r>
          <w:rPr>
            <w:rFonts w:ascii="Arial" w:cs="Arial" w:eastAsia="Arial" w:hAnsi="Arial"/>
            <w:sz w:val="16"/>
            <w:szCs w:val="16"/>
            <w:u w:val="single" w:color="auto"/>
            <w:color w:val="0000EE"/>
          </w:rPr>
          <w:t>Inc., as trustee, to that certain Indenture dated as of April 30, 2007 between Martin Marietta Materials, Inc. and Branch Banking and Trust</w:t>
        </w:r>
      </w:hyperlink>
      <w:r>
        <w:rPr>
          <w:rFonts w:ascii="Arial" w:cs="Arial" w:eastAsia="Arial" w:hAnsi="Arial"/>
          <w:sz w:val="16"/>
          <w:szCs w:val="16"/>
          <w:u w:val="single" w:color="auto"/>
          <w:color w:val="0000EE"/>
        </w:rPr>
        <w:t xml:space="preserve"> </w:t>
      </w:r>
      <w:hyperlink r:id="rId85">
        <w:r>
          <w:rPr>
            <w:rFonts w:ascii="Arial" w:cs="Arial" w:eastAsia="Arial" w:hAnsi="Arial"/>
            <w:sz w:val="16"/>
            <w:szCs w:val="16"/>
            <w:u w:val="single" w:color="auto"/>
            <w:color w:val="0000EE"/>
          </w:rPr>
          <w:t>Company, Inc., as trustee, pursuant to which were issued $250,000,000 aggregate principal amount of 6</w:t>
        </w:r>
        <w:r>
          <w:rPr>
            <w:rFonts w:ascii="Arial" w:cs="Arial" w:eastAsia="Arial" w:hAnsi="Arial"/>
            <w:sz w:val="27"/>
            <w:szCs w:val="27"/>
            <w:i w:val="1"/>
            <w:iCs w:val="1"/>
            <w:u w:val="single" w:color="auto"/>
            <w:color w:val="0000EE"/>
            <w:vertAlign w:val="superscript"/>
          </w:rPr>
          <w:t>1</w:t>
        </w:r>
        <w:r>
          <w:rPr>
            <w:rFonts w:ascii="Arial" w:cs="Arial" w:eastAsia="Arial" w:hAnsi="Arial"/>
            <w:sz w:val="16"/>
            <w:szCs w:val="16"/>
            <w:i w:val="1"/>
            <w:iCs w:val="1"/>
            <w:color w:val="0000EE"/>
          </w:rPr>
          <w:t>⁄</w:t>
        </w:r>
        <w:r>
          <w:rPr>
            <w:rFonts w:ascii="Arial" w:cs="Arial" w:eastAsia="Arial" w:hAnsi="Arial"/>
            <w:sz w:val="13"/>
            <w:szCs w:val="13"/>
            <w:i w:val="1"/>
            <w:iCs w:val="1"/>
            <w:u w:val="single" w:color="auto"/>
            <w:color w:val="0000EE"/>
          </w:rPr>
          <w:t>4</w:t>
        </w:r>
        <w:r>
          <w:rPr>
            <w:rFonts w:ascii="Arial" w:cs="Arial" w:eastAsia="Arial" w:hAnsi="Arial"/>
            <w:sz w:val="16"/>
            <w:szCs w:val="16"/>
            <w:i w:val="1"/>
            <w:iCs w:val="1"/>
            <w:u w:val="single" w:color="auto"/>
            <w:color w:val="0000EE"/>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Senior Notes due 2037 of Martin</w:t>
        </w:r>
      </w:hyperlink>
      <w:r>
        <w:rPr>
          <w:rFonts w:ascii="Arial" w:cs="Arial" w:eastAsia="Arial" w:hAnsi="Arial"/>
          <w:sz w:val="16"/>
          <w:szCs w:val="16"/>
          <w:color w:val="0000EE"/>
        </w:rPr>
        <w:t xml:space="preserve"> </w:t>
      </w:r>
      <w:hyperlink r:id="rId85">
        <w:r>
          <w:rPr>
            <w:rFonts w:ascii="Arial" w:cs="Arial" w:eastAsia="Arial" w:hAnsi="Arial"/>
            <w:sz w:val="16"/>
            <w:szCs w:val="16"/>
            <w:u w:val="single" w:color="auto"/>
            <w:color w:val="0000EE"/>
          </w:rPr>
          <w:t>Marietta Materials, Inc. (incorporated by reference to Exhibit 4.3 to the Martin Marietta Materials, Inc. Current Report on Form 8-K, filed on</w:t>
        </w:r>
      </w:hyperlink>
      <w:r>
        <w:rPr>
          <w:rFonts w:ascii="Arial" w:cs="Arial" w:eastAsia="Arial" w:hAnsi="Arial"/>
          <w:sz w:val="16"/>
          <w:szCs w:val="16"/>
          <w:u w:val="single" w:color="auto"/>
          <w:color w:val="0000EE"/>
        </w:rPr>
        <w:t xml:space="preserve"> </w:t>
      </w:r>
      <w:hyperlink r:id="rId85">
        <w:r>
          <w:rPr>
            <w:rFonts w:ascii="Arial" w:cs="Arial" w:eastAsia="Arial" w:hAnsi="Arial"/>
            <w:sz w:val="16"/>
            <w:szCs w:val="16"/>
            <w:u w:val="single" w:color="auto"/>
            <w:color w:val="0000EE"/>
          </w:rPr>
          <w:t>April 30, 2007 (Commission File No. 1-12744))</w:t>
        </w:r>
      </w:hyperlink>
    </w:p>
    <w:p>
      <w:pPr>
        <w:spacing w:after="0" w:line="35" w:lineRule="exact"/>
        <w:rPr>
          <w:rFonts w:ascii="Arial" w:cs="Arial" w:eastAsia="Arial" w:hAnsi="Arial"/>
          <w:sz w:val="16"/>
          <w:szCs w:val="16"/>
          <w:u w:val="single" w:color="auto"/>
          <w:color w:val="0000EE"/>
        </w:rPr>
      </w:pPr>
    </w:p>
    <w:p>
      <w:pPr>
        <w:ind w:right="20"/>
        <w:spacing w:after="0" w:line="253" w:lineRule="auto"/>
        <w:rPr>
          <w:rFonts w:ascii="Arial" w:cs="Arial" w:eastAsia="Arial" w:hAnsi="Arial"/>
          <w:sz w:val="16"/>
          <w:szCs w:val="16"/>
          <w:u w:val="single" w:color="auto"/>
          <w:color w:val="0000EE"/>
        </w:rPr>
      </w:pPr>
      <w:hyperlink r:id="rId86">
        <w:r>
          <w:rPr>
            <w:rFonts w:ascii="Arial" w:cs="Arial" w:eastAsia="Arial" w:hAnsi="Arial"/>
            <w:sz w:val="16"/>
            <w:szCs w:val="16"/>
            <w:u w:val="single" w:color="auto"/>
            <w:color w:val="0000EE"/>
          </w:rPr>
          <w:t>– Purchase Agreement dated as of June 23, 2014 among Martin Marietta Materials, Inc. and Deutsche Bank Securities Inc. and J.P. Morgan</w:t>
        </w:r>
      </w:hyperlink>
      <w:r>
        <w:rPr>
          <w:rFonts w:ascii="Arial" w:cs="Arial" w:eastAsia="Arial" w:hAnsi="Arial"/>
          <w:sz w:val="16"/>
          <w:szCs w:val="16"/>
          <w:u w:val="single" w:color="auto"/>
          <w:color w:val="0000EE"/>
        </w:rPr>
        <w:t xml:space="preserve"> </w:t>
      </w:r>
      <w:hyperlink r:id="rId86">
        <w:r>
          <w:rPr>
            <w:rFonts w:ascii="Arial" w:cs="Arial" w:eastAsia="Arial" w:hAnsi="Arial"/>
            <w:sz w:val="16"/>
            <w:szCs w:val="16"/>
            <w:u w:val="single" w:color="auto"/>
            <w:color w:val="0000EE"/>
          </w:rPr>
          <w:t>Securities LLC, as representatives of the several initial purchasers named in Schedule 1 thereto (incorporated by reference to Exhibit 10.1 of the</w:t>
        </w:r>
      </w:hyperlink>
      <w:r>
        <w:rPr>
          <w:rFonts w:ascii="Arial" w:cs="Arial" w:eastAsia="Arial" w:hAnsi="Arial"/>
          <w:sz w:val="16"/>
          <w:szCs w:val="16"/>
          <w:u w:val="single" w:color="auto"/>
          <w:color w:val="0000EE"/>
        </w:rPr>
        <w:t xml:space="preserve"> </w:t>
      </w:r>
      <w:hyperlink r:id="rId86">
        <w:r>
          <w:rPr>
            <w:rFonts w:ascii="Arial" w:cs="Arial" w:eastAsia="Arial" w:hAnsi="Arial"/>
            <w:sz w:val="16"/>
            <w:szCs w:val="16"/>
            <w:u w:val="single" w:color="auto"/>
            <w:color w:val="0000EE"/>
          </w:rPr>
          <w:t>Company’s Current Report on Form 8-K, filed on June 24, 2014) (Commission File No. 1-12744)</w:t>
        </w:r>
      </w:hyperlink>
    </w:p>
    <w:p>
      <w:pPr>
        <w:spacing w:after="0" w:line="25" w:lineRule="exact"/>
        <w:rPr>
          <w:rFonts w:ascii="Arial" w:cs="Arial" w:eastAsia="Arial" w:hAnsi="Arial"/>
          <w:sz w:val="16"/>
          <w:szCs w:val="16"/>
          <w:u w:val="single" w:color="auto"/>
          <w:color w:val="0000EE"/>
        </w:rPr>
      </w:pPr>
    </w:p>
    <w:p>
      <w:pPr>
        <w:ind w:right="500"/>
        <w:spacing w:after="0" w:line="260" w:lineRule="auto"/>
        <w:rPr>
          <w:rFonts w:ascii="Arial" w:cs="Arial" w:eastAsia="Arial" w:hAnsi="Arial"/>
          <w:sz w:val="16"/>
          <w:szCs w:val="16"/>
          <w:u w:val="single" w:color="auto"/>
          <w:color w:val="0000EE"/>
        </w:rPr>
      </w:pPr>
      <w:hyperlink r:id="rId87">
        <w:r>
          <w:rPr>
            <w:rFonts w:ascii="Arial" w:cs="Arial" w:eastAsia="Arial" w:hAnsi="Arial"/>
            <w:sz w:val="16"/>
            <w:szCs w:val="16"/>
            <w:u w:val="single" w:color="auto"/>
            <w:color w:val="0000EE"/>
          </w:rPr>
          <w:t>– Indenture, dated as of July 2, 2014, between Martin Marietta Materials, Inc. and Regions Bank, as trustee (incorporated by reference to</w:t>
        </w:r>
      </w:hyperlink>
      <w:r>
        <w:rPr>
          <w:rFonts w:ascii="Arial" w:cs="Arial" w:eastAsia="Arial" w:hAnsi="Arial"/>
          <w:sz w:val="16"/>
          <w:szCs w:val="16"/>
          <w:u w:val="single" w:color="auto"/>
          <w:color w:val="0000EE"/>
        </w:rPr>
        <w:t xml:space="preserve"> </w:t>
      </w:r>
      <w:hyperlink r:id="rId87">
        <w:r>
          <w:rPr>
            <w:rFonts w:ascii="Arial" w:cs="Arial" w:eastAsia="Arial" w:hAnsi="Arial"/>
            <w:sz w:val="16"/>
            <w:szCs w:val="16"/>
            <w:u w:val="single" w:color="auto"/>
            <w:color w:val="0000EE"/>
          </w:rPr>
          <w:t>Exhibit 4.1 of the Company’s Current Report on Form 8-K, filed on July 2, 2014) (Commission File No. 1-12744)</w:t>
        </w:r>
      </w:hyperlink>
    </w:p>
    <w:p>
      <w:pPr>
        <w:spacing w:after="0" w:line="47"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r:id="rId87">
        <w:r>
          <w:rPr>
            <w:rFonts w:ascii="Arial" w:cs="Arial" w:eastAsia="Arial" w:hAnsi="Arial"/>
            <w:sz w:val="16"/>
            <w:szCs w:val="16"/>
            <w:u w:val="single" w:color="auto"/>
            <w:color w:val="0000EE"/>
          </w:rPr>
          <w:t>– Form of 4.250% Senior Notes due 2024 (included in Exhibit 4.09)</w:t>
        </w:r>
      </w:hyperlink>
    </w:p>
    <w:p>
      <w:pPr>
        <w:spacing w:after="0" w:line="45" w:lineRule="exact"/>
        <w:rPr>
          <w:rFonts w:ascii="Arial" w:cs="Arial" w:eastAsia="Arial" w:hAnsi="Arial"/>
          <w:sz w:val="16"/>
          <w:szCs w:val="16"/>
          <w:u w:val="single" w:color="auto"/>
          <w:color w:val="0000EE"/>
        </w:rPr>
      </w:pPr>
    </w:p>
    <w:p>
      <w:pPr>
        <w:ind w:right="440"/>
        <w:spacing w:after="0" w:line="260" w:lineRule="auto"/>
        <w:rPr>
          <w:rFonts w:ascii="Arial" w:cs="Arial" w:eastAsia="Arial" w:hAnsi="Arial"/>
          <w:sz w:val="16"/>
          <w:szCs w:val="16"/>
          <w:u w:val="single" w:color="auto"/>
          <w:color w:val="0000EE"/>
        </w:rPr>
      </w:pPr>
      <w:hyperlink r:id="rId88">
        <w:r>
          <w:rPr>
            <w:rFonts w:ascii="Arial" w:cs="Arial" w:eastAsia="Arial" w:hAnsi="Arial"/>
            <w:sz w:val="16"/>
            <w:szCs w:val="16"/>
            <w:u w:val="single" w:color="auto"/>
            <w:color w:val="0000EE"/>
          </w:rPr>
          <w:t>– Indenture, dated as of May 22, 2017, between Martin Marietta Materials, Inc. and Regions Bank, as trustee (incorporated by reference to</w:t>
        </w:r>
      </w:hyperlink>
      <w:r>
        <w:rPr>
          <w:rFonts w:ascii="Arial" w:cs="Arial" w:eastAsia="Arial" w:hAnsi="Arial"/>
          <w:sz w:val="16"/>
          <w:szCs w:val="16"/>
          <w:u w:val="single" w:color="auto"/>
          <w:color w:val="0000EE"/>
        </w:rPr>
        <w:t xml:space="preserve"> </w:t>
      </w:r>
      <w:hyperlink r:id="rId88">
        <w:r>
          <w:rPr>
            <w:rFonts w:ascii="Arial" w:cs="Arial" w:eastAsia="Arial" w:hAnsi="Arial"/>
            <w:sz w:val="16"/>
            <w:szCs w:val="16"/>
            <w:u w:val="single" w:color="auto"/>
            <w:color w:val="0000EE"/>
          </w:rPr>
          <w:t>Exhibit 4.1 of the Company’s Current Report on Form 8-K, filed on May 22, 2017) (Commission File No. 1-12744)</w:t>
        </w:r>
      </w:hyperlink>
    </w:p>
    <w:p>
      <w:pPr>
        <w:spacing w:after="0" w:line="20" w:lineRule="exact"/>
        <w:rPr>
          <w:rFonts w:ascii="Arial" w:cs="Arial" w:eastAsia="Arial" w:hAnsi="Arial"/>
          <w:sz w:val="16"/>
          <w:szCs w:val="16"/>
          <w:u w:val="single" w:color="auto"/>
          <w:color w:val="0000EE"/>
        </w:rPr>
      </w:pPr>
    </w:p>
    <w:p>
      <w:pPr>
        <w:ind w:right="20"/>
        <w:spacing w:after="0" w:line="251" w:lineRule="auto"/>
        <w:rPr>
          <w:rFonts w:ascii="Arial" w:cs="Arial" w:eastAsia="Arial" w:hAnsi="Arial"/>
          <w:sz w:val="16"/>
          <w:szCs w:val="16"/>
          <w:u w:val="single" w:color="auto"/>
          <w:color w:val="0000EE"/>
        </w:rPr>
      </w:pPr>
      <w:hyperlink r:id="rId89">
        <w:r>
          <w:rPr>
            <w:rFonts w:ascii="Arial" w:cs="Arial" w:eastAsia="Arial" w:hAnsi="Arial"/>
            <w:sz w:val="16"/>
            <w:szCs w:val="16"/>
            <w:u w:val="single" w:color="auto"/>
            <w:color w:val="0000EE"/>
          </w:rPr>
          <w:t>– First Supplemental Indenture, dated as of May 22, 2017, between Martin Marietta Materials, Inc. and Regions Bank, as trustee, governing the</w:t>
        </w:r>
      </w:hyperlink>
      <w:r>
        <w:rPr>
          <w:rFonts w:ascii="Arial" w:cs="Arial" w:eastAsia="Arial" w:hAnsi="Arial"/>
          <w:sz w:val="16"/>
          <w:szCs w:val="16"/>
          <w:u w:val="single" w:color="auto"/>
          <w:color w:val="0000EE"/>
        </w:rPr>
        <w:t xml:space="preserve"> </w:t>
      </w:r>
      <w:hyperlink r:id="rId89">
        <w:r>
          <w:rPr>
            <w:rFonts w:ascii="Arial" w:cs="Arial" w:eastAsia="Arial" w:hAnsi="Arial"/>
            <w:sz w:val="16"/>
            <w:szCs w:val="16"/>
            <w:u w:val="single" w:color="auto"/>
            <w:color w:val="0000EE"/>
          </w:rPr>
          <w:t>Senior Notes issued by the Company on May 22, 2017, in the form of the $300 million aggregate principal amount of Floating Rate Senior Notes</w:t>
        </w:r>
      </w:hyperlink>
      <w:r>
        <w:rPr>
          <w:rFonts w:ascii="Arial" w:cs="Arial" w:eastAsia="Arial" w:hAnsi="Arial"/>
          <w:sz w:val="16"/>
          <w:szCs w:val="16"/>
          <w:u w:val="single" w:color="auto"/>
          <w:color w:val="0000EE"/>
        </w:rPr>
        <w:t xml:space="preserve"> </w:t>
      </w:r>
      <w:hyperlink r:id="rId89">
        <w:r>
          <w:rPr>
            <w:rFonts w:ascii="Arial" w:cs="Arial" w:eastAsia="Arial" w:hAnsi="Arial"/>
            <w:sz w:val="16"/>
            <w:szCs w:val="16"/>
            <w:u w:val="single" w:color="auto"/>
            <w:color w:val="0000EE"/>
          </w:rPr>
          <w:t>due 2020 and $300 million aggregate principal amount of 3.450% Senior Notes due 2027 (incorporated by reference to Exhibit 4.2 to the Martin</w:t>
        </w:r>
      </w:hyperlink>
      <w:r>
        <w:rPr>
          <w:rFonts w:ascii="Arial" w:cs="Arial" w:eastAsia="Arial" w:hAnsi="Arial"/>
          <w:sz w:val="16"/>
          <w:szCs w:val="16"/>
          <w:u w:val="single" w:color="auto"/>
          <w:color w:val="0000EE"/>
        </w:rPr>
        <w:t xml:space="preserve"> </w:t>
      </w:r>
      <w:hyperlink r:id="rId89">
        <w:r>
          <w:rPr>
            <w:rFonts w:ascii="Arial" w:cs="Arial" w:eastAsia="Arial" w:hAnsi="Arial"/>
            <w:sz w:val="16"/>
            <w:szCs w:val="16"/>
            <w:u w:val="single" w:color="auto"/>
            <w:color w:val="0000EE"/>
          </w:rPr>
          <w:t>Marietta Materials, Inc. Current Report on Form 8-K, filed on May 22, 2017 (Commission File No. 1-12744))</w:t>
        </w:r>
      </w:hyperlink>
    </w:p>
    <w:p>
      <w:pPr>
        <w:spacing w:after="0" w:line="54"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r:id="rId89">
        <w:r>
          <w:rPr>
            <w:rFonts w:ascii="Arial" w:cs="Arial" w:eastAsia="Arial" w:hAnsi="Arial"/>
            <w:sz w:val="16"/>
            <w:szCs w:val="16"/>
            <w:u w:val="single" w:color="auto"/>
            <w:color w:val="0000EE"/>
          </w:rPr>
          <w:t>– Form of Floating Rate Senior Notes due 2020 (included in Exhibit 4.12)</w:t>
        </w:r>
      </w:hyperlink>
    </w:p>
    <w:p>
      <w:pPr>
        <w:spacing w:after="0" w:line="45" w:lineRule="exact"/>
        <w:rPr>
          <w:rFonts w:ascii="Arial" w:cs="Arial" w:eastAsia="Arial" w:hAnsi="Arial"/>
          <w:sz w:val="16"/>
          <w:szCs w:val="16"/>
          <w:u w:val="single" w:color="auto"/>
          <w:color w:val="0000EE"/>
        </w:rPr>
      </w:pPr>
    </w:p>
    <w:p>
      <w:pPr>
        <w:spacing w:after="0" w:line="250" w:lineRule="auto"/>
        <w:rPr>
          <w:rFonts w:ascii="Arial" w:cs="Arial" w:eastAsia="Arial" w:hAnsi="Arial"/>
          <w:sz w:val="16"/>
          <w:szCs w:val="16"/>
          <w:u w:val="single" w:color="auto"/>
          <w:color w:val="0000EE"/>
        </w:rPr>
      </w:pPr>
      <w:hyperlink r:id="rId90">
        <w:r>
          <w:rPr>
            <w:rFonts w:ascii="Arial" w:cs="Arial" w:eastAsia="Arial" w:hAnsi="Arial"/>
            <w:sz w:val="16"/>
            <w:szCs w:val="16"/>
            <w:u w:val="single" w:color="auto"/>
            <w:color w:val="0000EE"/>
          </w:rPr>
          <w:t>– Second Supplemental Indenture, dated as of December 20, 2017, between Martin Marietta Materials, Inc. and Regions Bank, as trustee,</w:t>
        </w:r>
      </w:hyperlink>
      <w:r>
        <w:rPr>
          <w:rFonts w:ascii="Arial" w:cs="Arial" w:eastAsia="Arial" w:hAnsi="Arial"/>
          <w:sz w:val="16"/>
          <w:szCs w:val="16"/>
          <w:u w:val="single" w:color="auto"/>
          <w:color w:val="0000EE"/>
        </w:rPr>
        <w:t xml:space="preserve"> </w:t>
      </w:r>
      <w:hyperlink r:id="rId90">
        <w:r>
          <w:rPr>
            <w:rFonts w:ascii="Arial" w:cs="Arial" w:eastAsia="Arial" w:hAnsi="Arial"/>
            <w:sz w:val="16"/>
            <w:szCs w:val="16"/>
            <w:u w:val="single" w:color="auto"/>
            <w:color w:val="0000EE"/>
          </w:rPr>
          <w:t>governing the Senior Notes issued by the Company on December 20, 2017, in the form of the $300 million aggregate principal amount of</w:t>
        </w:r>
      </w:hyperlink>
      <w:r>
        <w:rPr>
          <w:rFonts w:ascii="Arial" w:cs="Arial" w:eastAsia="Arial" w:hAnsi="Arial"/>
          <w:sz w:val="16"/>
          <w:szCs w:val="16"/>
          <w:u w:val="single" w:color="auto"/>
          <w:color w:val="0000EE"/>
        </w:rPr>
        <w:t xml:space="preserve"> </w:t>
      </w:r>
      <w:hyperlink r:id="rId90">
        <w:r>
          <w:rPr>
            <w:rFonts w:ascii="Arial" w:cs="Arial" w:eastAsia="Arial" w:hAnsi="Arial"/>
            <w:sz w:val="16"/>
            <w:szCs w:val="16"/>
            <w:u w:val="single" w:color="auto"/>
            <w:color w:val="0000EE"/>
          </w:rPr>
          <w:t>Floating Rate Senior Notes due 2019, $500 million aggregate principal amount of 3.500% Senior Notes due 2027, and $600 million aggregate</w:t>
        </w:r>
      </w:hyperlink>
      <w:r>
        <w:rPr>
          <w:rFonts w:ascii="Arial" w:cs="Arial" w:eastAsia="Arial" w:hAnsi="Arial"/>
          <w:sz w:val="16"/>
          <w:szCs w:val="16"/>
          <w:u w:val="single" w:color="auto"/>
          <w:color w:val="0000EE"/>
        </w:rPr>
        <w:t xml:space="preserve"> </w:t>
      </w:r>
      <w:hyperlink r:id="rId90">
        <w:r>
          <w:rPr>
            <w:rFonts w:ascii="Arial" w:cs="Arial" w:eastAsia="Arial" w:hAnsi="Arial"/>
            <w:sz w:val="16"/>
            <w:szCs w:val="16"/>
            <w:u w:val="single" w:color="auto"/>
            <w:color w:val="0000EE"/>
          </w:rPr>
          <w:t>principal amount of 4.250% Senior Notes due 2047 (incorporated by reference to Exhibit 4.2 to the Martin Marietta Materials, Inc. Current Report</w:t>
        </w:r>
      </w:hyperlink>
      <w:r>
        <w:rPr>
          <w:rFonts w:ascii="Arial" w:cs="Arial" w:eastAsia="Arial" w:hAnsi="Arial"/>
          <w:sz w:val="16"/>
          <w:szCs w:val="16"/>
          <w:u w:val="single" w:color="auto"/>
          <w:color w:val="0000EE"/>
        </w:rPr>
        <w:t xml:space="preserve"> </w:t>
      </w:r>
      <w:hyperlink r:id="rId90">
        <w:r>
          <w:rPr>
            <w:rFonts w:ascii="Arial" w:cs="Arial" w:eastAsia="Arial" w:hAnsi="Arial"/>
            <w:sz w:val="16"/>
            <w:szCs w:val="16"/>
            <w:u w:val="single" w:color="auto"/>
            <w:color w:val="0000EE"/>
          </w:rPr>
          <w:t>on Form 8-K, filed on December 20, 2017 (Commission File No. 1-12744))</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-680085</wp:posOffset>
            </wp:positionH>
            <wp:positionV relativeFrom="paragraph">
              <wp:posOffset>-5626100</wp:posOffset>
            </wp:positionV>
            <wp:extent cx="7246620" cy="5986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246620" cy="5986145"/>
                    </a:xfrm>
                    <a:prstGeom prst="rect">
                      <a:avLst/>
                    </a:prstGeom>
                    <a:noFill/>
                  </pic:spPr>
                </pic:pic>
              </a:graphicData>
            </a:graphic>
          </wp:anchor>
        </w:drawing>
      </w:r>
    </w:p>
    <w:p>
      <w:pPr>
        <w:spacing w:after="0" w:line="200" w:lineRule="exact"/>
        <w:rPr>
          <w:rFonts w:ascii="Arial" w:cs="Arial" w:eastAsia="Arial" w:hAnsi="Arial"/>
          <w:sz w:val="16"/>
          <w:szCs w:val="16"/>
          <w:u w:val="single" w:color="auto"/>
          <w:color w:val="0000EE"/>
        </w:rPr>
      </w:pPr>
    </w:p>
    <w:p>
      <w:pPr>
        <w:sectPr>
          <w:pgSz w:w="11900" w:h="16838" w:orient="portrait"/>
          <w:cols w:equalWidth="0" w:num="2">
            <w:col w:w="920" w:space="160"/>
            <w:col w:w="10340"/>
          </w:cols>
          <w:pgMar w:left="240" w:top="459" w:right="239" w:bottom="1440" w:gutter="0" w:footer="0" w:header="0"/>
          <w:type w:val="continuous"/>
        </w:sectPr>
      </w:pPr>
    </w:p>
    <w:p>
      <w:pPr>
        <w:spacing w:after="0" w:line="9" w:lineRule="exact"/>
        <w:rPr>
          <w:rFonts w:ascii="Arial" w:cs="Arial" w:eastAsia="Arial" w:hAnsi="Arial"/>
          <w:sz w:val="16"/>
          <w:szCs w:val="16"/>
          <w:u w:val="single" w:color="auto"/>
          <w:color w:val="0000EE"/>
        </w:rPr>
      </w:pPr>
    </w:p>
    <w:p>
      <w:pPr>
        <w:ind w:left="460" w:hanging="452"/>
        <w:spacing w:after="0"/>
        <w:tabs>
          <w:tab w:leader="none" w:pos="460" w:val="left"/>
        </w:tabs>
        <w:numPr>
          <w:ilvl w:val="0"/>
          <w:numId w:val="29"/>
        </w:numPr>
        <w:rPr>
          <w:rFonts w:ascii="Arial" w:cs="Arial" w:eastAsia="Arial" w:hAnsi="Arial"/>
          <w:sz w:val="12"/>
          <w:szCs w:val="12"/>
          <w:b w:val="1"/>
          <w:bCs w:val="1"/>
          <w:color w:val="auto"/>
        </w:rPr>
      </w:pPr>
      <w:r>
        <w:rPr>
          <w:rFonts w:ascii="Arial" w:cs="Arial" w:eastAsia="Arial" w:hAnsi="Arial"/>
          <w:sz w:val="12"/>
          <w:szCs w:val="12"/>
          <w:color w:val="007CBA"/>
        </w:rPr>
        <w:t>2018 FORM 10-K</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shd w:val="clear" w:color="auto" w:fill="007CBA"/>
        </w:rPr>
        <w:t>Exhibit No.</w:t>
      </w:r>
    </w:p>
    <w:p>
      <w:pPr>
        <w:spacing w:after="0" w:line="106" w:lineRule="exact"/>
        <w:rPr>
          <w:sz w:val="20"/>
          <w:szCs w:val="20"/>
          <w:color w:val="auto"/>
        </w:rPr>
      </w:pPr>
    </w:p>
    <w:p>
      <w:pPr>
        <w:jc w:val="right"/>
        <w:ind w:right="500"/>
        <w:spacing w:after="0"/>
        <w:rPr>
          <w:sz w:val="20"/>
          <w:szCs w:val="20"/>
          <w:color w:val="auto"/>
        </w:rPr>
      </w:pPr>
      <w:r>
        <w:rPr>
          <w:rFonts w:ascii="Arial" w:cs="Arial" w:eastAsia="Arial" w:hAnsi="Arial"/>
          <w:sz w:val="16"/>
          <w:szCs w:val="16"/>
          <w:color w:val="auto"/>
        </w:rPr>
        <w:t>4.15</w:t>
      </w:r>
    </w:p>
    <w:p>
      <w:pPr>
        <w:spacing w:after="0" w:line="73" w:lineRule="exact"/>
        <w:rPr>
          <w:sz w:val="20"/>
          <w:szCs w:val="20"/>
          <w:color w:val="auto"/>
        </w:rPr>
      </w:pPr>
    </w:p>
    <w:p>
      <w:pPr>
        <w:jc w:val="right"/>
        <w:ind w:right="500"/>
        <w:spacing w:after="0"/>
        <w:rPr>
          <w:sz w:val="20"/>
          <w:szCs w:val="20"/>
          <w:color w:val="auto"/>
        </w:rPr>
      </w:pPr>
      <w:r>
        <w:rPr>
          <w:rFonts w:ascii="Arial" w:cs="Arial" w:eastAsia="Arial" w:hAnsi="Arial"/>
          <w:sz w:val="16"/>
          <w:szCs w:val="16"/>
          <w:color w:val="auto"/>
        </w:rPr>
        <w:t>4.16</w:t>
      </w:r>
    </w:p>
    <w:p>
      <w:pPr>
        <w:spacing w:after="0" w:line="73" w:lineRule="exact"/>
        <w:rPr>
          <w:sz w:val="20"/>
          <w:szCs w:val="20"/>
          <w:color w:val="auto"/>
        </w:rPr>
      </w:pPr>
    </w:p>
    <w:p>
      <w:pPr>
        <w:jc w:val="right"/>
        <w:ind w:right="500"/>
        <w:spacing w:after="0"/>
        <w:rPr>
          <w:sz w:val="20"/>
          <w:szCs w:val="20"/>
          <w:color w:val="auto"/>
        </w:rPr>
      </w:pPr>
      <w:r>
        <w:rPr>
          <w:rFonts w:ascii="Arial" w:cs="Arial" w:eastAsia="Arial" w:hAnsi="Arial"/>
          <w:sz w:val="16"/>
          <w:szCs w:val="16"/>
          <w:color w:val="auto"/>
        </w:rPr>
        <w:t>4.17</w:t>
      </w:r>
    </w:p>
    <w:p>
      <w:pPr>
        <w:spacing w:after="0" w:line="73" w:lineRule="exact"/>
        <w:rPr>
          <w:sz w:val="20"/>
          <w:szCs w:val="20"/>
          <w:color w:val="auto"/>
        </w:rPr>
      </w:pPr>
    </w:p>
    <w:p>
      <w:pPr>
        <w:jc w:val="right"/>
        <w:ind w:right="500"/>
        <w:spacing w:after="0"/>
        <w:rPr>
          <w:sz w:val="20"/>
          <w:szCs w:val="20"/>
          <w:color w:val="auto"/>
        </w:rPr>
      </w:pPr>
      <w:r>
        <w:rPr>
          <w:rFonts w:ascii="Arial" w:cs="Arial" w:eastAsia="Arial" w:hAnsi="Arial"/>
          <w:sz w:val="16"/>
          <w:szCs w:val="16"/>
          <w:color w:val="auto"/>
        </w:rPr>
        <w:t>10.01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10.02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10.03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10.04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10.05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10.06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10.07</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10.08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10.09</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10.10</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10.11</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Item 15 - Exhibits and Financial Statement Schedules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140970</wp:posOffset>
            </wp:positionV>
            <wp:extent cx="7246620" cy="57461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246620" cy="574611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rFonts w:ascii="Arial" w:cs="Arial" w:eastAsia="Arial" w:hAnsi="Arial"/>
          <w:sz w:val="16"/>
          <w:szCs w:val="16"/>
          <w:u w:val="single" w:color="auto"/>
          <w:color w:val="0000EE"/>
        </w:rPr>
      </w:pPr>
      <w:hyperlink r:id="rId90">
        <w:r>
          <w:rPr>
            <w:rFonts w:ascii="Arial" w:cs="Arial" w:eastAsia="Arial" w:hAnsi="Arial"/>
            <w:sz w:val="16"/>
            <w:szCs w:val="16"/>
            <w:u w:val="single" w:color="auto"/>
            <w:color w:val="0000EE"/>
          </w:rPr>
          <w:t>– Form of Floating Rate Senior Notes due 2019 (included in Exhibit 4.14)</w:t>
        </w:r>
      </w:hyperlink>
    </w:p>
    <w:p>
      <w:pPr>
        <w:spacing w:after="0" w:line="72"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r:id="rId90">
        <w:r>
          <w:rPr>
            <w:rFonts w:ascii="Arial" w:cs="Arial" w:eastAsia="Arial" w:hAnsi="Arial"/>
            <w:sz w:val="16"/>
            <w:szCs w:val="16"/>
            <w:u w:val="single" w:color="auto"/>
            <w:color w:val="0000EE"/>
          </w:rPr>
          <w:t>– Form of 3.500% Senior Notes due 2027 (included in Exhibit 4.14)</w:t>
        </w:r>
      </w:hyperlink>
    </w:p>
    <w:p>
      <w:pPr>
        <w:spacing w:after="0" w:line="72"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r:id="rId90">
        <w:r>
          <w:rPr>
            <w:rFonts w:ascii="Arial" w:cs="Arial" w:eastAsia="Arial" w:hAnsi="Arial"/>
            <w:sz w:val="16"/>
            <w:szCs w:val="16"/>
            <w:u w:val="single" w:color="auto"/>
            <w:color w:val="0000EE"/>
          </w:rPr>
          <w:t>– Form of 4.250% Senior Notes due 2047 (included in Exhibit 4.14)</w:t>
        </w:r>
      </w:hyperlink>
    </w:p>
    <w:p>
      <w:pPr>
        <w:spacing w:after="0" w:line="45" w:lineRule="exact"/>
        <w:rPr>
          <w:rFonts w:ascii="Arial" w:cs="Arial" w:eastAsia="Arial" w:hAnsi="Arial"/>
          <w:sz w:val="16"/>
          <w:szCs w:val="16"/>
          <w:u w:val="single" w:color="auto"/>
          <w:color w:val="0000EE"/>
        </w:rPr>
      </w:pPr>
    </w:p>
    <w:p>
      <w:pPr>
        <w:ind w:right="20"/>
        <w:spacing w:after="0" w:line="251" w:lineRule="auto"/>
        <w:rPr>
          <w:rFonts w:ascii="Arial" w:cs="Arial" w:eastAsia="Arial" w:hAnsi="Arial"/>
          <w:sz w:val="16"/>
          <w:szCs w:val="16"/>
          <w:u w:val="single" w:color="auto"/>
          <w:color w:val="0000EE"/>
        </w:rPr>
      </w:pPr>
      <w:hyperlink r:id="rId94">
        <w:r>
          <w:rPr>
            <w:rFonts w:ascii="Arial" w:cs="Arial" w:eastAsia="Arial" w:hAnsi="Arial"/>
            <w:sz w:val="16"/>
            <w:szCs w:val="16"/>
            <w:u w:val="single" w:color="auto"/>
            <w:color w:val="0000EE"/>
          </w:rPr>
          <w:t>– $700,000,000 Credit Agreement dated as of December 5, 2016 among Martin Marietta Materials, Inc., JPMorgan Chase Bank, N.A., as</w:t>
        </w:r>
      </w:hyperlink>
      <w:r>
        <w:rPr>
          <w:rFonts w:ascii="Arial" w:cs="Arial" w:eastAsia="Arial" w:hAnsi="Arial"/>
          <w:sz w:val="16"/>
          <w:szCs w:val="16"/>
          <w:u w:val="single" w:color="auto"/>
          <w:color w:val="0000EE"/>
        </w:rPr>
        <w:t xml:space="preserve"> </w:t>
      </w:r>
      <w:hyperlink r:id="rId94">
        <w:r>
          <w:rPr>
            <w:rFonts w:ascii="Arial" w:cs="Arial" w:eastAsia="Arial" w:hAnsi="Arial"/>
            <w:sz w:val="16"/>
            <w:szCs w:val="16"/>
            <w:u w:val="single" w:color="auto"/>
            <w:color w:val="0000EE"/>
          </w:rPr>
          <w:t>Administrative Agent, and Wells Fargo Bank, N.A., Branch Banking and Trust Company, SunTrust Bank, and Deutsche Bank Securities Inc., as</w:t>
        </w:r>
      </w:hyperlink>
      <w:r>
        <w:rPr>
          <w:rFonts w:ascii="Arial" w:cs="Arial" w:eastAsia="Arial" w:hAnsi="Arial"/>
          <w:sz w:val="16"/>
          <w:szCs w:val="16"/>
          <w:u w:val="single" w:color="auto"/>
          <w:color w:val="0000EE"/>
        </w:rPr>
        <w:t xml:space="preserve"> </w:t>
      </w:r>
      <w:hyperlink r:id="rId94">
        <w:r>
          <w:rPr>
            <w:rFonts w:ascii="Arial" w:cs="Arial" w:eastAsia="Arial" w:hAnsi="Arial"/>
            <w:sz w:val="16"/>
            <w:szCs w:val="16"/>
            <w:u w:val="single" w:color="auto"/>
            <w:color w:val="0000EE"/>
          </w:rPr>
          <w:t>Co-Syndication Agents (incorporated by reference to Exhibit 10.01 to the Martin Marietta Materials, Inc., Current Report on Form 8-K filed on</w:t>
        </w:r>
      </w:hyperlink>
      <w:r>
        <w:rPr>
          <w:rFonts w:ascii="Arial" w:cs="Arial" w:eastAsia="Arial" w:hAnsi="Arial"/>
          <w:sz w:val="16"/>
          <w:szCs w:val="16"/>
          <w:u w:val="single" w:color="auto"/>
          <w:color w:val="0000EE"/>
        </w:rPr>
        <w:t xml:space="preserve"> </w:t>
      </w:r>
      <w:hyperlink r:id="rId94">
        <w:r>
          <w:rPr>
            <w:rFonts w:ascii="Arial" w:cs="Arial" w:eastAsia="Arial" w:hAnsi="Arial"/>
            <w:sz w:val="16"/>
            <w:szCs w:val="16"/>
            <w:u w:val="single" w:color="auto"/>
            <w:color w:val="0000EE"/>
          </w:rPr>
          <w:t>December 7, 2016) (Commission File No. 1-12744)</w:t>
        </w:r>
      </w:hyperlink>
    </w:p>
    <w:p>
      <w:pPr>
        <w:spacing w:after="0" w:line="27" w:lineRule="exact"/>
        <w:rPr>
          <w:rFonts w:ascii="Arial" w:cs="Arial" w:eastAsia="Arial" w:hAnsi="Arial"/>
          <w:sz w:val="16"/>
          <w:szCs w:val="16"/>
          <w:u w:val="single" w:color="auto"/>
          <w:color w:val="0000EE"/>
        </w:rPr>
      </w:pPr>
    </w:p>
    <w:p>
      <w:pPr>
        <w:ind w:right="40"/>
        <w:spacing w:after="0" w:line="251" w:lineRule="auto"/>
        <w:rPr>
          <w:rFonts w:ascii="Arial" w:cs="Arial" w:eastAsia="Arial" w:hAnsi="Arial"/>
          <w:sz w:val="16"/>
          <w:szCs w:val="16"/>
          <w:u w:val="single" w:color="auto"/>
          <w:color w:val="0000EE"/>
        </w:rPr>
      </w:pPr>
      <w:hyperlink r:id="rId95">
        <w:r>
          <w:rPr>
            <w:rFonts w:ascii="Arial" w:cs="Arial" w:eastAsia="Arial" w:hAnsi="Arial"/>
            <w:sz w:val="16"/>
            <w:szCs w:val="16"/>
            <w:u w:val="single" w:color="auto"/>
            <w:color w:val="0000EE"/>
          </w:rPr>
          <w:t>– Credit and Security Agreement dated as of April 19, 2013, among Martin Marietta Funding LLC, as borrower, Martin Marietta Materials, Inc.,</w:t>
        </w:r>
      </w:hyperlink>
      <w:r>
        <w:rPr>
          <w:rFonts w:ascii="Arial" w:cs="Arial" w:eastAsia="Arial" w:hAnsi="Arial"/>
          <w:sz w:val="16"/>
          <w:szCs w:val="16"/>
          <w:u w:val="single" w:color="auto"/>
          <w:color w:val="0000EE"/>
        </w:rPr>
        <w:t xml:space="preserve"> </w:t>
      </w:r>
      <w:hyperlink r:id="rId95">
        <w:r>
          <w:rPr>
            <w:rFonts w:ascii="Arial" w:cs="Arial" w:eastAsia="Arial" w:hAnsi="Arial"/>
            <w:sz w:val="16"/>
            <w:szCs w:val="16"/>
            <w:u w:val="single" w:color="auto"/>
            <w:color w:val="0000EE"/>
          </w:rPr>
          <w:t>as servicer, and SunTrust Bank, as lender together with the other lenders from time to time party thereto, and SunTrust Bank, as administrative</w:t>
        </w:r>
      </w:hyperlink>
      <w:r>
        <w:rPr>
          <w:rFonts w:ascii="Arial" w:cs="Arial" w:eastAsia="Arial" w:hAnsi="Arial"/>
          <w:sz w:val="16"/>
          <w:szCs w:val="16"/>
          <w:u w:val="single" w:color="auto"/>
          <w:color w:val="0000EE"/>
        </w:rPr>
        <w:t xml:space="preserve"> </w:t>
      </w:r>
      <w:hyperlink r:id="rId95">
        <w:r>
          <w:rPr>
            <w:rFonts w:ascii="Arial" w:cs="Arial" w:eastAsia="Arial" w:hAnsi="Arial"/>
            <w:sz w:val="16"/>
            <w:szCs w:val="16"/>
            <w:u w:val="single" w:color="auto"/>
            <w:color w:val="0000EE"/>
          </w:rPr>
          <w:t>agent for the lenders (incorporated by reference to Exhibit 10.01 to the Martin Marietta Materials, Inc. Current Report on Form 8-K filed on</w:t>
        </w:r>
      </w:hyperlink>
      <w:r>
        <w:rPr>
          <w:rFonts w:ascii="Arial" w:cs="Arial" w:eastAsia="Arial" w:hAnsi="Arial"/>
          <w:sz w:val="16"/>
          <w:szCs w:val="16"/>
          <w:u w:val="single" w:color="auto"/>
          <w:color w:val="0000EE"/>
        </w:rPr>
        <w:t xml:space="preserve"> </w:t>
      </w:r>
      <w:hyperlink r:id="rId95">
        <w:r>
          <w:rPr>
            <w:rFonts w:ascii="Arial" w:cs="Arial" w:eastAsia="Arial" w:hAnsi="Arial"/>
            <w:sz w:val="16"/>
            <w:szCs w:val="16"/>
            <w:u w:val="single" w:color="auto"/>
            <w:color w:val="0000EE"/>
          </w:rPr>
          <w:t>April 24, 2013) (Commission File No. 1- 12744)</w:t>
        </w:r>
      </w:hyperlink>
    </w:p>
    <w:p>
      <w:pPr>
        <w:spacing w:after="0" w:line="27" w:lineRule="exact"/>
        <w:rPr>
          <w:rFonts w:ascii="Arial" w:cs="Arial" w:eastAsia="Arial" w:hAnsi="Arial"/>
          <w:sz w:val="16"/>
          <w:szCs w:val="16"/>
          <w:u w:val="single" w:color="auto"/>
          <w:color w:val="0000EE"/>
        </w:rPr>
      </w:pPr>
    </w:p>
    <w:p>
      <w:pPr>
        <w:ind w:right="60"/>
        <w:spacing w:after="0" w:line="251" w:lineRule="auto"/>
        <w:rPr>
          <w:rFonts w:ascii="Arial" w:cs="Arial" w:eastAsia="Arial" w:hAnsi="Arial"/>
          <w:sz w:val="16"/>
          <w:szCs w:val="16"/>
          <w:u w:val="single" w:color="auto"/>
          <w:color w:val="0000EE"/>
        </w:rPr>
      </w:pPr>
      <w:hyperlink r:id="rId96">
        <w:r>
          <w:rPr>
            <w:rFonts w:ascii="Arial" w:cs="Arial" w:eastAsia="Arial" w:hAnsi="Arial"/>
            <w:sz w:val="16"/>
            <w:szCs w:val="16"/>
            <w:u w:val="single" w:color="auto"/>
            <w:color w:val="0000EE"/>
          </w:rPr>
          <w:t>– Commitment Letter dated as of June 20, 2014 to the Credit and Security Agreement, dated as of April 19, 2013 (as last amended April 18,</w:t>
        </w:r>
      </w:hyperlink>
      <w:r>
        <w:rPr>
          <w:rFonts w:ascii="Arial" w:cs="Arial" w:eastAsia="Arial" w:hAnsi="Arial"/>
          <w:sz w:val="16"/>
          <w:szCs w:val="16"/>
          <w:u w:val="single" w:color="auto"/>
          <w:color w:val="0000EE"/>
        </w:rPr>
        <w:t xml:space="preserve"> </w:t>
      </w:r>
      <w:hyperlink r:id="rId96">
        <w:r>
          <w:rPr>
            <w:rFonts w:ascii="Arial" w:cs="Arial" w:eastAsia="Arial" w:hAnsi="Arial"/>
            <w:sz w:val="16"/>
            <w:szCs w:val="16"/>
            <w:u w:val="single" w:color="auto"/>
            <w:color w:val="0000EE"/>
          </w:rPr>
          <w:t>2014), among Martin Marietta Funding LLC, as borrower, Martin Marietta Materials, Inc., as servicer, and SunTrust Bank, as lender together</w:t>
        </w:r>
      </w:hyperlink>
      <w:r>
        <w:rPr>
          <w:rFonts w:ascii="Arial" w:cs="Arial" w:eastAsia="Arial" w:hAnsi="Arial"/>
          <w:sz w:val="16"/>
          <w:szCs w:val="16"/>
          <w:u w:val="single" w:color="auto"/>
          <w:color w:val="0000EE"/>
        </w:rPr>
        <w:t xml:space="preserve"> </w:t>
      </w:r>
      <w:hyperlink r:id="rId96">
        <w:r>
          <w:rPr>
            <w:rFonts w:ascii="Arial" w:cs="Arial" w:eastAsia="Arial" w:hAnsi="Arial"/>
            <w:sz w:val="16"/>
            <w:szCs w:val="16"/>
            <w:u w:val="single" w:color="auto"/>
            <w:color w:val="0000EE"/>
          </w:rPr>
          <w:t>with the other lenders from time to time party thereto, and SunTrust Bank, as administrative agent for the lenders (incorporated by reference to</w:t>
        </w:r>
      </w:hyperlink>
      <w:r>
        <w:rPr>
          <w:rFonts w:ascii="Arial" w:cs="Arial" w:eastAsia="Arial" w:hAnsi="Arial"/>
          <w:sz w:val="16"/>
          <w:szCs w:val="16"/>
          <w:u w:val="single" w:color="auto"/>
          <w:color w:val="0000EE"/>
        </w:rPr>
        <w:t xml:space="preserve"> </w:t>
      </w:r>
      <w:hyperlink r:id="rId96">
        <w:r>
          <w:rPr>
            <w:rFonts w:ascii="Arial" w:cs="Arial" w:eastAsia="Arial" w:hAnsi="Arial"/>
            <w:sz w:val="16"/>
            <w:szCs w:val="16"/>
            <w:u w:val="single" w:color="auto"/>
            <w:color w:val="0000EE"/>
          </w:rPr>
          <w:t>Exhibit 10.01 to the Martin Marietta Materials, Inc. Current Report on Form 8-K filed on June 25, 2014) (Commission File No. 1- 12744)</w:t>
        </w:r>
      </w:hyperlink>
    </w:p>
    <w:p>
      <w:pPr>
        <w:spacing w:after="0" w:line="27" w:lineRule="exact"/>
        <w:rPr>
          <w:rFonts w:ascii="Arial" w:cs="Arial" w:eastAsia="Arial" w:hAnsi="Arial"/>
          <w:sz w:val="16"/>
          <w:szCs w:val="16"/>
          <w:u w:val="single" w:color="auto"/>
          <w:color w:val="0000EE"/>
        </w:rPr>
      </w:pPr>
    </w:p>
    <w:p>
      <w:pPr>
        <w:ind w:right="20"/>
        <w:spacing w:after="0" w:line="251" w:lineRule="auto"/>
        <w:rPr>
          <w:rFonts w:ascii="Arial" w:cs="Arial" w:eastAsia="Arial" w:hAnsi="Arial"/>
          <w:sz w:val="16"/>
          <w:szCs w:val="16"/>
          <w:u w:val="single" w:color="auto"/>
          <w:color w:val="0000EE"/>
        </w:rPr>
      </w:pPr>
      <w:hyperlink r:id="rId97">
        <w:r>
          <w:rPr>
            <w:rFonts w:ascii="Arial" w:cs="Arial" w:eastAsia="Arial" w:hAnsi="Arial"/>
            <w:sz w:val="16"/>
            <w:szCs w:val="16"/>
            <w:u w:val="single" w:color="auto"/>
            <w:color w:val="0000EE"/>
          </w:rPr>
          <w:t>– Second Amendment to Credit and Security Agreement, dated as of April 18, 2014, among Martin Marietta Funding LLC, as borrower, Martin</w:t>
        </w:r>
      </w:hyperlink>
      <w:r>
        <w:rPr>
          <w:rFonts w:ascii="Arial" w:cs="Arial" w:eastAsia="Arial" w:hAnsi="Arial"/>
          <w:sz w:val="16"/>
          <w:szCs w:val="16"/>
          <w:u w:val="single" w:color="auto"/>
          <w:color w:val="0000EE"/>
        </w:rPr>
        <w:t xml:space="preserve"> </w:t>
      </w:r>
      <w:hyperlink r:id="rId97">
        <w:r>
          <w:rPr>
            <w:rFonts w:ascii="Arial" w:cs="Arial" w:eastAsia="Arial" w:hAnsi="Arial"/>
            <w:sz w:val="16"/>
            <w:szCs w:val="16"/>
            <w:u w:val="single" w:color="auto"/>
            <w:color w:val="0000EE"/>
          </w:rPr>
          <w:t>Marietta Materials, Inc., as servicer, and SunTrust Bank, as lender together with the other lenders from time to time party thereto, and SunTrust</w:t>
        </w:r>
      </w:hyperlink>
      <w:r>
        <w:rPr>
          <w:rFonts w:ascii="Arial" w:cs="Arial" w:eastAsia="Arial" w:hAnsi="Arial"/>
          <w:sz w:val="16"/>
          <w:szCs w:val="16"/>
          <w:u w:val="single" w:color="auto"/>
          <w:color w:val="0000EE"/>
        </w:rPr>
        <w:t xml:space="preserve"> </w:t>
      </w:r>
      <w:hyperlink r:id="rId97">
        <w:r>
          <w:rPr>
            <w:rFonts w:ascii="Arial" w:cs="Arial" w:eastAsia="Arial" w:hAnsi="Arial"/>
            <w:sz w:val="16"/>
            <w:szCs w:val="16"/>
            <w:u w:val="single" w:color="auto"/>
            <w:color w:val="0000EE"/>
          </w:rPr>
          <w:t>Bank, as administrative agent for the lenders (incorporated by reference to Exhibit 10.02 to the Martin Marietta Materials, Inc. Current Report</w:t>
        </w:r>
      </w:hyperlink>
      <w:r>
        <w:rPr>
          <w:rFonts w:ascii="Arial" w:cs="Arial" w:eastAsia="Arial" w:hAnsi="Arial"/>
          <w:sz w:val="16"/>
          <w:szCs w:val="16"/>
          <w:u w:val="single" w:color="auto"/>
          <w:color w:val="0000EE"/>
        </w:rPr>
        <w:t xml:space="preserve"> </w:t>
      </w:r>
      <w:hyperlink r:id="rId97">
        <w:r>
          <w:rPr>
            <w:rFonts w:ascii="Arial" w:cs="Arial" w:eastAsia="Arial" w:hAnsi="Arial"/>
            <w:sz w:val="16"/>
            <w:szCs w:val="16"/>
            <w:u w:val="single" w:color="auto"/>
            <w:color w:val="0000EE"/>
          </w:rPr>
          <w:t>on Form 8-K filed on April 24, 2014) (Commission File No. 1-12744)</w:t>
        </w:r>
      </w:hyperlink>
    </w:p>
    <w:p>
      <w:pPr>
        <w:spacing w:after="0" w:line="27" w:lineRule="exact"/>
        <w:rPr>
          <w:rFonts w:ascii="Arial" w:cs="Arial" w:eastAsia="Arial" w:hAnsi="Arial"/>
          <w:sz w:val="16"/>
          <w:szCs w:val="16"/>
          <w:u w:val="single" w:color="auto"/>
          <w:color w:val="0000EE"/>
        </w:rPr>
      </w:pPr>
    </w:p>
    <w:p>
      <w:pPr>
        <w:ind w:right="40"/>
        <w:spacing w:after="0" w:line="251" w:lineRule="auto"/>
        <w:rPr>
          <w:rFonts w:ascii="Arial" w:cs="Arial" w:eastAsia="Arial" w:hAnsi="Arial"/>
          <w:sz w:val="16"/>
          <w:szCs w:val="16"/>
          <w:u w:val="single" w:color="auto"/>
          <w:color w:val="0000EE"/>
        </w:rPr>
      </w:pPr>
      <w:hyperlink r:id="rId98">
        <w:r>
          <w:rPr>
            <w:rFonts w:ascii="Arial" w:cs="Arial" w:eastAsia="Arial" w:hAnsi="Arial"/>
            <w:sz w:val="16"/>
            <w:szCs w:val="16"/>
            <w:u w:val="single" w:color="auto"/>
            <w:color w:val="0000EE"/>
          </w:rPr>
          <w:t>– Fifth Amendment to Credit and Security Agreement, dated as of September 30, 2014, among Martin Marietta Funding LLC, as borrower,</w:t>
        </w:r>
      </w:hyperlink>
      <w:r>
        <w:rPr>
          <w:rFonts w:ascii="Arial" w:cs="Arial" w:eastAsia="Arial" w:hAnsi="Arial"/>
          <w:sz w:val="16"/>
          <w:szCs w:val="16"/>
          <w:u w:val="single" w:color="auto"/>
          <w:color w:val="0000EE"/>
        </w:rPr>
        <w:t xml:space="preserve"> </w:t>
      </w:r>
      <w:hyperlink r:id="rId98">
        <w:r>
          <w:rPr>
            <w:rFonts w:ascii="Arial" w:cs="Arial" w:eastAsia="Arial" w:hAnsi="Arial"/>
            <w:sz w:val="16"/>
            <w:szCs w:val="16"/>
            <w:u w:val="single" w:color="auto"/>
            <w:color w:val="0000EE"/>
          </w:rPr>
          <w:t>Martin Marietta Materials, Inc., as servicer, and SunTrust Bank, as lender together with the other lenders from time to time party thereto, and</w:t>
        </w:r>
      </w:hyperlink>
      <w:r>
        <w:rPr>
          <w:rFonts w:ascii="Arial" w:cs="Arial" w:eastAsia="Arial" w:hAnsi="Arial"/>
          <w:sz w:val="16"/>
          <w:szCs w:val="16"/>
          <w:u w:val="single" w:color="auto"/>
          <w:color w:val="0000EE"/>
        </w:rPr>
        <w:t xml:space="preserve"> </w:t>
      </w:r>
      <w:hyperlink r:id="rId98">
        <w:r>
          <w:rPr>
            <w:rFonts w:ascii="Arial" w:cs="Arial" w:eastAsia="Arial" w:hAnsi="Arial"/>
            <w:sz w:val="16"/>
            <w:szCs w:val="16"/>
            <w:u w:val="single" w:color="auto"/>
            <w:color w:val="0000EE"/>
          </w:rPr>
          <w:t>SunTrust Bank, as administrative agent for the lenders (incorporated by reference to Exhibit 10.01 to the Martin Marietta Materials, Inc. Current</w:t>
        </w:r>
      </w:hyperlink>
      <w:r>
        <w:rPr>
          <w:rFonts w:ascii="Arial" w:cs="Arial" w:eastAsia="Arial" w:hAnsi="Arial"/>
          <w:sz w:val="16"/>
          <w:szCs w:val="16"/>
          <w:u w:val="single" w:color="auto"/>
          <w:color w:val="0000EE"/>
        </w:rPr>
        <w:t xml:space="preserve"> </w:t>
      </w:r>
      <w:hyperlink r:id="rId98">
        <w:r>
          <w:rPr>
            <w:rFonts w:ascii="Arial" w:cs="Arial" w:eastAsia="Arial" w:hAnsi="Arial"/>
            <w:sz w:val="16"/>
            <w:szCs w:val="16"/>
            <w:u w:val="single" w:color="auto"/>
            <w:color w:val="0000EE"/>
          </w:rPr>
          <w:t>Report on Form 8-K filed on October 3, 2014) (Commission File No. 1-12744)</w:t>
        </w:r>
      </w:hyperlink>
    </w:p>
    <w:p>
      <w:pPr>
        <w:spacing w:after="0" w:line="27" w:lineRule="exact"/>
        <w:rPr>
          <w:rFonts w:ascii="Arial" w:cs="Arial" w:eastAsia="Arial" w:hAnsi="Arial"/>
          <w:sz w:val="16"/>
          <w:szCs w:val="16"/>
          <w:u w:val="single" w:color="auto"/>
          <w:color w:val="0000EE"/>
        </w:rPr>
      </w:pPr>
    </w:p>
    <w:p>
      <w:pPr>
        <w:ind w:right="40"/>
        <w:spacing w:after="0" w:line="251" w:lineRule="auto"/>
        <w:rPr>
          <w:rFonts w:ascii="Arial" w:cs="Arial" w:eastAsia="Arial" w:hAnsi="Arial"/>
          <w:sz w:val="16"/>
          <w:szCs w:val="16"/>
          <w:u w:val="single" w:color="auto"/>
          <w:color w:val="0000EE"/>
        </w:rPr>
      </w:pPr>
      <w:hyperlink r:id="rId99">
        <w:r>
          <w:rPr>
            <w:rFonts w:ascii="Arial" w:cs="Arial" w:eastAsia="Arial" w:hAnsi="Arial"/>
            <w:sz w:val="16"/>
            <w:szCs w:val="16"/>
            <w:u w:val="single" w:color="auto"/>
            <w:color w:val="0000EE"/>
          </w:rPr>
          <w:t>– Seventh Amendment to Credit and Security Agreement, dated as of September 28, 2016, among Martin Marietta Funding LLC, as borrower,</w:t>
        </w:r>
      </w:hyperlink>
      <w:r>
        <w:rPr>
          <w:rFonts w:ascii="Arial" w:cs="Arial" w:eastAsia="Arial" w:hAnsi="Arial"/>
          <w:sz w:val="16"/>
          <w:szCs w:val="16"/>
          <w:u w:val="single" w:color="auto"/>
          <w:color w:val="0000EE"/>
        </w:rPr>
        <w:t xml:space="preserve"> </w:t>
      </w:r>
      <w:hyperlink r:id="rId99">
        <w:r>
          <w:rPr>
            <w:rFonts w:ascii="Arial" w:cs="Arial" w:eastAsia="Arial" w:hAnsi="Arial"/>
            <w:sz w:val="16"/>
            <w:szCs w:val="16"/>
            <w:u w:val="single" w:color="auto"/>
            <w:color w:val="0000EE"/>
          </w:rPr>
          <w:t>Martin Marietta Materials, Inc., as servicer, and SunTrust Bank, as lender together with the other lenders from time to time party thereto, and</w:t>
        </w:r>
      </w:hyperlink>
      <w:r>
        <w:rPr>
          <w:rFonts w:ascii="Arial" w:cs="Arial" w:eastAsia="Arial" w:hAnsi="Arial"/>
          <w:sz w:val="16"/>
          <w:szCs w:val="16"/>
          <w:u w:val="single" w:color="auto"/>
          <w:color w:val="0000EE"/>
        </w:rPr>
        <w:t xml:space="preserve"> </w:t>
      </w:r>
      <w:hyperlink r:id="rId99">
        <w:r>
          <w:rPr>
            <w:rFonts w:ascii="Arial" w:cs="Arial" w:eastAsia="Arial" w:hAnsi="Arial"/>
            <w:sz w:val="16"/>
            <w:szCs w:val="16"/>
            <w:u w:val="single" w:color="auto"/>
            <w:color w:val="0000EE"/>
          </w:rPr>
          <w:t>SunTrust Bank, as administrative agent for the lenders (incorporated by reference to Exhibit 10.01 to the Martin Marietta Materials, Inc. Current</w:t>
        </w:r>
      </w:hyperlink>
      <w:r>
        <w:rPr>
          <w:rFonts w:ascii="Arial" w:cs="Arial" w:eastAsia="Arial" w:hAnsi="Arial"/>
          <w:sz w:val="16"/>
          <w:szCs w:val="16"/>
          <w:u w:val="single" w:color="auto"/>
          <w:color w:val="0000EE"/>
        </w:rPr>
        <w:t xml:space="preserve"> </w:t>
      </w:r>
      <w:hyperlink r:id="rId99">
        <w:r>
          <w:rPr>
            <w:rFonts w:ascii="Arial" w:cs="Arial" w:eastAsia="Arial" w:hAnsi="Arial"/>
            <w:sz w:val="16"/>
            <w:szCs w:val="16"/>
            <w:u w:val="single" w:color="auto"/>
            <w:color w:val="0000EE"/>
          </w:rPr>
          <w:t>Report on Form 8-K filed on September 30, 2016) (Commission File No. 1-12744)</w:t>
        </w:r>
      </w:hyperlink>
    </w:p>
    <w:p>
      <w:pPr>
        <w:spacing w:after="0" w:line="27" w:lineRule="exact"/>
        <w:rPr>
          <w:rFonts w:ascii="Arial" w:cs="Arial" w:eastAsia="Arial" w:hAnsi="Arial"/>
          <w:sz w:val="16"/>
          <w:szCs w:val="16"/>
          <w:u w:val="single" w:color="auto"/>
          <w:color w:val="0000EE"/>
        </w:rPr>
      </w:pPr>
    </w:p>
    <w:p>
      <w:pPr>
        <w:ind w:right="20"/>
        <w:spacing w:after="0" w:line="251" w:lineRule="auto"/>
        <w:rPr>
          <w:rFonts w:ascii="Arial" w:cs="Arial" w:eastAsia="Arial" w:hAnsi="Arial"/>
          <w:sz w:val="16"/>
          <w:szCs w:val="16"/>
          <w:u w:val="single" w:color="auto"/>
          <w:color w:val="0000EE"/>
        </w:rPr>
      </w:pPr>
      <w:hyperlink r:id="rId100">
        <w:r>
          <w:rPr>
            <w:rFonts w:ascii="Arial" w:cs="Arial" w:eastAsia="Arial" w:hAnsi="Arial"/>
            <w:sz w:val="16"/>
            <w:szCs w:val="16"/>
            <w:u w:val="single" w:color="auto"/>
            <w:color w:val="0000EE"/>
          </w:rPr>
          <w:t>– Ninth Amendment to Credit and Security Agreement, dated as of April 17, 2018, among Martin Marietta Funding LLC, as borrower, Martin</w:t>
        </w:r>
      </w:hyperlink>
      <w:r>
        <w:rPr>
          <w:rFonts w:ascii="Arial" w:cs="Arial" w:eastAsia="Arial" w:hAnsi="Arial"/>
          <w:sz w:val="16"/>
          <w:szCs w:val="16"/>
          <w:u w:val="single" w:color="auto"/>
          <w:color w:val="0000EE"/>
        </w:rPr>
        <w:t xml:space="preserve"> </w:t>
      </w:r>
      <w:hyperlink r:id="rId100">
        <w:r>
          <w:rPr>
            <w:rFonts w:ascii="Arial" w:cs="Arial" w:eastAsia="Arial" w:hAnsi="Arial"/>
            <w:sz w:val="16"/>
            <w:szCs w:val="16"/>
            <w:u w:val="single" w:color="auto"/>
            <w:color w:val="0000EE"/>
          </w:rPr>
          <w:t>Marietta Materials, Inc., as servicer, and SunTrust Bank, as lender together with the other lenders from time to time party thereto, and SunTrust</w:t>
        </w:r>
      </w:hyperlink>
      <w:r>
        <w:rPr>
          <w:rFonts w:ascii="Arial" w:cs="Arial" w:eastAsia="Arial" w:hAnsi="Arial"/>
          <w:sz w:val="16"/>
          <w:szCs w:val="16"/>
          <w:u w:val="single" w:color="auto"/>
          <w:color w:val="0000EE"/>
        </w:rPr>
        <w:t xml:space="preserve"> </w:t>
      </w:r>
      <w:hyperlink r:id="rId100">
        <w:r>
          <w:rPr>
            <w:rFonts w:ascii="Arial" w:cs="Arial" w:eastAsia="Arial" w:hAnsi="Arial"/>
            <w:sz w:val="16"/>
            <w:szCs w:val="16"/>
            <w:u w:val="single" w:color="auto"/>
            <w:color w:val="0000EE"/>
          </w:rPr>
          <w:t>Bank, as administrative agent for the lenders (incorporated by reference to Exhibit 10.1 to the Martin Marietta Materials, Inc. Current Report on</w:t>
        </w:r>
      </w:hyperlink>
      <w:r>
        <w:rPr>
          <w:rFonts w:ascii="Arial" w:cs="Arial" w:eastAsia="Arial" w:hAnsi="Arial"/>
          <w:sz w:val="16"/>
          <w:szCs w:val="16"/>
          <w:u w:val="single" w:color="auto"/>
          <w:color w:val="0000EE"/>
        </w:rPr>
        <w:t xml:space="preserve"> </w:t>
      </w:r>
      <w:hyperlink r:id="rId100">
        <w:r>
          <w:rPr>
            <w:rFonts w:ascii="Arial" w:cs="Arial" w:eastAsia="Arial" w:hAnsi="Arial"/>
            <w:sz w:val="16"/>
            <w:szCs w:val="16"/>
            <w:u w:val="single" w:color="auto"/>
            <w:color w:val="0000EE"/>
          </w:rPr>
          <w:t>Form 8-K filed on April 17, 2018) (Commission File No. 1-12744)</w:t>
        </w:r>
      </w:hyperlink>
    </w:p>
    <w:p>
      <w:pPr>
        <w:spacing w:after="0" w:line="27" w:lineRule="exact"/>
        <w:rPr>
          <w:rFonts w:ascii="Arial" w:cs="Arial" w:eastAsia="Arial" w:hAnsi="Arial"/>
          <w:sz w:val="16"/>
          <w:szCs w:val="16"/>
          <w:u w:val="single" w:color="auto"/>
          <w:color w:val="0000EE"/>
        </w:rPr>
      </w:pPr>
    </w:p>
    <w:p>
      <w:pPr>
        <w:ind w:right="120"/>
        <w:spacing w:after="0" w:line="251" w:lineRule="auto"/>
        <w:rPr>
          <w:rFonts w:ascii="Arial" w:cs="Arial" w:eastAsia="Arial" w:hAnsi="Arial"/>
          <w:sz w:val="16"/>
          <w:szCs w:val="16"/>
          <w:u w:val="single" w:color="auto"/>
          <w:color w:val="0000EE"/>
        </w:rPr>
      </w:pPr>
      <w:hyperlink r:id="rId101">
        <w:r>
          <w:rPr>
            <w:rFonts w:ascii="Arial" w:cs="Arial" w:eastAsia="Arial" w:hAnsi="Arial"/>
            <w:sz w:val="16"/>
            <w:szCs w:val="16"/>
            <w:u w:val="single" w:color="auto"/>
            <w:color w:val="0000EE"/>
          </w:rPr>
          <w:t>– Tenth Amendment to Credit and Security Agreement, dated as of September 28, 2018, among Martin Marietta Funding LLC, as borrower,</w:t>
        </w:r>
      </w:hyperlink>
      <w:r>
        <w:rPr>
          <w:rFonts w:ascii="Arial" w:cs="Arial" w:eastAsia="Arial" w:hAnsi="Arial"/>
          <w:sz w:val="16"/>
          <w:szCs w:val="16"/>
          <w:u w:val="single" w:color="auto"/>
          <w:color w:val="0000EE"/>
        </w:rPr>
        <w:t xml:space="preserve"> </w:t>
      </w:r>
      <w:hyperlink r:id="rId101">
        <w:r>
          <w:rPr>
            <w:rFonts w:ascii="Arial" w:cs="Arial" w:eastAsia="Arial" w:hAnsi="Arial"/>
            <w:sz w:val="16"/>
            <w:szCs w:val="16"/>
            <w:u w:val="single" w:color="auto"/>
            <w:color w:val="0000EE"/>
          </w:rPr>
          <w:t>Martin Marietta Materials, Inc., as servicer, and SunTrust Bank, as lender together with the other lenders from time to time party thereto, and</w:t>
        </w:r>
      </w:hyperlink>
      <w:r>
        <w:rPr>
          <w:rFonts w:ascii="Arial" w:cs="Arial" w:eastAsia="Arial" w:hAnsi="Arial"/>
          <w:sz w:val="16"/>
          <w:szCs w:val="16"/>
          <w:u w:val="single" w:color="auto"/>
          <w:color w:val="0000EE"/>
        </w:rPr>
        <w:t xml:space="preserve"> </w:t>
      </w:r>
      <w:hyperlink r:id="rId101">
        <w:r>
          <w:rPr>
            <w:rFonts w:ascii="Arial" w:cs="Arial" w:eastAsia="Arial" w:hAnsi="Arial"/>
            <w:sz w:val="16"/>
            <w:szCs w:val="16"/>
            <w:u w:val="single" w:color="auto"/>
            <w:color w:val="0000EE"/>
          </w:rPr>
          <w:t>SunTrust Bank, as administrative agent for the lenders (incorporated by reference to Exhibit 10.1 to the Martin Marietta Materials, Inc. Current</w:t>
        </w:r>
      </w:hyperlink>
      <w:r>
        <w:rPr>
          <w:rFonts w:ascii="Arial" w:cs="Arial" w:eastAsia="Arial" w:hAnsi="Arial"/>
          <w:sz w:val="16"/>
          <w:szCs w:val="16"/>
          <w:u w:val="single" w:color="auto"/>
          <w:color w:val="0000EE"/>
        </w:rPr>
        <w:t xml:space="preserve"> </w:t>
      </w:r>
      <w:hyperlink r:id="rId101">
        <w:r>
          <w:rPr>
            <w:rFonts w:ascii="Arial" w:cs="Arial" w:eastAsia="Arial" w:hAnsi="Arial"/>
            <w:sz w:val="16"/>
            <w:szCs w:val="16"/>
            <w:u w:val="single" w:color="auto"/>
            <w:color w:val="0000EE"/>
          </w:rPr>
          <w:t>Report on Form 8-K filed on September 25, 2018) (Commission File No. 1-12744)</w:t>
        </w:r>
      </w:hyperlink>
    </w:p>
    <w:p>
      <w:pPr>
        <w:spacing w:after="0" w:line="27" w:lineRule="exact"/>
        <w:rPr>
          <w:rFonts w:ascii="Arial" w:cs="Arial" w:eastAsia="Arial" w:hAnsi="Arial"/>
          <w:sz w:val="16"/>
          <w:szCs w:val="16"/>
          <w:u w:val="single" w:color="auto"/>
          <w:color w:val="0000EE"/>
        </w:rPr>
      </w:pPr>
    </w:p>
    <w:p>
      <w:pPr>
        <w:jc w:val="both"/>
        <w:ind w:right="400"/>
        <w:spacing w:after="0" w:line="253" w:lineRule="auto"/>
        <w:rPr>
          <w:rFonts w:ascii="Arial" w:cs="Arial" w:eastAsia="Arial" w:hAnsi="Arial"/>
          <w:sz w:val="16"/>
          <w:szCs w:val="16"/>
          <w:u w:val="single" w:color="auto"/>
          <w:color w:val="0000EE"/>
        </w:rPr>
      </w:pPr>
      <w:hyperlink r:id="rId102">
        <w:r>
          <w:rPr>
            <w:rFonts w:ascii="Arial" w:cs="Arial" w:eastAsia="Arial" w:hAnsi="Arial"/>
            <w:sz w:val="16"/>
            <w:szCs w:val="16"/>
            <w:u w:val="single" w:color="auto"/>
            <w:color w:val="0000EE"/>
          </w:rPr>
          <w:t>– Purchase and Contribution Agreement dated as of April 19, 2013, between Martin Marietta Materials, Inc., as seller and as servicer, and</w:t>
        </w:r>
      </w:hyperlink>
      <w:r>
        <w:rPr>
          <w:rFonts w:ascii="Arial" w:cs="Arial" w:eastAsia="Arial" w:hAnsi="Arial"/>
          <w:sz w:val="16"/>
          <w:szCs w:val="16"/>
          <w:u w:val="single" w:color="auto"/>
          <w:color w:val="0000EE"/>
        </w:rPr>
        <w:t xml:space="preserve"> </w:t>
      </w:r>
      <w:hyperlink r:id="rId102">
        <w:r>
          <w:rPr>
            <w:rFonts w:ascii="Arial" w:cs="Arial" w:eastAsia="Arial" w:hAnsi="Arial"/>
            <w:sz w:val="16"/>
            <w:szCs w:val="16"/>
            <w:u w:val="single" w:color="auto"/>
            <w:color w:val="0000EE"/>
          </w:rPr>
          <w:t>Martin Marietta Funding LLC, as buyer (incorporated by reference to Exhibit 10.02 to the Martin Marietta Materials, Inc. Current Report on</w:t>
        </w:r>
      </w:hyperlink>
      <w:r>
        <w:rPr>
          <w:rFonts w:ascii="Arial" w:cs="Arial" w:eastAsia="Arial" w:hAnsi="Arial"/>
          <w:sz w:val="16"/>
          <w:szCs w:val="16"/>
          <w:u w:val="single" w:color="auto"/>
          <w:color w:val="0000EE"/>
        </w:rPr>
        <w:t xml:space="preserve"> </w:t>
      </w:r>
      <w:hyperlink r:id="rId102">
        <w:r>
          <w:rPr>
            <w:rFonts w:ascii="Arial" w:cs="Arial" w:eastAsia="Arial" w:hAnsi="Arial"/>
            <w:sz w:val="16"/>
            <w:szCs w:val="16"/>
            <w:u w:val="single" w:color="auto"/>
            <w:color w:val="0000EE"/>
          </w:rPr>
          <w:t>Form 8-K filed on April 24, 2013) (Commission File No. 1-12744)</w:t>
        </w:r>
      </w:hyperlink>
    </w:p>
    <w:p>
      <w:pPr>
        <w:spacing w:after="0" w:line="25" w:lineRule="exact"/>
        <w:rPr>
          <w:rFonts w:ascii="Arial" w:cs="Arial" w:eastAsia="Arial" w:hAnsi="Arial"/>
          <w:sz w:val="16"/>
          <w:szCs w:val="16"/>
          <w:u w:val="single" w:color="auto"/>
          <w:color w:val="0000EE"/>
        </w:rPr>
      </w:pPr>
    </w:p>
    <w:p>
      <w:pPr>
        <w:spacing w:after="0" w:line="260" w:lineRule="auto"/>
        <w:rPr>
          <w:rFonts w:ascii="Arial" w:cs="Arial" w:eastAsia="Arial" w:hAnsi="Arial"/>
          <w:sz w:val="16"/>
          <w:szCs w:val="16"/>
          <w:u w:val="single" w:color="auto"/>
          <w:color w:val="0000EE"/>
        </w:rPr>
      </w:pPr>
      <w:hyperlink r:id="rId103">
        <w:r>
          <w:rPr>
            <w:rFonts w:ascii="Arial" w:cs="Arial" w:eastAsia="Arial" w:hAnsi="Arial"/>
            <w:sz w:val="16"/>
            <w:szCs w:val="16"/>
            <w:u w:val="single" w:color="auto"/>
            <w:color w:val="0000EE"/>
          </w:rPr>
          <w:t>– Form of Martin Marietta Materials, Inc. Third Amended and Restated Employment Protection Agreement (incorporated by reference to Exhibit</w:t>
        </w:r>
      </w:hyperlink>
      <w:r>
        <w:rPr>
          <w:rFonts w:ascii="Arial" w:cs="Arial" w:eastAsia="Arial" w:hAnsi="Arial"/>
          <w:sz w:val="16"/>
          <w:szCs w:val="16"/>
          <w:u w:val="single" w:color="auto"/>
          <w:color w:val="0000EE"/>
        </w:rPr>
        <w:t xml:space="preserve"> </w:t>
      </w:r>
      <w:hyperlink r:id="rId103">
        <w:r>
          <w:rPr>
            <w:rFonts w:ascii="Arial" w:cs="Arial" w:eastAsia="Arial" w:hAnsi="Arial"/>
            <w:sz w:val="16"/>
            <w:szCs w:val="16"/>
            <w:u w:val="single" w:color="auto"/>
            <w:color w:val="0000EE"/>
          </w:rPr>
          <w:t>10.01 to the Martin Marietta Materials, Inc. Current Report on Form 8-K, filed on August 19, 2008) (Commission File No. 1-12744)**</w:t>
        </w:r>
      </w:hyperlink>
    </w:p>
    <w:p>
      <w:pPr>
        <w:spacing w:after="0" w:line="20"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r:id="rId104">
        <w:r>
          <w:rPr>
            <w:rFonts w:ascii="Arial" w:cs="Arial" w:eastAsia="Arial" w:hAnsi="Arial"/>
            <w:sz w:val="16"/>
            <w:szCs w:val="16"/>
            <w:u w:val="single" w:color="auto"/>
            <w:color w:val="0000EE"/>
          </w:rPr>
          <w:t>– Amended and Restated Martin Marietta Materials, Inc. Common Stock Purchase Plan for Directors (incorporated by reference to Exhibit</w:t>
        </w:r>
      </w:hyperlink>
    </w:p>
    <w:p>
      <w:pPr>
        <w:spacing w:after="0" w:line="5"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r:id="rId104">
        <w:r>
          <w:rPr>
            <w:rFonts w:ascii="Arial" w:cs="Arial" w:eastAsia="Arial" w:hAnsi="Arial"/>
            <w:sz w:val="16"/>
            <w:szCs w:val="16"/>
            <w:u w:val="single" w:color="auto"/>
            <w:color w:val="0000EE"/>
          </w:rPr>
          <w:t>10.05 to the Martin Marietta Materials, Inc. Annual Report on Form 10-K for the fiscal year ended December 31, 2013) (Commission File No.1-</w:t>
        </w:r>
      </w:hyperlink>
    </w:p>
    <w:p>
      <w:pPr>
        <w:spacing w:after="0" w:line="5"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r:id="rId104">
        <w:r>
          <w:rPr>
            <w:rFonts w:ascii="Arial" w:cs="Arial" w:eastAsia="Arial" w:hAnsi="Arial"/>
            <w:sz w:val="16"/>
            <w:szCs w:val="16"/>
            <w:u w:val="single" w:color="auto"/>
            <w:color w:val="0000EE"/>
          </w:rPr>
          <w:t>12744)**</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2698750</wp:posOffset>
            </wp:positionH>
            <wp:positionV relativeFrom="paragraph">
              <wp:posOffset>121920</wp:posOffset>
            </wp:positionV>
            <wp:extent cx="411480" cy="2489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00" w:lineRule="exact"/>
        <w:rPr>
          <w:rFonts w:ascii="Arial" w:cs="Arial" w:eastAsia="Arial" w:hAnsi="Arial"/>
          <w:sz w:val="16"/>
          <w:szCs w:val="16"/>
          <w:u w:val="single" w:color="auto"/>
          <w:color w:val="0000EE"/>
        </w:rPr>
      </w:pPr>
    </w:p>
    <w:p>
      <w:pPr>
        <w:sectPr>
          <w:pgSz w:w="11900" w:h="16838" w:orient="portrait"/>
          <w:cols w:equalWidth="0" w:num="2">
            <w:col w:w="920" w:space="240"/>
            <w:col w:w="10260"/>
          </w:cols>
          <w:pgMar w:left="240" w:top="459" w:right="239" w:bottom="1440" w:gutter="0" w:footer="0" w:header="0"/>
          <w:type w:val="continuous"/>
        </w:sectPr>
      </w:pPr>
    </w:p>
    <w:p>
      <w:pPr>
        <w:spacing w:after="0" w:line="11" w:lineRule="exact"/>
        <w:rPr>
          <w:rFonts w:ascii="Arial" w:cs="Arial" w:eastAsia="Arial" w:hAnsi="Arial"/>
          <w:sz w:val="16"/>
          <w:szCs w:val="16"/>
          <w:u w:val="single" w:color="auto"/>
          <w:color w:val="0000EE"/>
        </w:rPr>
      </w:pPr>
    </w:p>
    <w:tbl>
      <w:tblPr>
        <w:tblLayout w:type="fixed"/>
        <w:tblInd w:w="9980" w:type="dxa"/>
        <w:tblCellMar>
          <w:top w:w="0" w:type="dxa"/>
          <w:left w:w="0" w:type="dxa"/>
          <w:bottom w:w="0" w:type="dxa"/>
          <w:right w:w="0" w:type="dxa"/>
        </w:tblCellMar>
      </w:tblPr>
      <w:tr>
        <w:trPr>
          <w:trHeight w:val="168"/>
        </w:trPr>
        <w:tc>
          <w:tcPr>
            <w:tcW w:w="1140" w:type="dxa"/>
            <w:vAlign w:val="bottom"/>
          </w:tcPr>
          <w:p>
            <w:pPr>
              <w:spacing w:after="0"/>
              <w:rPr>
                <w:sz w:val="20"/>
                <w:szCs w:val="20"/>
                <w:color w:val="auto"/>
              </w:rPr>
            </w:pPr>
            <w:r>
              <w:rPr>
                <w:rFonts w:ascii="Arial" w:cs="Arial" w:eastAsia="Arial" w:hAnsi="Arial"/>
                <w:sz w:val="13"/>
                <w:szCs w:val="13"/>
                <w:color w:val="007CBA"/>
              </w:rPr>
              <w:t>2018 FORM 10-K</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35</w:t>
            </w:r>
          </w:p>
        </w:tc>
      </w:tr>
    </w:tbl>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76" w:lineRule="exact"/>
        <w:rPr>
          <w:sz w:val="20"/>
          <w:szCs w:val="20"/>
          <w:color w:val="auto"/>
        </w:rPr>
      </w:pPr>
      <w:r>
        <w:rPr>
          <w:rFonts w:ascii="Arial" w:cs="Arial" w:eastAsia="Arial" w:hAnsi="Arial"/>
          <w:sz w:val="13"/>
          <w:szCs w:val="13"/>
          <w:color w:val="007CBA"/>
        </w:rPr>
        <w:t xml:space="preserve">Part IV </w:t>
      </w:r>
      <w:r>
        <w:rPr>
          <w:rFonts w:ascii="MS PGothic" w:cs="MS PGothic" w:eastAsia="MS PGothic" w:hAnsi="MS PGothic"/>
          <w:sz w:val="24"/>
          <w:szCs w:val="24"/>
          <w:color w:val="007CBA"/>
        </w:rPr>
        <w:t>◆</w:t>
      </w:r>
      <w:r>
        <w:rPr>
          <w:rFonts w:ascii="Arial" w:cs="Arial" w:eastAsia="Arial" w:hAnsi="Arial"/>
          <w:sz w:val="13"/>
          <w:szCs w:val="13"/>
          <w:color w:val="007CBA"/>
        </w:rPr>
        <w:t xml:space="preserve"> </w:t>
      </w:r>
      <w:r>
        <w:rPr>
          <w:rFonts w:ascii="Arial" w:cs="Arial" w:eastAsia="Arial" w:hAnsi="Arial"/>
          <w:sz w:val="13"/>
          <w:szCs w:val="13"/>
          <w:color w:val="000000"/>
        </w:rPr>
        <w:t>Item 15 - 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148590</wp:posOffset>
            </wp:positionV>
            <wp:extent cx="66636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5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shd w:val="clear" w:color="auto" w:fill="007CBA"/>
        </w:rPr>
        <w:t>Exhibit No.</w:t>
      </w:r>
    </w:p>
    <w:p>
      <w:pPr>
        <w:spacing w:after="0" w:line="10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10.12</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10.13</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10.14</w:t>
      </w:r>
    </w:p>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10.15</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10.16</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10.17</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10.18</w:t>
      </w:r>
    </w:p>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10.19</w:t>
      </w:r>
    </w:p>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10.20</w:t>
      </w:r>
    </w:p>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10.21</w:t>
      </w:r>
    </w:p>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10.22</w:t>
      </w:r>
    </w:p>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10.23</w:t>
      </w:r>
    </w:p>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10.24</w:t>
      </w:r>
    </w:p>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10.25</w:t>
      </w:r>
    </w:p>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10.26</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*10.27</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*13.01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right="380"/>
        <w:spacing w:after="0" w:line="260" w:lineRule="auto"/>
        <w:rPr>
          <w:rFonts w:ascii="Arial" w:cs="Arial" w:eastAsia="Arial" w:hAnsi="Arial"/>
          <w:sz w:val="16"/>
          <w:szCs w:val="16"/>
          <w:u w:val="single" w:color="auto"/>
          <w:color w:val="0000EE"/>
        </w:rPr>
      </w:pPr>
      <w:hyperlink r:id="rId104">
        <w:r>
          <w:rPr>
            <w:rFonts w:ascii="Arial" w:cs="Arial" w:eastAsia="Arial" w:hAnsi="Arial"/>
            <w:sz w:val="16"/>
            <w:szCs w:val="16"/>
            <w:u w:val="single" w:color="auto"/>
            <w:color w:val="0000EE"/>
          </w:rPr>
          <w:t>– Martin Marietta Materials, Inc. Amended and Restated Executive Incentive Plan (incorporated by reference to Exhibit 10.05 to the Martin</w:t>
        </w:r>
      </w:hyperlink>
      <w:r>
        <w:rPr>
          <w:rFonts w:ascii="Arial" w:cs="Arial" w:eastAsia="Arial" w:hAnsi="Arial"/>
          <w:sz w:val="16"/>
          <w:szCs w:val="16"/>
          <w:u w:val="single" w:color="auto"/>
          <w:color w:val="0000EE"/>
        </w:rPr>
        <w:t xml:space="preserve"> </w:t>
      </w:r>
      <w:hyperlink r:id="rId104">
        <w:r>
          <w:rPr>
            <w:rFonts w:ascii="Arial" w:cs="Arial" w:eastAsia="Arial" w:hAnsi="Arial"/>
            <w:sz w:val="16"/>
            <w:szCs w:val="16"/>
            <w:u w:val="single" w:color="auto"/>
            <w:color w:val="0000EE"/>
          </w:rPr>
          <w:t>Marietta Materials, Inc. Annual Report on Form 10-K for the fiscal year ended December 31, 2008) (Commission File No. 1-12744)**</w:t>
        </w:r>
      </w:hyperlink>
    </w:p>
    <w:p>
      <w:pPr>
        <w:spacing w:after="0" w:line="20" w:lineRule="exact"/>
        <w:rPr>
          <w:rFonts w:ascii="Arial" w:cs="Arial" w:eastAsia="Arial" w:hAnsi="Arial"/>
          <w:sz w:val="16"/>
          <w:szCs w:val="16"/>
          <w:u w:val="single" w:color="auto"/>
          <w:color w:val="0000EE"/>
        </w:rPr>
      </w:pPr>
    </w:p>
    <w:p>
      <w:pPr>
        <w:ind w:right="40"/>
        <w:spacing w:after="0" w:line="260" w:lineRule="auto"/>
        <w:rPr>
          <w:rFonts w:ascii="Arial" w:cs="Arial" w:eastAsia="Arial" w:hAnsi="Arial"/>
          <w:sz w:val="16"/>
          <w:szCs w:val="16"/>
          <w:u w:val="single" w:color="auto"/>
          <w:color w:val="0000EE"/>
        </w:rPr>
      </w:pPr>
      <w:hyperlink r:id="rId108">
        <w:r>
          <w:rPr>
            <w:rFonts w:ascii="Arial" w:cs="Arial" w:eastAsia="Arial" w:hAnsi="Arial"/>
            <w:sz w:val="16"/>
            <w:szCs w:val="16"/>
            <w:u w:val="single" w:color="auto"/>
            <w:color w:val="0000EE"/>
          </w:rPr>
          <w:t>– Martin Marietta Materials, Inc. Incentive Stock Plan, as Amended (incorporated by reference to Exhibit 10.06 to the Martin Marietta Materials,</w:t>
        </w:r>
      </w:hyperlink>
      <w:r>
        <w:rPr>
          <w:rFonts w:ascii="Arial" w:cs="Arial" w:eastAsia="Arial" w:hAnsi="Arial"/>
          <w:sz w:val="16"/>
          <w:szCs w:val="16"/>
          <w:u w:val="single" w:color="auto"/>
          <w:color w:val="0000EE"/>
        </w:rPr>
        <w:t xml:space="preserve"> </w:t>
      </w:r>
      <w:hyperlink r:id="rId108">
        <w:r>
          <w:rPr>
            <w:rFonts w:ascii="Arial" w:cs="Arial" w:eastAsia="Arial" w:hAnsi="Arial"/>
            <w:sz w:val="16"/>
            <w:szCs w:val="16"/>
            <w:u w:val="single" w:color="auto"/>
            <w:color w:val="0000EE"/>
          </w:rPr>
          <w:t>Inc. Annual Report on Form 10-K for the fiscal year ended December 31, 2008) (Commission File No. 1-12744)**</w:t>
        </w:r>
      </w:hyperlink>
    </w:p>
    <w:p>
      <w:pPr>
        <w:spacing w:after="0" w:line="20" w:lineRule="exact"/>
        <w:rPr>
          <w:rFonts w:ascii="Arial" w:cs="Arial" w:eastAsia="Arial" w:hAnsi="Arial"/>
          <w:sz w:val="16"/>
          <w:szCs w:val="16"/>
          <w:u w:val="single" w:color="auto"/>
          <w:color w:val="0000EE"/>
        </w:rPr>
      </w:pPr>
    </w:p>
    <w:p>
      <w:pPr>
        <w:spacing w:after="0" w:line="253" w:lineRule="auto"/>
        <w:rPr>
          <w:rFonts w:ascii="Arial" w:cs="Arial" w:eastAsia="Arial" w:hAnsi="Arial"/>
          <w:sz w:val="16"/>
          <w:szCs w:val="16"/>
          <w:u w:val="single" w:color="auto"/>
          <w:color w:val="0000EE"/>
        </w:rPr>
      </w:pPr>
      <w:hyperlink r:id="rId109">
        <w:r>
          <w:rPr>
            <w:rFonts w:ascii="Arial" w:cs="Arial" w:eastAsia="Arial" w:hAnsi="Arial"/>
            <w:sz w:val="16"/>
            <w:szCs w:val="16"/>
            <w:u w:val="single" w:color="auto"/>
            <w:color w:val="0000EE"/>
          </w:rPr>
          <w:t>– Martin Marietta Amended and Restated Stock-Based Award Plan last amended and restated February 18, 2016 (incorporated by reference to</w:t>
        </w:r>
      </w:hyperlink>
      <w:r>
        <w:rPr>
          <w:rFonts w:ascii="Arial" w:cs="Arial" w:eastAsia="Arial" w:hAnsi="Arial"/>
          <w:sz w:val="16"/>
          <w:szCs w:val="16"/>
          <w:u w:val="single" w:color="auto"/>
          <w:color w:val="0000EE"/>
        </w:rPr>
        <w:t xml:space="preserve"> </w:t>
      </w:r>
      <w:hyperlink r:id="rId109">
        <w:r>
          <w:rPr>
            <w:rFonts w:ascii="Arial" w:cs="Arial" w:eastAsia="Arial" w:hAnsi="Arial"/>
            <w:sz w:val="16"/>
            <w:szCs w:val="16"/>
            <w:u w:val="single" w:color="auto"/>
            <w:color w:val="0000EE"/>
          </w:rPr>
          <w:t>Exhibit 10.01 to the Martin Marietta Materials, Inc. Quarterly Report on Form 10-Q for the quarter ended June 30, 2016) (Commission File</w:t>
        </w:r>
      </w:hyperlink>
      <w:r>
        <w:rPr>
          <w:rFonts w:ascii="Arial" w:cs="Arial" w:eastAsia="Arial" w:hAnsi="Arial"/>
          <w:sz w:val="16"/>
          <w:szCs w:val="16"/>
          <w:u w:val="single" w:color="auto"/>
          <w:color w:val="0000EE"/>
        </w:rPr>
        <w:t xml:space="preserve"> </w:t>
      </w:r>
      <w:hyperlink r:id="rId109">
        <w:r>
          <w:rPr>
            <w:rFonts w:ascii="Arial" w:cs="Arial" w:eastAsia="Arial" w:hAnsi="Arial"/>
            <w:sz w:val="16"/>
            <w:szCs w:val="16"/>
            <w:u w:val="single" w:color="auto"/>
            <w:color w:val="0000EE"/>
          </w:rPr>
          <w:t>No. 1-12744)**</w:t>
        </w:r>
      </w:hyperlink>
    </w:p>
    <w:p>
      <w:pPr>
        <w:spacing w:after="0" w:line="25" w:lineRule="exact"/>
        <w:rPr>
          <w:rFonts w:ascii="Arial" w:cs="Arial" w:eastAsia="Arial" w:hAnsi="Arial"/>
          <w:sz w:val="16"/>
          <w:szCs w:val="16"/>
          <w:u w:val="single" w:color="auto"/>
          <w:color w:val="0000EE"/>
        </w:rPr>
      </w:pPr>
    </w:p>
    <w:p>
      <w:pPr>
        <w:ind w:right="120"/>
        <w:spacing w:after="0" w:line="260" w:lineRule="auto"/>
        <w:rPr>
          <w:rFonts w:ascii="Arial" w:cs="Arial" w:eastAsia="Arial" w:hAnsi="Arial"/>
          <w:sz w:val="16"/>
          <w:szCs w:val="16"/>
          <w:u w:val="single" w:color="auto"/>
          <w:color w:val="0000EE"/>
        </w:rPr>
      </w:pPr>
      <w:hyperlink r:id="rId110">
        <w:r>
          <w:rPr>
            <w:rFonts w:ascii="Arial" w:cs="Arial" w:eastAsia="Arial" w:hAnsi="Arial"/>
            <w:sz w:val="16"/>
            <w:szCs w:val="16"/>
            <w:u w:val="single" w:color="auto"/>
            <w:color w:val="0000EE"/>
          </w:rPr>
          <w:t>– Martin Marietta Executive Cash Incentive Plan adopted February 18, 2016 (incorporated by reference to Exhibit 10.02 to the Martin Marietta</w:t>
        </w:r>
      </w:hyperlink>
      <w:r>
        <w:rPr>
          <w:rFonts w:ascii="Arial" w:cs="Arial" w:eastAsia="Arial" w:hAnsi="Arial"/>
          <w:sz w:val="16"/>
          <w:szCs w:val="16"/>
          <w:u w:val="single" w:color="auto"/>
          <w:color w:val="0000EE"/>
        </w:rPr>
        <w:t xml:space="preserve"> </w:t>
      </w:r>
      <w:hyperlink r:id="rId110">
        <w:r>
          <w:rPr>
            <w:rFonts w:ascii="Arial" w:cs="Arial" w:eastAsia="Arial" w:hAnsi="Arial"/>
            <w:sz w:val="16"/>
            <w:szCs w:val="16"/>
            <w:u w:val="single" w:color="auto"/>
            <w:color w:val="0000EE"/>
          </w:rPr>
          <w:t>Materials, Inc. Quarterly Report on Form 10-Q for the quarter ended June 30, 2016) (Commission File No. 1-12744)**</w:t>
        </w:r>
      </w:hyperlink>
    </w:p>
    <w:p>
      <w:pPr>
        <w:spacing w:after="0" w:line="20" w:lineRule="exact"/>
        <w:rPr>
          <w:rFonts w:ascii="Arial" w:cs="Arial" w:eastAsia="Arial" w:hAnsi="Arial"/>
          <w:sz w:val="16"/>
          <w:szCs w:val="16"/>
          <w:u w:val="single" w:color="auto"/>
          <w:color w:val="0000EE"/>
        </w:rPr>
      </w:pPr>
    </w:p>
    <w:p>
      <w:pPr>
        <w:ind w:right="260"/>
        <w:spacing w:after="0" w:line="260" w:lineRule="auto"/>
        <w:rPr>
          <w:rFonts w:ascii="Arial" w:cs="Arial" w:eastAsia="Arial" w:hAnsi="Arial"/>
          <w:sz w:val="16"/>
          <w:szCs w:val="16"/>
          <w:u w:val="single" w:color="auto"/>
          <w:color w:val="0000EE"/>
        </w:rPr>
      </w:pPr>
      <w:hyperlink r:id="rId111">
        <w:r>
          <w:rPr>
            <w:rFonts w:ascii="Arial" w:cs="Arial" w:eastAsia="Arial" w:hAnsi="Arial"/>
            <w:sz w:val="16"/>
            <w:szCs w:val="16"/>
            <w:u w:val="single" w:color="auto"/>
            <w:color w:val="0000EE"/>
          </w:rPr>
          <w:t>– Martin Marietta Materials, Inc. Amended Omnibus Securities Award Plan (incorporated by reference to Exhibit 10.16 to the Martin Marietta</w:t>
        </w:r>
      </w:hyperlink>
      <w:r>
        <w:rPr>
          <w:rFonts w:ascii="Arial" w:cs="Arial" w:eastAsia="Arial" w:hAnsi="Arial"/>
          <w:sz w:val="16"/>
          <w:szCs w:val="16"/>
          <w:u w:val="single" w:color="auto"/>
          <w:color w:val="0000EE"/>
        </w:rPr>
        <w:t xml:space="preserve"> </w:t>
      </w:r>
      <w:hyperlink r:id="rId111">
        <w:r>
          <w:rPr>
            <w:rFonts w:ascii="Arial" w:cs="Arial" w:eastAsia="Arial" w:hAnsi="Arial"/>
            <w:sz w:val="16"/>
            <w:szCs w:val="16"/>
            <w:u w:val="single" w:color="auto"/>
            <w:color w:val="0000EE"/>
          </w:rPr>
          <w:t>Materials, Inc. Annual Report on Form 10-K for the fiscal year ended December 31, 2000) (Commission File No. 1-12744)**</w:t>
        </w:r>
      </w:hyperlink>
    </w:p>
    <w:p>
      <w:pPr>
        <w:spacing w:after="0" w:line="20" w:lineRule="exact"/>
        <w:rPr>
          <w:rFonts w:ascii="Arial" w:cs="Arial" w:eastAsia="Arial" w:hAnsi="Arial"/>
          <w:sz w:val="16"/>
          <w:szCs w:val="16"/>
          <w:u w:val="single" w:color="auto"/>
          <w:color w:val="0000EE"/>
        </w:rPr>
      </w:pPr>
    </w:p>
    <w:p>
      <w:pPr>
        <w:ind w:right="140"/>
        <w:spacing w:after="0" w:line="260" w:lineRule="auto"/>
        <w:rPr>
          <w:rFonts w:ascii="Arial" w:cs="Arial" w:eastAsia="Arial" w:hAnsi="Arial"/>
          <w:sz w:val="16"/>
          <w:szCs w:val="16"/>
          <w:u w:val="single" w:color="auto"/>
          <w:color w:val="0000EE"/>
        </w:rPr>
      </w:pPr>
      <w:hyperlink r:id="rId112">
        <w:r>
          <w:rPr>
            <w:rFonts w:ascii="Arial" w:cs="Arial" w:eastAsia="Arial" w:hAnsi="Arial"/>
            <w:sz w:val="16"/>
            <w:szCs w:val="16"/>
            <w:u w:val="single" w:color="auto"/>
            <w:color w:val="0000EE"/>
          </w:rPr>
          <w:t>– Martin Marietta Materials, Inc. Third Amended and Restated Supplemental Excess Retirement Plan (incorporated by reference to Exhibit 10</w:t>
        </w:r>
      </w:hyperlink>
      <w:r>
        <w:rPr>
          <w:rFonts w:ascii="Arial" w:cs="Arial" w:eastAsia="Arial" w:hAnsi="Arial"/>
          <w:sz w:val="16"/>
          <w:szCs w:val="16"/>
          <w:u w:val="single" w:color="auto"/>
          <w:color w:val="0000EE"/>
        </w:rPr>
        <w:t xml:space="preserve"> </w:t>
      </w:r>
      <w:hyperlink r:id="rId112">
        <w:r>
          <w:rPr>
            <w:rFonts w:ascii="Arial" w:cs="Arial" w:eastAsia="Arial" w:hAnsi="Arial"/>
            <w:sz w:val="16"/>
            <w:szCs w:val="16"/>
            <w:u w:val="single" w:color="auto"/>
            <w:color w:val="0000EE"/>
          </w:rPr>
          <w:t>to the Martin Marietta Materials, Inc. Quarterly Report on Form 10-Q for the quarter ended June 30, 2012) (Commission File No. 1-12744)**</w:t>
        </w:r>
      </w:hyperlink>
    </w:p>
    <w:p>
      <w:pPr>
        <w:spacing w:after="0" w:line="20" w:lineRule="exact"/>
        <w:rPr>
          <w:rFonts w:ascii="Arial" w:cs="Arial" w:eastAsia="Arial" w:hAnsi="Arial"/>
          <w:sz w:val="16"/>
          <w:szCs w:val="16"/>
          <w:u w:val="single" w:color="auto"/>
          <w:color w:val="0000EE"/>
        </w:rPr>
      </w:pPr>
    </w:p>
    <w:p>
      <w:pPr>
        <w:spacing w:after="0" w:line="253" w:lineRule="auto"/>
        <w:rPr>
          <w:rFonts w:ascii="Arial" w:cs="Arial" w:eastAsia="Arial" w:hAnsi="Arial"/>
          <w:sz w:val="16"/>
          <w:szCs w:val="16"/>
          <w:u w:val="single" w:color="auto"/>
          <w:color w:val="0000EE"/>
        </w:rPr>
      </w:pPr>
      <w:hyperlink r:id="rId113">
        <w:r>
          <w:rPr>
            <w:rFonts w:ascii="Arial" w:cs="Arial" w:eastAsia="Arial" w:hAnsi="Arial"/>
            <w:sz w:val="16"/>
            <w:szCs w:val="16"/>
            <w:u w:val="single" w:color="auto"/>
            <w:color w:val="0000EE"/>
          </w:rPr>
          <w:t>– Form of Option Award Agreement under the Martin Marietta Materials, Inc. Amended and Restated Stock-Based Award Plan (incorporated by</w:t>
        </w:r>
      </w:hyperlink>
      <w:r>
        <w:rPr>
          <w:rFonts w:ascii="Arial" w:cs="Arial" w:eastAsia="Arial" w:hAnsi="Arial"/>
          <w:sz w:val="16"/>
          <w:szCs w:val="16"/>
          <w:u w:val="single" w:color="auto"/>
          <w:color w:val="0000EE"/>
        </w:rPr>
        <w:t xml:space="preserve"> </w:t>
      </w:r>
      <w:hyperlink r:id="rId113">
        <w:r>
          <w:rPr>
            <w:rFonts w:ascii="Arial" w:cs="Arial" w:eastAsia="Arial" w:hAnsi="Arial"/>
            <w:sz w:val="16"/>
            <w:szCs w:val="16"/>
            <w:u w:val="single" w:color="auto"/>
            <w:color w:val="0000EE"/>
          </w:rPr>
          <w:t>reference to Exhibit 10.11 to the Martin Marietta Materials, Inc. Annual Report on Form 10-K for the fiscal year ended December 31, 2008)</w:t>
        </w:r>
      </w:hyperlink>
      <w:r>
        <w:rPr>
          <w:rFonts w:ascii="Arial" w:cs="Arial" w:eastAsia="Arial" w:hAnsi="Arial"/>
          <w:sz w:val="16"/>
          <w:szCs w:val="16"/>
          <w:u w:val="single" w:color="auto"/>
          <w:color w:val="0000EE"/>
        </w:rPr>
        <w:t xml:space="preserve"> </w:t>
      </w:r>
      <w:hyperlink r:id="rId113">
        <w:r>
          <w:rPr>
            <w:rFonts w:ascii="Arial" w:cs="Arial" w:eastAsia="Arial" w:hAnsi="Arial"/>
            <w:sz w:val="16"/>
            <w:szCs w:val="16"/>
            <w:u w:val="single" w:color="auto"/>
            <w:color w:val="0000EE"/>
          </w:rPr>
          <w:t>(Commission File No. 1-12744)**</w:t>
        </w:r>
      </w:hyperlink>
    </w:p>
    <w:p>
      <w:pPr>
        <w:spacing w:after="0" w:line="25" w:lineRule="exact"/>
        <w:rPr>
          <w:rFonts w:ascii="Arial" w:cs="Arial" w:eastAsia="Arial" w:hAnsi="Arial"/>
          <w:sz w:val="16"/>
          <w:szCs w:val="16"/>
          <w:u w:val="single" w:color="auto"/>
          <w:color w:val="0000EE"/>
        </w:rPr>
      </w:pPr>
    </w:p>
    <w:p>
      <w:pPr>
        <w:ind w:right="80"/>
        <w:spacing w:after="0" w:line="253" w:lineRule="auto"/>
        <w:rPr>
          <w:rFonts w:ascii="Arial" w:cs="Arial" w:eastAsia="Arial" w:hAnsi="Arial"/>
          <w:sz w:val="16"/>
          <w:szCs w:val="16"/>
          <w:u w:val="single" w:color="auto"/>
          <w:color w:val="0000EE"/>
        </w:rPr>
      </w:pPr>
      <w:hyperlink r:id="rId114">
        <w:r>
          <w:rPr>
            <w:rFonts w:ascii="Arial" w:cs="Arial" w:eastAsia="Arial" w:hAnsi="Arial"/>
            <w:sz w:val="16"/>
            <w:szCs w:val="16"/>
            <w:u w:val="single" w:color="auto"/>
            <w:color w:val="0000EE"/>
          </w:rPr>
          <w:t>– Form of Amendment to the Stock Unit Agreement under the Martin Marietta Materials, Inc. Amended and Restated Stock-Based Award Plan</w:t>
        </w:r>
      </w:hyperlink>
      <w:r>
        <w:rPr>
          <w:rFonts w:ascii="Arial" w:cs="Arial" w:eastAsia="Arial" w:hAnsi="Arial"/>
          <w:sz w:val="16"/>
          <w:szCs w:val="16"/>
          <w:u w:val="single" w:color="auto"/>
          <w:color w:val="0000EE"/>
        </w:rPr>
        <w:t xml:space="preserve"> </w:t>
      </w:r>
      <w:hyperlink r:id="rId114">
        <w:r>
          <w:rPr>
            <w:rFonts w:ascii="Arial" w:cs="Arial" w:eastAsia="Arial" w:hAnsi="Arial"/>
            <w:sz w:val="16"/>
            <w:szCs w:val="16"/>
            <w:u w:val="single" w:color="auto"/>
            <w:color w:val="0000EE"/>
          </w:rPr>
          <w:t>(incorporated by reference to Exhibit 10.13 to the Martin Marietta Materials, Inc. Annual Report on Form 10-K for the fiscal year ended</w:t>
        </w:r>
      </w:hyperlink>
      <w:r>
        <w:rPr>
          <w:rFonts w:ascii="Arial" w:cs="Arial" w:eastAsia="Arial" w:hAnsi="Arial"/>
          <w:sz w:val="16"/>
          <w:szCs w:val="16"/>
          <w:u w:val="single" w:color="auto"/>
          <w:color w:val="0000EE"/>
        </w:rPr>
        <w:t xml:space="preserve"> </w:t>
      </w:r>
      <w:hyperlink r:id="rId114">
        <w:r>
          <w:rPr>
            <w:rFonts w:ascii="Arial" w:cs="Arial" w:eastAsia="Arial" w:hAnsi="Arial"/>
            <w:sz w:val="16"/>
            <w:szCs w:val="16"/>
            <w:u w:val="single" w:color="auto"/>
            <w:color w:val="0000EE"/>
          </w:rPr>
          <w:t>December 31, 2008) (Commission File No. 1-12744)**</w:t>
        </w:r>
      </w:hyperlink>
    </w:p>
    <w:p>
      <w:pPr>
        <w:spacing w:after="0" w:line="25" w:lineRule="exact"/>
        <w:rPr>
          <w:rFonts w:ascii="Arial" w:cs="Arial" w:eastAsia="Arial" w:hAnsi="Arial"/>
          <w:sz w:val="16"/>
          <w:szCs w:val="16"/>
          <w:u w:val="single" w:color="auto"/>
          <w:color w:val="0000EE"/>
        </w:rPr>
      </w:pPr>
    </w:p>
    <w:p>
      <w:pPr>
        <w:ind w:right="120"/>
        <w:spacing w:after="0" w:line="253" w:lineRule="auto"/>
        <w:rPr>
          <w:rFonts w:ascii="Arial" w:cs="Arial" w:eastAsia="Arial" w:hAnsi="Arial"/>
          <w:sz w:val="16"/>
          <w:szCs w:val="16"/>
          <w:u w:val="single" w:color="auto"/>
          <w:color w:val="0000EE"/>
        </w:rPr>
      </w:pPr>
      <w:hyperlink r:id="rId115">
        <w:r>
          <w:rPr>
            <w:rFonts w:ascii="Arial" w:cs="Arial" w:eastAsia="Arial" w:hAnsi="Arial"/>
            <w:sz w:val="16"/>
            <w:szCs w:val="16"/>
            <w:u w:val="single" w:color="auto"/>
            <w:color w:val="0000EE"/>
          </w:rPr>
          <w:t>– Form of Restricted Stock Unit Agreement for Directors under the Martin Marietta Materials, Inc. Amended and Restated Stock-Based Award</w:t>
        </w:r>
      </w:hyperlink>
      <w:r>
        <w:rPr>
          <w:rFonts w:ascii="Arial" w:cs="Arial" w:eastAsia="Arial" w:hAnsi="Arial"/>
          <w:sz w:val="16"/>
          <w:szCs w:val="16"/>
          <w:u w:val="single" w:color="auto"/>
          <w:color w:val="0000EE"/>
        </w:rPr>
        <w:t xml:space="preserve"> </w:t>
      </w:r>
      <w:hyperlink r:id="rId115">
        <w:r>
          <w:rPr>
            <w:rFonts w:ascii="Arial" w:cs="Arial" w:eastAsia="Arial" w:hAnsi="Arial"/>
            <w:sz w:val="16"/>
            <w:szCs w:val="16"/>
            <w:u w:val="single" w:color="auto"/>
            <w:color w:val="0000EE"/>
          </w:rPr>
          <w:t>Plan (incorporated by reference to Exhibit 10.14 to the Martin Marietta Materials, Inc. Annual Report on Form 10-K for the fiscal year ended</w:t>
        </w:r>
      </w:hyperlink>
      <w:r>
        <w:rPr>
          <w:rFonts w:ascii="Arial" w:cs="Arial" w:eastAsia="Arial" w:hAnsi="Arial"/>
          <w:sz w:val="16"/>
          <w:szCs w:val="16"/>
          <w:u w:val="single" w:color="auto"/>
          <w:color w:val="0000EE"/>
        </w:rPr>
        <w:t xml:space="preserve"> </w:t>
      </w:r>
      <w:hyperlink r:id="rId115">
        <w:r>
          <w:rPr>
            <w:rFonts w:ascii="Arial" w:cs="Arial" w:eastAsia="Arial" w:hAnsi="Arial"/>
            <w:sz w:val="16"/>
            <w:szCs w:val="16"/>
            <w:u w:val="single" w:color="auto"/>
            <w:color w:val="0000EE"/>
          </w:rPr>
          <w:t>December 31, 2013) (Commission File No. 1-12744)**</w:t>
        </w:r>
      </w:hyperlink>
    </w:p>
    <w:p>
      <w:pPr>
        <w:spacing w:after="0" w:line="25" w:lineRule="exact"/>
        <w:rPr>
          <w:rFonts w:ascii="Arial" w:cs="Arial" w:eastAsia="Arial" w:hAnsi="Arial"/>
          <w:sz w:val="16"/>
          <w:szCs w:val="16"/>
          <w:u w:val="single" w:color="auto"/>
          <w:color w:val="0000EE"/>
        </w:rPr>
      </w:pPr>
    </w:p>
    <w:p>
      <w:pPr>
        <w:ind w:right="100"/>
        <w:spacing w:after="0" w:line="253" w:lineRule="auto"/>
        <w:rPr>
          <w:rFonts w:ascii="Arial" w:cs="Arial" w:eastAsia="Arial" w:hAnsi="Arial"/>
          <w:sz w:val="16"/>
          <w:szCs w:val="16"/>
          <w:u w:val="single" w:color="auto"/>
          <w:color w:val="0000EE"/>
        </w:rPr>
      </w:pPr>
      <w:hyperlink r:id="rId116">
        <w:r>
          <w:rPr>
            <w:rFonts w:ascii="Arial" w:cs="Arial" w:eastAsia="Arial" w:hAnsi="Arial"/>
            <w:sz w:val="16"/>
            <w:szCs w:val="16"/>
            <w:u w:val="single" w:color="auto"/>
            <w:color w:val="0000EE"/>
          </w:rPr>
          <w:t>– Form of Special Restricted Stock Unit Agreement under the Martin Marietta Materials, Inc. Amended and Restated Stock-Based Award Plan</w:t>
        </w:r>
      </w:hyperlink>
      <w:r>
        <w:rPr>
          <w:rFonts w:ascii="Arial" w:cs="Arial" w:eastAsia="Arial" w:hAnsi="Arial"/>
          <w:sz w:val="16"/>
          <w:szCs w:val="16"/>
          <w:u w:val="single" w:color="auto"/>
          <w:color w:val="0000EE"/>
        </w:rPr>
        <w:t xml:space="preserve"> </w:t>
      </w:r>
      <w:hyperlink r:id="rId116">
        <w:r>
          <w:rPr>
            <w:rFonts w:ascii="Arial" w:cs="Arial" w:eastAsia="Arial" w:hAnsi="Arial"/>
            <w:sz w:val="16"/>
            <w:szCs w:val="16"/>
            <w:u w:val="single" w:color="auto"/>
            <w:color w:val="0000EE"/>
          </w:rPr>
          <w:t>(incorporated by reference to Exhibit 10.19 to the Martin Marietta Materials, Inc. Annual Report on Form 10-K for the fiscal year ended</w:t>
        </w:r>
      </w:hyperlink>
      <w:r>
        <w:rPr>
          <w:rFonts w:ascii="Arial" w:cs="Arial" w:eastAsia="Arial" w:hAnsi="Arial"/>
          <w:sz w:val="16"/>
          <w:szCs w:val="16"/>
          <w:u w:val="single" w:color="auto"/>
          <w:color w:val="0000EE"/>
        </w:rPr>
        <w:t xml:space="preserve"> </w:t>
      </w:r>
      <w:hyperlink r:id="rId116">
        <w:r>
          <w:rPr>
            <w:rFonts w:ascii="Arial" w:cs="Arial" w:eastAsia="Arial" w:hAnsi="Arial"/>
            <w:sz w:val="16"/>
            <w:szCs w:val="16"/>
            <w:u w:val="single" w:color="auto"/>
            <w:color w:val="0000EE"/>
          </w:rPr>
          <w:t>December 31, 2014) (Commission File No. 1-12744)**</w:t>
        </w:r>
      </w:hyperlink>
    </w:p>
    <w:p>
      <w:pPr>
        <w:spacing w:after="0" w:line="25" w:lineRule="exact"/>
        <w:rPr>
          <w:rFonts w:ascii="Arial" w:cs="Arial" w:eastAsia="Arial" w:hAnsi="Arial"/>
          <w:sz w:val="16"/>
          <w:szCs w:val="16"/>
          <w:u w:val="single" w:color="auto"/>
          <w:color w:val="0000EE"/>
        </w:rPr>
      </w:pPr>
    </w:p>
    <w:p>
      <w:pPr>
        <w:ind w:right="20"/>
        <w:spacing w:after="0" w:line="253" w:lineRule="auto"/>
        <w:rPr>
          <w:rFonts w:ascii="Arial" w:cs="Arial" w:eastAsia="Arial" w:hAnsi="Arial"/>
          <w:sz w:val="16"/>
          <w:szCs w:val="16"/>
          <w:u w:val="single" w:color="auto"/>
          <w:color w:val="0000EE"/>
        </w:rPr>
      </w:pPr>
      <w:hyperlink r:id="rId117">
        <w:r>
          <w:rPr>
            <w:rFonts w:ascii="Arial" w:cs="Arial" w:eastAsia="Arial" w:hAnsi="Arial"/>
            <w:sz w:val="16"/>
            <w:szCs w:val="16"/>
            <w:u w:val="single" w:color="auto"/>
            <w:color w:val="0000EE"/>
          </w:rPr>
          <w:t>– Form of Performance-Based Restricted Stock Unit Award Agreement under the Martin Marietta Materials, Inc. Amended and Restated Stock-</w:t>
        </w:r>
      </w:hyperlink>
      <w:hyperlink r:id="rId117">
        <w:r>
          <w:rPr>
            <w:rFonts w:ascii="Arial" w:cs="Arial" w:eastAsia="Arial" w:hAnsi="Arial"/>
            <w:sz w:val="16"/>
            <w:szCs w:val="16"/>
            <w:u w:val="single" w:color="auto"/>
            <w:color w:val="0000EE"/>
          </w:rPr>
          <w:t>Based Award Plan (incorporated by reference to Exhibit 10.02 to the Martin Marietta Materials, Inc. Quarterly Report on Form 10-Q for the</w:t>
        </w:r>
      </w:hyperlink>
      <w:r>
        <w:rPr>
          <w:rFonts w:ascii="Arial" w:cs="Arial" w:eastAsia="Arial" w:hAnsi="Arial"/>
          <w:sz w:val="16"/>
          <w:szCs w:val="16"/>
          <w:u w:val="single" w:color="auto"/>
          <w:color w:val="0000EE"/>
        </w:rPr>
        <w:t xml:space="preserve"> </w:t>
      </w:r>
      <w:hyperlink r:id="rId117">
        <w:r>
          <w:rPr>
            <w:rFonts w:ascii="Arial" w:cs="Arial" w:eastAsia="Arial" w:hAnsi="Arial"/>
            <w:sz w:val="16"/>
            <w:szCs w:val="16"/>
            <w:u w:val="single" w:color="auto"/>
            <w:color w:val="0000EE"/>
          </w:rPr>
          <w:t>quarter ended March 31, 2017) (Commission File No. 1-12744)**</w:t>
        </w:r>
      </w:hyperlink>
    </w:p>
    <w:p>
      <w:pPr>
        <w:spacing w:after="0" w:line="25" w:lineRule="exact"/>
        <w:rPr>
          <w:rFonts w:ascii="Arial" w:cs="Arial" w:eastAsia="Arial" w:hAnsi="Arial"/>
          <w:sz w:val="16"/>
          <w:szCs w:val="16"/>
          <w:u w:val="single" w:color="auto"/>
          <w:color w:val="0000EE"/>
        </w:rPr>
      </w:pPr>
    </w:p>
    <w:p>
      <w:pPr>
        <w:ind w:right="40"/>
        <w:spacing w:after="0" w:line="253" w:lineRule="auto"/>
        <w:rPr>
          <w:rFonts w:ascii="Arial" w:cs="Arial" w:eastAsia="Arial" w:hAnsi="Arial"/>
          <w:sz w:val="16"/>
          <w:szCs w:val="16"/>
          <w:u w:val="single" w:color="auto"/>
          <w:color w:val="0000EE"/>
        </w:rPr>
      </w:pPr>
      <w:hyperlink r:id="rId118">
        <w:r>
          <w:rPr>
            <w:rFonts w:ascii="Arial" w:cs="Arial" w:eastAsia="Arial" w:hAnsi="Arial"/>
            <w:sz w:val="16"/>
            <w:szCs w:val="16"/>
            <w:u w:val="single" w:color="auto"/>
            <w:color w:val="0000EE"/>
          </w:rPr>
          <w:t>– Offer Letter, dated as of June 9, 2017, by and between Martin Marietta Materials, Inc. and James A. J. Nickolas (incorporated by reference to</w:t>
        </w:r>
      </w:hyperlink>
      <w:r>
        <w:rPr>
          <w:rFonts w:ascii="Arial" w:cs="Arial" w:eastAsia="Arial" w:hAnsi="Arial"/>
          <w:sz w:val="16"/>
          <w:szCs w:val="16"/>
          <w:u w:val="single" w:color="auto"/>
          <w:color w:val="0000EE"/>
        </w:rPr>
        <w:t xml:space="preserve"> </w:t>
      </w:r>
      <w:hyperlink r:id="rId118">
        <w:r>
          <w:rPr>
            <w:rFonts w:ascii="Arial" w:cs="Arial" w:eastAsia="Arial" w:hAnsi="Arial"/>
            <w:sz w:val="16"/>
            <w:szCs w:val="16"/>
            <w:u w:val="single" w:color="auto"/>
            <w:color w:val="0000EE"/>
          </w:rPr>
          <w:t>Exhibit 10.01 to the Martin Marietta Materials, Inc. Quarterly Report on Form 10-Q for the quarter ended June 30, 2018) (Commission File</w:t>
        </w:r>
      </w:hyperlink>
      <w:r>
        <w:rPr>
          <w:rFonts w:ascii="Arial" w:cs="Arial" w:eastAsia="Arial" w:hAnsi="Arial"/>
          <w:sz w:val="16"/>
          <w:szCs w:val="16"/>
          <w:u w:val="single" w:color="auto"/>
          <w:color w:val="0000EE"/>
        </w:rPr>
        <w:t xml:space="preserve"> </w:t>
      </w:r>
      <w:hyperlink r:id="rId118">
        <w:r>
          <w:rPr>
            <w:rFonts w:ascii="Arial" w:cs="Arial" w:eastAsia="Arial" w:hAnsi="Arial"/>
            <w:sz w:val="16"/>
            <w:szCs w:val="16"/>
            <w:u w:val="single" w:color="auto"/>
            <w:color w:val="0000EE"/>
          </w:rPr>
          <w:t>No. 1-12744)**</w:t>
        </w:r>
      </w:hyperlink>
    </w:p>
    <w:p>
      <w:pPr>
        <w:spacing w:after="0" w:line="25" w:lineRule="exact"/>
        <w:rPr>
          <w:rFonts w:ascii="Arial" w:cs="Arial" w:eastAsia="Arial" w:hAnsi="Arial"/>
          <w:sz w:val="16"/>
          <w:szCs w:val="16"/>
          <w:u w:val="single" w:color="auto"/>
          <w:color w:val="0000EE"/>
        </w:rPr>
      </w:pPr>
    </w:p>
    <w:p>
      <w:pPr>
        <w:ind w:right="460"/>
        <w:spacing w:after="0" w:line="253" w:lineRule="auto"/>
        <w:rPr>
          <w:rFonts w:ascii="Arial" w:cs="Arial" w:eastAsia="Arial" w:hAnsi="Arial"/>
          <w:sz w:val="16"/>
          <w:szCs w:val="16"/>
          <w:u w:val="single" w:color="auto"/>
          <w:color w:val="0000EE"/>
        </w:rPr>
      </w:pPr>
      <w:hyperlink r:id="rId119">
        <w:r>
          <w:rPr>
            <w:rFonts w:ascii="Arial" w:cs="Arial" w:eastAsia="Arial" w:hAnsi="Arial"/>
            <w:sz w:val="16"/>
            <w:szCs w:val="16"/>
            <w:u w:val="single" w:color="auto"/>
            <w:color w:val="0000EE"/>
          </w:rPr>
          <w:t>– Form of First Amendment to the Martin Marietta Materials, Inc. Third Amended and Restated Employment Protection Agreement</w:t>
        </w:r>
      </w:hyperlink>
      <w:r>
        <w:rPr>
          <w:rFonts w:ascii="Arial" w:cs="Arial" w:eastAsia="Arial" w:hAnsi="Arial"/>
          <w:sz w:val="16"/>
          <w:szCs w:val="16"/>
          <w:u w:val="single" w:color="auto"/>
          <w:color w:val="0000EE"/>
        </w:rPr>
        <w:t xml:space="preserve"> </w:t>
      </w:r>
      <w:hyperlink r:id="rId119">
        <w:r>
          <w:rPr>
            <w:rFonts w:ascii="Arial" w:cs="Arial" w:eastAsia="Arial" w:hAnsi="Arial"/>
            <w:sz w:val="16"/>
            <w:szCs w:val="16"/>
            <w:u w:val="single" w:color="auto"/>
            <w:color w:val="0000EE"/>
          </w:rPr>
          <w:t>(incorporated by reference to Exhibit 10.1 to the Martin Marietta Materials, Inc. Current Report on Form 8-K, filed on December 18, 2018)</w:t>
        </w:r>
      </w:hyperlink>
      <w:r>
        <w:rPr>
          <w:rFonts w:ascii="Arial" w:cs="Arial" w:eastAsia="Arial" w:hAnsi="Arial"/>
          <w:sz w:val="16"/>
          <w:szCs w:val="16"/>
          <w:u w:val="single" w:color="auto"/>
          <w:color w:val="0000EE"/>
        </w:rPr>
        <w:t xml:space="preserve"> </w:t>
      </w:r>
      <w:hyperlink r:id="rId119">
        <w:r>
          <w:rPr>
            <w:rFonts w:ascii="Arial" w:cs="Arial" w:eastAsia="Arial" w:hAnsi="Arial"/>
            <w:sz w:val="16"/>
            <w:szCs w:val="16"/>
            <w:u w:val="single" w:color="auto"/>
            <w:color w:val="0000EE"/>
          </w:rPr>
          <w:t>(Commission File No. 1-12744)**</w:t>
        </w:r>
      </w:hyperlink>
    </w:p>
    <w:p>
      <w:pPr>
        <w:spacing w:after="0" w:line="25" w:lineRule="exact"/>
        <w:rPr>
          <w:rFonts w:ascii="Arial" w:cs="Arial" w:eastAsia="Arial" w:hAnsi="Arial"/>
          <w:sz w:val="16"/>
          <w:szCs w:val="16"/>
          <w:u w:val="single" w:color="auto"/>
          <w:color w:val="0000EE"/>
        </w:rPr>
      </w:pPr>
    </w:p>
    <w:p>
      <w:pPr>
        <w:ind w:right="180"/>
        <w:spacing w:after="0" w:line="253" w:lineRule="auto"/>
        <w:rPr>
          <w:rFonts w:ascii="Arial" w:cs="Arial" w:eastAsia="Arial" w:hAnsi="Arial"/>
          <w:sz w:val="16"/>
          <w:szCs w:val="16"/>
          <w:u w:val="single" w:color="auto"/>
          <w:color w:val="0000EE"/>
        </w:rPr>
      </w:pPr>
      <w:hyperlink r:id="rId120">
        <w:r>
          <w:rPr>
            <w:rFonts w:ascii="Arial" w:cs="Arial" w:eastAsia="Arial" w:hAnsi="Arial"/>
            <w:sz w:val="16"/>
            <w:szCs w:val="16"/>
            <w:u w:val="single" w:color="auto"/>
            <w:color w:val="0000EE"/>
          </w:rPr>
          <w:t>– Form of Restricted Stock Unit Award Agreement under the Martin Marietta Materials, Inc. Amended and Restated Stock-Based Award Plan</w:t>
        </w:r>
      </w:hyperlink>
      <w:r>
        <w:rPr>
          <w:rFonts w:ascii="Arial" w:cs="Arial" w:eastAsia="Arial" w:hAnsi="Arial"/>
          <w:sz w:val="16"/>
          <w:szCs w:val="16"/>
          <w:u w:val="single" w:color="auto"/>
          <w:color w:val="0000EE"/>
        </w:rPr>
        <w:t xml:space="preserve"> </w:t>
      </w:r>
      <w:hyperlink r:id="rId120">
        <w:r>
          <w:rPr>
            <w:rFonts w:ascii="Arial" w:cs="Arial" w:eastAsia="Arial" w:hAnsi="Arial"/>
            <w:sz w:val="16"/>
            <w:szCs w:val="16"/>
            <w:u w:val="single" w:color="auto"/>
            <w:color w:val="0000EE"/>
          </w:rPr>
          <w:t>(incorporated by reference to Exhibit 10.2 to the Martin Marietta Materials, Inc. Current Report on Form 8-K, filed on December 18, 2018)</w:t>
        </w:r>
      </w:hyperlink>
      <w:r>
        <w:rPr>
          <w:rFonts w:ascii="Arial" w:cs="Arial" w:eastAsia="Arial" w:hAnsi="Arial"/>
          <w:sz w:val="16"/>
          <w:szCs w:val="16"/>
          <w:u w:val="single" w:color="auto"/>
          <w:color w:val="0000EE"/>
        </w:rPr>
        <w:t xml:space="preserve"> </w:t>
      </w:r>
      <w:hyperlink r:id="rId120">
        <w:r>
          <w:rPr>
            <w:rFonts w:ascii="Arial" w:cs="Arial" w:eastAsia="Arial" w:hAnsi="Arial"/>
            <w:sz w:val="16"/>
            <w:szCs w:val="16"/>
            <w:u w:val="single" w:color="auto"/>
            <w:color w:val="0000EE"/>
          </w:rPr>
          <w:t>(Commission File No. 1-12744)**</w:t>
        </w:r>
      </w:hyperlink>
    </w:p>
    <w:p>
      <w:pPr>
        <w:spacing w:after="0" w:line="25" w:lineRule="exact"/>
        <w:rPr>
          <w:rFonts w:ascii="Arial" w:cs="Arial" w:eastAsia="Arial" w:hAnsi="Arial"/>
          <w:sz w:val="16"/>
          <w:szCs w:val="16"/>
          <w:u w:val="single" w:color="auto"/>
          <w:color w:val="0000EE"/>
        </w:rPr>
      </w:pPr>
    </w:p>
    <w:p>
      <w:pPr>
        <w:ind w:right="100"/>
        <w:spacing w:after="0" w:line="253" w:lineRule="auto"/>
        <w:rPr>
          <w:rFonts w:ascii="Arial" w:cs="Arial" w:eastAsia="Arial" w:hAnsi="Arial"/>
          <w:sz w:val="16"/>
          <w:szCs w:val="16"/>
          <w:u w:val="single" w:color="auto"/>
          <w:color w:val="0000EE"/>
        </w:rPr>
      </w:pPr>
      <w:hyperlink r:id="rId121">
        <w:r>
          <w:rPr>
            <w:rFonts w:ascii="Arial" w:cs="Arial" w:eastAsia="Arial" w:hAnsi="Arial"/>
            <w:sz w:val="16"/>
            <w:szCs w:val="16"/>
            <w:u w:val="single" w:color="auto"/>
            <w:color w:val="0000EE"/>
          </w:rPr>
          <w:t>– Form of Performance Share Unit Award Agreement under the Martin Marietta Materials, Inc. Amended and Restated Stock-Based Award</w:t>
        </w:r>
      </w:hyperlink>
      <w:r>
        <w:rPr>
          <w:rFonts w:ascii="Arial" w:cs="Arial" w:eastAsia="Arial" w:hAnsi="Arial"/>
          <w:sz w:val="16"/>
          <w:szCs w:val="16"/>
          <w:u w:val="single" w:color="auto"/>
          <w:color w:val="0000EE"/>
        </w:rPr>
        <w:t xml:space="preserve"> </w:t>
      </w:r>
      <w:hyperlink r:id="rId121">
        <w:r>
          <w:rPr>
            <w:rFonts w:ascii="Arial" w:cs="Arial" w:eastAsia="Arial" w:hAnsi="Arial"/>
            <w:sz w:val="16"/>
            <w:szCs w:val="16"/>
            <w:u w:val="single" w:color="auto"/>
            <w:color w:val="0000EE"/>
          </w:rPr>
          <w:t>Plan (incorporated by reference to Exhibit 10.3 to the Martin Marietta Materials, Inc. Current Report on Form 8-K, filed on December 18, 2018)</w:t>
        </w:r>
      </w:hyperlink>
      <w:r>
        <w:rPr>
          <w:rFonts w:ascii="Arial" w:cs="Arial" w:eastAsia="Arial" w:hAnsi="Arial"/>
          <w:sz w:val="16"/>
          <w:szCs w:val="16"/>
          <w:u w:val="single" w:color="auto"/>
          <w:color w:val="0000EE"/>
        </w:rPr>
        <w:t xml:space="preserve"> </w:t>
      </w:r>
      <w:hyperlink r:id="rId121">
        <w:r>
          <w:rPr>
            <w:rFonts w:ascii="Arial" w:cs="Arial" w:eastAsia="Arial" w:hAnsi="Arial"/>
            <w:sz w:val="16"/>
            <w:szCs w:val="16"/>
            <w:u w:val="single" w:color="auto"/>
            <w:color w:val="0000EE"/>
          </w:rPr>
          <w:t>(Commission File No. 1-12744)**</w:t>
        </w:r>
      </w:hyperlink>
    </w:p>
    <w:p>
      <w:pPr>
        <w:spacing w:after="0" w:line="25" w:lineRule="exact"/>
        <w:rPr>
          <w:rFonts w:ascii="Arial" w:cs="Arial" w:eastAsia="Arial" w:hAnsi="Arial"/>
          <w:sz w:val="16"/>
          <w:szCs w:val="16"/>
          <w:u w:val="single" w:color="auto"/>
          <w:color w:val="0000EE"/>
        </w:rPr>
      </w:pPr>
    </w:p>
    <w:p>
      <w:pPr>
        <w:ind w:right="320"/>
        <w:spacing w:after="0" w:line="260" w:lineRule="auto"/>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 Form of Directors’ Restricted Stock Unit Award Agreement under the Martin Marietta Materials, Inc. Amended and Restated Stock-Based</w:t>
        </w:r>
      </w:hyperlink>
      <w:r>
        <w:rPr>
          <w:rFonts w:ascii="Arial" w:cs="Arial" w:eastAsia="Arial" w:hAnsi="Arial"/>
          <w:sz w:val="16"/>
          <w:szCs w:val="16"/>
          <w:u w:val="single" w:color="auto"/>
          <w:color w:val="0000EE"/>
        </w:rPr>
        <w:t xml:space="preserve"> </w:t>
      </w:r>
      <w:hyperlink w:anchor="page43">
        <w:r>
          <w:rPr>
            <w:rFonts w:ascii="Arial" w:cs="Arial" w:eastAsia="Arial" w:hAnsi="Arial"/>
            <w:sz w:val="16"/>
            <w:szCs w:val="16"/>
            <w:u w:val="single" w:color="auto"/>
            <w:color w:val="0000EE"/>
          </w:rPr>
          <w:t>Award Plan**</w:t>
        </w:r>
      </w:hyperlink>
    </w:p>
    <w:p>
      <w:pPr>
        <w:spacing w:after="0" w:line="20" w:lineRule="exact"/>
        <w:rPr>
          <w:rFonts w:ascii="Arial" w:cs="Arial" w:eastAsia="Arial" w:hAnsi="Arial"/>
          <w:sz w:val="16"/>
          <w:szCs w:val="16"/>
          <w:u w:val="single" w:color="auto"/>
          <w:color w:val="0000EE"/>
        </w:rPr>
      </w:pPr>
    </w:p>
    <w:p>
      <w:pPr>
        <w:ind w:right="100"/>
        <w:spacing w:after="0" w:line="253" w:lineRule="auto"/>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 Excerpts from Martin Marietta Materials, Inc. 2018 Annual Report to Shareholders, portions of which are incorporated by reference in this</w:t>
        </w:r>
      </w:hyperlink>
      <w:r>
        <w:rPr>
          <w:rFonts w:ascii="Arial" w:cs="Arial" w:eastAsia="Arial" w:hAnsi="Arial"/>
          <w:sz w:val="16"/>
          <w:szCs w:val="16"/>
          <w:u w:val="single" w:color="auto"/>
          <w:color w:val="0000EE"/>
        </w:rPr>
        <w:t xml:space="preserve"> </w:t>
      </w:r>
      <w:hyperlink w:anchor="page46">
        <w:r>
          <w:rPr>
            <w:rFonts w:ascii="Arial" w:cs="Arial" w:eastAsia="Arial" w:hAnsi="Arial"/>
            <w:sz w:val="16"/>
            <w:szCs w:val="16"/>
            <w:u w:val="single" w:color="auto"/>
            <w:color w:val="0000EE"/>
          </w:rPr>
          <w:t>Form 10-K. Those portions of the 2018 Annual Report to Shareholders that are not incorporated by reference shall not be deemed to be “filed”</w:t>
        </w:r>
      </w:hyperlink>
      <w:r>
        <w:rPr>
          <w:rFonts w:ascii="Arial" w:cs="Arial" w:eastAsia="Arial" w:hAnsi="Arial"/>
          <w:sz w:val="16"/>
          <w:szCs w:val="16"/>
          <w:u w:val="single" w:color="auto"/>
          <w:color w:val="0000EE"/>
        </w:rPr>
        <w:t xml:space="preserve"> </w:t>
      </w:r>
      <w:hyperlink w:anchor="page46">
        <w:r>
          <w:rPr>
            <w:rFonts w:ascii="Arial" w:cs="Arial" w:eastAsia="Arial" w:hAnsi="Arial"/>
            <w:sz w:val="16"/>
            <w:szCs w:val="16"/>
            <w:u w:val="single" w:color="auto"/>
            <w:color w:val="0000EE"/>
          </w:rPr>
          <w:t>as part of this report.</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-730885</wp:posOffset>
            </wp:positionH>
            <wp:positionV relativeFrom="paragraph">
              <wp:posOffset>-5978525</wp:posOffset>
            </wp:positionV>
            <wp:extent cx="7246620" cy="63373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2">
                      <a:extLst>
                        <a:ext uri="{28A0092B-C50C-407E-A947-70E740481C1C}"/>
                      </a:extLst>
                    </a:blip>
                    <a:srcRect/>
                    <a:stretch>
                      <a:fillRect/>
                    </a:stretch>
                  </pic:blipFill>
                  <pic:spPr bwMode="auto">
                    <a:xfrm>
                      <a:off x="0" y="0"/>
                      <a:ext cx="7246620" cy="6337300"/>
                    </a:xfrm>
                    <a:prstGeom prst="rect">
                      <a:avLst/>
                    </a:prstGeom>
                    <a:noFill/>
                  </pic:spPr>
                </pic:pic>
              </a:graphicData>
            </a:graphic>
          </wp:anchor>
        </w:drawing>
      </w:r>
    </w:p>
    <w:p>
      <w:pPr>
        <w:spacing w:after="0" w:line="200" w:lineRule="exact"/>
        <w:rPr>
          <w:rFonts w:ascii="Arial" w:cs="Arial" w:eastAsia="Arial" w:hAnsi="Arial"/>
          <w:sz w:val="16"/>
          <w:szCs w:val="16"/>
          <w:u w:val="single" w:color="auto"/>
          <w:color w:val="0000EE"/>
        </w:rPr>
      </w:pPr>
    </w:p>
    <w:p>
      <w:pPr>
        <w:sectPr>
          <w:pgSz w:w="11900" w:h="16838" w:orient="portrait"/>
          <w:cols w:equalWidth="0" w:num="2">
            <w:col w:w="920" w:space="240"/>
            <w:col w:w="10260"/>
          </w:cols>
          <w:pgMar w:left="240" w:top="459" w:right="239" w:bottom="1440" w:gutter="0" w:footer="0" w:header="0"/>
          <w:type w:val="continuous"/>
        </w:sectPr>
      </w:pPr>
    </w:p>
    <w:p>
      <w:pPr>
        <w:spacing w:after="0" w:line="7" w:lineRule="exact"/>
        <w:rPr>
          <w:rFonts w:ascii="Arial" w:cs="Arial" w:eastAsia="Arial" w:hAnsi="Arial"/>
          <w:sz w:val="16"/>
          <w:szCs w:val="16"/>
          <w:u w:val="single" w:color="auto"/>
          <w:color w:val="0000EE"/>
        </w:rPr>
      </w:pPr>
    </w:p>
    <w:p>
      <w:pPr>
        <w:ind w:left="460" w:hanging="452"/>
        <w:spacing w:after="0"/>
        <w:tabs>
          <w:tab w:leader="none" w:pos="460" w:val="left"/>
        </w:tabs>
        <w:numPr>
          <w:ilvl w:val="0"/>
          <w:numId w:val="32"/>
        </w:numPr>
        <w:rPr>
          <w:rFonts w:ascii="Arial" w:cs="Arial" w:eastAsia="Arial" w:hAnsi="Arial"/>
          <w:sz w:val="12"/>
          <w:szCs w:val="12"/>
          <w:b w:val="1"/>
          <w:bCs w:val="1"/>
          <w:color w:val="auto"/>
        </w:rPr>
      </w:pPr>
      <w:r>
        <w:rPr>
          <w:rFonts w:ascii="Arial" w:cs="Arial" w:eastAsia="Arial" w:hAnsi="Arial"/>
          <w:sz w:val="12"/>
          <w:szCs w:val="12"/>
          <w:color w:val="007CBA"/>
        </w:rPr>
        <w:t>2018 FORM 10-K</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shd w:val="clear" w:color="auto" w:fill="007CBA"/>
        </w:rPr>
        <w:t>Exhibit No.</w:t>
      </w:r>
    </w:p>
    <w:p>
      <w:pPr>
        <w:spacing w:after="0" w:line="10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*21.01</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*23.01</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*24.01</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*31.01</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*31.02</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*32.01</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*32.02</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*95</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*101.SCH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*101.CAL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*101.LAB</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*101.PRE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*101. DEF</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right"/>
        <w:spacing w:after="0" w:line="288" w:lineRule="exact"/>
        <w:rPr>
          <w:sz w:val="20"/>
          <w:szCs w:val="20"/>
          <w:color w:val="auto"/>
        </w:rPr>
      </w:pPr>
      <w:r>
        <w:rPr>
          <w:rFonts w:ascii="Arial" w:cs="Arial" w:eastAsia="Arial" w:hAnsi="Arial"/>
          <w:sz w:val="14"/>
          <w:szCs w:val="14"/>
          <w:color w:val="auto"/>
        </w:rPr>
        <w:t xml:space="preserve">Item 15 - Exhibits and Financial Statement Schedules </w:t>
      </w:r>
      <w:r>
        <w:rPr>
          <w:rFonts w:ascii="MS PGothic" w:cs="MS PGothic" w:eastAsia="MS PGothic" w:hAnsi="MS PGothic"/>
          <w:sz w:val="25"/>
          <w:szCs w:val="25"/>
          <w:color w:val="007CBA"/>
        </w:rPr>
        <w:t>◆</w:t>
      </w:r>
      <w:r>
        <w:rPr>
          <w:rFonts w:ascii="Arial" w:cs="Arial" w:eastAsia="Arial" w:hAnsi="Arial"/>
          <w:sz w:val="14"/>
          <w:szCs w:val="14"/>
          <w:color w:val="auto"/>
        </w:rPr>
        <w:t xml:space="preserve"> </w:t>
      </w:r>
      <w:r>
        <w:rPr>
          <w:rFonts w:ascii="Arial" w:cs="Arial" w:eastAsia="Arial" w:hAnsi="Arial"/>
          <w:sz w:val="14"/>
          <w:szCs w:val="14"/>
          <w:color w:val="007CBA"/>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246620" cy="29673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4">
                      <a:extLst>
                        <a:ext uri="{28A0092B-C50C-407E-A947-70E740481C1C}"/>
                      </a:extLst>
                    </a:blip>
                    <a:srcRect/>
                    <a:stretch>
                      <a:fillRect/>
                    </a:stretch>
                  </pic:blipFill>
                  <pic:spPr bwMode="auto">
                    <a:xfrm>
                      <a:off x="0" y="0"/>
                      <a:ext cx="7246620" cy="29673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rFonts w:ascii="Arial" w:cs="Arial" w:eastAsia="Arial" w:hAnsi="Arial"/>
          <w:sz w:val="16"/>
          <w:szCs w:val="16"/>
          <w:u w:val="single" w:color="auto"/>
          <w:color w:val="0000EE"/>
        </w:rPr>
      </w:pPr>
      <w:hyperlink w:anchor="page127">
        <w:r>
          <w:rPr>
            <w:rFonts w:ascii="Arial" w:cs="Arial" w:eastAsia="Arial" w:hAnsi="Arial"/>
            <w:sz w:val="16"/>
            <w:szCs w:val="16"/>
            <w:u w:val="single" w:color="auto"/>
            <w:color w:val="0000EE"/>
          </w:rPr>
          <w:t>– List of subsidiaries of Martin Marietta Materials, Inc.</w:t>
        </w:r>
      </w:hyperlink>
    </w:p>
    <w:p>
      <w:pPr>
        <w:spacing w:after="0" w:line="45" w:lineRule="exact"/>
        <w:rPr>
          <w:rFonts w:ascii="Arial" w:cs="Arial" w:eastAsia="Arial" w:hAnsi="Arial"/>
          <w:sz w:val="16"/>
          <w:szCs w:val="16"/>
          <w:u w:val="single" w:color="auto"/>
          <w:color w:val="0000EE"/>
        </w:rPr>
      </w:pPr>
    </w:p>
    <w:p>
      <w:pPr>
        <w:ind w:right="960"/>
        <w:spacing w:after="0" w:line="260" w:lineRule="auto"/>
        <w:rPr>
          <w:rFonts w:ascii="Arial" w:cs="Arial" w:eastAsia="Arial" w:hAnsi="Arial"/>
          <w:sz w:val="16"/>
          <w:szCs w:val="16"/>
          <w:u w:val="single" w:color="auto"/>
          <w:color w:val="0000EE"/>
        </w:rPr>
      </w:pPr>
      <w:hyperlink w:anchor="page131">
        <w:r>
          <w:rPr>
            <w:rFonts w:ascii="Arial" w:cs="Arial" w:eastAsia="Arial" w:hAnsi="Arial"/>
            <w:sz w:val="16"/>
            <w:szCs w:val="16"/>
            <w:u w:val="single" w:color="auto"/>
            <w:color w:val="0000EE"/>
          </w:rPr>
          <w:t>– Consent of PricewaterhouseCoopers LLP, Independent Registered Public Accounting Firm for Martin Marietta Materials, Inc. and</w:t>
        </w:r>
      </w:hyperlink>
      <w:r>
        <w:rPr>
          <w:rFonts w:ascii="Arial" w:cs="Arial" w:eastAsia="Arial" w:hAnsi="Arial"/>
          <w:sz w:val="16"/>
          <w:szCs w:val="16"/>
          <w:u w:val="single" w:color="auto"/>
          <w:color w:val="0000EE"/>
        </w:rPr>
        <w:t xml:space="preserve"> </w:t>
      </w:r>
      <w:hyperlink w:anchor="page131">
        <w:r>
          <w:rPr>
            <w:rFonts w:ascii="Arial" w:cs="Arial" w:eastAsia="Arial" w:hAnsi="Arial"/>
            <w:sz w:val="16"/>
            <w:szCs w:val="16"/>
            <w:u w:val="single" w:color="auto"/>
            <w:color w:val="0000EE"/>
          </w:rPr>
          <w:t>consolidated subsidiaries</w:t>
        </w:r>
      </w:hyperlink>
    </w:p>
    <w:p>
      <w:pPr>
        <w:spacing w:after="0" w:line="47"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 Powers of Attorney (included in this Form 10-K immediately following Signatures)</w:t>
        </w:r>
      </w:hyperlink>
    </w:p>
    <w:p>
      <w:pPr>
        <w:spacing w:after="0" w:line="45" w:lineRule="exact"/>
        <w:rPr>
          <w:rFonts w:ascii="Arial" w:cs="Arial" w:eastAsia="Arial" w:hAnsi="Arial"/>
          <w:sz w:val="16"/>
          <w:szCs w:val="16"/>
          <w:u w:val="single" w:color="auto"/>
          <w:color w:val="0000EE"/>
        </w:rPr>
      </w:pPr>
    </w:p>
    <w:p>
      <w:pPr>
        <w:ind w:right="220"/>
        <w:spacing w:after="0" w:line="260" w:lineRule="auto"/>
        <w:rPr>
          <w:rFonts w:ascii="Arial" w:cs="Arial" w:eastAsia="Arial" w:hAnsi="Arial"/>
          <w:sz w:val="16"/>
          <w:szCs w:val="16"/>
          <w:u w:val="single" w:color="auto"/>
          <w:color w:val="0000EE"/>
        </w:rPr>
      </w:pPr>
      <w:hyperlink w:anchor="page132">
        <w:r>
          <w:rPr>
            <w:rFonts w:ascii="Arial" w:cs="Arial" w:eastAsia="Arial" w:hAnsi="Arial"/>
            <w:sz w:val="16"/>
            <w:szCs w:val="16"/>
            <w:u w:val="single" w:color="auto"/>
            <w:color w:val="0000EE"/>
          </w:rPr>
          <w:t>– Certification dated February 25, 2019 of Chief Executive Officer pursuant to Securities and Exchange Act of 1934, rule 13a-14, as adopted</w:t>
        </w:r>
      </w:hyperlink>
      <w:r>
        <w:rPr>
          <w:rFonts w:ascii="Arial" w:cs="Arial" w:eastAsia="Arial" w:hAnsi="Arial"/>
          <w:sz w:val="16"/>
          <w:szCs w:val="16"/>
          <w:u w:val="single" w:color="auto"/>
          <w:color w:val="0000EE"/>
        </w:rPr>
        <w:t xml:space="preserve"> </w:t>
      </w:r>
      <w:hyperlink w:anchor="page132">
        <w:r>
          <w:rPr>
            <w:rFonts w:ascii="Arial" w:cs="Arial" w:eastAsia="Arial" w:hAnsi="Arial"/>
            <w:sz w:val="16"/>
            <w:szCs w:val="16"/>
            <w:u w:val="single" w:color="auto"/>
            <w:color w:val="0000EE"/>
          </w:rPr>
          <w:t>pursuant to Section 302 of the Sarbanes- Oxley Act of 2002</w:t>
        </w:r>
      </w:hyperlink>
    </w:p>
    <w:p>
      <w:pPr>
        <w:spacing w:after="0" w:line="20" w:lineRule="exact"/>
        <w:rPr>
          <w:rFonts w:ascii="Arial" w:cs="Arial" w:eastAsia="Arial" w:hAnsi="Arial"/>
          <w:sz w:val="16"/>
          <w:szCs w:val="16"/>
          <w:u w:val="single" w:color="auto"/>
          <w:color w:val="0000EE"/>
        </w:rPr>
      </w:pPr>
    </w:p>
    <w:p>
      <w:pPr>
        <w:ind w:right="260"/>
        <w:spacing w:after="0" w:line="260" w:lineRule="auto"/>
        <w:rPr>
          <w:rFonts w:ascii="Arial" w:cs="Arial" w:eastAsia="Arial" w:hAnsi="Arial"/>
          <w:sz w:val="16"/>
          <w:szCs w:val="16"/>
          <w:u w:val="single" w:color="auto"/>
          <w:color w:val="0000EE"/>
        </w:rPr>
      </w:pPr>
      <w:hyperlink w:anchor="page133">
        <w:r>
          <w:rPr>
            <w:rFonts w:ascii="Arial" w:cs="Arial" w:eastAsia="Arial" w:hAnsi="Arial"/>
            <w:sz w:val="16"/>
            <w:szCs w:val="16"/>
            <w:u w:val="single" w:color="auto"/>
            <w:color w:val="0000EE"/>
          </w:rPr>
          <w:t>– Certification dated February 25, 2019 of Chief Financial Officer pursuant to Securities and Exchange Act of 1934, rule 13a-14, as adopted</w:t>
        </w:r>
      </w:hyperlink>
      <w:r>
        <w:rPr>
          <w:rFonts w:ascii="Arial" w:cs="Arial" w:eastAsia="Arial" w:hAnsi="Arial"/>
          <w:sz w:val="16"/>
          <w:szCs w:val="16"/>
          <w:u w:val="single" w:color="auto"/>
          <w:color w:val="0000EE"/>
        </w:rPr>
        <w:t xml:space="preserve"> </w:t>
      </w:r>
      <w:hyperlink w:anchor="page133">
        <w:r>
          <w:rPr>
            <w:rFonts w:ascii="Arial" w:cs="Arial" w:eastAsia="Arial" w:hAnsi="Arial"/>
            <w:sz w:val="16"/>
            <w:szCs w:val="16"/>
            <w:u w:val="single" w:color="auto"/>
            <w:color w:val="0000EE"/>
          </w:rPr>
          <w:t>pursuant to Section 302 of the Sarbanes- Oxley Act of 2002</w:t>
        </w:r>
      </w:hyperlink>
    </w:p>
    <w:p>
      <w:pPr>
        <w:spacing w:after="0" w:line="20" w:lineRule="exact"/>
        <w:rPr>
          <w:rFonts w:ascii="Arial" w:cs="Arial" w:eastAsia="Arial" w:hAnsi="Arial"/>
          <w:sz w:val="16"/>
          <w:szCs w:val="16"/>
          <w:u w:val="single" w:color="auto"/>
          <w:color w:val="0000EE"/>
        </w:rPr>
      </w:pPr>
    </w:p>
    <w:p>
      <w:pPr>
        <w:ind w:right="460"/>
        <w:spacing w:after="0" w:line="260" w:lineRule="auto"/>
        <w:rPr>
          <w:rFonts w:ascii="Arial" w:cs="Arial" w:eastAsia="Arial" w:hAnsi="Arial"/>
          <w:sz w:val="16"/>
          <w:szCs w:val="16"/>
          <w:u w:val="single" w:color="auto"/>
          <w:color w:val="0000EE"/>
        </w:rPr>
      </w:pPr>
      <w:hyperlink w:anchor="page134">
        <w:r>
          <w:rPr>
            <w:rFonts w:ascii="Arial" w:cs="Arial" w:eastAsia="Arial" w:hAnsi="Arial"/>
            <w:sz w:val="16"/>
            <w:szCs w:val="16"/>
            <w:u w:val="single" w:color="auto"/>
            <w:color w:val="0000EE"/>
          </w:rPr>
          <w:t>– Certification dated February 25, 2019 of Chief Executive Officer required by 18 U.S.C. 1350, as adopted pursuant to Section 906 of the</w:t>
        </w:r>
      </w:hyperlink>
      <w:r>
        <w:rPr>
          <w:rFonts w:ascii="Arial" w:cs="Arial" w:eastAsia="Arial" w:hAnsi="Arial"/>
          <w:sz w:val="16"/>
          <w:szCs w:val="16"/>
          <w:u w:val="single" w:color="auto"/>
          <w:color w:val="0000EE"/>
        </w:rPr>
        <w:t xml:space="preserve"> </w:t>
      </w:r>
      <w:hyperlink w:anchor="page134">
        <w:r>
          <w:rPr>
            <w:rFonts w:ascii="Arial" w:cs="Arial" w:eastAsia="Arial" w:hAnsi="Arial"/>
            <w:sz w:val="16"/>
            <w:szCs w:val="16"/>
            <w:u w:val="single" w:color="auto"/>
            <w:color w:val="0000EE"/>
          </w:rPr>
          <w:t>Sarbanes-Oxley Act of 2002</w:t>
        </w:r>
      </w:hyperlink>
    </w:p>
    <w:p>
      <w:pPr>
        <w:spacing w:after="0" w:line="20" w:lineRule="exact"/>
        <w:rPr>
          <w:rFonts w:ascii="Arial" w:cs="Arial" w:eastAsia="Arial" w:hAnsi="Arial"/>
          <w:sz w:val="16"/>
          <w:szCs w:val="16"/>
          <w:u w:val="single" w:color="auto"/>
          <w:color w:val="0000EE"/>
        </w:rPr>
      </w:pPr>
    </w:p>
    <w:p>
      <w:pPr>
        <w:ind w:right="520"/>
        <w:spacing w:after="0" w:line="260" w:lineRule="auto"/>
        <w:rPr>
          <w:rFonts w:ascii="Arial" w:cs="Arial" w:eastAsia="Arial" w:hAnsi="Arial"/>
          <w:sz w:val="16"/>
          <w:szCs w:val="16"/>
          <w:u w:val="single" w:color="auto"/>
          <w:color w:val="0000EE"/>
        </w:rPr>
      </w:pPr>
      <w:hyperlink w:anchor="page135">
        <w:r>
          <w:rPr>
            <w:rFonts w:ascii="Arial" w:cs="Arial" w:eastAsia="Arial" w:hAnsi="Arial"/>
            <w:sz w:val="16"/>
            <w:szCs w:val="16"/>
            <w:u w:val="single" w:color="auto"/>
            <w:color w:val="0000EE"/>
          </w:rPr>
          <w:t>– Certification dated February 25, 2019 of Chief Financial Officer required by 18 U.S.C. 1350, as adopted pursuant to Section 906 of the</w:t>
        </w:r>
      </w:hyperlink>
      <w:r>
        <w:rPr>
          <w:rFonts w:ascii="Arial" w:cs="Arial" w:eastAsia="Arial" w:hAnsi="Arial"/>
          <w:sz w:val="16"/>
          <w:szCs w:val="16"/>
          <w:u w:val="single" w:color="auto"/>
          <w:color w:val="0000EE"/>
        </w:rPr>
        <w:t xml:space="preserve"> </w:t>
      </w:r>
      <w:hyperlink w:anchor="page135">
        <w:r>
          <w:rPr>
            <w:rFonts w:ascii="Arial" w:cs="Arial" w:eastAsia="Arial" w:hAnsi="Arial"/>
            <w:sz w:val="16"/>
            <w:szCs w:val="16"/>
            <w:u w:val="single" w:color="auto"/>
            <w:color w:val="0000EE"/>
          </w:rPr>
          <w:t>Sarbanes-Oxley Act of 2002</w:t>
        </w:r>
      </w:hyperlink>
    </w:p>
    <w:p>
      <w:pPr>
        <w:spacing w:after="0" w:line="47"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36">
        <w:r>
          <w:rPr>
            <w:rFonts w:ascii="Arial" w:cs="Arial" w:eastAsia="Arial" w:hAnsi="Arial"/>
            <w:sz w:val="16"/>
            <w:szCs w:val="16"/>
            <w:u w:val="single" w:color="auto"/>
            <w:color w:val="0000EE"/>
          </w:rPr>
          <w:t>– Mine Safety Disclosure Exhibit</w:t>
        </w:r>
      </w:hyperlink>
    </w:p>
    <w:p>
      <w:pPr>
        <w:spacing w:after="0" w:line="72"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r>
        <w:rPr>
          <w:rFonts w:ascii="Arial" w:cs="Arial" w:eastAsia="Arial" w:hAnsi="Arial"/>
          <w:sz w:val="16"/>
          <w:szCs w:val="16"/>
          <w:color w:val="auto"/>
        </w:rPr>
        <w:t>– XBRL Instance Document</w:t>
      </w:r>
    </w:p>
    <w:p>
      <w:pPr>
        <w:spacing w:after="0" w:line="72"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r>
        <w:rPr>
          <w:rFonts w:ascii="Arial" w:cs="Arial" w:eastAsia="Arial" w:hAnsi="Arial"/>
          <w:sz w:val="16"/>
          <w:szCs w:val="16"/>
          <w:color w:val="auto"/>
        </w:rPr>
        <w:t>– XBRL Taxonomy Extension Schema Document</w:t>
      </w:r>
    </w:p>
    <w:p>
      <w:pPr>
        <w:spacing w:after="0" w:line="72"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r>
        <w:rPr>
          <w:rFonts w:ascii="Arial" w:cs="Arial" w:eastAsia="Arial" w:hAnsi="Arial"/>
          <w:sz w:val="16"/>
          <w:szCs w:val="16"/>
          <w:color w:val="auto"/>
        </w:rPr>
        <w:t>– XBRL Taxonomy Extension Calculation Linkbase Document</w:t>
      </w:r>
    </w:p>
    <w:p>
      <w:pPr>
        <w:spacing w:after="0" w:line="72"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r>
        <w:rPr>
          <w:rFonts w:ascii="Arial" w:cs="Arial" w:eastAsia="Arial" w:hAnsi="Arial"/>
          <w:sz w:val="16"/>
          <w:szCs w:val="16"/>
          <w:color w:val="auto"/>
        </w:rPr>
        <w:t>– XBRL Taxonomy Extension Label Linkbase Document</w:t>
      </w:r>
    </w:p>
    <w:p>
      <w:pPr>
        <w:spacing w:after="0" w:line="72"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r>
        <w:rPr>
          <w:rFonts w:ascii="Arial" w:cs="Arial" w:eastAsia="Arial" w:hAnsi="Arial"/>
          <w:sz w:val="16"/>
          <w:szCs w:val="16"/>
          <w:color w:val="auto"/>
        </w:rPr>
        <w:t>– XBRL Taxonomy Extension Presentation Linkbase Document</w:t>
      </w:r>
    </w:p>
    <w:p>
      <w:pPr>
        <w:spacing w:after="0" w:line="72"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r>
        <w:rPr>
          <w:rFonts w:ascii="Arial" w:cs="Arial" w:eastAsia="Arial" w:hAnsi="Arial"/>
          <w:sz w:val="16"/>
          <w:szCs w:val="16"/>
          <w:color w:val="auto"/>
        </w:rPr>
        <w:t>– XBRL Taxonomy Extension Definition Linkbase</w:t>
      </w:r>
    </w:p>
    <w:p>
      <w:pPr>
        <w:spacing w:after="0" w:line="213" w:lineRule="exact"/>
        <w:rPr>
          <w:rFonts w:ascii="Arial" w:cs="Arial" w:eastAsia="Arial" w:hAnsi="Arial"/>
          <w:sz w:val="16"/>
          <w:szCs w:val="16"/>
          <w:u w:val="single" w:color="auto"/>
          <w:color w:val="0000EE"/>
        </w:rPr>
      </w:pPr>
    </w:p>
    <w:p>
      <w:pPr>
        <w:sectPr>
          <w:pgSz w:w="11900" w:h="16838" w:orient="portrait"/>
          <w:cols w:equalWidth="0" w:num="2">
            <w:col w:w="920" w:space="200"/>
            <w:col w:w="10300"/>
          </w:cols>
          <w:pgMar w:left="240" w:top="459" w:right="239" w:bottom="1440" w:gutter="0" w:footer="0" w:header="0"/>
          <w:type w:val="continuous"/>
        </w:sectPr>
      </w:pPr>
    </w:p>
    <w:p>
      <w:pPr>
        <w:spacing w:after="0" w:line="21"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6"/>
          <w:szCs w:val="16"/>
          <w:color w:val="auto"/>
        </w:rPr>
        <w:t>Other material incorporated by reference:</w:t>
      </w:r>
    </w:p>
    <w:p>
      <w:pPr>
        <w:spacing w:after="0" w:line="113" w:lineRule="exact"/>
        <w:rPr>
          <w:rFonts w:ascii="Arial" w:cs="Arial" w:eastAsia="Arial" w:hAnsi="Arial"/>
          <w:sz w:val="16"/>
          <w:szCs w:val="16"/>
          <w:u w:val="single" w:color="auto"/>
          <w:color w:val="0000EE"/>
        </w:rPr>
      </w:pPr>
    </w:p>
    <w:p>
      <w:pPr>
        <w:ind w:left="360"/>
        <w:spacing w:after="0"/>
        <w:rPr>
          <w:sz w:val="20"/>
          <w:szCs w:val="20"/>
          <w:color w:val="auto"/>
        </w:rPr>
      </w:pPr>
      <w:r>
        <w:rPr>
          <w:rFonts w:ascii="Arial" w:cs="Arial" w:eastAsia="Arial" w:hAnsi="Arial"/>
          <w:sz w:val="16"/>
          <w:szCs w:val="16"/>
          <w:color w:val="auto"/>
        </w:rPr>
        <w:t>Martin Marietta Materials, Inc.‘s 2019 Proxy Statement filed pursuant to Regulation 14A, portions of which are incorporated by reference in this Form 10-K.</w:t>
      </w:r>
    </w:p>
    <w:p>
      <w:pPr>
        <w:spacing w:after="0" w:line="5" w:lineRule="exact"/>
        <w:rPr>
          <w:rFonts w:ascii="Arial" w:cs="Arial" w:eastAsia="Arial" w:hAnsi="Arial"/>
          <w:sz w:val="16"/>
          <w:szCs w:val="16"/>
          <w:u w:val="single" w:color="auto"/>
          <w:color w:val="0000EE"/>
        </w:rPr>
      </w:pPr>
    </w:p>
    <w:p>
      <w:pPr>
        <w:ind w:left="360"/>
        <w:spacing w:after="0"/>
        <w:rPr>
          <w:sz w:val="20"/>
          <w:szCs w:val="20"/>
          <w:color w:val="auto"/>
        </w:rPr>
      </w:pPr>
      <w:r>
        <w:rPr>
          <w:rFonts w:ascii="Arial" w:cs="Arial" w:eastAsia="Arial" w:hAnsi="Arial"/>
          <w:sz w:val="16"/>
          <w:szCs w:val="16"/>
          <w:color w:val="auto"/>
        </w:rPr>
        <w:t>Those portions of the 2019 Proxy Statement which are not incorporated by reference shall not be deemed to be “filed” as part of this report.</w:t>
      </w:r>
    </w:p>
    <w:p>
      <w:pPr>
        <w:spacing w:after="0" w:line="89" w:lineRule="exact"/>
        <w:rPr>
          <w:rFonts w:ascii="Arial" w:cs="Arial" w:eastAsia="Arial" w:hAnsi="Arial"/>
          <w:sz w:val="16"/>
          <w:szCs w:val="16"/>
          <w:u w:val="single" w:color="auto"/>
          <w:color w:val="0000EE"/>
        </w:rPr>
      </w:pPr>
    </w:p>
    <w:p>
      <w:pPr>
        <w:ind w:left="460" w:hanging="452"/>
        <w:spacing w:after="0"/>
        <w:tabs>
          <w:tab w:leader="none" w:pos="4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82" w:lineRule="exact"/>
        <w:rPr>
          <w:rFonts w:ascii="Arial" w:cs="Arial" w:eastAsia="Arial" w:hAnsi="Arial"/>
          <w:sz w:val="16"/>
          <w:szCs w:val="16"/>
          <w:u w:val="single" w:color="auto"/>
          <w:color w:val="0000EE"/>
        </w:rPr>
      </w:pPr>
    </w:p>
    <w:p>
      <w:pPr>
        <w:ind w:left="460" w:hanging="452"/>
        <w:spacing w:after="0"/>
        <w:tabs>
          <w:tab w:leader="none" w:pos="4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 required to be filed as an exhibit pursuant to Item 14(c) of Form 10-K</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3435350</wp:posOffset>
            </wp:positionH>
            <wp:positionV relativeFrom="paragraph">
              <wp:posOffset>92075</wp:posOffset>
            </wp:positionV>
            <wp:extent cx="411480" cy="2489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5">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43" w:lineRule="exact"/>
        <w:rPr>
          <w:rFonts w:ascii="Arial" w:cs="Arial" w:eastAsia="Arial" w:hAnsi="Arial"/>
          <w:sz w:val="16"/>
          <w:szCs w:val="16"/>
          <w:u w:val="single" w:color="auto"/>
          <w:color w:val="0000EE"/>
        </w:rPr>
      </w:pPr>
    </w:p>
    <w:tbl>
      <w:tblPr>
        <w:tblLayout w:type="fixed"/>
        <w:tblInd w:w="9980" w:type="dxa"/>
        <w:tblCellMar>
          <w:top w:w="0" w:type="dxa"/>
          <w:left w:w="0" w:type="dxa"/>
          <w:bottom w:w="0" w:type="dxa"/>
          <w:right w:w="0" w:type="dxa"/>
        </w:tblCellMar>
      </w:tblPr>
      <w:tr>
        <w:trPr>
          <w:trHeight w:val="168"/>
        </w:trPr>
        <w:tc>
          <w:tcPr>
            <w:tcW w:w="1140" w:type="dxa"/>
            <w:vAlign w:val="bottom"/>
          </w:tcPr>
          <w:p>
            <w:pPr>
              <w:spacing w:after="0"/>
              <w:rPr>
                <w:sz w:val="20"/>
                <w:szCs w:val="20"/>
                <w:color w:val="auto"/>
              </w:rPr>
            </w:pPr>
            <w:r>
              <w:rPr>
                <w:rFonts w:ascii="Arial" w:cs="Arial" w:eastAsia="Arial" w:hAnsi="Arial"/>
                <w:sz w:val="13"/>
                <w:szCs w:val="13"/>
                <w:color w:val="007CBA"/>
              </w:rPr>
              <w:t>2018 FORM 10-K</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37</w:t>
            </w:r>
          </w:p>
        </w:tc>
      </w:tr>
    </w:tbl>
    <w:p>
      <w:pPr>
        <w:sectPr>
          <w:pgSz w:w="11900" w:h="16838" w:orient="portrait"/>
          <w:cols w:equalWidth="0" w:num="1">
            <w:col w:w="11420"/>
          </w:cols>
          <w:pgMar w:left="240" w:top="45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Part IV </w:t>
      </w:r>
      <w:r>
        <w:rPr>
          <w:rFonts w:ascii="MS PGothic" w:cs="MS PGothic" w:eastAsia="MS PGothic" w:hAnsi="MS PGothic"/>
          <w:sz w:val="25"/>
          <w:szCs w:val="25"/>
          <w:color w:val="007CBA"/>
        </w:rPr>
        <w:t>◆</w:t>
      </w:r>
      <w:r>
        <w:rPr>
          <w:rFonts w:ascii="Arial" w:cs="Arial" w:eastAsia="Arial" w:hAnsi="Arial"/>
          <w:sz w:val="14"/>
          <w:szCs w:val="14"/>
          <w:color w:val="007CBA"/>
        </w:rPr>
        <w:t xml:space="preserve"> </w:t>
      </w:r>
      <w:r>
        <w:rPr>
          <w:rFonts w:ascii="Arial" w:cs="Arial" w:eastAsia="Arial" w:hAnsi="Arial"/>
          <w:sz w:val="14"/>
          <w:szCs w:val="14"/>
          <w:color w:val="000000"/>
        </w:rPr>
        <w:t>Item 15 - Exhibits and Financial Statement Schedules</w:t>
      </w:r>
    </w:p>
    <w:p>
      <w:pPr>
        <w:spacing w:after="0" w:line="192" w:lineRule="exact"/>
        <w:rPr>
          <w:sz w:val="20"/>
          <w:szCs w:val="20"/>
          <w:color w:val="auto"/>
        </w:rPr>
      </w:pPr>
    </w:p>
    <w:p>
      <w:pPr>
        <w:ind w:left="600" w:hanging="592"/>
        <w:spacing w:after="0"/>
        <w:tabs>
          <w:tab w:leader="none" w:pos="600" w:val="left"/>
        </w:tabs>
        <w:numPr>
          <w:ilvl w:val="0"/>
          <w:numId w:val="36"/>
        </w:numPr>
        <w:rPr>
          <w:rFonts w:ascii="Arial" w:cs="Arial" w:eastAsia="Arial" w:hAnsi="Arial"/>
          <w:sz w:val="25"/>
          <w:szCs w:val="25"/>
          <w:b w:val="1"/>
          <w:bCs w:val="1"/>
          <w:color w:val="007CBA"/>
        </w:rPr>
      </w:pPr>
      <w:r>
        <w:rPr>
          <w:rFonts w:ascii="Arial" w:cs="Arial" w:eastAsia="Arial" w:hAnsi="Arial"/>
          <w:sz w:val="25"/>
          <w:szCs w:val="25"/>
          <w:b w:val="1"/>
          <w:bCs w:val="1"/>
          <w:color w:val="007CBA"/>
        </w:rPr>
        <w:t>Financial Statement Schedule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 – VALUATION AND QUALIFYING ACCOUNTS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MARTIN MARIETTA MATERIALS, INC. AND CONSOLIDATED SUBSIDIARIES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Col A</w:t>
            </w:r>
          </w:p>
        </w:tc>
        <w:tc>
          <w:tcPr>
            <w:tcW w:w="260" w:type="dxa"/>
            <w:vAlign w:val="bottom"/>
            <w:shd w:val="clear" w:color="auto" w:fill="007CBA"/>
          </w:tcPr>
          <w:p>
            <w:pPr>
              <w:spacing w:after="0"/>
              <w:rPr>
                <w:sz w:val="17"/>
                <w:szCs w:val="17"/>
                <w:color w:val="auto"/>
              </w:rPr>
            </w:pPr>
          </w:p>
        </w:tc>
        <w:tc>
          <w:tcPr>
            <w:tcW w:w="900" w:type="dxa"/>
            <w:vAlign w:val="bottom"/>
            <w:tcBorders>
              <w:right w:val="single" w:sz="8" w:color="007CBA"/>
            </w:tcBorders>
            <w:shd w:val="clear" w:color="auto" w:fill="007CBA"/>
          </w:tcPr>
          <w:p>
            <w:pPr>
              <w:jc w:val="center"/>
              <w:ind w:right="334"/>
              <w:spacing w:after="0"/>
              <w:rPr>
                <w:sz w:val="20"/>
                <w:szCs w:val="20"/>
                <w:color w:val="auto"/>
              </w:rPr>
            </w:pPr>
            <w:r>
              <w:rPr>
                <w:rFonts w:ascii="Arial" w:cs="Arial" w:eastAsia="Arial" w:hAnsi="Arial"/>
                <w:sz w:val="14"/>
                <w:szCs w:val="14"/>
                <w:b w:val="1"/>
                <w:bCs w:val="1"/>
                <w:color w:val="FFFFFF"/>
              </w:rPr>
              <w:t>Col B</w:t>
            </w:r>
          </w:p>
        </w:tc>
        <w:tc>
          <w:tcPr>
            <w:tcW w:w="300" w:type="dxa"/>
            <w:vAlign w:val="bottom"/>
            <w:shd w:val="clear" w:color="auto" w:fill="007CBA"/>
          </w:tcPr>
          <w:p>
            <w:pPr>
              <w:spacing w:after="0"/>
              <w:rPr>
                <w:sz w:val="17"/>
                <w:szCs w:val="17"/>
                <w:color w:val="auto"/>
              </w:rPr>
            </w:pPr>
          </w:p>
        </w:tc>
        <w:tc>
          <w:tcPr>
            <w:tcW w:w="560" w:type="dxa"/>
            <w:vAlign w:val="bottom"/>
            <w:shd w:val="clear" w:color="auto" w:fill="007CBA"/>
          </w:tcPr>
          <w:p>
            <w:pPr>
              <w:spacing w:after="0"/>
              <w:rPr>
                <w:sz w:val="17"/>
                <w:szCs w:val="17"/>
                <w:color w:val="auto"/>
              </w:rPr>
            </w:pPr>
          </w:p>
        </w:tc>
        <w:tc>
          <w:tcPr>
            <w:tcW w:w="620" w:type="dxa"/>
            <w:vAlign w:val="bottom"/>
            <w:gridSpan w:val="2"/>
            <w:shd w:val="clear" w:color="auto" w:fill="007CBA"/>
          </w:tcPr>
          <w:p>
            <w:pPr>
              <w:jc w:val="right"/>
              <w:ind w:right="144"/>
              <w:spacing w:after="0"/>
              <w:rPr>
                <w:sz w:val="20"/>
                <w:szCs w:val="20"/>
                <w:color w:val="auto"/>
              </w:rPr>
            </w:pPr>
            <w:r>
              <w:rPr>
                <w:rFonts w:ascii="Arial" w:cs="Arial" w:eastAsia="Arial" w:hAnsi="Arial"/>
                <w:sz w:val="14"/>
                <w:szCs w:val="14"/>
                <w:b w:val="1"/>
                <w:bCs w:val="1"/>
                <w:color w:val="FFFFFF"/>
              </w:rPr>
              <w:t>Col C</w:t>
            </w:r>
          </w:p>
        </w:tc>
        <w:tc>
          <w:tcPr>
            <w:tcW w:w="860" w:type="dxa"/>
            <w:vAlign w:val="bottom"/>
            <w:tcBorders>
              <w:right w:val="single" w:sz="8" w:color="007CBA"/>
            </w:tcBorders>
            <w:shd w:val="clear" w:color="auto" w:fill="007CBA"/>
          </w:tcPr>
          <w:p>
            <w:pPr>
              <w:spacing w:after="0"/>
              <w:rPr>
                <w:sz w:val="17"/>
                <w:szCs w:val="17"/>
                <w:color w:val="auto"/>
              </w:rPr>
            </w:pPr>
          </w:p>
        </w:tc>
        <w:tc>
          <w:tcPr>
            <w:tcW w:w="260" w:type="dxa"/>
            <w:vAlign w:val="bottom"/>
            <w:shd w:val="clear" w:color="auto" w:fill="007CBA"/>
          </w:tcPr>
          <w:p>
            <w:pPr>
              <w:spacing w:after="0"/>
              <w:rPr>
                <w:sz w:val="17"/>
                <w:szCs w:val="17"/>
                <w:color w:val="auto"/>
              </w:rPr>
            </w:pPr>
          </w:p>
        </w:tc>
        <w:tc>
          <w:tcPr>
            <w:tcW w:w="1100" w:type="dxa"/>
            <w:vAlign w:val="bottom"/>
            <w:tcBorders>
              <w:right w:val="single" w:sz="8" w:color="007CBA"/>
            </w:tcBorders>
            <w:shd w:val="clear" w:color="auto" w:fill="007CBA"/>
          </w:tcPr>
          <w:p>
            <w:pPr>
              <w:jc w:val="right"/>
              <w:ind w:right="514"/>
              <w:spacing w:after="0"/>
              <w:rPr>
                <w:sz w:val="20"/>
                <w:szCs w:val="20"/>
                <w:color w:val="auto"/>
              </w:rPr>
            </w:pPr>
            <w:r>
              <w:rPr>
                <w:rFonts w:ascii="Arial" w:cs="Arial" w:eastAsia="Arial" w:hAnsi="Arial"/>
                <w:sz w:val="14"/>
                <w:szCs w:val="14"/>
                <w:b w:val="1"/>
                <w:bCs w:val="1"/>
                <w:color w:val="FFFFFF"/>
              </w:rPr>
              <w:t>Col D</w:t>
            </w:r>
          </w:p>
        </w:tc>
        <w:tc>
          <w:tcPr>
            <w:tcW w:w="260" w:type="dxa"/>
            <w:vAlign w:val="bottom"/>
            <w:shd w:val="clear" w:color="auto" w:fill="007CBA"/>
          </w:tcPr>
          <w:p>
            <w:pPr>
              <w:spacing w:after="0"/>
              <w:rPr>
                <w:sz w:val="17"/>
                <w:szCs w:val="17"/>
                <w:color w:val="auto"/>
              </w:rPr>
            </w:pPr>
          </w:p>
        </w:tc>
        <w:tc>
          <w:tcPr>
            <w:tcW w:w="880" w:type="dxa"/>
            <w:vAlign w:val="bottom"/>
            <w:shd w:val="clear" w:color="auto" w:fill="007CBA"/>
          </w:tcPr>
          <w:p>
            <w:pPr>
              <w:jc w:val="center"/>
              <w:ind w:right="314"/>
              <w:spacing w:after="0"/>
              <w:rPr>
                <w:sz w:val="20"/>
                <w:szCs w:val="20"/>
                <w:color w:val="auto"/>
              </w:rPr>
            </w:pPr>
            <w:r>
              <w:rPr>
                <w:rFonts w:ascii="Arial" w:cs="Arial" w:eastAsia="Arial" w:hAnsi="Arial"/>
                <w:sz w:val="14"/>
                <w:szCs w:val="14"/>
                <w:b w:val="1"/>
                <w:bCs w:val="1"/>
                <w:color w:val="FFFFFF"/>
              </w:rPr>
              <w:t>Col E</w:t>
            </w:r>
          </w:p>
        </w:tc>
        <w:tc>
          <w:tcPr>
            <w:tcW w:w="0" w:type="dxa"/>
            <w:vAlign w:val="bottom"/>
          </w:tcPr>
          <w:p>
            <w:pPr>
              <w:spacing w:after="0"/>
              <w:rPr>
                <w:sz w:val="1"/>
                <w:szCs w:val="1"/>
                <w:color w:val="auto"/>
              </w:rPr>
            </w:pPr>
          </w:p>
        </w:tc>
      </w:tr>
      <w:tr>
        <w:trPr>
          <w:trHeight w:val="189"/>
        </w:trPr>
        <w:tc>
          <w:tcPr>
            <w:tcW w:w="5420" w:type="dxa"/>
            <w:vAlign w:val="bottom"/>
            <w:tcBorders>
              <w:right w:val="single" w:sz="8" w:color="007CBA"/>
            </w:tcBorders>
            <w:shd w:val="clear" w:color="auto" w:fill="007CBA"/>
          </w:tcPr>
          <w:p>
            <w:pPr>
              <w:spacing w:after="0"/>
              <w:rPr>
                <w:sz w:val="16"/>
                <w:szCs w:val="16"/>
                <w:color w:val="auto"/>
              </w:rPr>
            </w:pPr>
          </w:p>
        </w:tc>
        <w:tc>
          <w:tcPr>
            <w:tcW w:w="260" w:type="dxa"/>
            <w:vAlign w:val="bottom"/>
            <w:shd w:val="clear" w:color="auto" w:fill="007CBA"/>
          </w:tcPr>
          <w:p>
            <w:pPr>
              <w:spacing w:after="0"/>
              <w:rPr>
                <w:sz w:val="16"/>
                <w:szCs w:val="16"/>
                <w:color w:val="auto"/>
              </w:rPr>
            </w:pPr>
          </w:p>
        </w:tc>
        <w:tc>
          <w:tcPr>
            <w:tcW w:w="900" w:type="dxa"/>
            <w:vAlign w:val="bottom"/>
            <w:tcBorders>
              <w:right w:val="single" w:sz="8" w:color="007CBA"/>
            </w:tcBorders>
            <w:shd w:val="clear" w:color="auto" w:fill="007CBA"/>
          </w:tcPr>
          <w:p>
            <w:pPr>
              <w:spacing w:after="0"/>
              <w:rPr>
                <w:sz w:val="16"/>
                <w:szCs w:val="16"/>
                <w:color w:val="auto"/>
              </w:rPr>
            </w:pPr>
          </w:p>
        </w:tc>
        <w:tc>
          <w:tcPr>
            <w:tcW w:w="300" w:type="dxa"/>
            <w:vAlign w:val="bottom"/>
            <w:shd w:val="clear" w:color="auto" w:fill="007CBA"/>
          </w:tcPr>
          <w:p>
            <w:pPr>
              <w:spacing w:after="0"/>
              <w:rPr>
                <w:sz w:val="16"/>
                <w:szCs w:val="16"/>
                <w:color w:val="auto"/>
              </w:rPr>
            </w:pPr>
          </w:p>
        </w:tc>
        <w:tc>
          <w:tcPr>
            <w:tcW w:w="1180" w:type="dxa"/>
            <w:vAlign w:val="bottom"/>
            <w:gridSpan w:val="3"/>
            <w:shd w:val="clear" w:color="auto" w:fill="007CBA"/>
          </w:tcPr>
          <w:p>
            <w:pPr>
              <w:jc w:val="right"/>
              <w:spacing w:after="0"/>
              <w:rPr>
                <w:sz w:val="20"/>
                <w:szCs w:val="20"/>
                <w:color w:val="auto"/>
              </w:rPr>
            </w:pPr>
            <w:r>
              <w:rPr>
                <w:rFonts w:ascii="Arial" w:cs="Arial" w:eastAsia="Arial" w:hAnsi="Arial"/>
                <w:sz w:val="14"/>
                <w:szCs w:val="14"/>
                <w:b w:val="1"/>
                <w:bCs w:val="1"/>
                <w:color w:val="FFFFFF"/>
              </w:rPr>
              <w:t>Additions</w:t>
            </w:r>
          </w:p>
        </w:tc>
        <w:tc>
          <w:tcPr>
            <w:tcW w:w="860" w:type="dxa"/>
            <w:vAlign w:val="bottom"/>
            <w:tcBorders>
              <w:right w:val="single" w:sz="8" w:color="007CBA"/>
            </w:tcBorders>
            <w:shd w:val="clear" w:color="auto" w:fill="007CBA"/>
          </w:tcPr>
          <w:p>
            <w:pPr>
              <w:spacing w:after="0"/>
              <w:rPr>
                <w:sz w:val="16"/>
                <w:szCs w:val="16"/>
                <w:color w:val="auto"/>
              </w:rPr>
            </w:pPr>
          </w:p>
        </w:tc>
        <w:tc>
          <w:tcPr>
            <w:tcW w:w="260" w:type="dxa"/>
            <w:vAlign w:val="bottom"/>
            <w:shd w:val="clear" w:color="auto" w:fill="007CBA"/>
          </w:tcPr>
          <w:p>
            <w:pPr>
              <w:spacing w:after="0"/>
              <w:rPr>
                <w:sz w:val="16"/>
                <w:szCs w:val="16"/>
                <w:color w:val="auto"/>
              </w:rPr>
            </w:pPr>
          </w:p>
        </w:tc>
        <w:tc>
          <w:tcPr>
            <w:tcW w:w="1100" w:type="dxa"/>
            <w:vAlign w:val="bottom"/>
            <w:tcBorders>
              <w:right w:val="single" w:sz="8" w:color="007CBA"/>
            </w:tcBorders>
            <w:shd w:val="clear" w:color="auto" w:fill="007CBA"/>
          </w:tcPr>
          <w:p>
            <w:pPr>
              <w:spacing w:after="0"/>
              <w:rPr>
                <w:sz w:val="16"/>
                <w:szCs w:val="16"/>
                <w:color w:val="auto"/>
              </w:rPr>
            </w:pPr>
          </w:p>
        </w:tc>
        <w:tc>
          <w:tcPr>
            <w:tcW w:w="260" w:type="dxa"/>
            <w:vAlign w:val="bottom"/>
            <w:shd w:val="clear" w:color="auto" w:fill="007CBA"/>
          </w:tcPr>
          <w:p>
            <w:pPr>
              <w:spacing w:after="0"/>
              <w:rPr>
                <w:sz w:val="16"/>
                <w:szCs w:val="16"/>
                <w:color w:val="auto"/>
              </w:rPr>
            </w:pPr>
          </w:p>
        </w:tc>
        <w:tc>
          <w:tcPr>
            <w:tcW w:w="880" w:type="dxa"/>
            <w:vAlign w:val="bottom"/>
            <w:shd w:val="clear" w:color="auto" w:fill="007CBA"/>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20" w:type="dxa"/>
            <w:vAlign w:val="bottom"/>
            <w:tcBorders>
              <w:right w:val="single" w:sz="8" w:color="007CBA"/>
            </w:tcBorders>
            <w:shd w:val="clear" w:color="auto" w:fill="007CBA"/>
          </w:tcPr>
          <w:p>
            <w:pPr>
              <w:spacing w:after="0"/>
              <w:rPr>
                <w:sz w:val="15"/>
                <w:szCs w:val="15"/>
                <w:color w:val="auto"/>
              </w:rPr>
            </w:pPr>
          </w:p>
        </w:tc>
        <w:tc>
          <w:tcPr>
            <w:tcW w:w="260" w:type="dxa"/>
            <w:vAlign w:val="bottom"/>
            <w:shd w:val="clear" w:color="auto" w:fill="007CBA"/>
          </w:tcPr>
          <w:p>
            <w:pPr>
              <w:spacing w:after="0"/>
              <w:rPr>
                <w:sz w:val="15"/>
                <w:szCs w:val="15"/>
                <w:color w:val="auto"/>
              </w:rPr>
            </w:pPr>
          </w:p>
        </w:tc>
        <w:tc>
          <w:tcPr>
            <w:tcW w:w="900" w:type="dxa"/>
            <w:vAlign w:val="bottom"/>
            <w:tcBorders>
              <w:right w:val="single" w:sz="8" w:color="007CBA"/>
            </w:tcBorders>
            <w:shd w:val="clear" w:color="auto" w:fill="007CBA"/>
          </w:tcPr>
          <w:p>
            <w:pPr>
              <w:spacing w:after="0"/>
              <w:rPr>
                <w:sz w:val="15"/>
                <w:szCs w:val="15"/>
                <w:color w:val="auto"/>
              </w:rPr>
            </w:pPr>
          </w:p>
        </w:tc>
        <w:tc>
          <w:tcPr>
            <w:tcW w:w="300" w:type="dxa"/>
            <w:vAlign w:val="bottom"/>
            <w:shd w:val="clear" w:color="auto" w:fill="007CBA"/>
          </w:tcPr>
          <w:p>
            <w:pPr>
              <w:spacing w:after="0"/>
              <w:rPr>
                <w:sz w:val="15"/>
                <w:szCs w:val="15"/>
                <w:color w:val="auto"/>
              </w:rPr>
            </w:pPr>
          </w:p>
        </w:tc>
        <w:tc>
          <w:tcPr>
            <w:tcW w:w="560" w:type="dxa"/>
            <w:vAlign w:val="bottom"/>
            <w:shd w:val="clear" w:color="auto" w:fill="007CBA"/>
          </w:tcPr>
          <w:p>
            <w:pPr>
              <w:jc w:val="center"/>
              <w:ind w:right="94"/>
              <w:spacing w:after="0"/>
              <w:rPr>
                <w:sz w:val="20"/>
                <w:szCs w:val="20"/>
                <w:color w:val="auto"/>
              </w:rPr>
            </w:pPr>
            <w:r>
              <w:rPr>
                <w:rFonts w:ascii="Arial" w:cs="Arial" w:eastAsia="Arial" w:hAnsi="Arial"/>
                <w:sz w:val="14"/>
                <w:szCs w:val="14"/>
                <w:b w:val="1"/>
                <w:bCs w:val="1"/>
                <w:color w:val="FFFFFF"/>
                <w:w w:val="93"/>
              </w:rPr>
              <w:t>(1)</w:t>
            </w:r>
          </w:p>
        </w:tc>
        <w:tc>
          <w:tcPr>
            <w:tcW w:w="280" w:type="dxa"/>
            <w:vAlign w:val="bottom"/>
            <w:tcBorders>
              <w:right w:val="single" w:sz="8" w:color="007CBA"/>
            </w:tcBorders>
            <w:shd w:val="clear" w:color="auto" w:fill="007CBA"/>
          </w:tcPr>
          <w:p>
            <w:pPr>
              <w:spacing w:after="0"/>
              <w:rPr>
                <w:sz w:val="15"/>
                <w:szCs w:val="15"/>
                <w:color w:val="auto"/>
              </w:rPr>
            </w:pPr>
          </w:p>
        </w:tc>
        <w:tc>
          <w:tcPr>
            <w:tcW w:w="340" w:type="dxa"/>
            <w:vAlign w:val="bottom"/>
            <w:shd w:val="clear" w:color="auto" w:fill="007CBA"/>
          </w:tcPr>
          <w:p>
            <w:pPr>
              <w:spacing w:after="0"/>
              <w:rPr>
                <w:sz w:val="15"/>
                <w:szCs w:val="15"/>
                <w:color w:val="auto"/>
              </w:rPr>
            </w:pPr>
          </w:p>
        </w:tc>
        <w:tc>
          <w:tcPr>
            <w:tcW w:w="860" w:type="dxa"/>
            <w:vAlign w:val="bottom"/>
            <w:tcBorders>
              <w:right w:val="single" w:sz="8" w:color="007CBA"/>
            </w:tcBorders>
            <w:shd w:val="clear" w:color="auto" w:fill="007CBA"/>
          </w:tcPr>
          <w:p>
            <w:pPr>
              <w:jc w:val="center"/>
              <w:ind w:right="456"/>
              <w:spacing w:after="0"/>
              <w:rPr>
                <w:sz w:val="20"/>
                <w:szCs w:val="20"/>
                <w:color w:val="auto"/>
              </w:rPr>
            </w:pPr>
            <w:r>
              <w:rPr>
                <w:rFonts w:ascii="Arial" w:cs="Arial" w:eastAsia="Arial" w:hAnsi="Arial"/>
                <w:sz w:val="14"/>
                <w:szCs w:val="14"/>
                <w:b w:val="1"/>
                <w:bCs w:val="1"/>
                <w:color w:val="FFFFFF"/>
              </w:rPr>
              <w:t>(2)</w:t>
            </w:r>
          </w:p>
        </w:tc>
        <w:tc>
          <w:tcPr>
            <w:tcW w:w="260" w:type="dxa"/>
            <w:vAlign w:val="bottom"/>
            <w:shd w:val="clear" w:color="auto" w:fill="007CBA"/>
          </w:tcPr>
          <w:p>
            <w:pPr>
              <w:spacing w:after="0"/>
              <w:rPr>
                <w:sz w:val="15"/>
                <w:szCs w:val="15"/>
                <w:color w:val="auto"/>
              </w:rPr>
            </w:pPr>
          </w:p>
        </w:tc>
        <w:tc>
          <w:tcPr>
            <w:tcW w:w="1100" w:type="dxa"/>
            <w:vAlign w:val="bottom"/>
            <w:tcBorders>
              <w:right w:val="single" w:sz="8" w:color="007CBA"/>
            </w:tcBorders>
            <w:shd w:val="clear" w:color="auto" w:fill="007CBA"/>
          </w:tcPr>
          <w:p>
            <w:pPr>
              <w:spacing w:after="0"/>
              <w:rPr>
                <w:sz w:val="15"/>
                <w:szCs w:val="15"/>
                <w:color w:val="auto"/>
              </w:rPr>
            </w:pPr>
          </w:p>
        </w:tc>
        <w:tc>
          <w:tcPr>
            <w:tcW w:w="260" w:type="dxa"/>
            <w:vAlign w:val="bottom"/>
            <w:shd w:val="clear" w:color="auto" w:fill="007CBA"/>
          </w:tcPr>
          <w:p>
            <w:pPr>
              <w:spacing w:after="0"/>
              <w:rPr>
                <w:sz w:val="15"/>
                <w:szCs w:val="15"/>
                <w:color w:val="auto"/>
              </w:rPr>
            </w:pPr>
          </w:p>
        </w:tc>
        <w:tc>
          <w:tcPr>
            <w:tcW w:w="880" w:type="dxa"/>
            <w:vAlign w:val="bottom"/>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420" w:type="dxa"/>
            <w:vAlign w:val="bottom"/>
            <w:tcBorders>
              <w:right w:val="single" w:sz="8" w:color="007CBA"/>
            </w:tcBorders>
            <w:shd w:val="clear" w:color="auto" w:fill="007CBA"/>
          </w:tcPr>
          <w:p>
            <w:pPr>
              <w:spacing w:after="0"/>
              <w:rPr>
                <w:sz w:val="14"/>
                <w:szCs w:val="14"/>
                <w:color w:val="auto"/>
              </w:rPr>
            </w:pPr>
          </w:p>
        </w:tc>
        <w:tc>
          <w:tcPr>
            <w:tcW w:w="1160" w:type="dxa"/>
            <w:vAlign w:val="bottom"/>
            <w:tcBorders>
              <w:right w:val="single" w:sz="8" w:color="007CBA"/>
            </w:tcBorders>
            <w:gridSpan w:val="2"/>
            <w:shd w:val="clear" w:color="auto" w:fill="007CBA"/>
          </w:tcPr>
          <w:p>
            <w:pPr>
              <w:jc w:val="center"/>
              <w:ind w:right="74"/>
              <w:spacing w:after="0"/>
              <w:rPr>
                <w:sz w:val="20"/>
                <w:szCs w:val="20"/>
                <w:color w:val="auto"/>
              </w:rPr>
            </w:pPr>
            <w:r>
              <w:rPr>
                <w:rFonts w:ascii="Arial" w:cs="Arial" w:eastAsia="Arial" w:hAnsi="Arial"/>
                <w:sz w:val="14"/>
                <w:szCs w:val="14"/>
                <w:b w:val="1"/>
                <w:bCs w:val="1"/>
                <w:color w:val="FFFFFF"/>
              </w:rPr>
              <w:t>Balance</w:t>
            </w:r>
          </w:p>
        </w:tc>
        <w:tc>
          <w:tcPr>
            <w:tcW w:w="860" w:type="dxa"/>
            <w:vAlign w:val="bottom"/>
            <w:gridSpan w:val="2"/>
            <w:shd w:val="clear" w:color="auto" w:fill="007CBA"/>
          </w:tcPr>
          <w:p>
            <w:pPr>
              <w:jc w:val="center"/>
              <w:ind w:left="63"/>
              <w:spacing w:after="0"/>
              <w:rPr>
                <w:sz w:val="20"/>
                <w:szCs w:val="20"/>
                <w:color w:val="auto"/>
              </w:rPr>
            </w:pPr>
            <w:r>
              <w:rPr>
                <w:rFonts w:ascii="Arial" w:cs="Arial" w:eastAsia="Arial" w:hAnsi="Arial"/>
                <w:sz w:val="14"/>
                <w:szCs w:val="14"/>
                <w:b w:val="1"/>
                <w:bCs w:val="1"/>
                <w:color w:val="FFFFFF"/>
              </w:rPr>
              <w:t>Charged</w:t>
            </w:r>
          </w:p>
        </w:tc>
        <w:tc>
          <w:tcPr>
            <w:tcW w:w="280" w:type="dxa"/>
            <w:vAlign w:val="bottom"/>
            <w:tcBorders>
              <w:right w:val="single" w:sz="8" w:color="007CBA"/>
            </w:tcBorders>
            <w:shd w:val="clear" w:color="auto" w:fill="007CBA"/>
          </w:tcPr>
          <w:p>
            <w:pPr>
              <w:spacing w:after="0"/>
              <w:rPr>
                <w:sz w:val="14"/>
                <w:szCs w:val="14"/>
                <w:color w:val="auto"/>
              </w:rPr>
            </w:pPr>
          </w:p>
        </w:tc>
        <w:tc>
          <w:tcPr>
            <w:tcW w:w="1200" w:type="dxa"/>
            <w:vAlign w:val="bottom"/>
            <w:tcBorders>
              <w:right w:val="single" w:sz="8" w:color="007CBA"/>
            </w:tcBorders>
            <w:gridSpan w:val="2"/>
            <w:shd w:val="clear" w:color="auto" w:fill="007CBA"/>
          </w:tcPr>
          <w:p>
            <w:pPr>
              <w:jc w:val="center"/>
              <w:ind w:right="116"/>
              <w:spacing w:after="0"/>
              <w:rPr>
                <w:sz w:val="20"/>
                <w:szCs w:val="20"/>
                <w:color w:val="auto"/>
              </w:rPr>
            </w:pPr>
            <w:r>
              <w:rPr>
                <w:rFonts w:ascii="Arial" w:cs="Arial" w:eastAsia="Arial" w:hAnsi="Arial"/>
                <w:sz w:val="14"/>
                <w:szCs w:val="14"/>
                <w:b w:val="1"/>
                <w:bCs w:val="1"/>
                <w:color w:val="FFFFFF"/>
              </w:rPr>
              <w:t>Charged</w:t>
            </w:r>
          </w:p>
        </w:tc>
        <w:tc>
          <w:tcPr>
            <w:tcW w:w="260" w:type="dxa"/>
            <w:vAlign w:val="bottom"/>
            <w:shd w:val="clear" w:color="auto" w:fill="007CBA"/>
          </w:tcPr>
          <w:p>
            <w:pPr>
              <w:spacing w:after="0"/>
              <w:rPr>
                <w:sz w:val="14"/>
                <w:szCs w:val="14"/>
                <w:color w:val="auto"/>
              </w:rPr>
            </w:pPr>
          </w:p>
        </w:tc>
        <w:tc>
          <w:tcPr>
            <w:tcW w:w="1100" w:type="dxa"/>
            <w:vAlign w:val="bottom"/>
            <w:tcBorders>
              <w:right w:val="single" w:sz="8" w:color="007CBA"/>
            </w:tcBorders>
            <w:shd w:val="clear" w:color="auto" w:fill="007CBA"/>
          </w:tcPr>
          <w:p>
            <w:pPr>
              <w:spacing w:after="0"/>
              <w:rPr>
                <w:sz w:val="14"/>
                <w:szCs w:val="14"/>
                <w:color w:val="auto"/>
              </w:rPr>
            </w:pPr>
          </w:p>
        </w:tc>
        <w:tc>
          <w:tcPr>
            <w:tcW w:w="260" w:type="dxa"/>
            <w:vAlign w:val="bottom"/>
            <w:shd w:val="clear" w:color="auto" w:fill="007CBA"/>
          </w:tcPr>
          <w:p>
            <w:pPr>
              <w:spacing w:after="0"/>
              <w:rPr>
                <w:sz w:val="14"/>
                <w:szCs w:val="14"/>
                <w:color w:val="auto"/>
              </w:rPr>
            </w:pPr>
          </w:p>
        </w:tc>
        <w:tc>
          <w:tcPr>
            <w:tcW w:w="88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Borders>
              <w:right w:val="single" w:sz="8" w:color="007CBA"/>
            </w:tcBorders>
            <w:shd w:val="clear" w:color="auto" w:fill="007CBA"/>
          </w:tcPr>
          <w:p>
            <w:pPr>
              <w:spacing w:after="0"/>
              <w:rPr>
                <w:sz w:val="14"/>
                <w:szCs w:val="14"/>
                <w:color w:val="auto"/>
              </w:rPr>
            </w:pPr>
          </w:p>
        </w:tc>
        <w:tc>
          <w:tcPr>
            <w:tcW w:w="260" w:type="dxa"/>
            <w:vAlign w:val="bottom"/>
            <w:shd w:val="clear" w:color="auto" w:fill="007CBA"/>
          </w:tcPr>
          <w:p>
            <w:pPr>
              <w:spacing w:after="0"/>
              <w:rPr>
                <w:sz w:val="14"/>
                <w:szCs w:val="14"/>
                <w:color w:val="auto"/>
              </w:rPr>
            </w:pPr>
          </w:p>
        </w:tc>
        <w:tc>
          <w:tcPr>
            <w:tcW w:w="900" w:type="dxa"/>
            <w:vAlign w:val="bottom"/>
            <w:tcBorders>
              <w:right w:val="single" w:sz="8" w:color="007CBA"/>
            </w:tcBorders>
            <w:shd w:val="clear" w:color="auto" w:fill="007CBA"/>
          </w:tcPr>
          <w:p>
            <w:pPr>
              <w:jc w:val="center"/>
              <w:ind w:right="334"/>
              <w:spacing w:after="0"/>
              <w:rPr>
                <w:sz w:val="20"/>
                <w:szCs w:val="20"/>
                <w:color w:val="auto"/>
              </w:rPr>
            </w:pPr>
            <w:r>
              <w:rPr>
                <w:rFonts w:ascii="Arial" w:cs="Arial" w:eastAsia="Arial" w:hAnsi="Arial"/>
                <w:sz w:val="14"/>
                <w:szCs w:val="14"/>
                <w:b w:val="1"/>
                <w:bCs w:val="1"/>
                <w:color w:val="FFFFFF"/>
              </w:rPr>
              <w:t>at</w:t>
            </w:r>
          </w:p>
        </w:tc>
        <w:tc>
          <w:tcPr>
            <w:tcW w:w="860" w:type="dxa"/>
            <w:vAlign w:val="bottom"/>
            <w:gridSpan w:val="2"/>
            <w:shd w:val="clear" w:color="auto" w:fill="007CBA"/>
          </w:tcPr>
          <w:p>
            <w:pPr>
              <w:jc w:val="center"/>
              <w:ind w:left="63"/>
              <w:spacing w:after="0"/>
              <w:rPr>
                <w:sz w:val="20"/>
                <w:szCs w:val="20"/>
                <w:color w:val="auto"/>
              </w:rPr>
            </w:pPr>
            <w:r>
              <w:rPr>
                <w:rFonts w:ascii="Arial" w:cs="Arial" w:eastAsia="Arial" w:hAnsi="Arial"/>
                <w:sz w:val="14"/>
                <w:szCs w:val="14"/>
                <w:b w:val="1"/>
                <w:bCs w:val="1"/>
                <w:color w:val="FFFFFF"/>
              </w:rPr>
              <w:t>to costs</w:t>
            </w:r>
          </w:p>
        </w:tc>
        <w:tc>
          <w:tcPr>
            <w:tcW w:w="280" w:type="dxa"/>
            <w:vAlign w:val="bottom"/>
            <w:tcBorders>
              <w:right w:val="single" w:sz="8" w:color="007CBA"/>
            </w:tcBorders>
            <w:shd w:val="clear" w:color="auto" w:fill="007CBA"/>
          </w:tcPr>
          <w:p>
            <w:pPr>
              <w:spacing w:after="0"/>
              <w:rPr>
                <w:sz w:val="14"/>
                <w:szCs w:val="14"/>
                <w:color w:val="auto"/>
              </w:rPr>
            </w:pPr>
          </w:p>
        </w:tc>
        <w:tc>
          <w:tcPr>
            <w:tcW w:w="1200" w:type="dxa"/>
            <w:vAlign w:val="bottom"/>
            <w:tcBorders>
              <w:right w:val="single" w:sz="8" w:color="007CBA"/>
            </w:tcBorders>
            <w:gridSpan w:val="2"/>
            <w:shd w:val="clear" w:color="auto" w:fill="007CBA"/>
          </w:tcPr>
          <w:p>
            <w:pPr>
              <w:jc w:val="center"/>
              <w:ind w:right="116"/>
              <w:spacing w:after="0"/>
              <w:rPr>
                <w:sz w:val="20"/>
                <w:szCs w:val="20"/>
                <w:color w:val="auto"/>
              </w:rPr>
            </w:pPr>
            <w:r>
              <w:rPr>
                <w:rFonts w:ascii="Arial" w:cs="Arial" w:eastAsia="Arial" w:hAnsi="Arial"/>
                <w:sz w:val="14"/>
                <w:szCs w:val="14"/>
                <w:b w:val="1"/>
                <w:bCs w:val="1"/>
                <w:color w:val="FFFFFF"/>
              </w:rPr>
              <w:t>to other</w:t>
            </w:r>
          </w:p>
        </w:tc>
        <w:tc>
          <w:tcPr>
            <w:tcW w:w="260" w:type="dxa"/>
            <w:vAlign w:val="bottom"/>
            <w:shd w:val="clear" w:color="auto" w:fill="007CBA"/>
          </w:tcPr>
          <w:p>
            <w:pPr>
              <w:spacing w:after="0"/>
              <w:rPr>
                <w:sz w:val="14"/>
                <w:szCs w:val="14"/>
                <w:color w:val="auto"/>
              </w:rPr>
            </w:pPr>
          </w:p>
        </w:tc>
        <w:tc>
          <w:tcPr>
            <w:tcW w:w="1100" w:type="dxa"/>
            <w:vAlign w:val="bottom"/>
            <w:tcBorders>
              <w:right w:val="single" w:sz="8" w:color="007CBA"/>
            </w:tcBorders>
            <w:shd w:val="clear" w:color="auto" w:fill="007CBA"/>
          </w:tcPr>
          <w:p>
            <w:pPr>
              <w:spacing w:after="0"/>
              <w:rPr>
                <w:sz w:val="14"/>
                <w:szCs w:val="14"/>
                <w:color w:val="auto"/>
              </w:rPr>
            </w:pPr>
          </w:p>
        </w:tc>
        <w:tc>
          <w:tcPr>
            <w:tcW w:w="1140" w:type="dxa"/>
            <w:vAlign w:val="bottom"/>
            <w:gridSpan w:val="2"/>
            <w:shd w:val="clear" w:color="auto" w:fill="007CBA"/>
          </w:tcPr>
          <w:p>
            <w:pPr>
              <w:jc w:val="center"/>
              <w:ind w:right="54"/>
              <w:spacing w:after="0"/>
              <w:rPr>
                <w:sz w:val="20"/>
                <w:szCs w:val="20"/>
                <w:color w:val="auto"/>
              </w:rPr>
            </w:pPr>
            <w:r>
              <w:rPr>
                <w:rFonts w:ascii="Arial" w:cs="Arial" w:eastAsia="Arial" w:hAnsi="Arial"/>
                <w:sz w:val="14"/>
                <w:szCs w:val="14"/>
                <w:b w:val="1"/>
                <w:bCs w:val="1"/>
                <w:color w:val="FFFFFF"/>
              </w:rPr>
              <w:t>Balance</w:t>
            </w:r>
          </w:p>
        </w:tc>
        <w:tc>
          <w:tcPr>
            <w:tcW w:w="0" w:type="dxa"/>
            <w:vAlign w:val="bottom"/>
          </w:tcPr>
          <w:p>
            <w:pPr>
              <w:spacing w:after="0"/>
              <w:rPr>
                <w:sz w:val="1"/>
                <w:szCs w:val="1"/>
                <w:color w:val="auto"/>
              </w:rPr>
            </w:pPr>
          </w:p>
        </w:tc>
      </w:tr>
      <w:tr>
        <w:trPr>
          <w:trHeight w:val="162"/>
        </w:trPr>
        <w:tc>
          <w:tcPr>
            <w:tcW w:w="5420" w:type="dxa"/>
            <w:vAlign w:val="bottom"/>
            <w:tcBorders>
              <w:right w:val="single" w:sz="8" w:color="007CBA"/>
            </w:tcBorders>
            <w:vMerge w:val="restart"/>
            <w:shd w:val="clear" w:color="auto" w:fill="007CBA"/>
          </w:tcPr>
          <w:p>
            <w:pPr>
              <w:ind w:left="80"/>
              <w:spacing w:after="0"/>
              <w:rPr>
                <w:sz w:val="20"/>
                <w:szCs w:val="20"/>
                <w:color w:val="auto"/>
              </w:rPr>
            </w:pPr>
            <w:r>
              <w:rPr>
                <w:rFonts w:ascii="Arial" w:cs="Arial" w:eastAsia="Arial" w:hAnsi="Arial"/>
                <w:sz w:val="14"/>
                <w:szCs w:val="14"/>
                <w:b w:val="1"/>
                <w:bCs w:val="1"/>
                <w:color w:val="FFFFFF"/>
              </w:rPr>
              <w:t>Description</w:t>
            </w:r>
          </w:p>
        </w:tc>
        <w:tc>
          <w:tcPr>
            <w:tcW w:w="1160" w:type="dxa"/>
            <w:vAlign w:val="bottom"/>
            <w:tcBorders>
              <w:right w:val="single" w:sz="8" w:color="007CBA"/>
            </w:tcBorders>
            <w:gridSpan w:val="2"/>
            <w:shd w:val="clear" w:color="auto" w:fill="007CBA"/>
          </w:tcPr>
          <w:p>
            <w:pPr>
              <w:jc w:val="center"/>
              <w:ind w:right="74"/>
              <w:spacing w:after="0"/>
              <w:rPr>
                <w:sz w:val="20"/>
                <w:szCs w:val="20"/>
                <w:color w:val="auto"/>
              </w:rPr>
            </w:pPr>
            <w:r>
              <w:rPr>
                <w:rFonts w:ascii="Arial" w:cs="Arial" w:eastAsia="Arial" w:hAnsi="Arial"/>
                <w:sz w:val="14"/>
                <w:szCs w:val="14"/>
                <w:b w:val="1"/>
                <w:bCs w:val="1"/>
                <w:color w:val="FFFFFF"/>
              </w:rPr>
              <w:t>beginning</w:t>
            </w:r>
          </w:p>
        </w:tc>
        <w:tc>
          <w:tcPr>
            <w:tcW w:w="300" w:type="dxa"/>
            <w:vAlign w:val="bottom"/>
            <w:shd w:val="clear" w:color="auto" w:fill="007CBA"/>
          </w:tcPr>
          <w:p>
            <w:pPr>
              <w:spacing w:after="0"/>
              <w:rPr>
                <w:sz w:val="14"/>
                <w:szCs w:val="14"/>
                <w:color w:val="auto"/>
              </w:rPr>
            </w:pPr>
          </w:p>
        </w:tc>
        <w:tc>
          <w:tcPr>
            <w:tcW w:w="560" w:type="dxa"/>
            <w:vAlign w:val="bottom"/>
            <w:shd w:val="clear" w:color="auto" w:fill="007CBA"/>
          </w:tcPr>
          <w:p>
            <w:pPr>
              <w:jc w:val="center"/>
              <w:ind w:right="94"/>
              <w:spacing w:after="0"/>
              <w:rPr>
                <w:sz w:val="20"/>
                <w:szCs w:val="20"/>
                <w:color w:val="auto"/>
              </w:rPr>
            </w:pPr>
            <w:r>
              <w:rPr>
                <w:rFonts w:ascii="Arial" w:cs="Arial" w:eastAsia="Arial" w:hAnsi="Arial"/>
                <w:sz w:val="14"/>
                <w:szCs w:val="14"/>
                <w:b w:val="1"/>
                <w:bCs w:val="1"/>
                <w:color w:val="FFFFFF"/>
                <w:w w:val="96"/>
              </w:rPr>
              <w:t>and</w:t>
            </w:r>
          </w:p>
        </w:tc>
        <w:tc>
          <w:tcPr>
            <w:tcW w:w="280" w:type="dxa"/>
            <w:vAlign w:val="bottom"/>
            <w:tcBorders>
              <w:right w:val="single" w:sz="8" w:color="007CBA"/>
            </w:tcBorders>
            <w:shd w:val="clear" w:color="auto" w:fill="007CBA"/>
          </w:tcPr>
          <w:p>
            <w:pPr>
              <w:spacing w:after="0"/>
              <w:rPr>
                <w:sz w:val="14"/>
                <w:szCs w:val="14"/>
                <w:color w:val="auto"/>
              </w:rPr>
            </w:pPr>
          </w:p>
        </w:tc>
        <w:tc>
          <w:tcPr>
            <w:tcW w:w="1200" w:type="dxa"/>
            <w:vAlign w:val="bottom"/>
            <w:tcBorders>
              <w:right w:val="single" w:sz="8" w:color="007CBA"/>
            </w:tcBorders>
            <w:gridSpan w:val="2"/>
            <w:shd w:val="clear" w:color="auto" w:fill="007CBA"/>
          </w:tcPr>
          <w:p>
            <w:pPr>
              <w:jc w:val="center"/>
              <w:ind w:right="136"/>
              <w:spacing w:after="0"/>
              <w:rPr>
                <w:sz w:val="20"/>
                <w:szCs w:val="20"/>
                <w:color w:val="auto"/>
              </w:rPr>
            </w:pPr>
            <w:r>
              <w:rPr>
                <w:rFonts w:ascii="Arial" w:cs="Arial" w:eastAsia="Arial" w:hAnsi="Arial"/>
                <w:sz w:val="14"/>
                <w:szCs w:val="14"/>
                <w:b w:val="1"/>
                <w:bCs w:val="1"/>
                <w:color w:val="FFFFFF"/>
              </w:rPr>
              <w:t>accounts-</w:t>
            </w:r>
          </w:p>
        </w:tc>
        <w:tc>
          <w:tcPr>
            <w:tcW w:w="1360" w:type="dxa"/>
            <w:vAlign w:val="bottom"/>
            <w:tcBorders>
              <w:right w:val="single" w:sz="8" w:color="007CBA"/>
            </w:tcBorders>
            <w:gridSpan w:val="2"/>
            <w:shd w:val="clear" w:color="auto" w:fill="007CBA"/>
          </w:tcPr>
          <w:p>
            <w:pPr>
              <w:ind w:left="160"/>
              <w:spacing w:after="0"/>
              <w:rPr>
                <w:sz w:val="20"/>
                <w:szCs w:val="20"/>
                <w:color w:val="auto"/>
              </w:rPr>
            </w:pPr>
            <w:r>
              <w:rPr>
                <w:rFonts w:ascii="Arial" w:cs="Arial" w:eastAsia="Arial" w:hAnsi="Arial"/>
                <w:sz w:val="14"/>
                <w:szCs w:val="14"/>
                <w:b w:val="1"/>
                <w:bCs w:val="1"/>
                <w:color w:val="FFFFFF"/>
              </w:rPr>
              <w:t>Deductions-</w:t>
            </w:r>
          </w:p>
        </w:tc>
        <w:tc>
          <w:tcPr>
            <w:tcW w:w="1140" w:type="dxa"/>
            <w:vAlign w:val="bottom"/>
            <w:gridSpan w:val="2"/>
            <w:shd w:val="clear" w:color="auto" w:fill="007CBA"/>
          </w:tcPr>
          <w:p>
            <w:pPr>
              <w:jc w:val="center"/>
              <w:ind w:right="34"/>
              <w:spacing w:after="0"/>
              <w:rPr>
                <w:sz w:val="20"/>
                <w:szCs w:val="20"/>
                <w:color w:val="auto"/>
              </w:rPr>
            </w:pPr>
            <w:r>
              <w:rPr>
                <w:rFonts w:ascii="Arial" w:cs="Arial" w:eastAsia="Arial" w:hAnsi="Arial"/>
                <w:sz w:val="14"/>
                <w:szCs w:val="14"/>
                <w:b w:val="1"/>
                <w:bCs w:val="1"/>
                <w:color w:val="FFFFFF"/>
              </w:rPr>
              <w:t>at end of</w:t>
            </w:r>
          </w:p>
        </w:tc>
        <w:tc>
          <w:tcPr>
            <w:tcW w:w="0" w:type="dxa"/>
            <w:vAlign w:val="bottom"/>
          </w:tcPr>
          <w:p>
            <w:pPr>
              <w:spacing w:after="0"/>
              <w:rPr>
                <w:sz w:val="1"/>
                <w:szCs w:val="1"/>
                <w:color w:val="auto"/>
              </w:rPr>
            </w:pPr>
          </w:p>
        </w:tc>
      </w:tr>
      <w:tr>
        <w:trPr>
          <w:trHeight w:val="175"/>
        </w:trPr>
        <w:tc>
          <w:tcPr>
            <w:tcW w:w="5420" w:type="dxa"/>
            <w:vAlign w:val="bottom"/>
            <w:tcBorders>
              <w:right w:val="single" w:sz="8" w:color="007CBA"/>
            </w:tcBorders>
            <w:vMerge w:val="continue"/>
            <w:shd w:val="clear" w:color="auto" w:fill="007CBA"/>
          </w:tcPr>
          <w:p>
            <w:pPr>
              <w:spacing w:after="0"/>
              <w:rPr>
                <w:sz w:val="15"/>
                <w:szCs w:val="15"/>
                <w:color w:val="auto"/>
              </w:rPr>
            </w:pPr>
          </w:p>
        </w:tc>
        <w:tc>
          <w:tcPr>
            <w:tcW w:w="1160" w:type="dxa"/>
            <w:vAlign w:val="bottom"/>
            <w:tcBorders>
              <w:right w:val="single" w:sz="8" w:color="007CBA"/>
            </w:tcBorders>
            <w:gridSpan w:val="2"/>
            <w:shd w:val="clear" w:color="auto" w:fill="007CBA"/>
          </w:tcPr>
          <w:p>
            <w:pPr>
              <w:jc w:val="center"/>
              <w:ind w:right="74"/>
              <w:spacing w:after="0"/>
              <w:rPr>
                <w:sz w:val="20"/>
                <w:szCs w:val="20"/>
                <w:color w:val="auto"/>
              </w:rPr>
            </w:pPr>
            <w:r>
              <w:rPr>
                <w:rFonts w:ascii="Arial" w:cs="Arial" w:eastAsia="Arial" w:hAnsi="Arial"/>
                <w:sz w:val="14"/>
                <w:szCs w:val="14"/>
                <w:b w:val="1"/>
                <w:bCs w:val="1"/>
                <w:color w:val="FFFFFF"/>
              </w:rPr>
              <w:t>of period</w:t>
            </w:r>
          </w:p>
        </w:tc>
        <w:tc>
          <w:tcPr>
            <w:tcW w:w="860" w:type="dxa"/>
            <w:vAlign w:val="bottom"/>
            <w:gridSpan w:val="2"/>
            <w:shd w:val="clear" w:color="auto" w:fill="007CBA"/>
          </w:tcPr>
          <w:p>
            <w:pPr>
              <w:jc w:val="center"/>
              <w:ind w:left="63"/>
              <w:spacing w:after="0"/>
              <w:rPr>
                <w:sz w:val="20"/>
                <w:szCs w:val="20"/>
                <w:color w:val="auto"/>
              </w:rPr>
            </w:pPr>
            <w:r>
              <w:rPr>
                <w:rFonts w:ascii="Arial" w:cs="Arial" w:eastAsia="Arial" w:hAnsi="Arial"/>
                <w:sz w:val="14"/>
                <w:szCs w:val="14"/>
                <w:b w:val="1"/>
                <w:bCs w:val="1"/>
                <w:color w:val="FFFFFF"/>
              </w:rPr>
              <w:t>expenses</w:t>
            </w:r>
          </w:p>
        </w:tc>
        <w:tc>
          <w:tcPr>
            <w:tcW w:w="280" w:type="dxa"/>
            <w:vAlign w:val="bottom"/>
            <w:tcBorders>
              <w:right w:val="single" w:sz="8" w:color="007CBA"/>
            </w:tcBorders>
            <w:shd w:val="clear" w:color="auto" w:fill="007CBA"/>
          </w:tcPr>
          <w:p>
            <w:pPr>
              <w:spacing w:after="0"/>
              <w:rPr>
                <w:sz w:val="15"/>
                <w:szCs w:val="15"/>
                <w:color w:val="auto"/>
              </w:rPr>
            </w:pPr>
          </w:p>
        </w:tc>
        <w:tc>
          <w:tcPr>
            <w:tcW w:w="1200" w:type="dxa"/>
            <w:vAlign w:val="bottom"/>
            <w:tcBorders>
              <w:right w:val="single" w:sz="8" w:color="007CBA"/>
            </w:tcBorders>
            <w:gridSpan w:val="2"/>
            <w:shd w:val="clear" w:color="auto" w:fill="007CBA"/>
          </w:tcPr>
          <w:p>
            <w:pPr>
              <w:jc w:val="center"/>
              <w:ind w:right="116"/>
              <w:spacing w:after="0"/>
              <w:rPr>
                <w:sz w:val="20"/>
                <w:szCs w:val="20"/>
                <w:color w:val="auto"/>
              </w:rPr>
            </w:pPr>
            <w:r>
              <w:rPr>
                <w:rFonts w:ascii="Arial" w:cs="Arial" w:eastAsia="Arial" w:hAnsi="Arial"/>
                <w:sz w:val="14"/>
                <w:szCs w:val="14"/>
                <w:b w:val="1"/>
                <w:bCs w:val="1"/>
                <w:color w:val="FFFFFF"/>
              </w:rPr>
              <w:t>describe</w:t>
            </w:r>
          </w:p>
        </w:tc>
        <w:tc>
          <w:tcPr>
            <w:tcW w:w="260" w:type="dxa"/>
            <w:vAlign w:val="bottom"/>
            <w:shd w:val="clear" w:color="auto" w:fill="007CBA"/>
          </w:tcPr>
          <w:p>
            <w:pPr>
              <w:spacing w:after="0"/>
              <w:rPr>
                <w:sz w:val="15"/>
                <w:szCs w:val="15"/>
                <w:color w:val="auto"/>
              </w:rPr>
            </w:pPr>
          </w:p>
        </w:tc>
        <w:tc>
          <w:tcPr>
            <w:tcW w:w="1100" w:type="dxa"/>
            <w:vAlign w:val="bottom"/>
            <w:tcBorders>
              <w:right w:val="single" w:sz="8" w:color="007CBA"/>
            </w:tcBorders>
            <w:shd w:val="clear" w:color="auto" w:fill="007CBA"/>
          </w:tcPr>
          <w:p>
            <w:pPr>
              <w:jc w:val="right"/>
              <w:ind w:right="414"/>
              <w:spacing w:after="0"/>
              <w:rPr>
                <w:sz w:val="20"/>
                <w:szCs w:val="20"/>
                <w:color w:val="auto"/>
              </w:rPr>
            </w:pPr>
            <w:r>
              <w:rPr>
                <w:rFonts w:ascii="Arial" w:cs="Arial" w:eastAsia="Arial" w:hAnsi="Arial"/>
                <w:sz w:val="14"/>
                <w:szCs w:val="14"/>
                <w:b w:val="1"/>
                <w:bCs w:val="1"/>
                <w:color w:val="FFFFFF"/>
              </w:rPr>
              <w:t>describe</w:t>
            </w:r>
          </w:p>
        </w:tc>
        <w:tc>
          <w:tcPr>
            <w:tcW w:w="260" w:type="dxa"/>
            <w:vAlign w:val="bottom"/>
            <w:shd w:val="clear" w:color="auto" w:fill="007CBA"/>
          </w:tcPr>
          <w:p>
            <w:pPr>
              <w:spacing w:after="0"/>
              <w:rPr>
                <w:sz w:val="15"/>
                <w:szCs w:val="15"/>
                <w:color w:val="auto"/>
              </w:rPr>
            </w:pPr>
          </w:p>
        </w:tc>
        <w:tc>
          <w:tcPr>
            <w:tcW w:w="880" w:type="dxa"/>
            <w:vAlign w:val="bottom"/>
            <w:shd w:val="clear" w:color="auto" w:fill="007CBA"/>
          </w:tcPr>
          <w:p>
            <w:pPr>
              <w:jc w:val="center"/>
              <w:ind w:right="294"/>
              <w:spacing w:after="0"/>
              <w:rPr>
                <w:sz w:val="20"/>
                <w:szCs w:val="20"/>
                <w:color w:val="auto"/>
              </w:rPr>
            </w:pPr>
            <w:r>
              <w:rPr>
                <w:rFonts w:ascii="Arial" w:cs="Arial" w:eastAsia="Arial" w:hAnsi="Arial"/>
                <w:sz w:val="14"/>
                <w:szCs w:val="14"/>
                <w:b w:val="1"/>
                <w:bCs w:val="1"/>
                <w:color w:val="FFFFFF"/>
              </w:rPr>
              <w:t>period</w:t>
            </w:r>
          </w:p>
        </w:tc>
        <w:tc>
          <w:tcPr>
            <w:tcW w:w="0" w:type="dxa"/>
            <w:vAlign w:val="bottom"/>
          </w:tcPr>
          <w:p>
            <w:pPr>
              <w:spacing w:after="0"/>
              <w:rPr>
                <w:sz w:val="1"/>
                <w:szCs w:val="1"/>
                <w:color w:val="auto"/>
              </w:rPr>
            </w:pPr>
          </w:p>
        </w:tc>
      </w:tr>
      <w:tr>
        <w:trPr>
          <w:trHeight w:val="230"/>
        </w:trPr>
        <w:tc>
          <w:tcPr>
            <w:tcW w:w="5420" w:type="dxa"/>
            <w:vAlign w:val="bottom"/>
            <w:tcBorders>
              <w:right w:val="single" w:sz="8" w:color="007CBA"/>
            </w:tcBorders>
            <w:shd w:val="clear" w:color="auto" w:fill="007CBA"/>
          </w:tcPr>
          <w:p>
            <w:pPr>
              <w:spacing w:after="0"/>
              <w:rPr>
                <w:sz w:val="19"/>
                <w:szCs w:val="19"/>
                <w:color w:val="auto"/>
              </w:rPr>
            </w:pPr>
          </w:p>
        </w:tc>
        <w:tc>
          <w:tcPr>
            <w:tcW w:w="260" w:type="dxa"/>
            <w:vAlign w:val="bottom"/>
            <w:shd w:val="clear" w:color="auto" w:fill="007CBA"/>
          </w:tcPr>
          <w:p>
            <w:pPr>
              <w:spacing w:after="0"/>
              <w:rPr>
                <w:sz w:val="19"/>
                <w:szCs w:val="19"/>
                <w:color w:val="auto"/>
              </w:rPr>
            </w:pPr>
          </w:p>
        </w:tc>
        <w:tc>
          <w:tcPr>
            <w:tcW w:w="900" w:type="dxa"/>
            <w:vAlign w:val="bottom"/>
            <w:tcBorders>
              <w:right w:val="single" w:sz="8" w:color="007CBA"/>
            </w:tcBorders>
            <w:shd w:val="clear" w:color="auto" w:fill="007CBA"/>
          </w:tcPr>
          <w:p>
            <w:pPr>
              <w:spacing w:after="0"/>
              <w:rPr>
                <w:sz w:val="19"/>
                <w:szCs w:val="19"/>
                <w:color w:val="auto"/>
              </w:rPr>
            </w:pPr>
          </w:p>
        </w:tc>
        <w:tc>
          <w:tcPr>
            <w:tcW w:w="300" w:type="dxa"/>
            <w:vAlign w:val="bottom"/>
            <w:shd w:val="clear" w:color="auto" w:fill="007CBA"/>
          </w:tcPr>
          <w:p>
            <w:pPr>
              <w:spacing w:after="0"/>
              <w:rPr>
                <w:sz w:val="19"/>
                <w:szCs w:val="19"/>
                <w:color w:val="auto"/>
              </w:rPr>
            </w:pPr>
          </w:p>
        </w:tc>
        <w:tc>
          <w:tcPr>
            <w:tcW w:w="560" w:type="dxa"/>
            <w:vAlign w:val="bottom"/>
            <w:shd w:val="clear" w:color="auto" w:fill="007CBA"/>
          </w:tcPr>
          <w:p>
            <w:pPr>
              <w:spacing w:after="0"/>
              <w:rPr>
                <w:sz w:val="19"/>
                <w:szCs w:val="19"/>
                <w:color w:val="auto"/>
              </w:rPr>
            </w:pPr>
          </w:p>
        </w:tc>
        <w:tc>
          <w:tcPr>
            <w:tcW w:w="2840" w:type="dxa"/>
            <w:vAlign w:val="bottom"/>
            <w:tcBorders>
              <w:right w:val="single" w:sz="8" w:color="007CBA"/>
            </w:tcBorders>
            <w:gridSpan w:val="5"/>
            <w:shd w:val="clear" w:color="auto" w:fill="007CBA"/>
          </w:tcPr>
          <w:p>
            <w:pPr>
              <w:jc w:val="right"/>
              <w:ind w:right="1014"/>
              <w:spacing w:after="0"/>
              <w:rPr>
                <w:sz w:val="20"/>
                <w:szCs w:val="20"/>
                <w:color w:val="auto"/>
              </w:rPr>
            </w:pPr>
            <w:r>
              <w:rPr>
                <w:rFonts w:ascii="Arial" w:cs="Arial" w:eastAsia="Arial" w:hAnsi="Arial"/>
                <w:sz w:val="14"/>
                <w:szCs w:val="14"/>
                <w:b w:val="1"/>
                <w:bCs w:val="1"/>
                <w:color w:val="FFFFFF"/>
              </w:rPr>
              <w:t>(Amounts in Thousands)</w:t>
            </w:r>
          </w:p>
        </w:tc>
        <w:tc>
          <w:tcPr>
            <w:tcW w:w="260" w:type="dxa"/>
            <w:vAlign w:val="bottom"/>
            <w:shd w:val="clear" w:color="auto" w:fill="007CBA"/>
          </w:tcPr>
          <w:p>
            <w:pPr>
              <w:spacing w:after="0"/>
              <w:rPr>
                <w:sz w:val="19"/>
                <w:szCs w:val="19"/>
                <w:color w:val="auto"/>
              </w:rPr>
            </w:pPr>
          </w:p>
        </w:tc>
        <w:tc>
          <w:tcPr>
            <w:tcW w:w="88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20" w:type="dxa"/>
            <w:vAlign w:val="bottom"/>
            <w:tcBorders>
              <w:right w:val="single" w:sz="8" w:color="007CBA"/>
            </w:tcBorders>
          </w:tcPr>
          <w:p>
            <w:pPr>
              <w:ind w:left="80"/>
              <w:spacing w:after="0"/>
              <w:rPr>
                <w:sz w:val="20"/>
                <w:szCs w:val="20"/>
                <w:color w:val="auto"/>
              </w:rPr>
            </w:pPr>
            <w:r>
              <w:rPr>
                <w:rFonts w:ascii="Arial" w:cs="Arial" w:eastAsia="Arial" w:hAnsi="Arial"/>
                <w:sz w:val="16"/>
                <w:szCs w:val="16"/>
                <w:b w:val="1"/>
                <w:bCs w:val="1"/>
                <w:color w:val="auto"/>
              </w:rPr>
              <w:t>Year ended December 31, 2018</w:t>
            </w:r>
          </w:p>
        </w:tc>
        <w:tc>
          <w:tcPr>
            <w:tcW w:w="260" w:type="dxa"/>
            <w:vAlign w:val="bottom"/>
          </w:tcPr>
          <w:p>
            <w:pPr>
              <w:spacing w:after="0"/>
              <w:rPr>
                <w:sz w:val="18"/>
                <w:szCs w:val="18"/>
                <w:color w:val="auto"/>
              </w:rPr>
            </w:pPr>
          </w:p>
        </w:tc>
        <w:tc>
          <w:tcPr>
            <w:tcW w:w="900" w:type="dxa"/>
            <w:vAlign w:val="bottom"/>
            <w:tcBorders>
              <w:right w:val="single" w:sz="8" w:color="007CBA"/>
            </w:tcBorders>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Borders>
              <w:right w:val="single" w:sz="8" w:color="007CBA"/>
            </w:tcBorders>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Borders>
              <w:right w:val="single" w:sz="8" w:color="007CBA"/>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right w:val="single" w:sz="8" w:color="007CBA"/>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5420" w:type="dxa"/>
            <w:vAlign w:val="bottom"/>
            <w:tcBorders>
              <w:right w:val="single" w:sz="8" w:color="007CBA"/>
            </w:tcBorders>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Borders>
              <w:right w:val="single" w:sz="8" w:color="007CBA"/>
            </w:tcBorders>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Borders>
              <w:right w:val="single" w:sz="8" w:color="007CBA"/>
            </w:tcBorders>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Borders>
              <w:right w:val="single" w:sz="8" w:color="007CBA"/>
            </w:tcBorders>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Borders>
              <w:right w:val="single" w:sz="8" w:color="007CBA"/>
            </w:tcBorders>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4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Allowance for doubtful accounts</w:t>
            </w:r>
          </w:p>
        </w:tc>
        <w:tc>
          <w:tcPr>
            <w:tcW w:w="26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007CBA"/>
            </w:tcBorders>
            <w:shd w:val="clear" w:color="auto" w:fill="E5F1F8"/>
          </w:tcPr>
          <w:p>
            <w:pPr>
              <w:jc w:val="right"/>
              <w:ind w:right="234"/>
              <w:spacing w:after="0"/>
              <w:rPr>
                <w:sz w:val="20"/>
                <w:szCs w:val="20"/>
                <w:color w:val="auto"/>
              </w:rPr>
            </w:pPr>
            <w:r>
              <w:rPr>
                <w:rFonts w:ascii="Arial" w:cs="Arial" w:eastAsia="Arial" w:hAnsi="Arial"/>
                <w:sz w:val="16"/>
                <w:szCs w:val="16"/>
                <w:color w:val="auto"/>
              </w:rPr>
              <w:t>2,390</w:t>
            </w:r>
          </w:p>
        </w:tc>
        <w:tc>
          <w:tcPr>
            <w:tcW w:w="30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E5F1F8"/>
          </w:tcPr>
          <w:p>
            <w:pPr>
              <w:jc w:val="right"/>
              <w:spacing w:after="0"/>
              <w:rPr>
                <w:sz w:val="20"/>
                <w:szCs w:val="20"/>
                <w:color w:val="auto"/>
              </w:rPr>
            </w:pPr>
            <w:r>
              <w:rPr>
                <w:rFonts w:ascii="Arial" w:cs="Arial" w:eastAsia="Arial" w:hAnsi="Arial"/>
                <w:sz w:val="16"/>
                <w:szCs w:val="16"/>
                <w:color w:val="auto"/>
              </w:rPr>
              <w:t>963</w:t>
            </w:r>
          </w:p>
        </w:tc>
        <w:tc>
          <w:tcPr>
            <w:tcW w:w="280" w:type="dxa"/>
            <w:vAlign w:val="bottom"/>
            <w:tcBorders>
              <w:right w:val="single" w:sz="8" w:color="007CBA"/>
            </w:tcBorders>
            <w:shd w:val="clear" w:color="auto" w:fill="E5F1F8"/>
          </w:tcPr>
          <w:p>
            <w:pPr>
              <w:spacing w:after="0"/>
              <w:rPr>
                <w:sz w:val="17"/>
                <w:szCs w:val="17"/>
                <w:color w:val="auto"/>
              </w:rPr>
            </w:pPr>
          </w:p>
        </w:tc>
        <w:tc>
          <w:tcPr>
            <w:tcW w:w="340" w:type="dxa"/>
            <w:vAlign w:val="bottom"/>
            <w:shd w:val="clear" w:color="auto" w:fill="E5F1F8"/>
          </w:tcPr>
          <w:p>
            <w:pPr>
              <w:jc w:val="right"/>
              <w:ind w:right="4"/>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007CBA"/>
            </w:tcBorders>
            <w:shd w:val="clear" w:color="auto" w:fill="E5F1F8"/>
          </w:tcPr>
          <w:p>
            <w:pPr>
              <w:jc w:val="right"/>
              <w:ind w:right="276"/>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1F8"/>
          </w:tcPr>
          <w:p>
            <w:pPr>
              <w:ind w:left="160"/>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007CBA"/>
            </w:tcBorders>
            <w:shd w:val="clear" w:color="auto" w:fill="E5F1F8"/>
          </w:tcPr>
          <w:p>
            <w:pPr>
              <w:jc w:val="right"/>
              <w:ind w:right="294"/>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5F1F8"/>
          </w:tcPr>
          <w:p>
            <w:pPr>
              <w:jc w:val="right"/>
              <w:ind w:right="214"/>
              <w:spacing w:after="0"/>
              <w:rPr>
                <w:sz w:val="20"/>
                <w:szCs w:val="20"/>
                <w:color w:val="auto"/>
              </w:rPr>
            </w:pPr>
            <w:r>
              <w:rPr>
                <w:rFonts w:ascii="Arial" w:cs="Arial" w:eastAsia="Arial" w:hAnsi="Arial"/>
                <w:sz w:val="16"/>
                <w:szCs w:val="16"/>
                <w:color w:val="auto"/>
              </w:rPr>
              <w:t>3,353</w:t>
            </w:r>
          </w:p>
        </w:tc>
        <w:tc>
          <w:tcPr>
            <w:tcW w:w="0" w:type="dxa"/>
            <w:vAlign w:val="bottom"/>
          </w:tcPr>
          <w:p>
            <w:pPr>
              <w:spacing w:after="0"/>
              <w:rPr>
                <w:sz w:val="1"/>
                <w:szCs w:val="1"/>
                <w:color w:val="auto"/>
              </w:rPr>
            </w:pPr>
          </w:p>
        </w:tc>
      </w:tr>
      <w:tr>
        <w:trPr>
          <w:trHeight w:val="68"/>
        </w:trPr>
        <w:tc>
          <w:tcPr>
            <w:tcW w:w="5420" w:type="dxa"/>
            <w:vAlign w:val="bottom"/>
            <w:tcBorders>
              <w:right w:val="single" w:sz="8" w:color="007CBA"/>
            </w:tcBorders>
            <w:shd w:val="clear" w:color="auto" w:fill="E5F1F8"/>
          </w:tcPr>
          <w:p>
            <w:pPr>
              <w:spacing w:after="0"/>
              <w:rPr>
                <w:sz w:val="5"/>
                <w:szCs w:val="5"/>
                <w:color w:val="auto"/>
              </w:rPr>
            </w:pPr>
          </w:p>
        </w:tc>
        <w:tc>
          <w:tcPr>
            <w:tcW w:w="260" w:type="dxa"/>
            <w:vAlign w:val="bottom"/>
            <w:shd w:val="clear" w:color="auto" w:fill="E5F1F8"/>
          </w:tcPr>
          <w:p>
            <w:pPr>
              <w:spacing w:after="0"/>
              <w:rPr>
                <w:sz w:val="5"/>
                <w:szCs w:val="5"/>
                <w:color w:val="auto"/>
              </w:rPr>
            </w:pPr>
          </w:p>
        </w:tc>
        <w:tc>
          <w:tcPr>
            <w:tcW w:w="900" w:type="dxa"/>
            <w:vAlign w:val="bottom"/>
            <w:tcBorders>
              <w:right w:val="single" w:sz="8" w:color="007CBA"/>
            </w:tcBorders>
            <w:shd w:val="clear" w:color="auto" w:fill="E5F1F8"/>
          </w:tcPr>
          <w:p>
            <w:pPr>
              <w:spacing w:after="0"/>
              <w:rPr>
                <w:sz w:val="5"/>
                <w:szCs w:val="5"/>
                <w:color w:val="auto"/>
              </w:rPr>
            </w:pPr>
          </w:p>
        </w:tc>
        <w:tc>
          <w:tcPr>
            <w:tcW w:w="300" w:type="dxa"/>
            <w:vAlign w:val="bottom"/>
            <w:shd w:val="clear" w:color="auto" w:fill="E5F1F8"/>
          </w:tcPr>
          <w:p>
            <w:pPr>
              <w:spacing w:after="0"/>
              <w:rPr>
                <w:sz w:val="5"/>
                <w:szCs w:val="5"/>
                <w:color w:val="auto"/>
              </w:rPr>
            </w:pPr>
          </w:p>
        </w:tc>
        <w:tc>
          <w:tcPr>
            <w:tcW w:w="560" w:type="dxa"/>
            <w:vAlign w:val="bottom"/>
            <w:shd w:val="clear" w:color="auto" w:fill="E5F1F8"/>
          </w:tcPr>
          <w:p>
            <w:pPr>
              <w:spacing w:after="0"/>
              <w:rPr>
                <w:sz w:val="5"/>
                <w:szCs w:val="5"/>
                <w:color w:val="auto"/>
              </w:rPr>
            </w:pPr>
          </w:p>
        </w:tc>
        <w:tc>
          <w:tcPr>
            <w:tcW w:w="280" w:type="dxa"/>
            <w:vAlign w:val="bottom"/>
            <w:tcBorders>
              <w:right w:val="single" w:sz="8" w:color="007CBA"/>
            </w:tcBorders>
            <w:shd w:val="clear" w:color="auto" w:fill="E5F1F8"/>
          </w:tcPr>
          <w:p>
            <w:pPr>
              <w:spacing w:after="0"/>
              <w:rPr>
                <w:sz w:val="5"/>
                <w:szCs w:val="5"/>
                <w:color w:val="auto"/>
              </w:rPr>
            </w:pPr>
          </w:p>
        </w:tc>
        <w:tc>
          <w:tcPr>
            <w:tcW w:w="340" w:type="dxa"/>
            <w:vAlign w:val="bottom"/>
            <w:shd w:val="clear" w:color="auto" w:fill="E5F1F8"/>
          </w:tcPr>
          <w:p>
            <w:pPr>
              <w:spacing w:after="0"/>
              <w:rPr>
                <w:sz w:val="5"/>
                <w:szCs w:val="5"/>
                <w:color w:val="auto"/>
              </w:rPr>
            </w:pPr>
          </w:p>
        </w:tc>
        <w:tc>
          <w:tcPr>
            <w:tcW w:w="860" w:type="dxa"/>
            <w:vAlign w:val="bottom"/>
            <w:tcBorders>
              <w:right w:val="single" w:sz="8" w:color="007CBA"/>
            </w:tcBorders>
            <w:shd w:val="clear" w:color="auto" w:fill="E5F1F8"/>
          </w:tcPr>
          <w:p>
            <w:pPr>
              <w:spacing w:after="0"/>
              <w:rPr>
                <w:sz w:val="5"/>
                <w:szCs w:val="5"/>
                <w:color w:val="auto"/>
              </w:rPr>
            </w:pPr>
          </w:p>
        </w:tc>
        <w:tc>
          <w:tcPr>
            <w:tcW w:w="260" w:type="dxa"/>
            <w:vAlign w:val="bottom"/>
            <w:shd w:val="clear" w:color="auto" w:fill="E5F1F8"/>
          </w:tcPr>
          <w:p>
            <w:pPr>
              <w:spacing w:after="0"/>
              <w:rPr>
                <w:sz w:val="5"/>
                <w:szCs w:val="5"/>
                <w:color w:val="auto"/>
              </w:rPr>
            </w:pPr>
          </w:p>
        </w:tc>
        <w:tc>
          <w:tcPr>
            <w:tcW w:w="1100" w:type="dxa"/>
            <w:vAlign w:val="bottom"/>
            <w:tcBorders>
              <w:right w:val="single" w:sz="8" w:color="007CBA"/>
            </w:tcBorders>
            <w:shd w:val="clear" w:color="auto" w:fill="E5F1F8"/>
          </w:tcPr>
          <w:p>
            <w:pPr>
              <w:spacing w:after="0"/>
              <w:rPr>
                <w:sz w:val="5"/>
                <w:szCs w:val="5"/>
                <w:color w:val="auto"/>
              </w:rPr>
            </w:pPr>
          </w:p>
        </w:tc>
        <w:tc>
          <w:tcPr>
            <w:tcW w:w="260" w:type="dxa"/>
            <w:vAlign w:val="bottom"/>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42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Allowance for uncollectible notes receivable</w:t>
            </w:r>
          </w:p>
        </w:tc>
        <w:tc>
          <w:tcPr>
            <w:tcW w:w="260" w:type="dxa"/>
            <w:vAlign w:val="bottom"/>
          </w:tcPr>
          <w:p>
            <w:pPr>
              <w:spacing w:after="0"/>
              <w:rPr>
                <w:sz w:val="23"/>
                <w:szCs w:val="23"/>
                <w:color w:val="auto"/>
              </w:rPr>
            </w:pPr>
          </w:p>
        </w:tc>
        <w:tc>
          <w:tcPr>
            <w:tcW w:w="900" w:type="dxa"/>
            <w:vAlign w:val="bottom"/>
            <w:tcBorders>
              <w:right w:val="single" w:sz="8" w:color="007CBA"/>
            </w:tcBorders>
          </w:tcPr>
          <w:p>
            <w:pPr>
              <w:jc w:val="right"/>
              <w:ind w:right="234"/>
              <w:spacing w:after="0"/>
              <w:rPr>
                <w:sz w:val="20"/>
                <w:szCs w:val="20"/>
                <w:color w:val="auto"/>
              </w:rPr>
            </w:pPr>
            <w:r>
              <w:rPr>
                <w:rFonts w:ascii="Arial" w:cs="Arial" w:eastAsia="Arial" w:hAnsi="Arial"/>
                <w:sz w:val="16"/>
                <w:szCs w:val="16"/>
                <w:color w:val="auto"/>
              </w:rPr>
              <w:t>227</w:t>
            </w:r>
          </w:p>
        </w:tc>
        <w:tc>
          <w:tcPr>
            <w:tcW w:w="3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007CBA"/>
            </w:tcBorders>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Borders>
              <w:right w:val="single" w:sz="8" w:color="007CBA"/>
            </w:tcBorders>
          </w:tcPr>
          <w:p>
            <w:pPr>
              <w:jc w:val="right"/>
              <w:ind w:right="276"/>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tcBorders>
              <w:right w:val="single" w:sz="8" w:color="007CBA"/>
            </w:tcBorders>
          </w:tcPr>
          <w:p>
            <w:pPr>
              <w:jc w:val="right"/>
              <w:ind w:right="134"/>
              <w:spacing w:after="0" w:line="270" w:lineRule="exact"/>
              <w:rPr>
                <w:sz w:val="20"/>
                <w:szCs w:val="20"/>
                <w:color w:val="auto"/>
              </w:rPr>
            </w:pPr>
            <w:r>
              <w:rPr>
                <w:rFonts w:ascii="Arial" w:cs="Arial" w:eastAsia="Arial" w:hAnsi="Arial"/>
                <w:sz w:val="16"/>
                <w:szCs w:val="16"/>
                <w:color w:val="auto"/>
              </w:rPr>
              <w:t>227</w:t>
            </w:r>
            <w:r>
              <w:rPr>
                <w:rFonts w:ascii="Arial" w:cs="Arial" w:eastAsia="Arial" w:hAnsi="Arial"/>
                <w:sz w:val="27"/>
                <w:szCs w:val="27"/>
                <w:color w:val="auto"/>
                <w:vertAlign w:val="superscript"/>
              </w:rPr>
              <w:t>(a)</w:t>
            </w:r>
          </w:p>
        </w:tc>
        <w:tc>
          <w:tcPr>
            <w:tcW w:w="260" w:type="dxa"/>
            <w:vAlign w:val="bottom"/>
          </w:tcPr>
          <w:p>
            <w:pPr>
              <w:spacing w:after="0"/>
              <w:rPr>
                <w:sz w:val="23"/>
                <w:szCs w:val="23"/>
                <w:color w:val="auto"/>
              </w:rPr>
            </w:pPr>
          </w:p>
        </w:tc>
        <w:tc>
          <w:tcPr>
            <w:tcW w:w="880" w:type="dxa"/>
            <w:vAlign w:val="bottom"/>
          </w:tcPr>
          <w:p>
            <w:pPr>
              <w:jc w:val="right"/>
              <w:ind w:right="2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4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Inventory valuation allowance</w:t>
            </w:r>
          </w:p>
        </w:tc>
        <w:tc>
          <w:tcPr>
            <w:tcW w:w="260" w:type="dxa"/>
            <w:vAlign w:val="bottom"/>
            <w:shd w:val="clear" w:color="auto" w:fill="E5F1F8"/>
          </w:tcPr>
          <w:p>
            <w:pPr>
              <w:spacing w:after="0"/>
              <w:rPr>
                <w:sz w:val="17"/>
                <w:szCs w:val="17"/>
                <w:color w:val="auto"/>
              </w:rPr>
            </w:pPr>
          </w:p>
        </w:tc>
        <w:tc>
          <w:tcPr>
            <w:tcW w:w="900" w:type="dxa"/>
            <w:vAlign w:val="bottom"/>
            <w:tcBorders>
              <w:right w:val="single" w:sz="8" w:color="007CBA"/>
            </w:tcBorders>
            <w:shd w:val="clear" w:color="auto" w:fill="E5F1F8"/>
          </w:tcPr>
          <w:p>
            <w:pPr>
              <w:jc w:val="right"/>
              <w:ind w:right="234"/>
              <w:spacing w:after="0"/>
              <w:rPr>
                <w:sz w:val="20"/>
                <w:szCs w:val="20"/>
                <w:color w:val="auto"/>
              </w:rPr>
            </w:pPr>
            <w:r>
              <w:rPr>
                <w:rFonts w:ascii="Arial" w:cs="Arial" w:eastAsia="Arial" w:hAnsi="Arial"/>
                <w:sz w:val="16"/>
                <w:szCs w:val="16"/>
                <w:color w:val="auto"/>
              </w:rPr>
              <w:t>143,961</w:t>
            </w:r>
          </w:p>
        </w:tc>
        <w:tc>
          <w:tcPr>
            <w:tcW w:w="300" w:type="dxa"/>
            <w:vAlign w:val="bottom"/>
            <w:shd w:val="clear" w:color="auto" w:fill="E5F1F8"/>
          </w:tcPr>
          <w:p>
            <w:pPr>
              <w:spacing w:after="0"/>
              <w:rPr>
                <w:sz w:val="17"/>
                <w:szCs w:val="17"/>
                <w:color w:val="auto"/>
              </w:rPr>
            </w:pPr>
          </w:p>
        </w:tc>
        <w:tc>
          <w:tcPr>
            <w:tcW w:w="560" w:type="dxa"/>
            <w:vAlign w:val="bottom"/>
            <w:shd w:val="clear" w:color="auto" w:fill="E5F1F8"/>
          </w:tcPr>
          <w:p>
            <w:pPr>
              <w:jc w:val="right"/>
              <w:spacing w:after="0"/>
              <w:rPr>
                <w:sz w:val="20"/>
                <w:szCs w:val="20"/>
                <w:color w:val="auto"/>
              </w:rPr>
            </w:pPr>
            <w:r>
              <w:rPr>
                <w:rFonts w:ascii="Arial" w:cs="Arial" w:eastAsia="Arial" w:hAnsi="Arial"/>
                <w:sz w:val="16"/>
                <w:szCs w:val="16"/>
                <w:color w:val="auto"/>
              </w:rPr>
              <w:t>36,878</w:t>
            </w:r>
          </w:p>
        </w:tc>
        <w:tc>
          <w:tcPr>
            <w:tcW w:w="280" w:type="dxa"/>
            <w:vAlign w:val="bottom"/>
            <w:tcBorders>
              <w:right w:val="single" w:sz="8" w:color="007CBA"/>
            </w:tcBorders>
            <w:shd w:val="clear" w:color="auto" w:fill="E5F1F8"/>
          </w:tcPr>
          <w:p>
            <w:pPr>
              <w:spacing w:after="0"/>
              <w:rPr>
                <w:sz w:val="17"/>
                <w:szCs w:val="17"/>
                <w:color w:val="auto"/>
              </w:rPr>
            </w:pPr>
          </w:p>
        </w:tc>
        <w:tc>
          <w:tcPr>
            <w:tcW w:w="340" w:type="dxa"/>
            <w:vAlign w:val="bottom"/>
            <w:shd w:val="clear" w:color="auto" w:fill="E5F1F8"/>
          </w:tcPr>
          <w:p>
            <w:pPr>
              <w:spacing w:after="0"/>
              <w:rPr>
                <w:sz w:val="17"/>
                <w:szCs w:val="17"/>
                <w:color w:val="auto"/>
              </w:rPr>
            </w:pPr>
          </w:p>
        </w:tc>
        <w:tc>
          <w:tcPr>
            <w:tcW w:w="860" w:type="dxa"/>
            <w:vAlign w:val="bottom"/>
            <w:tcBorders>
              <w:right w:val="single" w:sz="8" w:color="007CBA"/>
            </w:tcBorders>
            <w:shd w:val="clear" w:color="auto" w:fill="E5F1F8"/>
          </w:tcPr>
          <w:p>
            <w:pPr>
              <w:jc w:val="right"/>
              <w:ind w:right="116"/>
              <w:spacing w:after="0" w:line="202" w:lineRule="exact"/>
              <w:rPr>
                <w:sz w:val="20"/>
                <w:szCs w:val="20"/>
                <w:color w:val="auto"/>
              </w:rPr>
            </w:pPr>
            <w:r>
              <w:rPr>
                <w:rFonts w:ascii="Arial" w:cs="Arial" w:eastAsia="Arial" w:hAnsi="Arial"/>
                <w:sz w:val="14"/>
                <w:szCs w:val="14"/>
                <w:color w:val="auto"/>
              </w:rPr>
              <w:t>5,158</w:t>
            </w:r>
            <w:r>
              <w:rPr>
                <w:rFonts w:ascii="Arial" w:cs="Arial" w:eastAsia="Arial" w:hAnsi="Arial"/>
                <w:sz w:val="23"/>
                <w:szCs w:val="23"/>
                <w:color w:val="auto"/>
                <w:vertAlign w:val="superscript"/>
              </w:rPr>
              <w:t>(b)</w:t>
            </w:r>
          </w:p>
        </w:tc>
        <w:tc>
          <w:tcPr>
            <w:tcW w:w="260" w:type="dxa"/>
            <w:vAlign w:val="bottom"/>
            <w:shd w:val="clear" w:color="auto" w:fill="E5F1F8"/>
          </w:tcPr>
          <w:p>
            <w:pPr>
              <w:spacing w:after="0"/>
              <w:rPr>
                <w:sz w:val="17"/>
                <w:szCs w:val="17"/>
                <w:color w:val="auto"/>
              </w:rPr>
            </w:pPr>
          </w:p>
        </w:tc>
        <w:tc>
          <w:tcPr>
            <w:tcW w:w="1100" w:type="dxa"/>
            <w:vAlign w:val="bottom"/>
            <w:tcBorders>
              <w:right w:val="single" w:sz="8" w:color="007CBA"/>
            </w:tcBorders>
            <w:shd w:val="clear" w:color="auto" w:fill="E5F1F8"/>
          </w:tcPr>
          <w:p>
            <w:pPr>
              <w:jc w:val="right"/>
              <w:ind w:right="134"/>
              <w:spacing w:after="0" w:line="202" w:lineRule="exact"/>
              <w:rPr>
                <w:sz w:val="20"/>
                <w:szCs w:val="20"/>
                <w:color w:val="auto"/>
              </w:rPr>
            </w:pPr>
            <w:r>
              <w:rPr>
                <w:rFonts w:ascii="Arial" w:cs="Arial" w:eastAsia="Arial" w:hAnsi="Arial"/>
                <w:sz w:val="14"/>
                <w:szCs w:val="14"/>
                <w:color w:val="auto"/>
              </w:rPr>
              <w:t>26,827</w:t>
            </w:r>
            <w:r>
              <w:rPr>
                <w:rFonts w:ascii="Arial" w:cs="Arial" w:eastAsia="Arial" w:hAnsi="Arial"/>
                <w:sz w:val="23"/>
                <w:szCs w:val="23"/>
                <w:color w:val="auto"/>
                <w:vertAlign w:val="superscript"/>
              </w:rPr>
              <w:t>(c)</w:t>
            </w:r>
          </w:p>
        </w:tc>
        <w:tc>
          <w:tcPr>
            <w:tcW w:w="260" w:type="dxa"/>
            <w:vAlign w:val="bottom"/>
            <w:shd w:val="clear" w:color="auto" w:fill="E5F1F8"/>
          </w:tcPr>
          <w:p>
            <w:pPr>
              <w:spacing w:after="0"/>
              <w:rPr>
                <w:sz w:val="17"/>
                <w:szCs w:val="17"/>
                <w:color w:val="auto"/>
              </w:rPr>
            </w:pPr>
          </w:p>
        </w:tc>
        <w:tc>
          <w:tcPr>
            <w:tcW w:w="880" w:type="dxa"/>
            <w:vAlign w:val="bottom"/>
            <w:shd w:val="clear" w:color="auto" w:fill="E5F1F8"/>
          </w:tcPr>
          <w:p>
            <w:pPr>
              <w:jc w:val="right"/>
              <w:ind w:right="214"/>
              <w:spacing w:after="0"/>
              <w:rPr>
                <w:sz w:val="20"/>
                <w:szCs w:val="20"/>
                <w:color w:val="auto"/>
              </w:rPr>
            </w:pPr>
            <w:r>
              <w:rPr>
                <w:rFonts w:ascii="Arial" w:cs="Arial" w:eastAsia="Arial" w:hAnsi="Arial"/>
                <w:sz w:val="16"/>
                <w:szCs w:val="16"/>
                <w:color w:val="auto"/>
              </w:rPr>
              <w:t>159,170</w:t>
            </w:r>
          </w:p>
        </w:tc>
        <w:tc>
          <w:tcPr>
            <w:tcW w:w="0" w:type="dxa"/>
            <w:vAlign w:val="bottom"/>
          </w:tcPr>
          <w:p>
            <w:pPr>
              <w:spacing w:after="0"/>
              <w:rPr>
                <w:sz w:val="1"/>
                <w:szCs w:val="1"/>
                <w:color w:val="auto"/>
              </w:rPr>
            </w:pPr>
          </w:p>
        </w:tc>
      </w:tr>
      <w:tr>
        <w:trPr>
          <w:trHeight w:val="68"/>
        </w:trPr>
        <w:tc>
          <w:tcPr>
            <w:tcW w:w="5420" w:type="dxa"/>
            <w:vAlign w:val="bottom"/>
            <w:tcBorders>
              <w:right w:val="single" w:sz="8" w:color="007CBA"/>
            </w:tcBorders>
            <w:shd w:val="clear" w:color="auto" w:fill="E5F1F8"/>
          </w:tcPr>
          <w:p>
            <w:pPr>
              <w:spacing w:after="0"/>
              <w:rPr>
                <w:sz w:val="5"/>
                <w:szCs w:val="5"/>
                <w:color w:val="auto"/>
              </w:rPr>
            </w:pPr>
          </w:p>
        </w:tc>
        <w:tc>
          <w:tcPr>
            <w:tcW w:w="260" w:type="dxa"/>
            <w:vAlign w:val="bottom"/>
            <w:shd w:val="clear" w:color="auto" w:fill="E5F1F8"/>
          </w:tcPr>
          <w:p>
            <w:pPr>
              <w:spacing w:after="0"/>
              <w:rPr>
                <w:sz w:val="5"/>
                <w:szCs w:val="5"/>
                <w:color w:val="auto"/>
              </w:rPr>
            </w:pPr>
          </w:p>
        </w:tc>
        <w:tc>
          <w:tcPr>
            <w:tcW w:w="900" w:type="dxa"/>
            <w:vAlign w:val="bottom"/>
            <w:tcBorders>
              <w:right w:val="single" w:sz="8" w:color="007CBA"/>
            </w:tcBorders>
            <w:shd w:val="clear" w:color="auto" w:fill="E5F1F8"/>
          </w:tcPr>
          <w:p>
            <w:pPr>
              <w:spacing w:after="0"/>
              <w:rPr>
                <w:sz w:val="5"/>
                <w:szCs w:val="5"/>
                <w:color w:val="auto"/>
              </w:rPr>
            </w:pPr>
          </w:p>
        </w:tc>
        <w:tc>
          <w:tcPr>
            <w:tcW w:w="300" w:type="dxa"/>
            <w:vAlign w:val="bottom"/>
            <w:shd w:val="clear" w:color="auto" w:fill="E5F1F8"/>
          </w:tcPr>
          <w:p>
            <w:pPr>
              <w:spacing w:after="0"/>
              <w:rPr>
                <w:sz w:val="5"/>
                <w:szCs w:val="5"/>
                <w:color w:val="auto"/>
              </w:rPr>
            </w:pPr>
          </w:p>
        </w:tc>
        <w:tc>
          <w:tcPr>
            <w:tcW w:w="560" w:type="dxa"/>
            <w:vAlign w:val="bottom"/>
            <w:shd w:val="clear" w:color="auto" w:fill="E5F1F8"/>
          </w:tcPr>
          <w:p>
            <w:pPr>
              <w:spacing w:after="0"/>
              <w:rPr>
                <w:sz w:val="5"/>
                <w:szCs w:val="5"/>
                <w:color w:val="auto"/>
              </w:rPr>
            </w:pPr>
          </w:p>
        </w:tc>
        <w:tc>
          <w:tcPr>
            <w:tcW w:w="280" w:type="dxa"/>
            <w:vAlign w:val="bottom"/>
            <w:tcBorders>
              <w:right w:val="single" w:sz="8" w:color="007CBA"/>
            </w:tcBorders>
            <w:shd w:val="clear" w:color="auto" w:fill="E5F1F8"/>
          </w:tcPr>
          <w:p>
            <w:pPr>
              <w:spacing w:after="0"/>
              <w:rPr>
                <w:sz w:val="5"/>
                <w:szCs w:val="5"/>
                <w:color w:val="auto"/>
              </w:rPr>
            </w:pPr>
          </w:p>
        </w:tc>
        <w:tc>
          <w:tcPr>
            <w:tcW w:w="340" w:type="dxa"/>
            <w:vAlign w:val="bottom"/>
            <w:shd w:val="clear" w:color="auto" w:fill="E5F1F8"/>
          </w:tcPr>
          <w:p>
            <w:pPr>
              <w:spacing w:after="0"/>
              <w:rPr>
                <w:sz w:val="5"/>
                <w:szCs w:val="5"/>
                <w:color w:val="auto"/>
              </w:rPr>
            </w:pPr>
          </w:p>
        </w:tc>
        <w:tc>
          <w:tcPr>
            <w:tcW w:w="860" w:type="dxa"/>
            <w:vAlign w:val="bottom"/>
            <w:tcBorders>
              <w:right w:val="single" w:sz="8" w:color="007CBA"/>
            </w:tcBorders>
            <w:shd w:val="clear" w:color="auto" w:fill="E5F1F8"/>
          </w:tcPr>
          <w:p>
            <w:pPr>
              <w:spacing w:after="0"/>
              <w:rPr>
                <w:sz w:val="5"/>
                <w:szCs w:val="5"/>
                <w:color w:val="auto"/>
              </w:rPr>
            </w:pPr>
          </w:p>
        </w:tc>
        <w:tc>
          <w:tcPr>
            <w:tcW w:w="260" w:type="dxa"/>
            <w:vAlign w:val="bottom"/>
            <w:shd w:val="clear" w:color="auto" w:fill="E5F1F8"/>
          </w:tcPr>
          <w:p>
            <w:pPr>
              <w:spacing w:after="0"/>
              <w:rPr>
                <w:sz w:val="5"/>
                <w:szCs w:val="5"/>
                <w:color w:val="auto"/>
              </w:rPr>
            </w:pPr>
          </w:p>
        </w:tc>
        <w:tc>
          <w:tcPr>
            <w:tcW w:w="1100" w:type="dxa"/>
            <w:vAlign w:val="bottom"/>
            <w:tcBorders>
              <w:right w:val="single" w:sz="8" w:color="007CBA"/>
            </w:tcBorders>
            <w:shd w:val="clear" w:color="auto" w:fill="E5F1F8"/>
          </w:tcPr>
          <w:p>
            <w:pPr>
              <w:spacing w:after="0"/>
              <w:rPr>
                <w:sz w:val="5"/>
                <w:szCs w:val="5"/>
                <w:color w:val="auto"/>
              </w:rPr>
            </w:pPr>
          </w:p>
        </w:tc>
        <w:tc>
          <w:tcPr>
            <w:tcW w:w="260" w:type="dxa"/>
            <w:vAlign w:val="bottom"/>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420" w:type="dxa"/>
            <w:vAlign w:val="bottom"/>
            <w:tcBorders>
              <w:right w:val="single" w:sz="8" w:color="007CBA"/>
            </w:tcBorders>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Borders>
              <w:right w:val="single" w:sz="8" w:color="007CBA"/>
            </w:tcBorders>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Borders>
              <w:right w:val="single" w:sz="8" w:color="007CBA"/>
            </w:tcBorders>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Borders>
              <w:right w:val="single" w:sz="8" w:color="007CBA"/>
            </w:tcBorders>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Borders>
              <w:right w:val="single" w:sz="8" w:color="007CBA"/>
            </w:tcBorders>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5"/>
        </w:trPr>
        <w:tc>
          <w:tcPr>
            <w:tcW w:w="54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b w:val="1"/>
                <w:bCs w:val="1"/>
                <w:color w:val="auto"/>
              </w:rPr>
              <w:t>Year ended December 31, 2017</w:t>
            </w:r>
          </w:p>
        </w:tc>
        <w:tc>
          <w:tcPr>
            <w:tcW w:w="260" w:type="dxa"/>
            <w:vAlign w:val="bottom"/>
            <w:shd w:val="clear" w:color="auto" w:fill="E5F1F8"/>
          </w:tcPr>
          <w:p>
            <w:pPr>
              <w:spacing w:after="0"/>
              <w:rPr>
                <w:sz w:val="24"/>
                <w:szCs w:val="24"/>
                <w:color w:val="auto"/>
              </w:rPr>
            </w:pPr>
          </w:p>
        </w:tc>
        <w:tc>
          <w:tcPr>
            <w:tcW w:w="900" w:type="dxa"/>
            <w:vAlign w:val="bottom"/>
            <w:tcBorders>
              <w:right w:val="single" w:sz="8" w:color="007CBA"/>
            </w:tcBorders>
            <w:shd w:val="clear" w:color="auto" w:fill="E5F1F8"/>
          </w:tcPr>
          <w:p>
            <w:pPr>
              <w:spacing w:after="0"/>
              <w:rPr>
                <w:sz w:val="24"/>
                <w:szCs w:val="24"/>
                <w:color w:val="auto"/>
              </w:rPr>
            </w:pPr>
          </w:p>
        </w:tc>
        <w:tc>
          <w:tcPr>
            <w:tcW w:w="300" w:type="dxa"/>
            <w:vAlign w:val="bottom"/>
            <w:shd w:val="clear" w:color="auto" w:fill="E5F1F8"/>
          </w:tcPr>
          <w:p>
            <w:pPr>
              <w:spacing w:after="0"/>
              <w:rPr>
                <w:sz w:val="24"/>
                <w:szCs w:val="24"/>
                <w:color w:val="auto"/>
              </w:rPr>
            </w:pPr>
          </w:p>
        </w:tc>
        <w:tc>
          <w:tcPr>
            <w:tcW w:w="560" w:type="dxa"/>
            <w:vAlign w:val="bottom"/>
            <w:shd w:val="clear" w:color="auto" w:fill="E5F1F8"/>
          </w:tcPr>
          <w:p>
            <w:pPr>
              <w:spacing w:after="0"/>
              <w:rPr>
                <w:sz w:val="24"/>
                <w:szCs w:val="24"/>
                <w:color w:val="auto"/>
              </w:rPr>
            </w:pPr>
          </w:p>
        </w:tc>
        <w:tc>
          <w:tcPr>
            <w:tcW w:w="280" w:type="dxa"/>
            <w:vAlign w:val="bottom"/>
            <w:tcBorders>
              <w:right w:val="single" w:sz="8" w:color="007CBA"/>
            </w:tcBorders>
            <w:shd w:val="clear" w:color="auto" w:fill="E5F1F8"/>
          </w:tcPr>
          <w:p>
            <w:pPr>
              <w:spacing w:after="0"/>
              <w:rPr>
                <w:sz w:val="24"/>
                <w:szCs w:val="24"/>
                <w:color w:val="auto"/>
              </w:rPr>
            </w:pPr>
          </w:p>
        </w:tc>
        <w:tc>
          <w:tcPr>
            <w:tcW w:w="340" w:type="dxa"/>
            <w:vAlign w:val="bottom"/>
            <w:shd w:val="clear" w:color="auto" w:fill="E5F1F8"/>
          </w:tcPr>
          <w:p>
            <w:pPr>
              <w:spacing w:after="0"/>
              <w:rPr>
                <w:sz w:val="24"/>
                <w:szCs w:val="24"/>
                <w:color w:val="auto"/>
              </w:rPr>
            </w:pPr>
          </w:p>
        </w:tc>
        <w:tc>
          <w:tcPr>
            <w:tcW w:w="860" w:type="dxa"/>
            <w:vAlign w:val="bottom"/>
            <w:tcBorders>
              <w:right w:val="single" w:sz="8" w:color="007CBA"/>
            </w:tcBorders>
            <w:shd w:val="clear" w:color="auto" w:fill="E5F1F8"/>
          </w:tcPr>
          <w:p>
            <w:pPr>
              <w:spacing w:after="0"/>
              <w:rPr>
                <w:sz w:val="24"/>
                <w:szCs w:val="24"/>
                <w:color w:val="auto"/>
              </w:rPr>
            </w:pPr>
          </w:p>
        </w:tc>
        <w:tc>
          <w:tcPr>
            <w:tcW w:w="260" w:type="dxa"/>
            <w:vAlign w:val="bottom"/>
            <w:shd w:val="clear" w:color="auto" w:fill="E5F1F8"/>
          </w:tcPr>
          <w:p>
            <w:pPr>
              <w:spacing w:after="0"/>
              <w:rPr>
                <w:sz w:val="24"/>
                <w:szCs w:val="24"/>
                <w:color w:val="auto"/>
              </w:rPr>
            </w:pPr>
          </w:p>
        </w:tc>
        <w:tc>
          <w:tcPr>
            <w:tcW w:w="1100" w:type="dxa"/>
            <w:vAlign w:val="bottom"/>
            <w:tcBorders>
              <w:right w:val="single" w:sz="8" w:color="007CBA"/>
            </w:tcBorders>
            <w:shd w:val="clear" w:color="auto" w:fill="E5F1F8"/>
          </w:tcPr>
          <w:p>
            <w:pPr>
              <w:spacing w:after="0"/>
              <w:rPr>
                <w:sz w:val="24"/>
                <w:szCs w:val="24"/>
                <w:color w:val="auto"/>
              </w:rPr>
            </w:pPr>
          </w:p>
        </w:tc>
        <w:tc>
          <w:tcPr>
            <w:tcW w:w="260" w:type="dxa"/>
            <w:vAlign w:val="bottom"/>
            <w:shd w:val="clear" w:color="auto" w:fill="E5F1F8"/>
          </w:tcPr>
          <w:p>
            <w:pPr>
              <w:spacing w:after="0"/>
              <w:rPr>
                <w:sz w:val="24"/>
                <w:szCs w:val="24"/>
                <w:color w:val="auto"/>
              </w:rPr>
            </w:pPr>
          </w:p>
        </w:tc>
        <w:tc>
          <w:tcPr>
            <w:tcW w:w="880" w:type="dxa"/>
            <w:vAlign w:val="bottom"/>
            <w:shd w:val="clear" w:color="auto" w:fill="E5F1F8"/>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420" w:type="dxa"/>
            <w:vAlign w:val="bottom"/>
            <w:tcBorders>
              <w:right w:val="single" w:sz="8" w:color="007CBA"/>
            </w:tcBorders>
            <w:shd w:val="clear" w:color="auto" w:fill="E5F1F8"/>
          </w:tcPr>
          <w:p>
            <w:pPr>
              <w:spacing w:after="0"/>
              <w:rPr>
                <w:sz w:val="5"/>
                <w:szCs w:val="5"/>
                <w:color w:val="auto"/>
              </w:rPr>
            </w:pPr>
          </w:p>
        </w:tc>
        <w:tc>
          <w:tcPr>
            <w:tcW w:w="260" w:type="dxa"/>
            <w:vAlign w:val="bottom"/>
            <w:shd w:val="clear" w:color="auto" w:fill="E5F1F8"/>
          </w:tcPr>
          <w:p>
            <w:pPr>
              <w:spacing w:after="0"/>
              <w:rPr>
                <w:sz w:val="5"/>
                <w:szCs w:val="5"/>
                <w:color w:val="auto"/>
              </w:rPr>
            </w:pPr>
          </w:p>
        </w:tc>
        <w:tc>
          <w:tcPr>
            <w:tcW w:w="900" w:type="dxa"/>
            <w:vAlign w:val="bottom"/>
            <w:tcBorders>
              <w:right w:val="single" w:sz="8" w:color="007CBA"/>
            </w:tcBorders>
            <w:shd w:val="clear" w:color="auto" w:fill="E5F1F8"/>
          </w:tcPr>
          <w:p>
            <w:pPr>
              <w:spacing w:after="0"/>
              <w:rPr>
                <w:sz w:val="5"/>
                <w:szCs w:val="5"/>
                <w:color w:val="auto"/>
              </w:rPr>
            </w:pPr>
          </w:p>
        </w:tc>
        <w:tc>
          <w:tcPr>
            <w:tcW w:w="300" w:type="dxa"/>
            <w:vAlign w:val="bottom"/>
            <w:shd w:val="clear" w:color="auto" w:fill="E5F1F8"/>
          </w:tcPr>
          <w:p>
            <w:pPr>
              <w:spacing w:after="0"/>
              <w:rPr>
                <w:sz w:val="5"/>
                <w:szCs w:val="5"/>
                <w:color w:val="auto"/>
              </w:rPr>
            </w:pPr>
          </w:p>
        </w:tc>
        <w:tc>
          <w:tcPr>
            <w:tcW w:w="560" w:type="dxa"/>
            <w:vAlign w:val="bottom"/>
            <w:shd w:val="clear" w:color="auto" w:fill="E5F1F8"/>
          </w:tcPr>
          <w:p>
            <w:pPr>
              <w:spacing w:after="0"/>
              <w:rPr>
                <w:sz w:val="5"/>
                <w:szCs w:val="5"/>
                <w:color w:val="auto"/>
              </w:rPr>
            </w:pPr>
          </w:p>
        </w:tc>
        <w:tc>
          <w:tcPr>
            <w:tcW w:w="280" w:type="dxa"/>
            <w:vAlign w:val="bottom"/>
            <w:tcBorders>
              <w:right w:val="single" w:sz="8" w:color="007CBA"/>
            </w:tcBorders>
            <w:shd w:val="clear" w:color="auto" w:fill="E5F1F8"/>
          </w:tcPr>
          <w:p>
            <w:pPr>
              <w:spacing w:after="0"/>
              <w:rPr>
                <w:sz w:val="5"/>
                <w:szCs w:val="5"/>
                <w:color w:val="auto"/>
              </w:rPr>
            </w:pPr>
          </w:p>
        </w:tc>
        <w:tc>
          <w:tcPr>
            <w:tcW w:w="340" w:type="dxa"/>
            <w:vAlign w:val="bottom"/>
            <w:shd w:val="clear" w:color="auto" w:fill="E5F1F8"/>
          </w:tcPr>
          <w:p>
            <w:pPr>
              <w:spacing w:after="0"/>
              <w:rPr>
                <w:sz w:val="5"/>
                <w:szCs w:val="5"/>
                <w:color w:val="auto"/>
              </w:rPr>
            </w:pPr>
          </w:p>
        </w:tc>
        <w:tc>
          <w:tcPr>
            <w:tcW w:w="860" w:type="dxa"/>
            <w:vAlign w:val="bottom"/>
            <w:tcBorders>
              <w:right w:val="single" w:sz="8" w:color="007CBA"/>
            </w:tcBorders>
            <w:shd w:val="clear" w:color="auto" w:fill="E5F1F8"/>
          </w:tcPr>
          <w:p>
            <w:pPr>
              <w:spacing w:after="0"/>
              <w:rPr>
                <w:sz w:val="5"/>
                <w:szCs w:val="5"/>
                <w:color w:val="auto"/>
              </w:rPr>
            </w:pPr>
          </w:p>
        </w:tc>
        <w:tc>
          <w:tcPr>
            <w:tcW w:w="260" w:type="dxa"/>
            <w:vAlign w:val="bottom"/>
            <w:shd w:val="clear" w:color="auto" w:fill="E5F1F8"/>
          </w:tcPr>
          <w:p>
            <w:pPr>
              <w:spacing w:after="0"/>
              <w:rPr>
                <w:sz w:val="5"/>
                <w:szCs w:val="5"/>
                <w:color w:val="auto"/>
              </w:rPr>
            </w:pPr>
          </w:p>
        </w:tc>
        <w:tc>
          <w:tcPr>
            <w:tcW w:w="1100" w:type="dxa"/>
            <w:vAlign w:val="bottom"/>
            <w:tcBorders>
              <w:right w:val="single" w:sz="8" w:color="007CBA"/>
            </w:tcBorders>
            <w:shd w:val="clear" w:color="auto" w:fill="E5F1F8"/>
          </w:tcPr>
          <w:p>
            <w:pPr>
              <w:spacing w:after="0"/>
              <w:rPr>
                <w:sz w:val="5"/>
                <w:szCs w:val="5"/>
                <w:color w:val="auto"/>
              </w:rPr>
            </w:pPr>
          </w:p>
        </w:tc>
        <w:tc>
          <w:tcPr>
            <w:tcW w:w="260" w:type="dxa"/>
            <w:vAlign w:val="bottom"/>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42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Allowance for doubtful accounts</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007CBA"/>
            </w:tcBorders>
          </w:tcPr>
          <w:p>
            <w:pPr>
              <w:jc w:val="right"/>
              <w:ind w:right="234"/>
              <w:spacing w:after="0"/>
              <w:rPr>
                <w:sz w:val="20"/>
                <w:szCs w:val="20"/>
                <w:color w:val="auto"/>
              </w:rPr>
            </w:pPr>
            <w:r>
              <w:rPr>
                <w:rFonts w:ascii="Arial" w:cs="Arial" w:eastAsia="Arial" w:hAnsi="Arial"/>
                <w:sz w:val="16"/>
                <w:szCs w:val="16"/>
                <w:color w:val="auto"/>
              </w:rPr>
              <w:t>6,266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007CBA"/>
            </w:tcBorders>
          </w:tcPr>
          <w:p>
            <w:pPr>
              <w:spacing w:after="0"/>
              <w:rPr>
                <w:sz w:val="23"/>
                <w:szCs w:val="23"/>
                <w:color w:val="auto"/>
              </w:rPr>
            </w:pPr>
          </w:p>
        </w:tc>
        <w:tc>
          <w:tcPr>
            <w:tcW w:w="3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007CBA"/>
            </w:tcBorders>
          </w:tcPr>
          <w:p>
            <w:pPr>
              <w:jc w:val="right"/>
              <w:ind w:right="276"/>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007CBA"/>
            </w:tcBorders>
          </w:tcPr>
          <w:p>
            <w:pPr>
              <w:jc w:val="right"/>
              <w:ind w:right="134"/>
              <w:spacing w:after="0" w:line="270" w:lineRule="exact"/>
              <w:rPr>
                <w:sz w:val="20"/>
                <w:szCs w:val="20"/>
                <w:color w:val="auto"/>
              </w:rPr>
            </w:pPr>
            <w:r>
              <w:rPr>
                <w:rFonts w:ascii="Arial" w:cs="Arial" w:eastAsia="Arial" w:hAnsi="Arial"/>
                <w:sz w:val="16"/>
                <w:szCs w:val="16"/>
                <w:color w:val="auto"/>
              </w:rPr>
              <w:t>3,876</w:t>
            </w:r>
            <w:r>
              <w:rPr>
                <w:rFonts w:ascii="Arial" w:cs="Arial" w:eastAsia="Arial" w:hAnsi="Arial"/>
                <w:sz w:val="27"/>
                <w:szCs w:val="27"/>
                <w:color w:val="auto"/>
                <w:vertAlign w:val="superscript"/>
              </w:rPr>
              <w:t>(a)</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4"/>
              <w:spacing w:after="0"/>
              <w:rPr>
                <w:sz w:val="20"/>
                <w:szCs w:val="20"/>
                <w:color w:val="auto"/>
              </w:rPr>
            </w:pPr>
            <w:r>
              <w:rPr>
                <w:rFonts w:ascii="Arial" w:cs="Arial" w:eastAsia="Arial" w:hAnsi="Arial"/>
                <w:sz w:val="16"/>
                <w:szCs w:val="16"/>
                <w:color w:val="auto"/>
              </w:rPr>
              <w:t>2,390</w:t>
            </w:r>
          </w:p>
        </w:tc>
        <w:tc>
          <w:tcPr>
            <w:tcW w:w="0" w:type="dxa"/>
            <w:vAlign w:val="bottom"/>
          </w:tcPr>
          <w:p>
            <w:pPr>
              <w:spacing w:after="0"/>
              <w:rPr>
                <w:sz w:val="1"/>
                <w:szCs w:val="1"/>
                <w:color w:val="auto"/>
              </w:rPr>
            </w:pPr>
          </w:p>
        </w:tc>
      </w:tr>
      <w:tr>
        <w:trPr>
          <w:trHeight w:val="4"/>
        </w:trPr>
        <w:tc>
          <w:tcPr>
            <w:tcW w:w="5420" w:type="dxa"/>
            <w:vAlign w:val="bottom"/>
            <w:tcBorders>
              <w:right w:val="single" w:sz="8" w:color="007CBA"/>
            </w:tcBorders>
            <w:shd w:val="clear" w:color="auto" w:fill="E5F1F8"/>
          </w:tcPr>
          <w:p>
            <w:pPr>
              <w:ind w:left="80"/>
              <w:spacing w:after="0" w:line="4" w:lineRule="exact"/>
              <w:rPr>
                <w:sz w:val="20"/>
                <w:szCs w:val="20"/>
                <w:color w:val="auto"/>
              </w:rPr>
            </w:pPr>
            <w:r>
              <w:rPr>
                <w:rFonts w:ascii="Arial" w:cs="Arial" w:eastAsia="Arial" w:hAnsi="Arial"/>
                <w:sz w:val="1"/>
                <w:szCs w:val="1"/>
                <w:color w:val="auto"/>
              </w:rPr>
              <w:t>Allowance for uncollectible notes receivable</w:t>
            </w:r>
          </w:p>
        </w:tc>
        <w:tc>
          <w:tcPr>
            <w:tcW w:w="260" w:type="dxa"/>
            <w:vAlign w:val="bottom"/>
            <w:shd w:val="clear" w:color="auto" w:fill="E5F1F8"/>
          </w:tcPr>
          <w:p>
            <w:pPr>
              <w:spacing w:after="0" w:line="20" w:lineRule="exact"/>
              <w:rPr>
                <w:sz w:val="1"/>
                <w:szCs w:val="1"/>
                <w:color w:val="auto"/>
              </w:rPr>
            </w:pPr>
          </w:p>
        </w:tc>
        <w:tc>
          <w:tcPr>
            <w:tcW w:w="900" w:type="dxa"/>
            <w:vAlign w:val="bottom"/>
            <w:tcBorders>
              <w:right w:val="single" w:sz="8" w:color="007CBA"/>
            </w:tcBorders>
            <w:shd w:val="clear" w:color="auto" w:fill="E5F1F8"/>
          </w:tcPr>
          <w:p>
            <w:pPr>
              <w:jc w:val="right"/>
              <w:ind w:right="234"/>
              <w:spacing w:after="0" w:line="4" w:lineRule="exact"/>
              <w:rPr>
                <w:sz w:val="20"/>
                <w:szCs w:val="20"/>
                <w:color w:val="auto"/>
              </w:rPr>
            </w:pPr>
            <w:r>
              <w:rPr>
                <w:rFonts w:ascii="Arial" w:cs="Arial" w:eastAsia="Arial" w:hAnsi="Arial"/>
                <w:sz w:val="1"/>
                <w:szCs w:val="1"/>
                <w:color w:val="auto"/>
              </w:rPr>
              <w:t>437</w:t>
            </w:r>
          </w:p>
        </w:tc>
        <w:tc>
          <w:tcPr>
            <w:tcW w:w="300" w:type="dxa"/>
            <w:vAlign w:val="bottom"/>
            <w:shd w:val="clear" w:color="auto" w:fill="E5F1F8"/>
          </w:tcPr>
          <w:p>
            <w:pPr>
              <w:spacing w:after="0" w:line="20" w:lineRule="exact"/>
              <w:rPr>
                <w:sz w:val="1"/>
                <w:szCs w:val="1"/>
                <w:color w:val="auto"/>
              </w:rPr>
            </w:pPr>
          </w:p>
        </w:tc>
        <w:tc>
          <w:tcPr>
            <w:tcW w:w="560" w:type="dxa"/>
            <w:vAlign w:val="bottom"/>
            <w:shd w:val="clear" w:color="auto" w:fill="E5F1F8"/>
          </w:tcPr>
          <w:p>
            <w:pPr>
              <w:jc w:val="right"/>
              <w:spacing w:after="0" w:line="4" w:lineRule="exact"/>
              <w:rPr>
                <w:sz w:val="20"/>
                <w:szCs w:val="20"/>
                <w:color w:val="auto"/>
              </w:rPr>
            </w:pPr>
            <w:r>
              <w:rPr>
                <w:rFonts w:ascii="Arial" w:cs="Arial" w:eastAsia="Arial" w:hAnsi="Arial"/>
                <w:sz w:val="1"/>
                <w:szCs w:val="1"/>
                <w:color w:val="auto"/>
              </w:rPr>
              <w:t>—</w:t>
            </w:r>
          </w:p>
        </w:tc>
        <w:tc>
          <w:tcPr>
            <w:tcW w:w="280" w:type="dxa"/>
            <w:vAlign w:val="bottom"/>
            <w:tcBorders>
              <w:right w:val="single" w:sz="8" w:color="007CBA"/>
            </w:tcBorders>
            <w:shd w:val="clear" w:color="auto" w:fill="E5F1F8"/>
          </w:tcPr>
          <w:p>
            <w:pPr>
              <w:spacing w:after="0" w:line="20" w:lineRule="exact"/>
              <w:rPr>
                <w:sz w:val="1"/>
                <w:szCs w:val="1"/>
                <w:color w:val="auto"/>
              </w:rPr>
            </w:pPr>
          </w:p>
        </w:tc>
        <w:tc>
          <w:tcPr>
            <w:tcW w:w="340" w:type="dxa"/>
            <w:vAlign w:val="bottom"/>
            <w:shd w:val="clear" w:color="auto" w:fill="E5F1F8"/>
          </w:tcPr>
          <w:p>
            <w:pPr>
              <w:spacing w:after="0" w:line="20" w:lineRule="exact"/>
              <w:rPr>
                <w:sz w:val="1"/>
                <w:szCs w:val="1"/>
                <w:color w:val="auto"/>
              </w:rPr>
            </w:pPr>
          </w:p>
        </w:tc>
        <w:tc>
          <w:tcPr>
            <w:tcW w:w="860" w:type="dxa"/>
            <w:vAlign w:val="bottom"/>
            <w:tcBorders>
              <w:right w:val="single" w:sz="8" w:color="007CBA"/>
            </w:tcBorders>
            <w:shd w:val="clear" w:color="auto" w:fill="E5F1F8"/>
          </w:tcPr>
          <w:p>
            <w:pPr>
              <w:jc w:val="right"/>
              <w:ind w:right="276"/>
              <w:spacing w:after="0" w:line="4" w:lineRule="exact"/>
              <w:rPr>
                <w:sz w:val="20"/>
                <w:szCs w:val="20"/>
                <w:color w:val="auto"/>
              </w:rPr>
            </w:pPr>
            <w:r>
              <w:rPr>
                <w:rFonts w:ascii="Arial" w:cs="Arial" w:eastAsia="Arial" w:hAnsi="Arial"/>
                <w:sz w:val="1"/>
                <w:szCs w:val="1"/>
                <w:color w:val="auto"/>
              </w:rPr>
              <w:t>—</w:t>
            </w:r>
          </w:p>
        </w:tc>
        <w:tc>
          <w:tcPr>
            <w:tcW w:w="260" w:type="dxa"/>
            <w:vAlign w:val="bottom"/>
            <w:shd w:val="clear" w:color="auto" w:fill="E5F1F8"/>
          </w:tcPr>
          <w:p>
            <w:pPr>
              <w:spacing w:after="0" w:line="20" w:lineRule="exact"/>
              <w:rPr>
                <w:sz w:val="1"/>
                <w:szCs w:val="1"/>
                <w:color w:val="auto"/>
              </w:rPr>
            </w:pPr>
          </w:p>
        </w:tc>
        <w:tc>
          <w:tcPr>
            <w:tcW w:w="1100" w:type="dxa"/>
            <w:vAlign w:val="bottom"/>
            <w:tcBorders>
              <w:right w:val="single" w:sz="8" w:color="007CBA"/>
            </w:tcBorders>
            <w:shd w:val="clear" w:color="auto" w:fill="E5F1F8"/>
          </w:tcPr>
          <w:p>
            <w:pPr>
              <w:jc w:val="right"/>
              <w:ind w:right="294"/>
              <w:spacing w:after="0" w:line="4" w:lineRule="exact"/>
              <w:rPr>
                <w:sz w:val="20"/>
                <w:szCs w:val="20"/>
                <w:color w:val="auto"/>
              </w:rPr>
            </w:pPr>
            <w:r>
              <w:rPr>
                <w:rFonts w:ascii="Arial" w:cs="Arial" w:eastAsia="Arial" w:hAnsi="Arial"/>
                <w:sz w:val="1"/>
                <w:szCs w:val="1"/>
                <w:color w:val="auto"/>
              </w:rPr>
              <w:t>210</w:t>
            </w:r>
          </w:p>
        </w:tc>
        <w:tc>
          <w:tcPr>
            <w:tcW w:w="260" w:type="dxa"/>
            <w:vAlign w:val="bottom"/>
            <w:shd w:val="clear" w:color="auto" w:fill="E5F1F8"/>
          </w:tcPr>
          <w:p>
            <w:pPr>
              <w:spacing w:after="0" w:line="20" w:lineRule="exact"/>
              <w:rPr>
                <w:sz w:val="1"/>
                <w:szCs w:val="1"/>
                <w:color w:val="auto"/>
              </w:rPr>
            </w:pPr>
          </w:p>
        </w:tc>
        <w:tc>
          <w:tcPr>
            <w:tcW w:w="880" w:type="dxa"/>
            <w:vAlign w:val="bottom"/>
            <w:shd w:val="clear" w:color="auto" w:fill="E5F1F8"/>
          </w:tcPr>
          <w:p>
            <w:pPr>
              <w:jc w:val="right"/>
              <w:ind w:right="214"/>
              <w:spacing w:after="0" w:line="4" w:lineRule="exact"/>
              <w:rPr>
                <w:sz w:val="20"/>
                <w:szCs w:val="20"/>
                <w:color w:val="auto"/>
              </w:rPr>
            </w:pPr>
            <w:r>
              <w:rPr>
                <w:rFonts w:ascii="Arial" w:cs="Arial" w:eastAsia="Arial" w:hAnsi="Arial"/>
                <w:sz w:val="1"/>
                <w:szCs w:val="1"/>
                <w:color w:val="auto"/>
              </w:rPr>
              <w:t>227</w:t>
            </w:r>
          </w:p>
        </w:tc>
        <w:tc>
          <w:tcPr>
            <w:tcW w:w="0" w:type="dxa"/>
            <w:vAlign w:val="bottom"/>
          </w:tcPr>
          <w:p>
            <w:pPr>
              <w:spacing w:after="0" w:line="20" w:lineRule="exact"/>
              <w:rPr>
                <w:sz w:val="1"/>
                <w:szCs w:val="1"/>
                <w:color w:val="auto"/>
              </w:rPr>
            </w:pPr>
          </w:p>
        </w:tc>
      </w:tr>
      <w:tr>
        <w:trPr>
          <w:trHeight w:val="174"/>
        </w:trPr>
        <w:tc>
          <w:tcPr>
            <w:tcW w:w="5420" w:type="dxa"/>
            <w:vAlign w:val="bottom"/>
            <w:tcBorders>
              <w:right w:val="single" w:sz="8" w:color="007CBA"/>
            </w:tcBorders>
            <w:shd w:val="clear" w:color="auto" w:fill="E5F1F8"/>
          </w:tcPr>
          <w:p>
            <w:pPr>
              <w:spacing w:after="0"/>
              <w:rPr>
                <w:sz w:val="15"/>
                <w:szCs w:val="15"/>
                <w:color w:val="auto"/>
              </w:rPr>
            </w:pPr>
          </w:p>
        </w:tc>
        <w:tc>
          <w:tcPr>
            <w:tcW w:w="260" w:type="dxa"/>
            <w:vAlign w:val="bottom"/>
            <w:shd w:val="clear" w:color="auto" w:fill="E5F1F8"/>
          </w:tcPr>
          <w:p>
            <w:pPr>
              <w:spacing w:after="0"/>
              <w:rPr>
                <w:sz w:val="15"/>
                <w:szCs w:val="15"/>
                <w:color w:val="auto"/>
              </w:rPr>
            </w:pPr>
          </w:p>
        </w:tc>
        <w:tc>
          <w:tcPr>
            <w:tcW w:w="900" w:type="dxa"/>
            <w:vAlign w:val="bottom"/>
            <w:tcBorders>
              <w:right w:val="single" w:sz="8" w:color="007CBA"/>
            </w:tcBorders>
            <w:shd w:val="clear" w:color="auto" w:fill="E5F1F8"/>
          </w:tcPr>
          <w:p>
            <w:pPr>
              <w:spacing w:after="0"/>
              <w:rPr>
                <w:sz w:val="15"/>
                <w:szCs w:val="15"/>
                <w:color w:val="auto"/>
              </w:rPr>
            </w:pPr>
          </w:p>
        </w:tc>
        <w:tc>
          <w:tcPr>
            <w:tcW w:w="300" w:type="dxa"/>
            <w:vAlign w:val="bottom"/>
            <w:shd w:val="clear" w:color="auto" w:fill="E5F1F8"/>
          </w:tcPr>
          <w:p>
            <w:pPr>
              <w:spacing w:after="0"/>
              <w:rPr>
                <w:sz w:val="15"/>
                <w:szCs w:val="15"/>
                <w:color w:val="auto"/>
              </w:rPr>
            </w:pPr>
          </w:p>
        </w:tc>
        <w:tc>
          <w:tcPr>
            <w:tcW w:w="560" w:type="dxa"/>
            <w:vAlign w:val="bottom"/>
            <w:shd w:val="clear" w:color="auto" w:fill="E5F1F8"/>
          </w:tcPr>
          <w:p>
            <w:pPr>
              <w:spacing w:after="0"/>
              <w:rPr>
                <w:sz w:val="15"/>
                <w:szCs w:val="15"/>
                <w:color w:val="auto"/>
              </w:rPr>
            </w:pPr>
          </w:p>
        </w:tc>
        <w:tc>
          <w:tcPr>
            <w:tcW w:w="280" w:type="dxa"/>
            <w:vAlign w:val="bottom"/>
            <w:tcBorders>
              <w:right w:val="single" w:sz="8" w:color="007CBA"/>
            </w:tcBorders>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tcBorders>
              <w:right w:val="single" w:sz="8" w:color="007CBA"/>
            </w:tcBorders>
            <w:shd w:val="clear" w:color="auto" w:fill="E5F1F8"/>
          </w:tcPr>
          <w:p>
            <w:pPr>
              <w:spacing w:after="0"/>
              <w:rPr>
                <w:sz w:val="15"/>
                <w:szCs w:val="15"/>
                <w:color w:val="auto"/>
              </w:rPr>
            </w:pPr>
          </w:p>
        </w:tc>
        <w:tc>
          <w:tcPr>
            <w:tcW w:w="260" w:type="dxa"/>
            <w:vAlign w:val="bottom"/>
            <w:shd w:val="clear" w:color="auto" w:fill="E5F1F8"/>
          </w:tcPr>
          <w:p>
            <w:pPr>
              <w:spacing w:after="0"/>
              <w:rPr>
                <w:sz w:val="15"/>
                <w:szCs w:val="15"/>
                <w:color w:val="auto"/>
              </w:rPr>
            </w:pPr>
          </w:p>
        </w:tc>
        <w:tc>
          <w:tcPr>
            <w:tcW w:w="1100" w:type="dxa"/>
            <w:vAlign w:val="bottom"/>
            <w:tcBorders>
              <w:right w:val="single" w:sz="8" w:color="007CBA"/>
            </w:tcBorders>
            <w:shd w:val="clear" w:color="auto" w:fill="E5F1F8"/>
          </w:tcPr>
          <w:p>
            <w:pPr>
              <w:jc w:val="right"/>
              <w:ind w:right="114"/>
              <w:spacing w:after="0"/>
              <w:rPr>
                <w:sz w:val="20"/>
                <w:szCs w:val="20"/>
                <w:color w:val="auto"/>
              </w:rPr>
            </w:pPr>
            <w:r>
              <w:rPr>
                <w:rFonts w:ascii="Arial" w:cs="Arial" w:eastAsia="Arial" w:hAnsi="Arial"/>
                <w:sz w:val="15"/>
                <w:szCs w:val="15"/>
                <w:color w:val="auto"/>
              </w:rPr>
              <w:t>(a)</w:t>
            </w:r>
          </w:p>
        </w:tc>
        <w:tc>
          <w:tcPr>
            <w:tcW w:w="260" w:type="dxa"/>
            <w:vAlign w:val="bottom"/>
            <w:shd w:val="clear" w:color="auto" w:fill="E5F1F8"/>
          </w:tcPr>
          <w:p>
            <w:pPr>
              <w:spacing w:after="0"/>
              <w:rPr>
                <w:sz w:val="15"/>
                <w:szCs w:val="15"/>
                <w:color w:val="auto"/>
              </w:rPr>
            </w:pPr>
          </w:p>
        </w:tc>
        <w:tc>
          <w:tcPr>
            <w:tcW w:w="880" w:type="dxa"/>
            <w:vAlign w:val="bottom"/>
            <w:shd w:val="clear" w:color="auto" w:fill="E5F1F8"/>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5420" w:type="dxa"/>
            <w:vAlign w:val="bottom"/>
            <w:tcBorders>
              <w:right w:val="single" w:sz="8" w:color="007CBA"/>
            </w:tcBorders>
            <w:shd w:val="clear" w:color="auto" w:fill="E5F1F8"/>
          </w:tcPr>
          <w:p>
            <w:pPr>
              <w:spacing w:after="0"/>
              <w:rPr>
                <w:sz w:val="5"/>
                <w:szCs w:val="5"/>
                <w:color w:val="auto"/>
              </w:rPr>
            </w:pPr>
          </w:p>
        </w:tc>
        <w:tc>
          <w:tcPr>
            <w:tcW w:w="260" w:type="dxa"/>
            <w:vAlign w:val="bottom"/>
            <w:shd w:val="clear" w:color="auto" w:fill="E5F1F8"/>
          </w:tcPr>
          <w:p>
            <w:pPr>
              <w:spacing w:after="0"/>
              <w:rPr>
                <w:sz w:val="5"/>
                <w:szCs w:val="5"/>
                <w:color w:val="auto"/>
              </w:rPr>
            </w:pPr>
          </w:p>
        </w:tc>
        <w:tc>
          <w:tcPr>
            <w:tcW w:w="900" w:type="dxa"/>
            <w:vAlign w:val="bottom"/>
            <w:tcBorders>
              <w:right w:val="single" w:sz="8" w:color="007CBA"/>
            </w:tcBorders>
            <w:shd w:val="clear" w:color="auto" w:fill="E5F1F8"/>
          </w:tcPr>
          <w:p>
            <w:pPr>
              <w:spacing w:after="0"/>
              <w:rPr>
                <w:sz w:val="5"/>
                <w:szCs w:val="5"/>
                <w:color w:val="auto"/>
              </w:rPr>
            </w:pPr>
          </w:p>
        </w:tc>
        <w:tc>
          <w:tcPr>
            <w:tcW w:w="300" w:type="dxa"/>
            <w:vAlign w:val="bottom"/>
            <w:shd w:val="clear" w:color="auto" w:fill="E5F1F8"/>
          </w:tcPr>
          <w:p>
            <w:pPr>
              <w:spacing w:after="0"/>
              <w:rPr>
                <w:sz w:val="5"/>
                <w:szCs w:val="5"/>
                <w:color w:val="auto"/>
              </w:rPr>
            </w:pPr>
          </w:p>
        </w:tc>
        <w:tc>
          <w:tcPr>
            <w:tcW w:w="560" w:type="dxa"/>
            <w:vAlign w:val="bottom"/>
            <w:shd w:val="clear" w:color="auto" w:fill="E5F1F8"/>
          </w:tcPr>
          <w:p>
            <w:pPr>
              <w:spacing w:after="0"/>
              <w:rPr>
                <w:sz w:val="5"/>
                <w:szCs w:val="5"/>
                <w:color w:val="auto"/>
              </w:rPr>
            </w:pPr>
          </w:p>
        </w:tc>
        <w:tc>
          <w:tcPr>
            <w:tcW w:w="280" w:type="dxa"/>
            <w:vAlign w:val="bottom"/>
            <w:tcBorders>
              <w:right w:val="single" w:sz="8" w:color="007CBA"/>
            </w:tcBorders>
            <w:shd w:val="clear" w:color="auto" w:fill="E5F1F8"/>
          </w:tcPr>
          <w:p>
            <w:pPr>
              <w:spacing w:after="0"/>
              <w:rPr>
                <w:sz w:val="5"/>
                <w:szCs w:val="5"/>
                <w:color w:val="auto"/>
              </w:rPr>
            </w:pPr>
          </w:p>
        </w:tc>
        <w:tc>
          <w:tcPr>
            <w:tcW w:w="340" w:type="dxa"/>
            <w:vAlign w:val="bottom"/>
            <w:shd w:val="clear" w:color="auto" w:fill="E5F1F8"/>
          </w:tcPr>
          <w:p>
            <w:pPr>
              <w:spacing w:after="0"/>
              <w:rPr>
                <w:sz w:val="5"/>
                <w:szCs w:val="5"/>
                <w:color w:val="auto"/>
              </w:rPr>
            </w:pPr>
          </w:p>
        </w:tc>
        <w:tc>
          <w:tcPr>
            <w:tcW w:w="860" w:type="dxa"/>
            <w:vAlign w:val="bottom"/>
            <w:tcBorders>
              <w:right w:val="single" w:sz="8" w:color="007CBA"/>
            </w:tcBorders>
            <w:shd w:val="clear" w:color="auto" w:fill="E5F1F8"/>
          </w:tcPr>
          <w:p>
            <w:pPr>
              <w:spacing w:after="0"/>
              <w:rPr>
                <w:sz w:val="5"/>
                <w:szCs w:val="5"/>
                <w:color w:val="auto"/>
              </w:rPr>
            </w:pPr>
          </w:p>
        </w:tc>
        <w:tc>
          <w:tcPr>
            <w:tcW w:w="260" w:type="dxa"/>
            <w:vAlign w:val="bottom"/>
            <w:shd w:val="clear" w:color="auto" w:fill="E5F1F8"/>
          </w:tcPr>
          <w:p>
            <w:pPr>
              <w:spacing w:after="0"/>
              <w:rPr>
                <w:sz w:val="5"/>
                <w:szCs w:val="5"/>
                <w:color w:val="auto"/>
              </w:rPr>
            </w:pPr>
          </w:p>
        </w:tc>
        <w:tc>
          <w:tcPr>
            <w:tcW w:w="1100" w:type="dxa"/>
            <w:vAlign w:val="bottom"/>
            <w:tcBorders>
              <w:right w:val="single" w:sz="8" w:color="007CBA"/>
            </w:tcBorders>
            <w:shd w:val="clear" w:color="auto" w:fill="E5F1F8"/>
          </w:tcPr>
          <w:p>
            <w:pPr>
              <w:spacing w:after="0"/>
              <w:rPr>
                <w:sz w:val="5"/>
                <w:szCs w:val="5"/>
                <w:color w:val="auto"/>
              </w:rPr>
            </w:pPr>
          </w:p>
        </w:tc>
        <w:tc>
          <w:tcPr>
            <w:tcW w:w="260" w:type="dxa"/>
            <w:vAlign w:val="bottom"/>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42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Inventory valuation allowance</w:t>
            </w:r>
          </w:p>
        </w:tc>
        <w:tc>
          <w:tcPr>
            <w:tcW w:w="260" w:type="dxa"/>
            <w:vAlign w:val="bottom"/>
          </w:tcPr>
          <w:p>
            <w:pPr>
              <w:spacing w:after="0"/>
              <w:rPr>
                <w:sz w:val="23"/>
                <w:szCs w:val="23"/>
                <w:color w:val="auto"/>
              </w:rPr>
            </w:pPr>
          </w:p>
        </w:tc>
        <w:tc>
          <w:tcPr>
            <w:tcW w:w="900" w:type="dxa"/>
            <w:vAlign w:val="bottom"/>
            <w:tcBorders>
              <w:right w:val="single" w:sz="8" w:color="007CBA"/>
            </w:tcBorders>
          </w:tcPr>
          <w:p>
            <w:pPr>
              <w:jc w:val="right"/>
              <w:ind w:right="234"/>
              <w:spacing w:after="0"/>
              <w:rPr>
                <w:sz w:val="20"/>
                <w:szCs w:val="20"/>
                <w:color w:val="auto"/>
              </w:rPr>
            </w:pPr>
            <w:r>
              <w:rPr>
                <w:rFonts w:ascii="Arial" w:cs="Arial" w:eastAsia="Arial" w:hAnsi="Arial"/>
                <w:sz w:val="16"/>
                <w:szCs w:val="16"/>
                <w:color w:val="auto"/>
              </w:rPr>
              <w:t>134,862</w:t>
            </w:r>
          </w:p>
        </w:tc>
        <w:tc>
          <w:tcPr>
            <w:tcW w:w="3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38,488</w:t>
            </w:r>
          </w:p>
        </w:tc>
        <w:tc>
          <w:tcPr>
            <w:tcW w:w="280" w:type="dxa"/>
            <w:vAlign w:val="bottom"/>
            <w:tcBorders>
              <w:right w:val="single" w:sz="8" w:color="007CBA"/>
            </w:tcBorders>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Borders>
              <w:right w:val="single" w:sz="8" w:color="007CBA"/>
            </w:tcBorders>
          </w:tcPr>
          <w:p>
            <w:pPr>
              <w:jc w:val="right"/>
              <w:ind w:right="276"/>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00" w:type="dxa"/>
            <w:vAlign w:val="bottom"/>
            <w:tcBorders>
              <w:right w:val="single" w:sz="8" w:color="007CBA"/>
            </w:tcBorders>
          </w:tcPr>
          <w:p>
            <w:pPr>
              <w:jc w:val="right"/>
              <w:ind w:right="134"/>
              <w:spacing w:after="0" w:line="270" w:lineRule="exact"/>
              <w:rPr>
                <w:sz w:val="20"/>
                <w:szCs w:val="20"/>
                <w:color w:val="auto"/>
              </w:rPr>
            </w:pPr>
            <w:r>
              <w:rPr>
                <w:rFonts w:ascii="Arial" w:cs="Arial" w:eastAsia="Arial" w:hAnsi="Arial"/>
                <w:sz w:val="16"/>
                <w:szCs w:val="16"/>
                <w:color w:val="auto"/>
              </w:rPr>
              <w:t>29,389</w:t>
            </w:r>
            <w:r>
              <w:rPr>
                <w:rFonts w:ascii="Arial" w:cs="Arial" w:eastAsia="Arial" w:hAnsi="Arial"/>
                <w:sz w:val="27"/>
                <w:szCs w:val="27"/>
                <w:color w:val="auto"/>
                <w:vertAlign w:val="superscript"/>
              </w:rPr>
              <w:t>(c)</w:t>
            </w:r>
          </w:p>
        </w:tc>
        <w:tc>
          <w:tcPr>
            <w:tcW w:w="260" w:type="dxa"/>
            <w:vAlign w:val="bottom"/>
          </w:tcPr>
          <w:p>
            <w:pPr>
              <w:spacing w:after="0"/>
              <w:rPr>
                <w:sz w:val="23"/>
                <w:szCs w:val="23"/>
                <w:color w:val="auto"/>
              </w:rPr>
            </w:pPr>
          </w:p>
        </w:tc>
        <w:tc>
          <w:tcPr>
            <w:tcW w:w="880" w:type="dxa"/>
            <w:vAlign w:val="bottom"/>
          </w:tcPr>
          <w:p>
            <w:pPr>
              <w:jc w:val="right"/>
              <w:ind w:right="214"/>
              <w:spacing w:after="0"/>
              <w:rPr>
                <w:sz w:val="20"/>
                <w:szCs w:val="20"/>
                <w:color w:val="auto"/>
              </w:rPr>
            </w:pPr>
            <w:r>
              <w:rPr>
                <w:rFonts w:ascii="Arial" w:cs="Arial" w:eastAsia="Arial" w:hAnsi="Arial"/>
                <w:sz w:val="16"/>
                <w:szCs w:val="16"/>
                <w:color w:val="auto"/>
              </w:rPr>
              <w:t>143,961</w:t>
            </w:r>
          </w:p>
        </w:tc>
        <w:tc>
          <w:tcPr>
            <w:tcW w:w="0" w:type="dxa"/>
            <w:vAlign w:val="bottom"/>
          </w:tcPr>
          <w:p>
            <w:pPr>
              <w:spacing w:after="0"/>
              <w:rPr>
                <w:sz w:val="1"/>
                <w:szCs w:val="1"/>
                <w:color w:val="auto"/>
              </w:rPr>
            </w:pPr>
          </w:p>
        </w:tc>
      </w:tr>
      <w:tr>
        <w:trPr>
          <w:trHeight w:val="365"/>
        </w:trPr>
        <w:tc>
          <w:tcPr>
            <w:tcW w:w="54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b w:val="1"/>
                <w:bCs w:val="1"/>
                <w:color w:val="auto"/>
              </w:rPr>
              <w:t>Year ended December 31, 2016</w:t>
            </w:r>
          </w:p>
        </w:tc>
        <w:tc>
          <w:tcPr>
            <w:tcW w:w="260" w:type="dxa"/>
            <w:vAlign w:val="bottom"/>
            <w:shd w:val="clear" w:color="auto" w:fill="E5F1F8"/>
          </w:tcPr>
          <w:p>
            <w:pPr>
              <w:spacing w:after="0"/>
              <w:rPr>
                <w:sz w:val="24"/>
                <w:szCs w:val="24"/>
                <w:color w:val="auto"/>
              </w:rPr>
            </w:pPr>
          </w:p>
        </w:tc>
        <w:tc>
          <w:tcPr>
            <w:tcW w:w="900" w:type="dxa"/>
            <w:vAlign w:val="bottom"/>
            <w:tcBorders>
              <w:right w:val="single" w:sz="8" w:color="007CBA"/>
            </w:tcBorders>
            <w:shd w:val="clear" w:color="auto" w:fill="E5F1F8"/>
          </w:tcPr>
          <w:p>
            <w:pPr>
              <w:spacing w:after="0"/>
              <w:rPr>
                <w:sz w:val="24"/>
                <w:szCs w:val="24"/>
                <w:color w:val="auto"/>
              </w:rPr>
            </w:pPr>
          </w:p>
        </w:tc>
        <w:tc>
          <w:tcPr>
            <w:tcW w:w="300" w:type="dxa"/>
            <w:vAlign w:val="bottom"/>
            <w:shd w:val="clear" w:color="auto" w:fill="E5F1F8"/>
          </w:tcPr>
          <w:p>
            <w:pPr>
              <w:spacing w:after="0"/>
              <w:rPr>
                <w:sz w:val="24"/>
                <w:szCs w:val="24"/>
                <w:color w:val="auto"/>
              </w:rPr>
            </w:pPr>
          </w:p>
        </w:tc>
        <w:tc>
          <w:tcPr>
            <w:tcW w:w="560" w:type="dxa"/>
            <w:vAlign w:val="bottom"/>
            <w:shd w:val="clear" w:color="auto" w:fill="E5F1F8"/>
          </w:tcPr>
          <w:p>
            <w:pPr>
              <w:spacing w:after="0"/>
              <w:rPr>
                <w:sz w:val="24"/>
                <w:szCs w:val="24"/>
                <w:color w:val="auto"/>
              </w:rPr>
            </w:pPr>
          </w:p>
        </w:tc>
        <w:tc>
          <w:tcPr>
            <w:tcW w:w="280" w:type="dxa"/>
            <w:vAlign w:val="bottom"/>
            <w:tcBorders>
              <w:right w:val="single" w:sz="8" w:color="007CBA"/>
            </w:tcBorders>
            <w:shd w:val="clear" w:color="auto" w:fill="E5F1F8"/>
          </w:tcPr>
          <w:p>
            <w:pPr>
              <w:spacing w:after="0"/>
              <w:rPr>
                <w:sz w:val="24"/>
                <w:szCs w:val="24"/>
                <w:color w:val="auto"/>
              </w:rPr>
            </w:pPr>
          </w:p>
        </w:tc>
        <w:tc>
          <w:tcPr>
            <w:tcW w:w="340" w:type="dxa"/>
            <w:vAlign w:val="bottom"/>
            <w:shd w:val="clear" w:color="auto" w:fill="E5F1F8"/>
          </w:tcPr>
          <w:p>
            <w:pPr>
              <w:spacing w:after="0"/>
              <w:rPr>
                <w:sz w:val="24"/>
                <w:szCs w:val="24"/>
                <w:color w:val="auto"/>
              </w:rPr>
            </w:pPr>
          </w:p>
        </w:tc>
        <w:tc>
          <w:tcPr>
            <w:tcW w:w="860" w:type="dxa"/>
            <w:vAlign w:val="bottom"/>
            <w:tcBorders>
              <w:right w:val="single" w:sz="8" w:color="007CBA"/>
            </w:tcBorders>
            <w:shd w:val="clear" w:color="auto" w:fill="E5F1F8"/>
          </w:tcPr>
          <w:p>
            <w:pPr>
              <w:spacing w:after="0"/>
              <w:rPr>
                <w:sz w:val="24"/>
                <w:szCs w:val="24"/>
                <w:color w:val="auto"/>
              </w:rPr>
            </w:pPr>
          </w:p>
        </w:tc>
        <w:tc>
          <w:tcPr>
            <w:tcW w:w="260" w:type="dxa"/>
            <w:vAlign w:val="bottom"/>
            <w:shd w:val="clear" w:color="auto" w:fill="E5F1F8"/>
          </w:tcPr>
          <w:p>
            <w:pPr>
              <w:spacing w:after="0"/>
              <w:rPr>
                <w:sz w:val="24"/>
                <w:szCs w:val="24"/>
                <w:color w:val="auto"/>
              </w:rPr>
            </w:pPr>
          </w:p>
        </w:tc>
        <w:tc>
          <w:tcPr>
            <w:tcW w:w="1100" w:type="dxa"/>
            <w:vAlign w:val="bottom"/>
            <w:tcBorders>
              <w:right w:val="single" w:sz="8" w:color="007CBA"/>
            </w:tcBorders>
            <w:shd w:val="clear" w:color="auto" w:fill="E5F1F8"/>
          </w:tcPr>
          <w:p>
            <w:pPr>
              <w:spacing w:after="0"/>
              <w:rPr>
                <w:sz w:val="24"/>
                <w:szCs w:val="24"/>
                <w:color w:val="auto"/>
              </w:rPr>
            </w:pPr>
          </w:p>
        </w:tc>
        <w:tc>
          <w:tcPr>
            <w:tcW w:w="260" w:type="dxa"/>
            <w:vAlign w:val="bottom"/>
            <w:shd w:val="clear" w:color="auto" w:fill="E5F1F8"/>
          </w:tcPr>
          <w:p>
            <w:pPr>
              <w:spacing w:after="0"/>
              <w:rPr>
                <w:sz w:val="24"/>
                <w:szCs w:val="24"/>
                <w:color w:val="auto"/>
              </w:rPr>
            </w:pPr>
          </w:p>
        </w:tc>
        <w:tc>
          <w:tcPr>
            <w:tcW w:w="880" w:type="dxa"/>
            <w:vAlign w:val="bottom"/>
            <w:shd w:val="clear" w:color="auto" w:fill="E5F1F8"/>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420" w:type="dxa"/>
            <w:vAlign w:val="bottom"/>
            <w:tcBorders>
              <w:right w:val="single" w:sz="8" w:color="007CBA"/>
            </w:tcBorders>
            <w:shd w:val="clear" w:color="auto" w:fill="E5F1F8"/>
          </w:tcPr>
          <w:p>
            <w:pPr>
              <w:spacing w:after="0"/>
              <w:rPr>
                <w:sz w:val="5"/>
                <w:szCs w:val="5"/>
                <w:color w:val="auto"/>
              </w:rPr>
            </w:pPr>
          </w:p>
        </w:tc>
        <w:tc>
          <w:tcPr>
            <w:tcW w:w="260" w:type="dxa"/>
            <w:vAlign w:val="bottom"/>
            <w:shd w:val="clear" w:color="auto" w:fill="E5F1F8"/>
          </w:tcPr>
          <w:p>
            <w:pPr>
              <w:spacing w:after="0"/>
              <w:rPr>
                <w:sz w:val="5"/>
                <w:szCs w:val="5"/>
                <w:color w:val="auto"/>
              </w:rPr>
            </w:pPr>
          </w:p>
        </w:tc>
        <w:tc>
          <w:tcPr>
            <w:tcW w:w="900" w:type="dxa"/>
            <w:vAlign w:val="bottom"/>
            <w:tcBorders>
              <w:right w:val="single" w:sz="8" w:color="007CBA"/>
            </w:tcBorders>
            <w:shd w:val="clear" w:color="auto" w:fill="E5F1F8"/>
          </w:tcPr>
          <w:p>
            <w:pPr>
              <w:spacing w:after="0"/>
              <w:rPr>
                <w:sz w:val="5"/>
                <w:szCs w:val="5"/>
                <w:color w:val="auto"/>
              </w:rPr>
            </w:pPr>
          </w:p>
        </w:tc>
        <w:tc>
          <w:tcPr>
            <w:tcW w:w="300" w:type="dxa"/>
            <w:vAlign w:val="bottom"/>
            <w:shd w:val="clear" w:color="auto" w:fill="E5F1F8"/>
          </w:tcPr>
          <w:p>
            <w:pPr>
              <w:spacing w:after="0"/>
              <w:rPr>
                <w:sz w:val="5"/>
                <w:szCs w:val="5"/>
                <w:color w:val="auto"/>
              </w:rPr>
            </w:pPr>
          </w:p>
        </w:tc>
        <w:tc>
          <w:tcPr>
            <w:tcW w:w="560" w:type="dxa"/>
            <w:vAlign w:val="bottom"/>
            <w:shd w:val="clear" w:color="auto" w:fill="E5F1F8"/>
          </w:tcPr>
          <w:p>
            <w:pPr>
              <w:spacing w:after="0"/>
              <w:rPr>
                <w:sz w:val="5"/>
                <w:szCs w:val="5"/>
                <w:color w:val="auto"/>
              </w:rPr>
            </w:pPr>
          </w:p>
        </w:tc>
        <w:tc>
          <w:tcPr>
            <w:tcW w:w="280" w:type="dxa"/>
            <w:vAlign w:val="bottom"/>
            <w:tcBorders>
              <w:right w:val="single" w:sz="8" w:color="007CBA"/>
            </w:tcBorders>
            <w:shd w:val="clear" w:color="auto" w:fill="E5F1F8"/>
          </w:tcPr>
          <w:p>
            <w:pPr>
              <w:spacing w:after="0"/>
              <w:rPr>
                <w:sz w:val="5"/>
                <w:szCs w:val="5"/>
                <w:color w:val="auto"/>
              </w:rPr>
            </w:pPr>
          </w:p>
        </w:tc>
        <w:tc>
          <w:tcPr>
            <w:tcW w:w="340" w:type="dxa"/>
            <w:vAlign w:val="bottom"/>
            <w:shd w:val="clear" w:color="auto" w:fill="E5F1F8"/>
          </w:tcPr>
          <w:p>
            <w:pPr>
              <w:spacing w:after="0"/>
              <w:rPr>
                <w:sz w:val="5"/>
                <w:szCs w:val="5"/>
                <w:color w:val="auto"/>
              </w:rPr>
            </w:pPr>
          </w:p>
        </w:tc>
        <w:tc>
          <w:tcPr>
            <w:tcW w:w="860" w:type="dxa"/>
            <w:vAlign w:val="bottom"/>
            <w:tcBorders>
              <w:right w:val="single" w:sz="8" w:color="007CBA"/>
            </w:tcBorders>
            <w:shd w:val="clear" w:color="auto" w:fill="E5F1F8"/>
          </w:tcPr>
          <w:p>
            <w:pPr>
              <w:spacing w:after="0"/>
              <w:rPr>
                <w:sz w:val="5"/>
                <w:szCs w:val="5"/>
                <w:color w:val="auto"/>
              </w:rPr>
            </w:pPr>
          </w:p>
        </w:tc>
        <w:tc>
          <w:tcPr>
            <w:tcW w:w="260" w:type="dxa"/>
            <w:vAlign w:val="bottom"/>
            <w:shd w:val="clear" w:color="auto" w:fill="E5F1F8"/>
          </w:tcPr>
          <w:p>
            <w:pPr>
              <w:spacing w:after="0"/>
              <w:rPr>
                <w:sz w:val="5"/>
                <w:szCs w:val="5"/>
                <w:color w:val="auto"/>
              </w:rPr>
            </w:pPr>
          </w:p>
        </w:tc>
        <w:tc>
          <w:tcPr>
            <w:tcW w:w="1100" w:type="dxa"/>
            <w:vAlign w:val="bottom"/>
            <w:tcBorders>
              <w:right w:val="single" w:sz="8" w:color="007CBA"/>
            </w:tcBorders>
            <w:shd w:val="clear" w:color="auto" w:fill="E5F1F8"/>
          </w:tcPr>
          <w:p>
            <w:pPr>
              <w:spacing w:after="0"/>
              <w:rPr>
                <w:sz w:val="5"/>
                <w:szCs w:val="5"/>
                <w:color w:val="auto"/>
              </w:rPr>
            </w:pPr>
          </w:p>
        </w:tc>
        <w:tc>
          <w:tcPr>
            <w:tcW w:w="260" w:type="dxa"/>
            <w:vAlign w:val="bottom"/>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42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Allowance for doubtful accounts</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007CBA"/>
            </w:tcBorders>
          </w:tcPr>
          <w:p>
            <w:pPr>
              <w:jc w:val="right"/>
              <w:ind w:right="234"/>
              <w:spacing w:after="0"/>
              <w:rPr>
                <w:sz w:val="20"/>
                <w:szCs w:val="20"/>
                <w:color w:val="auto"/>
              </w:rPr>
            </w:pPr>
            <w:r>
              <w:rPr>
                <w:rFonts w:ascii="Arial" w:cs="Arial" w:eastAsia="Arial" w:hAnsi="Arial"/>
                <w:sz w:val="16"/>
                <w:szCs w:val="16"/>
                <w:color w:val="auto"/>
              </w:rPr>
              <w:t>6,940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007CBA"/>
            </w:tcBorders>
          </w:tcPr>
          <w:p>
            <w:pPr>
              <w:spacing w:after="0"/>
              <w:rPr>
                <w:sz w:val="23"/>
                <w:szCs w:val="23"/>
                <w:color w:val="auto"/>
              </w:rPr>
            </w:pPr>
          </w:p>
        </w:tc>
        <w:tc>
          <w:tcPr>
            <w:tcW w:w="3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007CBA"/>
            </w:tcBorders>
          </w:tcPr>
          <w:p>
            <w:pPr>
              <w:jc w:val="right"/>
              <w:ind w:right="276"/>
              <w:spacing w:after="0"/>
              <w:rPr>
                <w:sz w:val="20"/>
                <w:szCs w:val="20"/>
                <w:color w:val="auto"/>
              </w:rPr>
            </w:pPr>
            <w:r>
              <w:rPr>
                <w:rFonts w:ascii="Arial" w:cs="Arial" w:eastAsia="Arial" w:hAnsi="Arial"/>
                <w:sz w:val="16"/>
                <w:szCs w:val="16"/>
                <w:color w:val="auto"/>
              </w:rPr>
              <w:t>—</w:t>
            </w:r>
          </w:p>
        </w:tc>
        <w:tc>
          <w:tcPr>
            <w:tcW w:w="260" w:type="dxa"/>
            <w:vAlign w:val="bottom"/>
          </w:tcPr>
          <w:p>
            <w:pPr>
              <w:ind w:left="160"/>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007CBA"/>
            </w:tcBorders>
          </w:tcPr>
          <w:p>
            <w:pPr>
              <w:jc w:val="right"/>
              <w:ind w:right="134"/>
              <w:spacing w:after="0" w:line="270" w:lineRule="exact"/>
              <w:rPr>
                <w:sz w:val="20"/>
                <w:szCs w:val="20"/>
                <w:color w:val="auto"/>
              </w:rPr>
            </w:pPr>
            <w:r>
              <w:rPr>
                <w:rFonts w:ascii="Arial" w:cs="Arial" w:eastAsia="Arial" w:hAnsi="Arial"/>
                <w:sz w:val="16"/>
                <w:szCs w:val="16"/>
                <w:color w:val="auto"/>
              </w:rPr>
              <w:t>674</w:t>
            </w:r>
            <w:r>
              <w:rPr>
                <w:rFonts w:ascii="Arial" w:cs="Arial" w:eastAsia="Arial" w:hAnsi="Arial"/>
                <w:sz w:val="27"/>
                <w:szCs w:val="27"/>
                <w:color w:val="auto"/>
                <w:vertAlign w:val="superscript"/>
              </w:rPr>
              <w:t>(a)</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4"/>
              <w:spacing w:after="0"/>
              <w:rPr>
                <w:sz w:val="20"/>
                <w:szCs w:val="20"/>
                <w:color w:val="auto"/>
              </w:rPr>
            </w:pPr>
            <w:r>
              <w:rPr>
                <w:rFonts w:ascii="Arial" w:cs="Arial" w:eastAsia="Arial" w:hAnsi="Arial"/>
                <w:sz w:val="16"/>
                <w:szCs w:val="16"/>
                <w:color w:val="auto"/>
              </w:rPr>
              <w:t>6,266</w:t>
            </w:r>
          </w:p>
        </w:tc>
        <w:tc>
          <w:tcPr>
            <w:tcW w:w="0" w:type="dxa"/>
            <w:vAlign w:val="bottom"/>
          </w:tcPr>
          <w:p>
            <w:pPr>
              <w:spacing w:after="0"/>
              <w:rPr>
                <w:sz w:val="1"/>
                <w:szCs w:val="1"/>
                <w:color w:val="auto"/>
              </w:rPr>
            </w:pPr>
          </w:p>
        </w:tc>
      </w:tr>
      <w:tr>
        <w:trPr>
          <w:trHeight w:val="4"/>
        </w:trPr>
        <w:tc>
          <w:tcPr>
            <w:tcW w:w="5420" w:type="dxa"/>
            <w:vAlign w:val="bottom"/>
            <w:tcBorders>
              <w:right w:val="single" w:sz="8" w:color="007CBA"/>
            </w:tcBorders>
            <w:shd w:val="clear" w:color="auto" w:fill="E5F1F8"/>
          </w:tcPr>
          <w:p>
            <w:pPr>
              <w:ind w:left="80"/>
              <w:spacing w:after="0" w:line="4" w:lineRule="exact"/>
              <w:rPr>
                <w:sz w:val="20"/>
                <w:szCs w:val="20"/>
                <w:color w:val="auto"/>
              </w:rPr>
            </w:pPr>
            <w:r>
              <w:rPr>
                <w:rFonts w:ascii="Arial" w:cs="Arial" w:eastAsia="Arial" w:hAnsi="Arial"/>
                <w:sz w:val="1"/>
                <w:szCs w:val="1"/>
                <w:color w:val="auto"/>
              </w:rPr>
              <w:t>Allowance for uncollectible notes receivable</w:t>
            </w:r>
          </w:p>
        </w:tc>
        <w:tc>
          <w:tcPr>
            <w:tcW w:w="260" w:type="dxa"/>
            <w:vAlign w:val="bottom"/>
            <w:shd w:val="clear" w:color="auto" w:fill="E5F1F8"/>
          </w:tcPr>
          <w:p>
            <w:pPr>
              <w:spacing w:after="0" w:line="20" w:lineRule="exact"/>
              <w:rPr>
                <w:sz w:val="1"/>
                <w:szCs w:val="1"/>
                <w:color w:val="auto"/>
              </w:rPr>
            </w:pPr>
          </w:p>
        </w:tc>
        <w:tc>
          <w:tcPr>
            <w:tcW w:w="900" w:type="dxa"/>
            <w:vAlign w:val="bottom"/>
            <w:tcBorders>
              <w:right w:val="single" w:sz="8" w:color="007CBA"/>
            </w:tcBorders>
            <w:shd w:val="clear" w:color="auto" w:fill="E5F1F8"/>
          </w:tcPr>
          <w:p>
            <w:pPr>
              <w:jc w:val="right"/>
              <w:ind w:right="234"/>
              <w:spacing w:after="0" w:line="4" w:lineRule="exact"/>
              <w:rPr>
                <w:sz w:val="20"/>
                <w:szCs w:val="20"/>
                <w:color w:val="auto"/>
              </w:rPr>
            </w:pPr>
            <w:r>
              <w:rPr>
                <w:rFonts w:ascii="Arial" w:cs="Arial" w:eastAsia="Arial" w:hAnsi="Arial"/>
                <w:sz w:val="1"/>
                <w:szCs w:val="1"/>
                <w:color w:val="auto"/>
              </w:rPr>
              <w:t>585</w:t>
            </w:r>
          </w:p>
        </w:tc>
        <w:tc>
          <w:tcPr>
            <w:tcW w:w="300" w:type="dxa"/>
            <w:vAlign w:val="bottom"/>
            <w:shd w:val="clear" w:color="auto" w:fill="E5F1F8"/>
          </w:tcPr>
          <w:p>
            <w:pPr>
              <w:spacing w:after="0" w:line="20" w:lineRule="exact"/>
              <w:rPr>
                <w:sz w:val="1"/>
                <w:szCs w:val="1"/>
                <w:color w:val="auto"/>
              </w:rPr>
            </w:pPr>
          </w:p>
        </w:tc>
        <w:tc>
          <w:tcPr>
            <w:tcW w:w="560" w:type="dxa"/>
            <w:vAlign w:val="bottom"/>
            <w:shd w:val="clear" w:color="auto" w:fill="E5F1F8"/>
          </w:tcPr>
          <w:p>
            <w:pPr>
              <w:jc w:val="right"/>
              <w:spacing w:after="0" w:line="4" w:lineRule="exact"/>
              <w:rPr>
                <w:sz w:val="20"/>
                <w:szCs w:val="20"/>
                <w:color w:val="auto"/>
              </w:rPr>
            </w:pPr>
            <w:r>
              <w:rPr>
                <w:rFonts w:ascii="Arial" w:cs="Arial" w:eastAsia="Arial" w:hAnsi="Arial"/>
                <w:sz w:val="1"/>
                <w:szCs w:val="1"/>
                <w:color w:val="auto"/>
              </w:rPr>
              <w:t>—</w:t>
            </w:r>
          </w:p>
        </w:tc>
        <w:tc>
          <w:tcPr>
            <w:tcW w:w="280" w:type="dxa"/>
            <w:vAlign w:val="bottom"/>
            <w:tcBorders>
              <w:right w:val="single" w:sz="8" w:color="007CBA"/>
            </w:tcBorders>
            <w:shd w:val="clear" w:color="auto" w:fill="E5F1F8"/>
          </w:tcPr>
          <w:p>
            <w:pPr>
              <w:spacing w:after="0" w:line="20" w:lineRule="exact"/>
              <w:rPr>
                <w:sz w:val="1"/>
                <w:szCs w:val="1"/>
                <w:color w:val="auto"/>
              </w:rPr>
            </w:pPr>
          </w:p>
        </w:tc>
        <w:tc>
          <w:tcPr>
            <w:tcW w:w="340" w:type="dxa"/>
            <w:vAlign w:val="bottom"/>
            <w:shd w:val="clear" w:color="auto" w:fill="E5F1F8"/>
          </w:tcPr>
          <w:p>
            <w:pPr>
              <w:spacing w:after="0" w:line="20" w:lineRule="exact"/>
              <w:rPr>
                <w:sz w:val="1"/>
                <w:szCs w:val="1"/>
                <w:color w:val="auto"/>
              </w:rPr>
            </w:pPr>
          </w:p>
        </w:tc>
        <w:tc>
          <w:tcPr>
            <w:tcW w:w="860" w:type="dxa"/>
            <w:vAlign w:val="bottom"/>
            <w:tcBorders>
              <w:right w:val="single" w:sz="8" w:color="007CBA"/>
            </w:tcBorders>
            <w:shd w:val="clear" w:color="auto" w:fill="E5F1F8"/>
          </w:tcPr>
          <w:p>
            <w:pPr>
              <w:jc w:val="right"/>
              <w:ind w:right="276"/>
              <w:spacing w:after="0" w:line="4" w:lineRule="exact"/>
              <w:rPr>
                <w:sz w:val="20"/>
                <w:szCs w:val="20"/>
                <w:color w:val="auto"/>
              </w:rPr>
            </w:pPr>
            <w:r>
              <w:rPr>
                <w:rFonts w:ascii="Arial" w:cs="Arial" w:eastAsia="Arial" w:hAnsi="Arial"/>
                <w:sz w:val="1"/>
                <w:szCs w:val="1"/>
                <w:color w:val="auto"/>
              </w:rPr>
              <w:t>—</w:t>
            </w:r>
          </w:p>
        </w:tc>
        <w:tc>
          <w:tcPr>
            <w:tcW w:w="260" w:type="dxa"/>
            <w:vAlign w:val="bottom"/>
            <w:shd w:val="clear" w:color="auto" w:fill="E5F1F8"/>
          </w:tcPr>
          <w:p>
            <w:pPr>
              <w:spacing w:after="0" w:line="20" w:lineRule="exact"/>
              <w:rPr>
                <w:sz w:val="1"/>
                <w:szCs w:val="1"/>
                <w:color w:val="auto"/>
              </w:rPr>
            </w:pPr>
          </w:p>
        </w:tc>
        <w:tc>
          <w:tcPr>
            <w:tcW w:w="1100" w:type="dxa"/>
            <w:vAlign w:val="bottom"/>
            <w:tcBorders>
              <w:right w:val="single" w:sz="8" w:color="007CBA"/>
            </w:tcBorders>
            <w:shd w:val="clear" w:color="auto" w:fill="E5F1F8"/>
          </w:tcPr>
          <w:p>
            <w:pPr>
              <w:jc w:val="right"/>
              <w:ind w:right="294"/>
              <w:spacing w:after="0" w:line="4" w:lineRule="exact"/>
              <w:rPr>
                <w:sz w:val="20"/>
                <w:szCs w:val="20"/>
                <w:color w:val="auto"/>
              </w:rPr>
            </w:pPr>
            <w:r>
              <w:rPr>
                <w:rFonts w:ascii="Arial" w:cs="Arial" w:eastAsia="Arial" w:hAnsi="Arial"/>
                <w:sz w:val="1"/>
                <w:szCs w:val="1"/>
                <w:color w:val="auto"/>
              </w:rPr>
              <w:t>148</w:t>
            </w:r>
          </w:p>
        </w:tc>
        <w:tc>
          <w:tcPr>
            <w:tcW w:w="260" w:type="dxa"/>
            <w:vAlign w:val="bottom"/>
            <w:shd w:val="clear" w:color="auto" w:fill="E5F1F8"/>
          </w:tcPr>
          <w:p>
            <w:pPr>
              <w:spacing w:after="0" w:line="20" w:lineRule="exact"/>
              <w:rPr>
                <w:sz w:val="1"/>
                <w:szCs w:val="1"/>
                <w:color w:val="auto"/>
              </w:rPr>
            </w:pPr>
          </w:p>
        </w:tc>
        <w:tc>
          <w:tcPr>
            <w:tcW w:w="880" w:type="dxa"/>
            <w:vAlign w:val="bottom"/>
            <w:shd w:val="clear" w:color="auto" w:fill="E5F1F8"/>
          </w:tcPr>
          <w:p>
            <w:pPr>
              <w:jc w:val="right"/>
              <w:ind w:right="214"/>
              <w:spacing w:after="0" w:line="4" w:lineRule="exact"/>
              <w:rPr>
                <w:sz w:val="20"/>
                <w:szCs w:val="20"/>
                <w:color w:val="auto"/>
              </w:rPr>
            </w:pPr>
            <w:r>
              <w:rPr>
                <w:rFonts w:ascii="Arial" w:cs="Arial" w:eastAsia="Arial" w:hAnsi="Arial"/>
                <w:sz w:val="1"/>
                <w:szCs w:val="1"/>
                <w:color w:val="auto"/>
              </w:rPr>
              <w:t>437</w:t>
            </w:r>
          </w:p>
        </w:tc>
        <w:tc>
          <w:tcPr>
            <w:tcW w:w="0" w:type="dxa"/>
            <w:vAlign w:val="bottom"/>
          </w:tcPr>
          <w:p>
            <w:pPr>
              <w:spacing w:after="0" w:line="20" w:lineRule="exact"/>
              <w:rPr>
                <w:sz w:val="1"/>
                <w:szCs w:val="1"/>
                <w:color w:val="auto"/>
              </w:rPr>
            </w:pPr>
          </w:p>
        </w:tc>
      </w:tr>
      <w:tr>
        <w:trPr>
          <w:trHeight w:val="174"/>
        </w:trPr>
        <w:tc>
          <w:tcPr>
            <w:tcW w:w="5420" w:type="dxa"/>
            <w:vAlign w:val="bottom"/>
            <w:tcBorders>
              <w:right w:val="single" w:sz="8" w:color="007CBA"/>
            </w:tcBorders>
            <w:shd w:val="clear" w:color="auto" w:fill="E5F1F8"/>
          </w:tcPr>
          <w:p>
            <w:pPr>
              <w:spacing w:after="0"/>
              <w:rPr>
                <w:sz w:val="15"/>
                <w:szCs w:val="15"/>
                <w:color w:val="auto"/>
              </w:rPr>
            </w:pPr>
          </w:p>
        </w:tc>
        <w:tc>
          <w:tcPr>
            <w:tcW w:w="260" w:type="dxa"/>
            <w:vAlign w:val="bottom"/>
            <w:shd w:val="clear" w:color="auto" w:fill="E5F1F8"/>
          </w:tcPr>
          <w:p>
            <w:pPr>
              <w:spacing w:after="0"/>
              <w:rPr>
                <w:sz w:val="15"/>
                <w:szCs w:val="15"/>
                <w:color w:val="auto"/>
              </w:rPr>
            </w:pPr>
          </w:p>
        </w:tc>
        <w:tc>
          <w:tcPr>
            <w:tcW w:w="900" w:type="dxa"/>
            <w:vAlign w:val="bottom"/>
            <w:tcBorders>
              <w:right w:val="single" w:sz="8" w:color="007CBA"/>
            </w:tcBorders>
            <w:shd w:val="clear" w:color="auto" w:fill="E5F1F8"/>
          </w:tcPr>
          <w:p>
            <w:pPr>
              <w:spacing w:after="0"/>
              <w:rPr>
                <w:sz w:val="15"/>
                <w:szCs w:val="15"/>
                <w:color w:val="auto"/>
              </w:rPr>
            </w:pPr>
          </w:p>
        </w:tc>
        <w:tc>
          <w:tcPr>
            <w:tcW w:w="300" w:type="dxa"/>
            <w:vAlign w:val="bottom"/>
            <w:shd w:val="clear" w:color="auto" w:fill="E5F1F8"/>
          </w:tcPr>
          <w:p>
            <w:pPr>
              <w:spacing w:after="0"/>
              <w:rPr>
                <w:sz w:val="15"/>
                <w:szCs w:val="15"/>
                <w:color w:val="auto"/>
              </w:rPr>
            </w:pPr>
          </w:p>
        </w:tc>
        <w:tc>
          <w:tcPr>
            <w:tcW w:w="560" w:type="dxa"/>
            <w:vAlign w:val="bottom"/>
            <w:shd w:val="clear" w:color="auto" w:fill="E5F1F8"/>
          </w:tcPr>
          <w:p>
            <w:pPr>
              <w:spacing w:after="0"/>
              <w:rPr>
                <w:sz w:val="15"/>
                <w:szCs w:val="15"/>
                <w:color w:val="auto"/>
              </w:rPr>
            </w:pPr>
          </w:p>
        </w:tc>
        <w:tc>
          <w:tcPr>
            <w:tcW w:w="280" w:type="dxa"/>
            <w:vAlign w:val="bottom"/>
            <w:tcBorders>
              <w:right w:val="single" w:sz="8" w:color="007CBA"/>
            </w:tcBorders>
            <w:shd w:val="clear" w:color="auto" w:fill="E5F1F8"/>
          </w:tcPr>
          <w:p>
            <w:pPr>
              <w:spacing w:after="0"/>
              <w:rPr>
                <w:sz w:val="15"/>
                <w:szCs w:val="15"/>
                <w:color w:val="auto"/>
              </w:rPr>
            </w:pPr>
          </w:p>
        </w:tc>
        <w:tc>
          <w:tcPr>
            <w:tcW w:w="340" w:type="dxa"/>
            <w:vAlign w:val="bottom"/>
            <w:shd w:val="clear" w:color="auto" w:fill="E5F1F8"/>
          </w:tcPr>
          <w:p>
            <w:pPr>
              <w:spacing w:after="0"/>
              <w:rPr>
                <w:sz w:val="15"/>
                <w:szCs w:val="15"/>
                <w:color w:val="auto"/>
              </w:rPr>
            </w:pPr>
          </w:p>
        </w:tc>
        <w:tc>
          <w:tcPr>
            <w:tcW w:w="860" w:type="dxa"/>
            <w:vAlign w:val="bottom"/>
            <w:tcBorders>
              <w:right w:val="single" w:sz="8" w:color="007CBA"/>
            </w:tcBorders>
            <w:shd w:val="clear" w:color="auto" w:fill="E5F1F8"/>
          </w:tcPr>
          <w:p>
            <w:pPr>
              <w:spacing w:after="0"/>
              <w:rPr>
                <w:sz w:val="15"/>
                <w:szCs w:val="15"/>
                <w:color w:val="auto"/>
              </w:rPr>
            </w:pPr>
          </w:p>
        </w:tc>
        <w:tc>
          <w:tcPr>
            <w:tcW w:w="260" w:type="dxa"/>
            <w:vAlign w:val="bottom"/>
            <w:shd w:val="clear" w:color="auto" w:fill="E5F1F8"/>
          </w:tcPr>
          <w:p>
            <w:pPr>
              <w:spacing w:after="0"/>
              <w:rPr>
                <w:sz w:val="15"/>
                <w:szCs w:val="15"/>
                <w:color w:val="auto"/>
              </w:rPr>
            </w:pPr>
          </w:p>
        </w:tc>
        <w:tc>
          <w:tcPr>
            <w:tcW w:w="1100" w:type="dxa"/>
            <w:vAlign w:val="bottom"/>
            <w:tcBorders>
              <w:right w:val="single" w:sz="8" w:color="007CBA"/>
            </w:tcBorders>
            <w:shd w:val="clear" w:color="auto" w:fill="E5F1F8"/>
          </w:tcPr>
          <w:p>
            <w:pPr>
              <w:jc w:val="right"/>
              <w:ind w:right="114"/>
              <w:spacing w:after="0"/>
              <w:rPr>
                <w:sz w:val="20"/>
                <w:szCs w:val="20"/>
                <w:color w:val="auto"/>
              </w:rPr>
            </w:pPr>
            <w:r>
              <w:rPr>
                <w:rFonts w:ascii="Arial" w:cs="Arial" w:eastAsia="Arial" w:hAnsi="Arial"/>
                <w:sz w:val="15"/>
                <w:szCs w:val="15"/>
                <w:color w:val="auto"/>
              </w:rPr>
              <w:t>(a)</w:t>
            </w:r>
          </w:p>
        </w:tc>
        <w:tc>
          <w:tcPr>
            <w:tcW w:w="260" w:type="dxa"/>
            <w:vAlign w:val="bottom"/>
            <w:shd w:val="clear" w:color="auto" w:fill="E5F1F8"/>
          </w:tcPr>
          <w:p>
            <w:pPr>
              <w:spacing w:after="0"/>
              <w:rPr>
                <w:sz w:val="15"/>
                <w:szCs w:val="15"/>
                <w:color w:val="auto"/>
              </w:rPr>
            </w:pPr>
          </w:p>
        </w:tc>
        <w:tc>
          <w:tcPr>
            <w:tcW w:w="880" w:type="dxa"/>
            <w:vAlign w:val="bottom"/>
            <w:shd w:val="clear" w:color="auto" w:fill="E5F1F8"/>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5420" w:type="dxa"/>
            <w:vAlign w:val="bottom"/>
            <w:tcBorders>
              <w:right w:val="single" w:sz="8" w:color="007CBA"/>
            </w:tcBorders>
            <w:shd w:val="clear" w:color="auto" w:fill="E5F1F8"/>
          </w:tcPr>
          <w:p>
            <w:pPr>
              <w:spacing w:after="0"/>
              <w:rPr>
                <w:sz w:val="5"/>
                <w:szCs w:val="5"/>
                <w:color w:val="auto"/>
              </w:rPr>
            </w:pPr>
          </w:p>
        </w:tc>
        <w:tc>
          <w:tcPr>
            <w:tcW w:w="260" w:type="dxa"/>
            <w:vAlign w:val="bottom"/>
            <w:shd w:val="clear" w:color="auto" w:fill="E5F1F8"/>
          </w:tcPr>
          <w:p>
            <w:pPr>
              <w:spacing w:after="0"/>
              <w:rPr>
                <w:sz w:val="5"/>
                <w:szCs w:val="5"/>
                <w:color w:val="auto"/>
              </w:rPr>
            </w:pPr>
          </w:p>
        </w:tc>
        <w:tc>
          <w:tcPr>
            <w:tcW w:w="900" w:type="dxa"/>
            <w:vAlign w:val="bottom"/>
            <w:tcBorders>
              <w:right w:val="single" w:sz="8" w:color="007CBA"/>
            </w:tcBorders>
            <w:shd w:val="clear" w:color="auto" w:fill="E5F1F8"/>
          </w:tcPr>
          <w:p>
            <w:pPr>
              <w:spacing w:after="0"/>
              <w:rPr>
                <w:sz w:val="5"/>
                <w:szCs w:val="5"/>
                <w:color w:val="auto"/>
              </w:rPr>
            </w:pPr>
          </w:p>
        </w:tc>
        <w:tc>
          <w:tcPr>
            <w:tcW w:w="300" w:type="dxa"/>
            <w:vAlign w:val="bottom"/>
            <w:shd w:val="clear" w:color="auto" w:fill="E5F1F8"/>
          </w:tcPr>
          <w:p>
            <w:pPr>
              <w:spacing w:after="0"/>
              <w:rPr>
                <w:sz w:val="5"/>
                <w:szCs w:val="5"/>
                <w:color w:val="auto"/>
              </w:rPr>
            </w:pPr>
          </w:p>
        </w:tc>
        <w:tc>
          <w:tcPr>
            <w:tcW w:w="560" w:type="dxa"/>
            <w:vAlign w:val="bottom"/>
            <w:shd w:val="clear" w:color="auto" w:fill="E5F1F8"/>
          </w:tcPr>
          <w:p>
            <w:pPr>
              <w:spacing w:after="0"/>
              <w:rPr>
                <w:sz w:val="5"/>
                <w:szCs w:val="5"/>
                <w:color w:val="auto"/>
              </w:rPr>
            </w:pPr>
          </w:p>
        </w:tc>
        <w:tc>
          <w:tcPr>
            <w:tcW w:w="280" w:type="dxa"/>
            <w:vAlign w:val="bottom"/>
            <w:tcBorders>
              <w:right w:val="single" w:sz="8" w:color="007CBA"/>
            </w:tcBorders>
            <w:shd w:val="clear" w:color="auto" w:fill="E5F1F8"/>
          </w:tcPr>
          <w:p>
            <w:pPr>
              <w:spacing w:after="0"/>
              <w:rPr>
                <w:sz w:val="5"/>
                <w:szCs w:val="5"/>
                <w:color w:val="auto"/>
              </w:rPr>
            </w:pPr>
          </w:p>
        </w:tc>
        <w:tc>
          <w:tcPr>
            <w:tcW w:w="340" w:type="dxa"/>
            <w:vAlign w:val="bottom"/>
            <w:shd w:val="clear" w:color="auto" w:fill="E5F1F8"/>
          </w:tcPr>
          <w:p>
            <w:pPr>
              <w:spacing w:after="0"/>
              <w:rPr>
                <w:sz w:val="5"/>
                <w:szCs w:val="5"/>
                <w:color w:val="auto"/>
              </w:rPr>
            </w:pPr>
          </w:p>
        </w:tc>
        <w:tc>
          <w:tcPr>
            <w:tcW w:w="860" w:type="dxa"/>
            <w:vAlign w:val="bottom"/>
            <w:tcBorders>
              <w:right w:val="single" w:sz="8" w:color="007CBA"/>
            </w:tcBorders>
            <w:shd w:val="clear" w:color="auto" w:fill="E5F1F8"/>
          </w:tcPr>
          <w:p>
            <w:pPr>
              <w:spacing w:after="0"/>
              <w:rPr>
                <w:sz w:val="5"/>
                <w:szCs w:val="5"/>
                <w:color w:val="auto"/>
              </w:rPr>
            </w:pPr>
          </w:p>
        </w:tc>
        <w:tc>
          <w:tcPr>
            <w:tcW w:w="260" w:type="dxa"/>
            <w:vAlign w:val="bottom"/>
            <w:shd w:val="clear" w:color="auto" w:fill="E5F1F8"/>
          </w:tcPr>
          <w:p>
            <w:pPr>
              <w:spacing w:after="0"/>
              <w:rPr>
                <w:sz w:val="5"/>
                <w:szCs w:val="5"/>
                <w:color w:val="auto"/>
              </w:rPr>
            </w:pPr>
          </w:p>
        </w:tc>
        <w:tc>
          <w:tcPr>
            <w:tcW w:w="1100" w:type="dxa"/>
            <w:vAlign w:val="bottom"/>
            <w:tcBorders>
              <w:right w:val="single" w:sz="8" w:color="007CBA"/>
            </w:tcBorders>
            <w:shd w:val="clear" w:color="auto" w:fill="E5F1F8"/>
          </w:tcPr>
          <w:p>
            <w:pPr>
              <w:spacing w:after="0"/>
              <w:rPr>
                <w:sz w:val="5"/>
                <w:szCs w:val="5"/>
                <w:color w:val="auto"/>
              </w:rPr>
            </w:pPr>
          </w:p>
        </w:tc>
        <w:tc>
          <w:tcPr>
            <w:tcW w:w="260" w:type="dxa"/>
            <w:vAlign w:val="bottom"/>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5420" w:type="dxa"/>
            <w:vAlign w:val="bottom"/>
            <w:tcBorders>
              <w:bottom w:val="single" w:sz="8" w:color="007CBA"/>
              <w:right w:val="single" w:sz="8" w:color="007CBA"/>
            </w:tcBorders>
          </w:tcPr>
          <w:p>
            <w:pPr>
              <w:ind w:left="80"/>
              <w:spacing w:after="0"/>
              <w:rPr>
                <w:sz w:val="20"/>
                <w:szCs w:val="20"/>
                <w:color w:val="auto"/>
              </w:rPr>
            </w:pPr>
            <w:r>
              <w:rPr>
                <w:rFonts w:ascii="Arial" w:cs="Arial" w:eastAsia="Arial" w:hAnsi="Arial"/>
                <w:sz w:val="16"/>
                <w:szCs w:val="16"/>
                <w:color w:val="auto"/>
              </w:rPr>
              <w:t>Inventory valuation allowance</w:t>
            </w:r>
          </w:p>
        </w:tc>
        <w:tc>
          <w:tcPr>
            <w:tcW w:w="260" w:type="dxa"/>
            <w:vAlign w:val="bottom"/>
            <w:tcBorders>
              <w:bottom w:val="single" w:sz="8" w:color="007CBA"/>
            </w:tcBorders>
          </w:tcPr>
          <w:p>
            <w:pPr>
              <w:spacing w:after="0"/>
              <w:rPr>
                <w:sz w:val="24"/>
                <w:szCs w:val="24"/>
                <w:color w:val="auto"/>
              </w:rPr>
            </w:pPr>
          </w:p>
        </w:tc>
        <w:tc>
          <w:tcPr>
            <w:tcW w:w="900" w:type="dxa"/>
            <w:vAlign w:val="bottom"/>
            <w:tcBorders>
              <w:bottom w:val="single" w:sz="8" w:color="007CBA"/>
              <w:right w:val="single" w:sz="8" w:color="007CBA"/>
            </w:tcBorders>
          </w:tcPr>
          <w:p>
            <w:pPr>
              <w:jc w:val="right"/>
              <w:ind w:right="234"/>
              <w:spacing w:after="0"/>
              <w:rPr>
                <w:sz w:val="20"/>
                <w:szCs w:val="20"/>
                <w:color w:val="auto"/>
              </w:rPr>
            </w:pPr>
            <w:r>
              <w:rPr>
                <w:rFonts w:ascii="Arial" w:cs="Arial" w:eastAsia="Arial" w:hAnsi="Arial"/>
                <w:sz w:val="16"/>
                <w:szCs w:val="16"/>
                <w:color w:val="auto"/>
              </w:rPr>
              <w:t>130,584</w:t>
            </w:r>
          </w:p>
        </w:tc>
        <w:tc>
          <w:tcPr>
            <w:tcW w:w="300" w:type="dxa"/>
            <w:vAlign w:val="bottom"/>
            <w:tcBorders>
              <w:bottom w:val="single" w:sz="8" w:color="007CBA"/>
            </w:tcBorders>
          </w:tcPr>
          <w:p>
            <w:pPr>
              <w:spacing w:after="0"/>
              <w:rPr>
                <w:sz w:val="24"/>
                <w:szCs w:val="24"/>
                <w:color w:val="auto"/>
              </w:rPr>
            </w:pPr>
          </w:p>
        </w:tc>
        <w:tc>
          <w:tcPr>
            <w:tcW w:w="560" w:type="dxa"/>
            <w:vAlign w:val="bottom"/>
            <w:tcBorders>
              <w:bottom w:val="single" w:sz="8" w:color="007CBA"/>
            </w:tcBorders>
          </w:tcPr>
          <w:p>
            <w:pPr>
              <w:jc w:val="right"/>
              <w:spacing w:after="0"/>
              <w:rPr>
                <w:sz w:val="20"/>
                <w:szCs w:val="20"/>
                <w:color w:val="auto"/>
              </w:rPr>
            </w:pPr>
            <w:r>
              <w:rPr>
                <w:rFonts w:ascii="Arial" w:cs="Arial" w:eastAsia="Arial" w:hAnsi="Arial"/>
                <w:sz w:val="16"/>
                <w:szCs w:val="16"/>
                <w:color w:val="auto"/>
              </w:rPr>
              <w:t>33,782</w:t>
            </w:r>
          </w:p>
        </w:tc>
        <w:tc>
          <w:tcPr>
            <w:tcW w:w="280" w:type="dxa"/>
            <w:vAlign w:val="bottom"/>
            <w:tcBorders>
              <w:bottom w:val="single" w:sz="8" w:color="007CBA"/>
              <w:right w:val="single" w:sz="8" w:color="007CBA"/>
            </w:tcBorders>
          </w:tcPr>
          <w:p>
            <w:pPr>
              <w:spacing w:after="0"/>
              <w:rPr>
                <w:sz w:val="24"/>
                <w:szCs w:val="24"/>
                <w:color w:val="auto"/>
              </w:rPr>
            </w:pPr>
          </w:p>
        </w:tc>
        <w:tc>
          <w:tcPr>
            <w:tcW w:w="340" w:type="dxa"/>
            <w:vAlign w:val="bottom"/>
            <w:tcBorders>
              <w:bottom w:val="single" w:sz="8" w:color="007CBA"/>
            </w:tcBorders>
          </w:tcPr>
          <w:p>
            <w:pPr>
              <w:spacing w:after="0"/>
              <w:rPr>
                <w:sz w:val="24"/>
                <w:szCs w:val="24"/>
                <w:color w:val="auto"/>
              </w:rPr>
            </w:pPr>
          </w:p>
        </w:tc>
        <w:tc>
          <w:tcPr>
            <w:tcW w:w="860" w:type="dxa"/>
            <w:vAlign w:val="bottom"/>
            <w:tcBorders>
              <w:bottom w:val="single" w:sz="8" w:color="007CBA"/>
              <w:right w:val="single" w:sz="8" w:color="007CBA"/>
            </w:tcBorders>
          </w:tcPr>
          <w:p>
            <w:pPr>
              <w:jc w:val="right"/>
              <w:ind w:right="116"/>
              <w:spacing w:after="0" w:line="297" w:lineRule="exact"/>
              <w:rPr>
                <w:sz w:val="20"/>
                <w:szCs w:val="20"/>
                <w:color w:val="auto"/>
              </w:rPr>
            </w:pPr>
            <w:r>
              <w:rPr>
                <w:rFonts w:ascii="Arial" w:cs="Arial" w:eastAsia="Arial" w:hAnsi="Arial"/>
                <w:sz w:val="16"/>
                <w:szCs w:val="16"/>
                <w:color w:val="auto"/>
              </w:rPr>
              <w:t>118</w:t>
            </w:r>
            <w:r>
              <w:rPr>
                <w:rFonts w:ascii="Arial" w:cs="Arial" w:eastAsia="Arial" w:hAnsi="Arial"/>
                <w:sz w:val="27"/>
                <w:szCs w:val="27"/>
                <w:color w:val="auto"/>
                <w:vertAlign w:val="superscript"/>
              </w:rPr>
              <w:t>(b)</w:t>
            </w:r>
          </w:p>
        </w:tc>
        <w:tc>
          <w:tcPr>
            <w:tcW w:w="260" w:type="dxa"/>
            <w:vAlign w:val="bottom"/>
            <w:tcBorders>
              <w:bottom w:val="single" w:sz="8" w:color="007CBA"/>
            </w:tcBorders>
          </w:tcPr>
          <w:p>
            <w:pPr>
              <w:spacing w:after="0"/>
              <w:rPr>
                <w:sz w:val="24"/>
                <w:szCs w:val="24"/>
                <w:color w:val="auto"/>
              </w:rPr>
            </w:pPr>
          </w:p>
        </w:tc>
        <w:tc>
          <w:tcPr>
            <w:tcW w:w="1100" w:type="dxa"/>
            <w:vAlign w:val="bottom"/>
            <w:tcBorders>
              <w:bottom w:val="single" w:sz="8" w:color="007CBA"/>
              <w:right w:val="single" w:sz="8" w:color="007CBA"/>
            </w:tcBorders>
          </w:tcPr>
          <w:p>
            <w:pPr>
              <w:jc w:val="right"/>
              <w:ind w:right="134"/>
              <w:spacing w:after="0" w:line="297" w:lineRule="exact"/>
              <w:rPr>
                <w:sz w:val="20"/>
                <w:szCs w:val="20"/>
                <w:color w:val="auto"/>
              </w:rPr>
            </w:pPr>
            <w:r>
              <w:rPr>
                <w:rFonts w:ascii="Arial" w:cs="Arial" w:eastAsia="Arial" w:hAnsi="Arial"/>
                <w:sz w:val="16"/>
                <w:szCs w:val="16"/>
                <w:color w:val="auto"/>
              </w:rPr>
              <w:t>29,622</w:t>
            </w:r>
            <w:r>
              <w:rPr>
                <w:rFonts w:ascii="Arial" w:cs="Arial" w:eastAsia="Arial" w:hAnsi="Arial"/>
                <w:sz w:val="27"/>
                <w:szCs w:val="27"/>
                <w:color w:val="auto"/>
                <w:vertAlign w:val="superscript"/>
              </w:rPr>
              <w:t>(c)</w:t>
            </w:r>
          </w:p>
        </w:tc>
        <w:tc>
          <w:tcPr>
            <w:tcW w:w="260" w:type="dxa"/>
            <w:vAlign w:val="bottom"/>
            <w:tcBorders>
              <w:bottom w:val="single" w:sz="8" w:color="007CBA"/>
            </w:tcBorders>
          </w:tcPr>
          <w:p>
            <w:pPr>
              <w:spacing w:after="0"/>
              <w:rPr>
                <w:sz w:val="24"/>
                <w:szCs w:val="24"/>
                <w:color w:val="auto"/>
              </w:rPr>
            </w:pPr>
          </w:p>
        </w:tc>
        <w:tc>
          <w:tcPr>
            <w:tcW w:w="880" w:type="dxa"/>
            <w:vAlign w:val="bottom"/>
            <w:tcBorders>
              <w:bottom w:val="single" w:sz="8" w:color="007CBA"/>
            </w:tcBorders>
          </w:tcPr>
          <w:p>
            <w:pPr>
              <w:jc w:val="right"/>
              <w:ind w:right="214"/>
              <w:spacing w:after="0"/>
              <w:rPr>
                <w:sz w:val="20"/>
                <w:szCs w:val="20"/>
                <w:color w:val="auto"/>
              </w:rPr>
            </w:pPr>
            <w:r>
              <w:rPr>
                <w:rFonts w:ascii="Arial" w:cs="Arial" w:eastAsia="Arial" w:hAnsi="Arial"/>
                <w:sz w:val="16"/>
                <w:szCs w:val="16"/>
                <w:color w:val="auto"/>
              </w:rPr>
              <w:t>134,862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-2572385</wp:posOffset>
            </wp:positionV>
            <wp:extent cx="70662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7">
                      <a:extLst>
                        <a:ext uri="{28A0092B-C50C-407E-A947-70E740481C1C}"/>
                      </a:extLst>
                    </a:blip>
                    <a:srcRect/>
                    <a:stretch>
                      <a:fillRect/>
                    </a:stretch>
                  </pic:blipFill>
                  <pic:spPr bwMode="auto">
                    <a:xfrm>
                      <a:off x="0" y="0"/>
                      <a:ext cx="7066280" cy="889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-3103880</wp:posOffset>
            </wp:positionV>
            <wp:extent cx="13633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8">
                      <a:extLst>
                        <a:ext uri="{28A0092B-C50C-407E-A947-70E740481C1C}"/>
                      </a:extLst>
                    </a:blip>
                    <a:srcRect/>
                    <a:stretch>
                      <a:fillRect/>
                    </a:stretch>
                  </pic:blipFill>
                  <pic:spPr bwMode="auto">
                    <a:xfrm>
                      <a:off x="0" y="0"/>
                      <a:ext cx="13633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-3223895</wp:posOffset>
            </wp:positionV>
            <wp:extent cx="70662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9">
                      <a:extLst>
                        <a:ext uri="{28A0092B-C50C-407E-A947-70E740481C1C}"/>
                      </a:extLst>
                    </a:blip>
                    <a:srcRect/>
                    <a:stretch>
                      <a:fillRect/>
                    </a:stretch>
                  </pic:blipFill>
                  <pic:spPr bwMode="auto">
                    <a:xfrm>
                      <a:off x="0" y="0"/>
                      <a:ext cx="7066280" cy="8890"/>
                    </a:xfrm>
                    <a:prstGeom prst="rect">
                      <a:avLst/>
                    </a:prstGeom>
                    <a:noFill/>
                  </pic:spPr>
                </pic:pic>
              </a:graphicData>
            </a:graphic>
          </wp:anchor>
        </w:drawing>
      </w:r>
    </w:p>
    <w:p>
      <w:pPr>
        <w:ind w:left="220" w:hanging="212"/>
        <w:spacing w:after="0" w:line="224" w:lineRule="auto"/>
        <w:tabs>
          <w:tab w:leader="none" w:pos="220"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Write off of uncollectible accounts and change in estimates</w:t>
      </w:r>
    </w:p>
    <w:p>
      <w:pPr>
        <w:spacing w:after="0" w:line="71" w:lineRule="exact"/>
        <w:rPr>
          <w:rFonts w:ascii="Arial" w:cs="Arial" w:eastAsia="Arial" w:hAnsi="Arial"/>
          <w:sz w:val="24"/>
          <w:szCs w:val="24"/>
          <w:color w:val="auto"/>
          <w:vertAlign w:val="superscript"/>
        </w:rPr>
      </w:pPr>
    </w:p>
    <w:p>
      <w:pPr>
        <w:ind w:left="220" w:hanging="212"/>
        <w:spacing w:after="0" w:line="189" w:lineRule="auto"/>
        <w:tabs>
          <w:tab w:leader="none" w:pos="220" w:val="left"/>
        </w:tabs>
        <w:numPr>
          <w:ilvl w:val="0"/>
          <w:numId w:val="37"/>
        </w:numPr>
        <w:rPr>
          <w:rFonts w:ascii="Arial" w:cs="Arial" w:eastAsia="Arial" w:hAnsi="Arial"/>
          <w:sz w:val="19"/>
          <w:szCs w:val="19"/>
          <w:color w:val="auto"/>
          <w:vertAlign w:val="superscript"/>
        </w:rPr>
      </w:pPr>
      <w:r>
        <w:rPr>
          <w:rFonts w:ascii="Arial" w:cs="Arial" w:eastAsia="Arial" w:hAnsi="Arial"/>
          <w:sz w:val="12"/>
          <w:szCs w:val="12"/>
          <w:color w:val="auto"/>
        </w:rPr>
        <w:t>Application of reserve policy to acquired inventories</w:t>
      </w:r>
    </w:p>
    <w:p>
      <w:pPr>
        <w:spacing w:after="0" w:line="71" w:lineRule="exact"/>
        <w:rPr>
          <w:rFonts w:ascii="Arial" w:cs="Arial" w:eastAsia="Arial" w:hAnsi="Arial"/>
          <w:sz w:val="19"/>
          <w:szCs w:val="19"/>
          <w:color w:val="auto"/>
          <w:vertAlign w:val="superscript"/>
        </w:rPr>
      </w:pPr>
    </w:p>
    <w:p>
      <w:pPr>
        <w:ind w:left="200" w:hanging="192"/>
        <w:spacing w:after="0" w:line="189" w:lineRule="auto"/>
        <w:tabs>
          <w:tab w:leader="none" w:pos="200" w:val="left"/>
        </w:tabs>
        <w:numPr>
          <w:ilvl w:val="0"/>
          <w:numId w:val="37"/>
        </w:numPr>
        <w:rPr>
          <w:rFonts w:ascii="Arial" w:cs="Arial" w:eastAsia="Arial" w:hAnsi="Arial"/>
          <w:sz w:val="19"/>
          <w:szCs w:val="19"/>
          <w:color w:val="auto"/>
          <w:vertAlign w:val="superscript"/>
        </w:rPr>
      </w:pPr>
      <w:r>
        <w:rPr>
          <w:rFonts w:ascii="Arial" w:cs="Arial" w:eastAsia="Arial" w:hAnsi="Arial"/>
          <w:sz w:val="12"/>
          <w:szCs w:val="12"/>
          <w:color w:val="auto"/>
        </w:rPr>
        <w:t>Sale of reserved inventory and divestitures</w:t>
      </w:r>
    </w:p>
    <w:p>
      <w:pPr>
        <w:spacing w:after="0" w:line="1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16 - FORM 10-K SUMMARY</w:t>
      </w:r>
    </w:p>
    <w:p>
      <w:pPr>
        <w:spacing w:after="0" w:line="14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Company has chosen not to include an optional summary of the information required by this Form 10-K. For a reference to the information in this Form 10-K, investors should refer to the Table of Contents 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80010</wp:posOffset>
            </wp:positionV>
            <wp:extent cx="411480" cy="2489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0">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3"/>
          <w:szCs w:val="13"/>
          <w:b w:val="1"/>
          <w:bCs w:val="1"/>
          <w:color w:val="auto"/>
        </w:rPr>
      </w:pPr>
      <w:r>
        <w:rPr>
          <w:rFonts w:ascii="Arial" w:cs="Arial" w:eastAsia="Arial" w:hAnsi="Arial"/>
          <w:sz w:val="13"/>
          <w:szCs w:val="13"/>
          <w:color w:val="007CBA"/>
        </w:rPr>
        <w:t>2018 FORM 10-K</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jc w:val="right"/>
        <w:spacing w:after="0" w:line="288" w:lineRule="exact"/>
        <w:rPr>
          <w:sz w:val="20"/>
          <w:szCs w:val="20"/>
          <w:color w:val="auto"/>
        </w:rPr>
      </w:pPr>
      <w:r>
        <w:rPr>
          <w:rFonts w:ascii="MS PGothic" w:cs="MS PGothic" w:eastAsia="MS PGothic" w:hAnsi="MS PGothic"/>
          <w:sz w:val="25"/>
          <w:szCs w:val="25"/>
          <w:color w:val="007CBA"/>
        </w:rPr>
        <w:t>◆</w:t>
      </w:r>
      <w:r>
        <w:rPr>
          <w:rFonts w:ascii="Arial" w:cs="Arial" w:eastAsia="Arial" w:hAnsi="Arial"/>
          <w:sz w:val="14"/>
          <w:szCs w:val="14"/>
          <w:color w:val="007CBA"/>
        </w:rPr>
        <w:t xml:space="preserve"> Signatures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SIGNATURES</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96"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MARTIN MARIETTA MATERIALS, INC.</w:t>
      </w:r>
    </w:p>
    <w:p>
      <w:pPr>
        <w:spacing w:after="0" w:line="181" w:lineRule="exact"/>
        <w:rPr>
          <w:sz w:val="20"/>
          <w:szCs w:val="20"/>
          <w:color w:val="auto"/>
        </w:rPr>
      </w:pPr>
    </w:p>
    <w:p>
      <w:pPr>
        <w:ind w:left="7440"/>
        <w:spacing w:after="0"/>
        <w:tabs>
          <w:tab w:leader="none" w:pos="7860" w:val="left"/>
        </w:tabs>
        <w:rPr>
          <w:sz w:val="20"/>
          <w:szCs w:val="20"/>
          <w:color w:val="auto"/>
        </w:rPr>
      </w:pPr>
      <w:r>
        <w:rPr>
          <w:rFonts w:ascii="Arial" w:cs="Arial" w:eastAsia="Arial" w:hAnsi="Arial"/>
          <w:sz w:val="16"/>
          <w:szCs w:val="16"/>
          <w:color w:val="auto"/>
        </w:rPr>
        <w:t>By:</w:t>
        <w:tab/>
        <w:t>/s/ Roselyn R.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1905</wp:posOffset>
            </wp:positionV>
            <wp:extent cx="22809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2">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6"/>
          <w:szCs w:val="16"/>
          <w:color w:val="auto"/>
        </w:rPr>
        <w:t>Roselyn R. Bar</w:t>
      </w:r>
    </w:p>
    <w:p>
      <w:pPr>
        <w:spacing w:after="0" w:line="5"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Executive Vice President, General Counsel and</w:t>
      </w:r>
    </w:p>
    <w:p>
      <w:pPr>
        <w:spacing w:after="0" w:line="5"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Corporate Secretary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25, 2019</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POWER OF ATTORNEY</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KNOW ALL PERSONS BY THESE PRESENTS, that each person whose signature appears below appoints Roselyn R. Bar and M. Guy Brooks, III, jointly and severally, as his or her true and lawful attorney-in-fact, each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jointly and severally, full power and authority to do and perform each in connection therewith, as fully to all intents and purposes as he or she might or could do in person, hereby ratifying and confirming all that said attorneys-in-fact, jointly and severally, or their or his or her substitute or substitutes, may lawfully do or cause to be done by virtue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206375</wp:posOffset>
            </wp:positionV>
            <wp:extent cx="411480" cy="2489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3">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323" w:lineRule="exact"/>
        <w:rPr>
          <w:sz w:val="20"/>
          <w:szCs w:val="20"/>
          <w:color w:val="auto"/>
        </w:rPr>
      </w:pPr>
    </w:p>
    <w:tbl>
      <w:tblPr>
        <w:tblLayout w:type="fixed"/>
        <w:tblInd w:w="9980" w:type="dxa"/>
        <w:tblCellMar>
          <w:top w:w="0" w:type="dxa"/>
          <w:left w:w="0" w:type="dxa"/>
          <w:bottom w:w="0" w:type="dxa"/>
          <w:right w:w="0" w:type="dxa"/>
        </w:tblCellMar>
      </w:tblPr>
      <w:tr>
        <w:trPr>
          <w:trHeight w:val="168"/>
        </w:trPr>
        <w:tc>
          <w:tcPr>
            <w:tcW w:w="1140" w:type="dxa"/>
            <w:vAlign w:val="bottom"/>
          </w:tcPr>
          <w:p>
            <w:pPr>
              <w:spacing w:after="0"/>
              <w:rPr>
                <w:sz w:val="20"/>
                <w:szCs w:val="20"/>
                <w:color w:val="auto"/>
              </w:rPr>
            </w:pPr>
            <w:r>
              <w:rPr>
                <w:rFonts w:ascii="Arial" w:cs="Arial" w:eastAsia="Arial" w:hAnsi="Arial"/>
                <w:sz w:val="13"/>
                <w:szCs w:val="13"/>
                <w:color w:val="007CBA"/>
              </w:rPr>
              <w:t>2018 FORM 10-K</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rPr>
              <w:t>39</w:t>
            </w: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4"/>
          <w:szCs w:val="14"/>
          <w:color w:val="007CBA"/>
        </w:rPr>
        <w:t xml:space="preserve">Signatures </w:t>
      </w:r>
      <w:r>
        <w:rPr>
          <w:rFonts w:ascii="MS PGothic" w:cs="MS PGothic" w:eastAsia="MS PGothic" w:hAnsi="MS PGothic"/>
          <w:sz w:val="25"/>
          <w:szCs w:val="25"/>
          <w:color w:val="007CBA"/>
        </w:rPr>
        <w:t>◆</w:t>
      </w:r>
    </w:p>
    <w:p>
      <w:pPr>
        <w:spacing w:after="0" w:line="22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and Exchange Act of 1934, this report has been signed by the following persons on behalf of the registrant and in the capacities and on the dates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440" w:type="dxa"/>
            <w:vAlign w:val="bottom"/>
            <w:tcBorders>
              <w:bottom w:val="single" w:sz="8" w:color="007CBA"/>
            </w:tcBorders>
            <w:shd w:val="clear" w:color="auto" w:fill="007CBA"/>
          </w:tcPr>
          <w:p>
            <w:pPr>
              <w:ind w:left="60"/>
              <w:spacing w:after="0"/>
              <w:rPr>
                <w:sz w:val="20"/>
                <w:szCs w:val="20"/>
                <w:color w:val="auto"/>
              </w:rPr>
            </w:pPr>
            <w:r>
              <w:rPr>
                <w:rFonts w:ascii="Arial" w:cs="Arial" w:eastAsia="Arial" w:hAnsi="Arial"/>
                <w:sz w:val="16"/>
                <w:szCs w:val="16"/>
                <w:b w:val="1"/>
                <w:bCs w:val="1"/>
                <w:color w:val="FFFFFF"/>
              </w:rPr>
              <w:t>Signature</w:t>
            </w:r>
          </w:p>
        </w:tc>
        <w:tc>
          <w:tcPr>
            <w:tcW w:w="5020" w:type="dxa"/>
            <w:vAlign w:val="bottom"/>
            <w:tcBorders>
              <w:bottom w:val="single" w:sz="8" w:color="007CBA"/>
            </w:tcBorders>
            <w:shd w:val="clear" w:color="auto" w:fill="007CBA"/>
          </w:tcPr>
          <w:p>
            <w:pPr>
              <w:ind w:left="2500"/>
              <w:spacing w:after="0"/>
              <w:rPr>
                <w:sz w:val="20"/>
                <w:szCs w:val="20"/>
                <w:color w:val="auto"/>
              </w:rPr>
            </w:pPr>
            <w:r>
              <w:rPr>
                <w:rFonts w:ascii="Arial" w:cs="Arial" w:eastAsia="Arial" w:hAnsi="Arial"/>
                <w:sz w:val="16"/>
                <w:szCs w:val="16"/>
                <w:b w:val="1"/>
                <w:bCs w:val="1"/>
                <w:color w:val="FFFFFF"/>
              </w:rPr>
              <w:t>Title</w:t>
            </w:r>
          </w:p>
        </w:tc>
        <w:tc>
          <w:tcPr>
            <w:tcW w:w="1960" w:type="dxa"/>
            <w:vAlign w:val="bottom"/>
            <w:tcBorders>
              <w:bottom w:val="single" w:sz="8" w:color="007CBA"/>
            </w:tcBorders>
            <w:shd w:val="clear" w:color="auto" w:fill="007CBA"/>
          </w:tcPr>
          <w:p>
            <w:pPr>
              <w:jc w:val="center"/>
              <w:ind w:left="239"/>
              <w:spacing w:after="0"/>
              <w:rPr>
                <w:sz w:val="20"/>
                <w:szCs w:val="20"/>
                <w:color w:val="auto"/>
              </w:rPr>
            </w:pPr>
            <w:r>
              <w:rPr>
                <w:rFonts w:ascii="Arial" w:cs="Arial" w:eastAsia="Arial" w:hAnsi="Arial"/>
                <w:sz w:val="16"/>
                <w:szCs w:val="16"/>
                <w:b w:val="1"/>
                <w:bCs w:val="1"/>
                <w:color w:val="FFFFFF"/>
              </w:rPr>
              <w:t>Date</w:t>
            </w:r>
          </w:p>
        </w:tc>
      </w:tr>
      <w:tr>
        <w:trPr>
          <w:trHeight w:val="324"/>
        </w:trPr>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 C. Howard Nye</w:t>
            </w:r>
          </w:p>
        </w:tc>
        <w:tc>
          <w:tcPr>
            <w:tcW w:w="5020" w:type="dxa"/>
            <w:vAlign w:val="bottom"/>
          </w:tcPr>
          <w:p>
            <w:pPr>
              <w:ind w:left="100"/>
              <w:spacing w:after="0"/>
              <w:rPr>
                <w:sz w:val="20"/>
                <w:szCs w:val="20"/>
                <w:color w:val="auto"/>
              </w:rPr>
            </w:pPr>
            <w:r>
              <w:rPr>
                <w:rFonts w:ascii="Arial" w:cs="Arial" w:eastAsia="Arial" w:hAnsi="Arial"/>
                <w:sz w:val="16"/>
                <w:szCs w:val="16"/>
                <w:color w:val="auto"/>
              </w:rPr>
              <w:t>Chairman of the Board, President and Chief Executive Officer</w:t>
            </w:r>
          </w:p>
        </w:tc>
        <w:tc>
          <w:tcPr>
            <w:tcW w:w="1960" w:type="dxa"/>
            <w:vAlign w:val="bottom"/>
          </w:tcPr>
          <w:p>
            <w:pPr>
              <w:jc w:val="center"/>
              <w:ind w:left="239"/>
              <w:spacing w:after="0"/>
              <w:rPr>
                <w:sz w:val="20"/>
                <w:szCs w:val="20"/>
                <w:color w:val="auto"/>
              </w:rPr>
            </w:pPr>
            <w:r>
              <w:rPr>
                <w:rFonts w:ascii="Arial" w:cs="Arial" w:eastAsia="Arial" w:hAnsi="Arial"/>
                <w:sz w:val="16"/>
                <w:szCs w:val="16"/>
                <w:color w:val="auto"/>
              </w:rPr>
              <w:t>February 25, 2019</w:t>
            </w:r>
          </w:p>
        </w:tc>
      </w:tr>
      <w:tr>
        <w:trPr>
          <w:trHeight w:val="190"/>
        </w:trPr>
        <w:tc>
          <w:tcPr>
            <w:tcW w:w="4440" w:type="dxa"/>
            <w:vAlign w:val="bottom"/>
          </w:tcPr>
          <w:p>
            <w:pPr>
              <w:ind w:left="60"/>
              <w:spacing w:after="0"/>
              <w:rPr>
                <w:sz w:val="20"/>
                <w:szCs w:val="20"/>
                <w:color w:val="auto"/>
              </w:rPr>
            </w:pPr>
            <w:r>
              <w:rPr>
                <w:rFonts w:ascii="Arial" w:cs="Arial" w:eastAsia="Arial" w:hAnsi="Arial"/>
                <w:sz w:val="16"/>
                <w:szCs w:val="16"/>
                <w:color w:val="auto"/>
              </w:rPr>
              <w:t>C. Howard Nye</w:t>
            </w:r>
          </w:p>
        </w:tc>
        <w:tc>
          <w:tcPr>
            <w:tcW w:w="50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438"/>
        </w:trPr>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 James A. J. Nickolas</w:t>
            </w:r>
          </w:p>
        </w:tc>
        <w:tc>
          <w:tcPr>
            <w:tcW w:w="5020" w:type="dxa"/>
            <w:vAlign w:val="bottom"/>
          </w:tcPr>
          <w:p>
            <w:pPr>
              <w:ind w:left="100"/>
              <w:spacing w:after="0"/>
              <w:rPr>
                <w:sz w:val="20"/>
                <w:szCs w:val="20"/>
                <w:color w:val="auto"/>
              </w:rPr>
            </w:pPr>
            <w:r>
              <w:rPr>
                <w:rFonts w:ascii="Arial" w:cs="Arial" w:eastAsia="Arial" w:hAnsi="Arial"/>
                <w:sz w:val="16"/>
                <w:szCs w:val="16"/>
                <w:color w:val="auto"/>
              </w:rPr>
              <w:t>Senior Vice President and Chief Financial Officer</w:t>
            </w:r>
          </w:p>
        </w:tc>
        <w:tc>
          <w:tcPr>
            <w:tcW w:w="1960" w:type="dxa"/>
            <w:vAlign w:val="bottom"/>
          </w:tcPr>
          <w:p>
            <w:pPr>
              <w:jc w:val="center"/>
              <w:ind w:left="239"/>
              <w:spacing w:after="0"/>
              <w:rPr>
                <w:sz w:val="20"/>
                <w:szCs w:val="20"/>
                <w:color w:val="auto"/>
              </w:rPr>
            </w:pPr>
            <w:r>
              <w:rPr>
                <w:rFonts w:ascii="Arial" w:cs="Arial" w:eastAsia="Arial" w:hAnsi="Arial"/>
                <w:sz w:val="16"/>
                <w:szCs w:val="16"/>
                <w:color w:val="auto"/>
              </w:rPr>
              <w:t>February 25, 2019</w:t>
            </w:r>
          </w:p>
        </w:tc>
      </w:tr>
      <w:tr>
        <w:trPr>
          <w:trHeight w:val="190"/>
        </w:trPr>
        <w:tc>
          <w:tcPr>
            <w:tcW w:w="4440" w:type="dxa"/>
            <w:vAlign w:val="bottom"/>
          </w:tcPr>
          <w:p>
            <w:pPr>
              <w:ind w:left="60"/>
              <w:spacing w:after="0"/>
              <w:rPr>
                <w:sz w:val="20"/>
                <w:szCs w:val="20"/>
                <w:color w:val="auto"/>
              </w:rPr>
            </w:pPr>
            <w:r>
              <w:rPr>
                <w:rFonts w:ascii="Arial" w:cs="Arial" w:eastAsia="Arial" w:hAnsi="Arial"/>
                <w:sz w:val="16"/>
                <w:szCs w:val="16"/>
                <w:color w:val="auto"/>
              </w:rPr>
              <w:t>James A. J. Nickolas</w:t>
            </w:r>
          </w:p>
        </w:tc>
        <w:tc>
          <w:tcPr>
            <w:tcW w:w="50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371"/>
        </w:trPr>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 Dana F. Guzzo</w:t>
            </w:r>
          </w:p>
        </w:tc>
        <w:tc>
          <w:tcPr>
            <w:tcW w:w="5020" w:type="dxa"/>
            <w:vAlign w:val="bottom"/>
          </w:tcPr>
          <w:p>
            <w:pPr>
              <w:ind w:left="100"/>
              <w:spacing w:after="0"/>
              <w:rPr>
                <w:sz w:val="20"/>
                <w:szCs w:val="20"/>
                <w:color w:val="auto"/>
              </w:rPr>
            </w:pPr>
            <w:r>
              <w:rPr>
                <w:rFonts w:ascii="Arial" w:cs="Arial" w:eastAsia="Arial" w:hAnsi="Arial"/>
                <w:sz w:val="16"/>
                <w:szCs w:val="16"/>
                <w:color w:val="auto"/>
              </w:rPr>
              <w:t>Senior Vice President, Chief Accounting Officer and Controller</w:t>
            </w:r>
          </w:p>
        </w:tc>
        <w:tc>
          <w:tcPr>
            <w:tcW w:w="1960" w:type="dxa"/>
            <w:vAlign w:val="bottom"/>
          </w:tcPr>
          <w:p>
            <w:pPr>
              <w:jc w:val="center"/>
              <w:ind w:left="239"/>
              <w:spacing w:after="0"/>
              <w:rPr>
                <w:sz w:val="20"/>
                <w:szCs w:val="20"/>
                <w:color w:val="auto"/>
              </w:rPr>
            </w:pPr>
            <w:r>
              <w:rPr>
                <w:rFonts w:ascii="Arial" w:cs="Arial" w:eastAsia="Arial" w:hAnsi="Arial"/>
                <w:sz w:val="16"/>
                <w:szCs w:val="16"/>
                <w:color w:val="auto"/>
              </w:rPr>
              <w:t>February 25, 2019</w:t>
            </w:r>
          </w:p>
        </w:tc>
      </w:tr>
      <w:tr>
        <w:trPr>
          <w:trHeight w:val="190"/>
        </w:trPr>
        <w:tc>
          <w:tcPr>
            <w:tcW w:w="4440" w:type="dxa"/>
            <w:vAlign w:val="bottom"/>
          </w:tcPr>
          <w:p>
            <w:pPr>
              <w:ind w:left="60"/>
              <w:spacing w:after="0"/>
              <w:rPr>
                <w:sz w:val="20"/>
                <w:szCs w:val="20"/>
                <w:color w:val="auto"/>
              </w:rPr>
            </w:pPr>
            <w:r>
              <w:rPr>
                <w:rFonts w:ascii="Arial" w:cs="Arial" w:eastAsia="Arial" w:hAnsi="Arial"/>
                <w:sz w:val="16"/>
                <w:szCs w:val="16"/>
                <w:color w:val="auto"/>
              </w:rPr>
              <w:t>Dana F. Guzzo</w:t>
            </w:r>
          </w:p>
        </w:tc>
        <w:tc>
          <w:tcPr>
            <w:tcW w:w="50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371"/>
        </w:trPr>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 Dorothy M. Ables</w:t>
            </w:r>
          </w:p>
        </w:tc>
        <w:tc>
          <w:tcPr>
            <w:tcW w:w="502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960" w:type="dxa"/>
            <w:vAlign w:val="bottom"/>
          </w:tcPr>
          <w:p>
            <w:pPr>
              <w:jc w:val="center"/>
              <w:ind w:left="239"/>
              <w:spacing w:after="0"/>
              <w:rPr>
                <w:sz w:val="20"/>
                <w:szCs w:val="20"/>
                <w:color w:val="auto"/>
              </w:rPr>
            </w:pPr>
            <w:r>
              <w:rPr>
                <w:rFonts w:ascii="Arial" w:cs="Arial" w:eastAsia="Arial" w:hAnsi="Arial"/>
                <w:sz w:val="16"/>
                <w:szCs w:val="16"/>
                <w:color w:val="auto"/>
              </w:rPr>
              <w:t>February 25, 2019</w:t>
            </w:r>
          </w:p>
        </w:tc>
      </w:tr>
      <w:tr>
        <w:trPr>
          <w:trHeight w:val="190"/>
        </w:trPr>
        <w:tc>
          <w:tcPr>
            <w:tcW w:w="4440" w:type="dxa"/>
            <w:vAlign w:val="bottom"/>
          </w:tcPr>
          <w:p>
            <w:pPr>
              <w:ind w:left="60"/>
              <w:spacing w:after="0"/>
              <w:rPr>
                <w:sz w:val="20"/>
                <w:szCs w:val="20"/>
                <w:color w:val="auto"/>
              </w:rPr>
            </w:pPr>
            <w:r>
              <w:rPr>
                <w:rFonts w:ascii="Arial" w:cs="Arial" w:eastAsia="Arial" w:hAnsi="Arial"/>
                <w:sz w:val="16"/>
                <w:szCs w:val="16"/>
                <w:color w:val="auto"/>
              </w:rPr>
              <w:t>Dorothy M. Ables</w:t>
            </w:r>
          </w:p>
        </w:tc>
        <w:tc>
          <w:tcPr>
            <w:tcW w:w="50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371"/>
        </w:trPr>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 Sue W. Cole</w:t>
            </w:r>
          </w:p>
        </w:tc>
        <w:tc>
          <w:tcPr>
            <w:tcW w:w="502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960" w:type="dxa"/>
            <w:vAlign w:val="bottom"/>
          </w:tcPr>
          <w:p>
            <w:pPr>
              <w:jc w:val="center"/>
              <w:ind w:left="239"/>
              <w:spacing w:after="0"/>
              <w:rPr>
                <w:sz w:val="20"/>
                <w:szCs w:val="20"/>
                <w:color w:val="auto"/>
              </w:rPr>
            </w:pPr>
            <w:r>
              <w:rPr>
                <w:rFonts w:ascii="Arial" w:cs="Arial" w:eastAsia="Arial" w:hAnsi="Arial"/>
                <w:sz w:val="16"/>
                <w:szCs w:val="16"/>
                <w:color w:val="auto"/>
              </w:rPr>
              <w:t>February 25, 2019</w:t>
            </w:r>
          </w:p>
        </w:tc>
      </w:tr>
      <w:tr>
        <w:trPr>
          <w:trHeight w:val="190"/>
        </w:trPr>
        <w:tc>
          <w:tcPr>
            <w:tcW w:w="4440" w:type="dxa"/>
            <w:vAlign w:val="bottom"/>
          </w:tcPr>
          <w:p>
            <w:pPr>
              <w:ind w:left="60"/>
              <w:spacing w:after="0"/>
              <w:rPr>
                <w:sz w:val="20"/>
                <w:szCs w:val="20"/>
                <w:color w:val="auto"/>
              </w:rPr>
            </w:pPr>
            <w:r>
              <w:rPr>
                <w:rFonts w:ascii="Arial" w:cs="Arial" w:eastAsia="Arial" w:hAnsi="Arial"/>
                <w:sz w:val="16"/>
                <w:szCs w:val="16"/>
                <w:color w:val="auto"/>
              </w:rPr>
              <w:t>Sue W. Cole</w:t>
            </w:r>
          </w:p>
        </w:tc>
        <w:tc>
          <w:tcPr>
            <w:tcW w:w="50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371"/>
        </w:trPr>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 Smith W. Davis</w:t>
            </w:r>
          </w:p>
        </w:tc>
        <w:tc>
          <w:tcPr>
            <w:tcW w:w="502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960" w:type="dxa"/>
            <w:vAlign w:val="bottom"/>
          </w:tcPr>
          <w:p>
            <w:pPr>
              <w:jc w:val="center"/>
              <w:ind w:left="239"/>
              <w:spacing w:after="0"/>
              <w:rPr>
                <w:sz w:val="20"/>
                <w:szCs w:val="20"/>
                <w:color w:val="auto"/>
              </w:rPr>
            </w:pPr>
            <w:r>
              <w:rPr>
                <w:rFonts w:ascii="Arial" w:cs="Arial" w:eastAsia="Arial" w:hAnsi="Arial"/>
                <w:sz w:val="16"/>
                <w:szCs w:val="16"/>
                <w:color w:val="auto"/>
              </w:rPr>
              <w:t>February 25, 2019</w:t>
            </w:r>
          </w:p>
        </w:tc>
      </w:tr>
      <w:tr>
        <w:trPr>
          <w:trHeight w:val="190"/>
        </w:trPr>
        <w:tc>
          <w:tcPr>
            <w:tcW w:w="4440" w:type="dxa"/>
            <w:vAlign w:val="bottom"/>
          </w:tcPr>
          <w:p>
            <w:pPr>
              <w:ind w:left="60"/>
              <w:spacing w:after="0"/>
              <w:rPr>
                <w:sz w:val="20"/>
                <w:szCs w:val="20"/>
                <w:color w:val="auto"/>
              </w:rPr>
            </w:pPr>
            <w:r>
              <w:rPr>
                <w:rFonts w:ascii="Arial" w:cs="Arial" w:eastAsia="Arial" w:hAnsi="Arial"/>
                <w:sz w:val="16"/>
                <w:szCs w:val="16"/>
                <w:color w:val="auto"/>
              </w:rPr>
              <w:t>Smith W. Davis</w:t>
            </w:r>
          </w:p>
        </w:tc>
        <w:tc>
          <w:tcPr>
            <w:tcW w:w="50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371"/>
        </w:trPr>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 John J. Koraleski</w:t>
            </w:r>
          </w:p>
        </w:tc>
        <w:tc>
          <w:tcPr>
            <w:tcW w:w="502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960" w:type="dxa"/>
            <w:vAlign w:val="bottom"/>
          </w:tcPr>
          <w:p>
            <w:pPr>
              <w:jc w:val="center"/>
              <w:ind w:left="239"/>
              <w:spacing w:after="0"/>
              <w:rPr>
                <w:sz w:val="20"/>
                <w:szCs w:val="20"/>
                <w:color w:val="auto"/>
              </w:rPr>
            </w:pPr>
            <w:r>
              <w:rPr>
                <w:rFonts w:ascii="Arial" w:cs="Arial" w:eastAsia="Arial" w:hAnsi="Arial"/>
                <w:sz w:val="16"/>
                <w:szCs w:val="16"/>
                <w:color w:val="auto"/>
              </w:rPr>
              <w:t>February 25, 2019</w:t>
            </w:r>
          </w:p>
        </w:tc>
      </w:tr>
      <w:tr>
        <w:trPr>
          <w:trHeight w:val="190"/>
        </w:trPr>
        <w:tc>
          <w:tcPr>
            <w:tcW w:w="4440" w:type="dxa"/>
            <w:vAlign w:val="bottom"/>
          </w:tcPr>
          <w:p>
            <w:pPr>
              <w:ind w:left="60"/>
              <w:spacing w:after="0"/>
              <w:rPr>
                <w:sz w:val="20"/>
                <w:szCs w:val="20"/>
                <w:color w:val="auto"/>
              </w:rPr>
            </w:pPr>
            <w:r>
              <w:rPr>
                <w:rFonts w:ascii="Arial" w:cs="Arial" w:eastAsia="Arial" w:hAnsi="Arial"/>
                <w:sz w:val="16"/>
                <w:szCs w:val="16"/>
                <w:color w:val="auto"/>
              </w:rPr>
              <w:t>John J. Koraleski</w:t>
            </w:r>
          </w:p>
        </w:tc>
        <w:tc>
          <w:tcPr>
            <w:tcW w:w="50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371"/>
        </w:trPr>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 Laree E. Perez</w:t>
            </w:r>
          </w:p>
        </w:tc>
        <w:tc>
          <w:tcPr>
            <w:tcW w:w="502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960" w:type="dxa"/>
            <w:vAlign w:val="bottom"/>
          </w:tcPr>
          <w:p>
            <w:pPr>
              <w:jc w:val="center"/>
              <w:ind w:left="239"/>
              <w:spacing w:after="0"/>
              <w:rPr>
                <w:sz w:val="20"/>
                <w:szCs w:val="20"/>
                <w:color w:val="auto"/>
              </w:rPr>
            </w:pPr>
            <w:r>
              <w:rPr>
                <w:rFonts w:ascii="Arial" w:cs="Arial" w:eastAsia="Arial" w:hAnsi="Arial"/>
                <w:sz w:val="16"/>
                <w:szCs w:val="16"/>
                <w:color w:val="auto"/>
              </w:rPr>
              <w:t>February 25, 2019</w:t>
            </w:r>
          </w:p>
        </w:tc>
      </w:tr>
      <w:tr>
        <w:trPr>
          <w:trHeight w:val="190"/>
        </w:trPr>
        <w:tc>
          <w:tcPr>
            <w:tcW w:w="4440" w:type="dxa"/>
            <w:vAlign w:val="bottom"/>
          </w:tcPr>
          <w:p>
            <w:pPr>
              <w:ind w:left="60"/>
              <w:spacing w:after="0"/>
              <w:rPr>
                <w:sz w:val="20"/>
                <w:szCs w:val="20"/>
                <w:color w:val="auto"/>
              </w:rPr>
            </w:pPr>
            <w:r>
              <w:rPr>
                <w:rFonts w:ascii="Arial" w:cs="Arial" w:eastAsia="Arial" w:hAnsi="Arial"/>
                <w:sz w:val="16"/>
                <w:szCs w:val="16"/>
                <w:color w:val="auto"/>
              </w:rPr>
              <w:t>Laree E. Perez</w:t>
            </w:r>
          </w:p>
        </w:tc>
        <w:tc>
          <w:tcPr>
            <w:tcW w:w="50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371"/>
        </w:trPr>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 Michael J. Quillen</w:t>
            </w:r>
          </w:p>
        </w:tc>
        <w:tc>
          <w:tcPr>
            <w:tcW w:w="502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960" w:type="dxa"/>
            <w:vAlign w:val="bottom"/>
          </w:tcPr>
          <w:p>
            <w:pPr>
              <w:jc w:val="center"/>
              <w:ind w:left="239"/>
              <w:spacing w:after="0"/>
              <w:rPr>
                <w:sz w:val="20"/>
                <w:szCs w:val="20"/>
                <w:color w:val="auto"/>
              </w:rPr>
            </w:pPr>
            <w:r>
              <w:rPr>
                <w:rFonts w:ascii="Arial" w:cs="Arial" w:eastAsia="Arial" w:hAnsi="Arial"/>
                <w:sz w:val="16"/>
                <w:szCs w:val="16"/>
                <w:color w:val="auto"/>
              </w:rPr>
              <w:t>February 25, 2019</w:t>
            </w:r>
          </w:p>
        </w:tc>
      </w:tr>
      <w:tr>
        <w:trPr>
          <w:trHeight w:val="190"/>
        </w:trPr>
        <w:tc>
          <w:tcPr>
            <w:tcW w:w="4440" w:type="dxa"/>
            <w:vAlign w:val="bottom"/>
          </w:tcPr>
          <w:p>
            <w:pPr>
              <w:ind w:left="60"/>
              <w:spacing w:after="0"/>
              <w:rPr>
                <w:sz w:val="20"/>
                <w:szCs w:val="20"/>
                <w:color w:val="auto"/>
              </w:rPr>
            </w:pPr>
            <w:r>
              <w:rPr>
                <w:rFonts w:ascii="Arial" w:cs="Arial" w:eastAsia="Arial" w:hAnsi="Arial"/>
                <w:sz w:val="16"/>
                <w:szCs w:val="16"/>
                <w:color w:val="auto"/>
              </w:rPr>
              <w:t>Michael J. Quillen</w:t>
            </w:r>
          </w:p>
        </w:tc>
        <w:tc>
          <w:tcPr>
            <w:tcW w:w="50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371"/>
        </w:trPr>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 Dennis L. Rediker</w:t>
            </w:r>
          </w:p>
        </w:tc>
        <w:tc>
          <w:tcPr>
            <w:tcW w:w="502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960" w:type="dxa"/>
            <w:vAlign w:val="bottom"/>
          </w:tcPr>
          <w:p>
            <w:pPr>
              <w:jc w:val="center"/>
              <w:ind w:left="239"/>
              <w:spacing w:after="0"/>
              <w:rPr>
                <w:sz w:val="20"/>
                <w:szCs w:val="20"/>
                <w:color w:val="auto"/>
              </w:rPr>
            </w:pPr>
            <w:r>
              <w:rPr>
                <w:rFonts w:ascii="Arial" w:cs="Arial" w:eastAsia="Arial" w:hAnsi="Arial"/>
                <w:sz w:val="16"/>
                <w:szCs w:val="16"/>
                <w:color w:val="auto"/>
              </w:rPr>
              <w:t>February 25, 2019</w:t>
            </w:r>
          </w:p>
        </w:tc>
      </w:tr>
      <w:tr>
        <w:trPr>
          <w:trHeight w:val="190"/>
        </w:trPr>
        <w:tc>
          <w:tcPr>
            <w:tcW w:w="4440" w:type="dxa"/>
            <w:vAlign w:val="bottom"/>
          </w:tcPr>
          <w:p>
            <w:pPr>
              <w:ind w:left="60"/>
              <w:spacing w:after="0"/>
              <w:rPr>
                <w:sz w:val="20"/>
                <w:szCs w:val="20"/>
                <w:color w:val="auto"/>
              </w:rPr>
            </w:pPr>
            <w:r>
              <w:rPr>
                <w:rFonts w:ascii="Arial" w:cs="Arial" w:eastAsia="Arial" w:hAnsi="Arial"/>
                <w:sz w:val="16"/>
                <w:szCs w:val="16"/>
                <w:color w:val="auto"/>
              </w:rPr>
              <w:t>Dennis L. Rediker</w:t>
            </w:r>
          </w:p>
        </w:tc>
        <w:tc>
          <w:tcPr>
            <w:tcW w:w="50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371"/>
        </w:trPr>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 Donald W. Slager</w:t>
            </w:r>
          </w:p>
        </w:tc>
        <w:tc>
          <w:tcPr>
            <w:tcW w:w="502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960" w:type="dxa"/>
            <w:vAlign w:val="bottom"/>
          </w:tcPr>
          <w:p>
            <w:pPr>
              <w:jc w:val="center"/>
              <w:ind w:left="239"/>
              <w:spacing w:after="0"/>
              <w:rPr>
                <w:sz w:val="20"/>
                <w:szCs w:val="20"/>
                <w:color w:val="auto"/>
              </w:rPr>
            </w:pPr>
            <w:r>
              <w:rPr>
                <w:rFonts w:ascii="Arial" w:cs="Arial" w:eastAsia="Arial" w:hAnsi="Arial"/>
                <w:sz w:val="16"/>
                <w:szCs w:val="16"/>
                <w:color w:val="auto"/>
              </w:rPr>
              <w:t>February 25, 2019</w:t>
            </w:r>
          </w:p>
        </w:tc>
      </w:tr>
      <w:tr>
        <w:trPr>
          <w:trHeight w:val="190"/>
        </w:trPr>
        <w:tc>
          <w:tcPr>
            <w:tcW w:w="4440" w:type="dxa"/>
            <w:vAlign w:val="bottom"/>
          </w:tcPr>
          <w:p>
            <w:pPr>
              <w:ind w:left="60"/>
              <w:spacing w:after="0"/>
              <w:rPr>
                <w:sz w:val="20"/>
                <w:szCs w:val="20"/>
                <w:color w:val="auto"/>
              </w:rPr>
            </w:pPr>
            <w:r>
              <w:rPr>
                <w:rFonts w:ascii="Arial" w:cs="Arial" w:eastAsia="Arial" w:hAnsi="Arial"/>
                <w:sz w:val="16"/>
                <w:szCs w:val="16"/>
                <w:color w:val="auto"/>
              </w:rPr>
              <w:t>Donald W. Slager</w:t>
            </w:r>
          </w:p>
        </w:tc>
        <w:tc>
          <w:tcPr>
            <w:tcW w:w="50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371"/>
        </w:trPr>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 Stephen P. Zelnak, Jr.</w:t>
            </w:r>
          </w:p>
        </w:tc>
        <w:tc>
          <w:tcPr>
            <w:tcW w:w="502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960" w:type="dxa"/>
            <w:vAlign w:val="bottom"/>
          </w:tcPr>
          <w:p>
            <w:pPr>
              <w:jc w:val="center"/>
              <w:ind w:left="239"/>
              <w:spacing w:after="0"/>
              <w:rPr>
                <w:sz w:val="20"/>
                <w:szCs w:val="20"/>
                <w:color w:val="auto"/>
              </w:rPr>
            </w:pPr>
            <w:r>
              <w:rPr>
                <w:rFonts w:ascii="Arial" w:cs="Arial" w:eastAsia="Arial" w:hAnsi="Arial"/>
                <w:sz w:val="16"/>
                <w:szCs w:val="16"/>
                <w:color w:val="auto"/>
              </w:rPr>
              <w:t>February 25, 2019</w:t>
            </w:r>
          </w:p>
        </w:tc>
      </w:tr>
      <w:tr>
        <w:trPr>
          <w:trHeight w:val="190"/>
        </w:trPr>
        <w:tc>
          <w:tcPr>
            <w:tcW w:w="4440" w:type="dxa"/>
            <w:vAlign w:val="bottom"/>
          </w:tcPr>
          <w:p>
            <w:pPr>
              <w:ind w:left="60"/>
              <w:spacing w:after="0"/>
              <w:rPr>
                <w:sz w:val="20"/>
                <w:szCs w:val="20"/>
                <w:color w:val="auto"/>
              </w:rPr>
            </w:pPr>
            <w:r>
              <w:rPr>
                <w:rFonts w:ascii="Arial" w:cs="Arial" w:eastAsia="Arial" w:hAnsi="Arial"/>
                <w:sz w:val="16"/>
                <w:szCs w:val="16"/>
                <w:color w:val="auto"/>
              </w:rPr>
              <w:t>Stephen P. Zelnak, Jr.</w:t>
            </w:r>
          </w:p>
        </w:tc>
        <w:tc>
          <w:tcPr>
            <w:tcW w:w="5020" w:type="dxa"/>
            <w:vAlign w:val="bottom"/>
          </w:tcPr>
          <w:p>
            <w:pPr>
              <w:spacing w:after="0"/>
              <w:rPr>
                <w:sz w:val="16"/>
                <w:szCs w:val="16"/>
                <w:color w:val="auto"/>
              </w:rPr>
            </w:pPr>
          </w:p>
        </w:tc>
        <w:tc>
          <w:tcPr>
            <w:tcW w:w="19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123825</wp:posOffset>
            </wp:positionV>
            <wp:extent cx="411480" cy="2489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5">
                      <a:extLst>
                        <a:ext uri="{28A0092B-C50C-407E-A947-70E740481C1C}"/>
                      </a:extLst>
                    </a:blip>
                    <a:srcRect/>
                    <a:stretch>
                      <a:fillRect/>
                    </a:stretch>
                  </pic:blipFill>
                  <pic:spPr bwMode="auto">
                    <a:xfrm>
                      <a:off x="0" y="0"/>
                      <a:ext cx="411480" cy="248920"/>
                    </a:xfrm>
                    <a:prstGeom prst="rect">
                      <a:avLst/>
                    </a:prstGeom>
                    <a:noFill/>
                  </pic:spPr>
                </pic:pic>
              </a:graphicData>
            </a:graphic>
          </wp:anchor>
        </w:drawing>
      </w:r>
    </w:p>
    <w:p>
      <w:pPr>
        <w:spacing w:after="0" w:line="210"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3"/>
          <w:szCs w:val="13"/>
          <w:b w:val="1"/>
          <w:bCs w:val="1"/>
          <w:color w:val="auto"/>
        </w:rPr>
      </w:pPr>
      <w:r>
        <w:rPr>
          <w:rFonts w:ascii="Arial" w:cs="Arial" w:eastAsia="Arial" w:hAnsi="Arial"/>
          <w:sz w:val="13"/>
          <w:szCs w:val="13"/>
          <w:color w:val="007CBA"/>
        </w:rPr>
        <w:t>2018 FORM 10-K</w:t>
      </w:r>
    </w:p>
    <w:p>
      <w:pPr>
        <w:sectPr>
          <w:pgSz w:w="11900" w:h="16838" w:orient="portrait"/>
          <w:cols w:equalWidth="0" w:num="1">
            <w:col w:w="11420"/>
          </w:cols>
          <w:pgMar w:left="240" w:top="459" w:right="239" w:bottom="1440" w:gutter="0" w:footer="0" w:header="0"/>
        </w:sectPr>
      </w:pPr>
    </w:p>
    <w:bookmarkStart w:id="42" w:name="page43"/>
    <w:bookmarkEnd w:id="42"/>
    <w:p>
      <w:pPr>
        <w:ind w:left="10280"/>
        <w:spacing w:after="0"/>
        <w:rPr>
          <w:sz w:val="20"/>
          <w:szCs w:val="20"/>
          <w:color w:val="auto"/>
        </w:rPr>
      </w:pPr>
      <w:r>
        <w:rPr>
          <w:rFonts w:ascii="Arial" w:cs="Arial" w:eastAsia="Arial" w:hAnsi="Arial"/>
          <w:sz w:val="16"/>
          <w:szCs w:val="16"/>
          <w:b w:val="1"/>
          <w:bCs w:val="1"/>
          <w:color w:val="auto"/>
        </w:rPr>
        <w:t>EXHIBIT 10.27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MARTIN MARIETTA MATERIALS, INC.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DIRECTORS’ RESTRICTED STOCK UNIT AWARD AGREEMENT</w:t>
      </w:r>
    </w:p>
    <w:p>
      <w:pPr>
        <w:sectPr>
          <w:pgSz w:w="11900" w:h="16838" w:orient="portrait"/>
          <w:cols w:equalWidth="0" w:num="1">
            <w:col w:w="11420"/>
          </w:cols>
          <w:pgMar w:left="240" w:top="262" w:right="239" w:bottom="1440" w:gutter="0" w:footer="0" w:header="0"/>
        </w:sectPr>
      </w:pPr>
    </w:p>
    <w:p>
      <w:pPr>
        <w:spacing w:after="0" w:line="222"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auto"/>
        </w:rPr>
        <w:t>THIS RESTRICTED STOCK UNIT AWARD AGREEMENT (the “Award Agreement”), made as of North Carolina corporation (the “Corporation”), and (the “Director”).</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between Martin Marietta Materials, Inc., a</w:t>
      </w:r>
    </w:p>
    <w:p>
      <w:pPr>
        <w:spacing w:after="0" w:line="341" w:lineRule="exact"/>
        <w:rPr>
          <w:sz w:val="20"/>
          <w:szCs w:val="20"/>
          <w:color w:val="auto"/>
        </w:rPr>
      </w:pPr>
    </w:p>
    <w:p>
      <w:pPr>
        <w:sectPr>
          <w:pgSz w:w="11900" w:h="16838" w:orient="portrait"/>
          <w:cols w:equalWidth="0" w:num="2">
            <w:col w:w="7700" w:space="720"/>
            <w:col w:w="3000"/>
          </w:cols>
          <w:pgMar w:left="240" w:top="262" w:right="239" w:bottom="1440" w:gutter="0" w:footer="0" w:header="0"/>
          <w:type w:val="continuous"/>
        </w:sectPr>
      </w:pPr>
    </w:p>
    <w:p>
      <w:pPr>
        <w:ind w:left="380" w:hanging="372"/>
        <w:spacing w:after="0"/>
        <w:tabs>
          <w:tab w:leader="none" w:pos="38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GRANT</w:t>
      </w:r>
    </w:p>
    <w:p>
      <w:pPr>
        <w:spacing w:after="0" w:line="130" w:lineRule="exact"/>
        <w:rPr>
          <w:sz w:val="20"/>
          <w:szCs w:val="20"/>
          <w:color w:val="auto"/>
        </w:rPr>
      </w:pPr>
    </w:p>
    <w:p>
      <w:pPr>
        <w:jc w:val="right"/>
        <w:spacing w:after="0" w:line="246" w:lineRule="auto"/>
        <w:rPr>
          <w:sz w:val="20"/>
          <w:szCs w:val="20"/>
          <w:color w:val="auto"/>
        </w:rPr>
      </w:pPr>
      <w:r>
        <w:rPr>
          <w:rFonts w:ascii="Arial" w:cs="Arial" w:eastAsia="Arial" w:hAnsi="Arial"/>
          <w:sz w:val="16"/>
          <w:szCs w:val="16"/>
          <w:color w:val="auto"/>
        </w:rPr>
        <w:t>Pursuant to the Martin Marietta Materials, Inc. Amended and Restated Stock-Based Award Plan (the “Plan”), the Corporation hereby grants the Director Restricted Stock Units on the terms and conditions contained in this Award Agreement, and subject to the terms and conditions of the Plan. The term “Restricted Stock Unit” or “Unit(s)” as used in this Award Agreement refers only to the Restricted Stock Units awarded to the Director under this Award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Agreement.</w:t>
      </w:r>
    </w:p>
    <w:p>
      <w:pPr>
        <w:spacing w:after="0" w:line="153"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GRANT DATE</w:t>
      </w:r>
    </w:p>
    <w:p>
      <w:pPr>
        <w:spacing w:after="0" w:line="130" w:lineRule="exact"/>
        <w:rPr>
          <w:sz w:val="20"/>
          <w:szCs w:val="20"/>
          <w:color w:val="auto"/>
        </w:rPr>
      </w:pPr>
    </w:p>
    <w:p>
      <w:pPr>
        <w:spacing w:after="0"/>
        <w:tabs>
          <w:tab w:leader="none" w:pos="2220" w:val="left"/>
        </w:tabs>
        <w:rPr>
          <w:sz w:val="20"/>
          <w:szCs w:val="20"/>
          <w:color w:val="auto"/>
        </w:rPr>
      </w:pPr>
      <w:r>
        <w:rPr>
          <w:rFonts w:ascii="Arial" w:cs="Arial" w:eastAsia="Arial" w:hAnsi="Arial"/>
          <w:sz w:val="16"/>
          <w:szCs w:val="16"/>
          <w:color w:val="auto"/>
        </w:rPr>
        <w:t>The Grant Date is</w:t>
      </w:r>
      <w:r>
        <w:rPr>
          <w:sz w:val="20"/>
          <w:szCs w:val="20"/>
          <w:color w:val="auto"/>
        </w:rPr>
        <w:tab/>
      </w:r>
      <w:r>
        <w:rPr>
          <w:rFonts w:ascii="Arial" w:cs="Arial" w:eastAsia="Arial" w:hAnsi="Arial"/>
          <w:sz w:val="14"/>
          <w:szCs w:val="14"/>
          <w:color w:val="auto"/>
        </w:rPr>
        <w:t>.</w:t>
      </w:r>
    </w:p>
    <w:p>
      <w:pPr>
        <w:spacing w:after="0" w:line="166"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VESTING OF RESTRICTED STOCK UNITS</w:t>
      </w:r>
    </w:p>
    <w:p>
      <w:pPr>
        <w:spacing w:after="0" w:line="13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Restricted Stock Units granted hereby shall vest immediately, but Stock issuable with respect to Restricted Stock Units shall be delivered as provided in Section 5 or Section 8.</w:t>
      </w:r>
    </w:p>
    <w:p>
      <w:pPr>
        <w:spacing w:after="0" w:line="127" w:lineRule="exact"/>
        <w:rPr>
          <w:sz w:val="20"/>
          <w:szCs w:val="20"/>
          <w:color w:val="auto"/>
        </w:rPr>
      </w:pPr>
    </w:p>
    <w:p>
      <w:pPr>
        <w:ind w:left="380" w:hanging="372"/>
        <w:spacing w:after="0"/>
        <w:tabs>
          <w:tab w:leader="none" w:pos="38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DIVIDEND EQUIVALENTS</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the date that Stock is delivered as provided in Section 5 or Section 8 (each, a “Delivery Date”, and each period commencing on the Grant Date and ending on a Delivery Date, a “Dividend Equivalent Period”), dividend equivalents will be credited to the Director in an amount equal to the aggregate amount of dividends paid on a share of Stock during the applicable Dividend Equivalent Period multiplied by the number of Restricted Stock Units settled on such Delivery Date. The dividend equivalent amounts shall be paid as soon as practicable following the applicable Delivery Date (but in no event later than 60 days following such Delivery Date) from the general assets of the Corporation and shall be treated and reported as additional compensation for the year in which payment is made.</w:t>
      </w:r>
    </w:p>
    <w:p>
      <w:pPr>
        <w:spacing w:after="0" w:line="328"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AWARD PAYOUT</w:t>
      </w:r>
    </w:p>
    <w:p>
      <w:pPr>
        <w:spacing w:after="0" w:line="143" w:lineRule="exact"/>
        <w:rPr>
          <w:sz w:val="20"/>
          <w:szCs w:val="20"/>
          <w:color w:val="auto"/>
        </w:rPr>
      </w:pPr>
    </w:p>
    <w:p>
      <w:pPr>
        <w:jc w:val="both"/>
        <w:ind w:left="340" w:hanging="332"/>
        <w:spacing w:after="0" w:line="250"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Except as otherwise provided in an election form provided by the Director on or before December 31 of the calendar year preceding the calendar year in which this Award is granted (or, for a newly-elected director, before the effective date of the Director’s commencement of service as a Director) (the “Election Form”), fifty percent (50%) of the Restricted Stock Units granted hereunder will be converted into shares of Stock and delivered to the Director as soon as practicable following termination of the Director’s service on the Board of Directors (but in no event later than 60 days following such termination of service).</w:t>
      </w:r>
    </w:p>
    <w:p>
      <w:pPr>
        <w:spacing w:after="0" w:line="300"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other fifty percent (50%) (or, if the Director timely files an Election Form, the percentage not deliverable as provided in Section 5(a)) of the Restricted Stock Units granted hereunder will be converted into shares of Stock and delivered to the Director as soon as practicable following the Grant Date (but in no event later than 60 days following the Grant Date).</w:t>
      </w:r>
    </w:p>
    <w:p>
      <w:pPr>
        <w:spacing w:after="0" w:line="106"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Director may timely file an Election Form to increase the percentage of Restricted Stock Units granted hereunder that are deliverable as provided in Section 5(a) from fifty percent (50%) to any whole percentage greater than fifty percent (50%) and less than or equal to one hundred percent (100%).</w:t>
      </w:r>
    </w:p>
    <w:p>
      <w:pPr>
        <w:spacing w:after="0" w:line="101"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 purposes of determining the number of shares of Stock deliverable to the Director under this Section 5, the conversion from Units to Stock will be one Unit for one share of Stock.</w:t>
      </w:r>
    </w:p>
    <w:p>
      <w:pPr>
        <w:spacing w:after="0" w:line="101" w:lineRule="exact"/>
        <w:rPr>
          <w:rFonts w:ascii="Arial" w:cs="Arial" w:eastAsia="Arial" w:hAnsi="Arial"/>
          <w:sz w:val="16"/>
          <w:szCs w:val="16"/>
          <w:color w:val="auto"/>
        </w:rPr>
      </w:pPr>
    </w:p>
    <w:p>
      <w:pPr>
        <w:jc w:val="both"/>
        <w:ind w:left="340" w:hanging="332"/>
        <w:spacing w:after="0" w:line="258"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Notwithstanding any elections made pursuant to this Section 5, if the Director dies while serving on the Board of Directors, then all outstanding Units shall be immediately converted into shares of Stock and delivered to the Director’s estate or beneficiary (but in no event later than 60 days following such death).</w:t>
      </w:r>
    </w:p>
    <w:p>
      <w:pPr>
        <w:sectPr>
          <w:pgSz w:w="11900" w:h="16838" w:orient="portrait"/>
          <w:cols w:equalWidth="0" w:num="1">
            <w:col w:w="11420"/>
          </w:cols>
          <w:pgMar w:left="240" w:top="262" w:right="239" w:bottom="1440" w:gutter="0" w:footer="0" w:header="0"/>
          <w:type w:val="continuous"/>
        </w:sectPr>
      </w:pPr>
    </w:p>
    <w:bookmarkStart w:id="43" w:name="page44"/>
    <w:bookmarkEnd w:id="43"/>
    <w:p>
      <w:pPr>
        <w:ind w:left="340" w:hanging="332"/>
        <w:spacing w:after="0"/>
        <w:tabs>
          <w:tab w:leader="none" w:pos="34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TRANSFERABLE ONLY UPON DEATH</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This Restricted Stock Unit grant shall not be assignable or transferable by the Director except by will or the laws of descent and distribution.</w:t>
      </w:r>
    </w:p>
    <w:p>
      <w:pPr>
        <w:spacing w:after="0" w:line="153"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TAX WITHHOLDING</w:t>
      </w:r>
    </w:p>
    <w:p>
      <w:pPr>
        <w:spacing w:after="0" w:line="13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Except as otherwise required by law, the Corporation will not withhold any taxes at the time of vesting or distribution in accordance with Section 5. The Director is responsible for the payment of any applicable taxes.</w:t>
      </w:r>
    </w:p>
    <w:p>
      <w:pPr>
        <w:spacing w:after="0" w:line="141"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CHANGE IN CONTROL</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the event of a Change in Control that is a “change in the ownership or effective control” of the Corporation or “a change in the ownership of a substantial portion of the assets of” the Corporation (in each case, within the meaning of Section 409A of the Internal Revenue Code of 1986, as amended), all outstanding Units shall convert to shares of Stock. Such shares will be distributed no later than 60 days following the date of such Change in Control.</w:t>
      </w:r>
    </w:p>
    <w:p>
      <w:pPr>
        <w:spacing w:after="0" w:line="133"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AMENDMENT AND TERMINATION OF PLAN OR AWARDS</w:t>
      </w:r>
    </w:p>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As provided in Section 7 of the Plan, subject to certain limitations contained within Section 7, the Board of Directors may at any time amend, suspend or discontinue the Plan and the Committee may at any time alter or amend all Award Agreements under the Plan. Notwithstanding Section 7 of the Plan, no such amendment, suspension or discontinuance of the Plan or alteration or amendment of this Award Agreement shall accelerate any distribution under the Plan or, except with the Director’s express written consent, adversely affect any Restricted Stock Unit granted under this Award Agreement; provided, however, that the Board of Directors or the Committee may amend the Plan or this Award Agreement to the extent it deems appropriate to cause this Agreement or the Units hereunder to comply with Section 409A of the Code (“Section 409A”) (including the distribution requirements thereunder) or be exempt from Section 409A or the tax penalty under Section 409A(a)(1)(B). If the Plan and the Award Agreement are terminated in a manner consistent with the requirements of Treas. Reg.</w:t>
      </w:r>
    </w:p>
    <w:p>
      <w:pPr>
        <w:spacing w:after="0" w:line="3" w:lineRule="exact"/>
        <w:rPr>
          <w:sz w:val="20"/>
          <w:szCs w:val="20"/>
          <w:color w:val="auto"/>
        </w:rPr>
      </w:pPr>
    </w:p>
    <w:p>
      <w:pPr>
        <w:ind w:firstLine="8"/>
        <w:spacing w:after="0" w:line="260" w:lineRule="auto"/>
        <w:tabs>
          <w:tab w:leader="none" w:pos="149" w:val="left"/>
        </w:tabs>
        <w:numPr>
          <w:ilvl w:val="0"/>
          <w:numId w:val="50"/>
        </w:numPr>
        <w:rPr>
          <w:rFonts w:ascii="Arial" w:cs="Arial" w:eastAsia="Arial" w:hAnsi="Arial"/>
          <w:sz w:val="16"/>
          <w:szCs w:val="16"/>
          <w:color w:val="auto"/>
        </w:rPr>
      </w:pPr>
      <w:r>
        <w:rPr>
          <w:rFonts w:ascii="Arial" w:cs="Arial" w:eastAsia="Arial" w:hAnsi="Arial"/>
          <w:sz w:val="16"/>
          <w:szCs w:val="16"/>
          <w:color w:val="auto"/>
        </w:rPr>
        <w:t>1.409A-3(j)(4)(ix), the Board of Directors may, in its sole discretion, accelerate the conversion of Units to shares of Stock and immediately distribute such shares of Stock to the Director.</w:t>
      </w:r>
    </w:p>
    <w:p>
      <w:pPr>
        <w:spacing w:after="0" w:line="127" w:lineRule="exact"/>
        <w:rPr>
          <w:sz w:val="20"/>
          <w:szCs w:val="20"/>
          <w:color w:val="auto"/>
        </w:rPr>
      </w:pPr>
    </w:p>
    <w:p>
      <w:pPr>
        <w:ind w:left="440" w:hanging="432"/>
        <w:spacing w:after="0"/>
        <w:tabs>
          <w:tab w:leader="none" w:pos="44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EXECUTION OF AWARD AGREEMENT</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No Restricted Stock Unit granted under this Award Agreement is distributable nor is this Award Agreement enforceable until this Award Agreement has been fully executed by the Corporation and the Director. By executing this Award Agreement, the Director shall be deemed to have accepted and consented to any action taken under the Plan by the Committee, the Board of Directors or their delegates.</w:t>
      </w:r>
    </w:p>
    <w:p>
      <w:pPr>
        <w:spacing w:after="0" w:line="146" w:lineRule="exact"/>
        <w:rPr>
          <w:sz w:val="20"/>
          <w:szCs w:val="20"/>
          <w:color w:val="auto"/>
        </w:rPr>
      </w:pPr>
    </w:p>
    <w:p>
      <w:pPr>
        <w:ind w:left="440" w:hanging="432"/>
        <w:spacing w:after="0"/>
        <w:tabs>
          <w:tab w:leader="none" w:pos="44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143" w:lineRule="exact"/>
        <w:rPr>
          <w:sz w:val="20"/>
          <w:szCs w:val="20"/>
          <w:color w:val="auto"/>
        </w:rPr>
      </w:pPr>
    </w:p>
    <w:p>
      <w:pPr>
        <w:jc w:val="both"/>
        <w:ind w:left="340" w:hanging="332"/>
        <w:spacing w:after="0" w:line="251"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Nothing contained in the Award Agreement confers on the Director the rights of a shareholder with respect to this Restricted Stock Unit award during the applicable Dividend Equivalent Period and before the Director becomes the holder of record of the shares of Stock payable. Except as provided in Section 9 of the Plan, no adjustment will be made for dividends or other rights, and grants of dividend equivalents pursuant to Section 4 will not be considered to be a grant of any other shareholder right.</w:t>
      </w:r>
    </w:p>
    <w:p>
      <w:pPr>
        <w:spacing w:after="0" w:line="108"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 purposes of this Award Agreement, the Director will be considered to be in the service of the Corporation during an approved leave of absence unless otherwise provided in an agreement between the Director and the Corporation.</w:t>
      </w:r>
    </w:p>
    <w:p>
      <w:pPr>
        <w:spacing w:after="0" w:line="101"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Nothing contained in this Award Agreement or in any Restricted Stock Unit granted hereunder shall confer upon any Director any right of continued service by the Corporation, expressed or implied, nor limit in any way the right of the Corporation to terminate the Director’s service on the Board of Directors at any time.</w:t>
      </w:r>
    </w:p>
    <w:p>
      <w:pPr>
        <w:spacing w:after="0" w:line="106"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Except as provided under Section 6 herein, neither these Units nor any of the rights or obligations hereunder shall be assigned or delegated by either party hereto.</w:t>
      </w:r>
    </w:p>
    <w:p>
      <w:pPr>
        <w:spacing w:after="0" w:line="101" w:lineRule="exact"/>
        <w:rPr>
          <w:rFonts w:ascii="Arial" w:cs="Arial" w:eastAsia="Arial" w:hAnsi="Arial"/>
          <w:sz w:val="16"/>
          <w:szCs w:val="16"/>
          <w:color w:val="auto"/>
        </w:rPr>
      </w:pPr>
    </w:p>
    <w:p>
      <w:pPr>
        <w:ind w:left="340" w:hanging="332"/>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Capitalized terms used but not defined in this Award Agreement shall have the meanings assigned to such terms in the Plan.</w:t>
      </w:r>
    </w:p>
    <w:p>
      <w:pPr>
        <w:spacing w:after="0" w:line="126" w:lineRule="exact"/>
        <w:rPr>
          <w:rFonts w:ascii="Arial" w:cs="Arial" w:eastAsia="Arial" w:hAnsi="Arial"/>
          <w:sz w:val="16"/>
          <w:szCs w:val="16"/>
          <w:color w:val="auto"/>
        </w:rPr>
      </w:pPr>
    </w:p>
    <w:p>
      <w:pPr>
        <w:ind w:left="340" w:hanging="332"/>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 the extent there is a conflict between the terms of the Plan and this Award Agreement, the terms of the Plan shall govern.</w:t>
      </w:r>
    </w:p>
    <w:p>
      <w:pPr>
        <w:sectPr>
          <w:pgSz w:w="11900" w:h="16838" w:orient="portrait"/>
          <w:cols w:equalWidth="0" w:num="1">
            <w:col w:w="11420"/>
          </w:cols>
          <w:pgMar w:left="240" w:top="262" w:right="239" w:bottom="1440" w:gutter="0" w:footer="0" w:header="0"/>
        </w:sectPr>
      </w:pPr>
    </w:p>
    <w:bookmarkStart w:id="44" w:name="page45"/>
    <w:bookmarkEnd w:id="44"/>
    <w:p>
      <w:pPr>
        <w:ind w:left="440" w:hanging="432"/>
        <w:spacing w:after="0"/>
        <w:tabs>
          <w:tab w:leader="none" w:pos="44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p>
    <w:p>
      <w:pPr>
        <w:spacing w:after="0" w:line="13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Notices and all other communications provided for in this Award Agreement shall be in writing and shall be deemed to have been duly given when personally delivered or when mailed by overnight mail courier service, postage prepaid, addressed as follows: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If to the Director, to the most recent address on file with the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If to the Corporation, to:</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Martin Marietta Materials,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2710 Wycliff Road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Raleigh, NC 27607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Fax: (919) 783-4535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Attn: Corporate Secretary</w:t>
      </w:r>
    </w:p>
    <w:p>
      <w:pPr>
        <w:spacing w:after="0" w:line="18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or to such other address or such other person as the Director or the Corporation shall designate in writing in accordance with this Section 12, except that notices regarding changes in notices shall be effective only upon receipt.</w:t>
      </w:r>
    </w:p>
    <w:p>
      <w:pPr>
        <w:spacing w:after="0" w:line="141" w:lineRule="exact"/>
        <w:rPr>
          <w:sz w:val="20"/>
          <w:szCs w:val="20"/>
          <w:color w:val="auto"/>
        </w:rPr>
      </w:pPr>
    </w:p>
    <w:p>
      <w:pPr>
        <w:ind w:left="440" w:hanging="432"/>
        <w:spacing w:after="0"/>
        <w:tabs>
          <w:tab w:leader="none" w:pos="44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This Award Agreement shall be governed by the laws of the State of North Carolina.</w:t>
      </w:r>
    </w:p>
    <w:p>
      <w:pPr>
        <w:spacing w:after="0" w:line="18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WITNESS WHEREOF, the Corporation has caused this Award Agreement to be executed and the Director has hereunto set his hand as of the day and year first above written.</w:t>
      </w:r>
    </w:p>
    <w:p>
      <w:pPr>
        <w:spacing w:after="0" w:line="168"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MARTIN MARIETTA MATERIALS, INC.</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1905</wp:posOffset>
            </wp:positionV>
            <wp:extent cx="27101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2" w:lineRule="exact"/>
        <w:rPr>
          <w:sz w:val="20"/>
          <w:szCs w:val="20"/>
          <w:color w:val="auto"/>
        </w:rPr>
      </w:pPr>
    </w:p>
    <w:p>
      <w:pPr>
        <w:ind w:left="7520"/>
        <w:spacing w:after="0"/>
        <w:rPr>
          <w:sz w:val="20"/>
          <w:szCs w:val="20"/>
          <w:color w:val="auto"/>
        </w:rPr>
      </w:pPr>
      <w:r>
        <w:rPr>
          <w:rFonts w:ascii="Arial" w:cs="Arial" w:eastAsia="Arial" w:hAnsi="Arial"/>
          <w:sz w:val="16"/>
          <w:szCs w:val="16"/>
          <w:color w:val="auto"/>
        </w:rPr>
        <w:t>Roselyn Bar</w:t>
      </w:r>
    </w:p>
    <w:p>
      <w:pPr>
        <w:spacing w:after="0" w:line="5" w:lineRule="exact"/>
        <w:rPr>
          <w:sz w:val="20"/>
          <w:szCs w:val="20"/>
          <w:color w:val="auto"/>
        </w:rPr>
      </w:pPr>
    </w:p>
    <w:p>
      <w:pPr>
        <w:ind w:left="7820"/>
        <w:spacing w:after="0"/>
        <w:rPr>
          <w:sz w:val="20"/>
          <w:szCs w:val="20"/>
          <w:color w:val="auto"/>
        </w:rPr>
      </w:pPr>
      <w:r>
        <w:rPr>
          <w:rFonts w:ascii="Arial" w:cs="Arial" w:eastAsia="Arial" w:hAnsi="Arial"/>
          <w:sz w:val="16"/>
          <w:szCs w:val="16"/>
          <w:color w:val="auto"/>
        </w:rPr>
        <w:t>Executive Vice President, General Counsel and</w:t>
      </w:r>
    </w:p>
    <w:p>
      <w:pPr>
        <w:spacing w:after="0" w:line="5" w:lineRule="exact"/>
        <w:rPr>
          <w:sz w:val="20"/>
          <w:szCs w:val="20"/>
          <w:color w:val="auto"/>
        </w:rPr>
      </w:pPr>
    </w:p>
    <w:p>
      <w:pPr>
        <w:ind w:left="7520"/>
        <w:spacing w:after="0"/>
        <w:rPr>
          <w:sz w:val="20"/>
          <w:szCs w:val="20"/>
          <w:color w:val="auto"/>
        </w:rPr>
      </w:pPr>
      <w:r>
        <w:rPr>
          <w:rFonts w:ascii="Arial" w:cs="Arial" w:eastAsia="Arial" w:hAnsi="Arial"/>
          <w:sz w:val="16"/>
          <w:szCs w:val="16"/>
          <w:color w:val="auto"/>
        </w:rPr>
        <w:t>Corporate Secretary</w:t>
      </w:r>
    </w:p>
    <w:p>
      <w:pPr>
        <w:spacing w:after="0" w:line="342"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DIRECTOR</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1905</wp:posOffset>
            </wp:positionV>
            <wp:extent cx="27101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2" w:lineRule="exact"/>
        <w:rPr>
          <w:sz w:val="20"/>
          <w:szCs w:val="20"/>
          <w:color w:val="auto"/>
        </w:rPr>
      </w:pPr>
    </w:p>
    <w:p>
      <w:pPr>
        <w:ind w:left="7520"/>
        <w:spacing w:after="0"/>
        <w:rPr>
          <w:sz w:val="20"/>
          <w:szCs w:val="20"/>
          <w:color w:val="auto"/>
        </w:rPr>
      </w:pPr>
      <w:r>
        <w:rPr>
          <w:rFonts w:ascii="Arial" w:cs="Arial" w:eastAsia="Arial" w:hAnsi="Arial"/>
          <w:sz w:val="16"/>
          <w:szCs w:val="16"/>
          <w:color w:val="auto"/>
        </w:rPr>
        <w:t>(Director’s Signature)</w:t>
      </w:r>
    </w:p>
    <w:p>
      <w:pPr>
        <w:sectPr>
          <w:pgSz w:w="11900" w:h="16838" w:orient="portrait"/>
          <w:cols w:equalWidth="0" w:num="1">
            <w:col w:w="11420"/>
          </w:cols>
          <w:pgMar w:left="240" w:top="262"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13.01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85CD"/>
        </w:rPr>
        <w:t>STATEMENT OF FINANCIAL RESPONSIBILITY AND MANAGEMENT’S REPORT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85CD"/>
        </w:rPr>
        <w:t>ON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Statement of Responsibility</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management of Martin Marietta Materials, Inc. (the “Company” or “Martin Marietta”) is responsible for the consolidated financial statements, the related financial information contained in this 2018 Annual Report and the establishment and maintenance of adequate internal control over financial reporting. The consolidated balance sheets for Martin Marietta, at December 31, 2018 and 2017, and the related consolidated statements of earnings, comprehensive earnings, total equity and cash flows for each of the three years in the period ended December 31, 2018, include amounts based on estimates and judgments and have been prepared in accordance with accounting principles generally accepted in the United States applied on a consistent basis.</w:t>
      </w:r>
    </w:p>
    <w:p>
      <w:pPr>
        <w:spacing w:after="0" w:line="9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 system of internal control over financial reporting is designed to provide reasonable assurance, in a cost-effective manner, that assets are safeguarded, transactions are executed and recorded in accordance with management’s authorization, accountability for assets is maintained and financial statements are prepared and presented fairly in accordance with accounting principles generally accepted in the United States. Internal control systems over financial reporting have inherent limitations and may not prevent or detect misstatements. Therefore, even those systems determined to be effective can provide only reasonable assurance with respect to financial statement preparation and presentation.</w:t>
      </w:r>
    </w:p>
    <w:p>
      <w:pPr>
        <w:spacing w:after="0" w:line="9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Company operates in an environment that establishes an appropriate system of internal control over financial reporting and ensures that the system is maintained, assessed and monitored on a periodic basis. This internal control system includes examinations by internal audit staff and oversight by the Audit Committee of the Board of Directors.</w:t>
      </w:r>
    </w:p>
    <w:p>
      <w:pPr>
        <w:spacing w:after="0" w:line="9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 xml:space="preserve">The Company’s management recognizes its responsibility to foster a strong ethical climate. Management has issued written policy statements that document the Company’s business code of ethics. The importance of ethical behavior is regularly communicated to all employees through the distribution of the </w:t>
      </w:r>
      <w:r>
        <w:rPr>
          <w:rFonts w:ascii="Arial" w:cs="Arial" w:eastAsia="Arial" w:hAnsi="Arial"/>
          <w:sz w:val="17"/>
          <w:szCs w:val="17"/>
          <w:i w:val="1"/>
          <w:iCs w:val="1"/>
          <w:color w:val="auto"/>
        </w:rPr>
        <w:t>Code of Ethical Business Conduct</w:t>
      </w:r>
      <w:r>
        <w:rPr>
          <w:rFonts w:ascii="Arial" w:cs="Arial" w:eastAsia="Arial" w:hAnsi="Arial"/>
          <w:sz w:val="17"/>
          <w:szCs w:val="17"/>
          <w:color w:val="auto"/>
        </w:rPr>
        <w:t xml:space="preserve"> booklet and through ongoing education and review programs designed to create a strong commitment to ethical business practices.</w:t>
      </w:r>
    </w:p>
    <w:p>
      <w:pPr>
        <w:spacing w:after="0" w:line="9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Audit Committee of the Board of Directors, which consists of four independent, nonemployee directors, meets periodically and separately with management, the independent auditors and the internal auditors to review the activities of each. The Audit Committee meets standards established by the Securities and Exchange Commission (SEC) and the New York Stock Exchange (NYSE) as they relate to the composition and practices of audit committees.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The management of Martin Marietta is responsible for establishing and maintaining adequate internal control over financial reporting. Management assessed the effectiveness of the Company’s internal control over financial reporting as of December 31, 2018. In making this assessment, management used the criteria set forth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(2013 framework) (COSO). Based on management’s assessment under the 2013 framework, management concluded that the Company’s internal control over financial reporting was effective as of December 31, 2018.</w:t>
      </w:r>
    </w:p>
    <w:p>
      <w:pPr>
        <w:spacing w:after="0" w:line="96"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Management has excluded certain elements of the internal control over financial reporting of Bluegrass Materials Company (Bluegrass) from its assessment of the Company’s internal control over financial reporting as of December 31, 2018 because it was acquired by the Company in a purchase business combination during 2018. Subsequent to the acquisition, certain elements of Bluegrass’ internal control over financial reporting and related processes were integrated into the Company’s existing systems and internal control over financial reporting. Those controls that were not integrated have been excluded from management’s assessment of the effectiveness of internal control over financial reporting as of December 31, 2018. The excluded elements represent controls over accounts of less than 1% of consolidated assets and 4% of consolidated total revenues as of and for the year ended December 31, 2018.</w:t>
      </w:r>
    </w:p>
    <w:p>
      <w:pPr>
        <w:spacing w:after="0" w:line="97"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consolidated financial statements of the Company as of December 31, 2018 and 2017, and for each of the three years in the period ended December 31, 2018, and the effectiveness of the Company’s internal control over financial reporting as of December 31, 2018, has been audited by PricewaterhouseCoopers LLP, an independent registered public accounting firm, whose report appears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1252220" cy="394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0">
                      <a:extLst>
                        <a:ext uri="{28A0092B-C50C-407E-A947-70E740481C1C}"/>
                      </a:extLst>
                    </a:blip>
                    <a:srcRect/>
                    <a:stretch>
                      <a:fillRect/>
                    </a:stretch>
                  </pic:blipFill>
                  <pic:spPr bwMode="auto">
                    <a:xfrm>
                      <a:off x="0" y="0"/>
                      <a:ext cx="1252220" cy="39433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226060</wp:posOffset>
            </wp:positionV>
            <wp:extent cx="1629410" cy="420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1">
                      <a:extLst>
                        <a:ext uri="{28A0092B-C50C-407E-A947-70E740481C1C}"/>
                      </a:extLst>
                    </a:blip>
                    <a:srcRect/>
                    <a:stretch>
                      <a:fillRect/>
                    </a:stretch>
                  </pic:blipFill>
                  <pic:spPr bwMode="auto">
                    <a:xfrm>
                      <a:off x="0" y="0"/>
                      <a:ext cx="1629410" cy="42037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C. Howard Nye,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President and Chief Executive Officer</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February 25,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James A. J. Nickolas,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Vice President and Chief Financial Officer</w:t>
      </w:r>
    </w:p>
    <w:p>
      <w:pPr>
        <w:spacing w:after="0" w:line="362" w:lineRule="exact"/>
        <w:rPr>
          <w:sz w:val="20"/>
          <w:szCs w:val="20"/>
          <w:color w:val="auto"/>
        </w:rPr>
      </w:pPr>
    </w:p>
    <w:p>
      <w:pPr>
        <w:sectPr>
          <w:pgSz w:w="11900" w:h="16838" w:orient="portrait"/>
          <w:cols w:equalWidth="0" w:num="2">
            <w:col w:w="5200" w:space="720"/>
            <w:col w:w="5500"/>
          </w:cols>
          <w:pgMar w:left="240" w:top="118" w:right="239" w:bottom="1440" w:gutter="0" w:footer="0" w:header="0"/>
          <w:type w:val="continuous"/>
        </w:sectPr>
      </w:pPr>
    </w:p>
    <w:p>
      <w:pPr>
        <w:ind w:left="4820"/>
        <w:spacing w:after="0"/>
        <w:rPr>
          <w:sz w:val="20"/>
          <w:szCs w:val="20"/>
          <w:color w:val="auto"/>
        </w:rPr>
      </w:pPr>
      <w:r>
        <w:rPr>
          <w:rFonts w:ascii="Arial" w:cs="Arial" w:eastAsia="Arial" w:hAnsi="Arial"/>
          <w:sz w:val="15"/>
          <w:szCs w:val="15"/>
          <w:b w:val="1"/>
          <w:bCs w:val="1"/>
          <w:color w:val="4D5358"/>
        </w:rPr>
        <w:t>Martin Marietta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0085CD"/>
        </w:rPr>
        <w:t>Page 7</w:t>
      </w:r>
    </w:p>
    <w:p>
      <w:pPr>
        <w:sectPr>
          <w:pgSz w:w="11900" w:h="16838" w:orient="portrait"/>
          <w:cols w:equalWidth="0" w:num="2">
            <w:col w:w="6040" w:space="80"/>
            <w:col w:w="5300"/>
          </w:cols>
          <w:pgMar w:left="240" w:top="118" w:right="23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INDEPENDENT REGISTERED PUBLIC ACCOUNTING FIRM</w:t>
      </w:r>
    </w:p>
    <w:p>
      <w:pPr>
        <w:spacing w:after="0" w:line="200" w:lineRule="exact"/>
        <w:rPr>
          <w:sz w:val="20"/>
          <w:szCs w:val="20"/>
          <w:color w:val="auto"/>
        </w:rPr>
      </w:pPr>
    </w:p>
    <w:p>
      <w:pPr>
        <w:spacing w:after="0" w:line="224" w:lineRule="exact"/>
        <w:rPr>
          <w:sz w:val="20"/>
          <w:szCs w:val="20"/>
          <w:color w:val="auto"/>
        </w:rPr>
      </w:pPr>
    </w:p>
    <w:p>
      <w:pPr>
        <w:ind w:right="5120"/>
        <w:spacing w:after="0" w:line="310" w:lineRule="auto"/>
        <w:rPr>
          <w:sz w:val="20"/>
          <w:szCs w:val="20"/>
          <w:color w:val="auto"/>
        </w:rPr>
      </w:pPr>
      <w:r>
        <w:rPr>
          <w:rFonts w:ascii="Arial" w:cs="Arial" w:eastAsia="Arial" w:hAnsi="Arial"/>
          <w:sz w:val="17"/>
          <w:szCs w:val="17"/>
          <w:b w:val="1"/>
          <w:bCs w:val="1"/>
          <w:color w:val="auto"/>
        </w:rPr>
        <w:t xml:space="preserve">To the Board of Directors and Shareholders of Martin Marietta Materials, Inc. </w:t>
      </w:r>
      <w:r>
        <w:rPr>
          <w:rFonts w:ascii="Arial" w:cs="Arial" w:eastAsia="Arial" w:hAnsi="Arial"/>
          <w:sz w:val="17"/>
          <w:szCs w:val="17"/>
          <w:i w:val="1"/>
          <w:iCs w:val="1"/>
          <w:color w:val="auto"/>
        </w:rPr>
        <w:t>Opinions on the Financial Statements and Internal Control over Financial Reporting</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 xml:space="preserve">We have audited the accompanying consolidated balance sheets of Martin Marietta Materials, Inc. and its subsidiaries (the “Company”) as of December 31, 2018 and 2017, and the related consolidated statements of earnings, comprehensive earnings, total equity, and cash flows for each of the three years in the period ended December 31, 2018, including the related notes and schedule of valuation and qualifying accounts for each of the three years in the period ended December 31, 2018 appearing under Item 15(a)(2) (collectively referred to as the “consolidated financial statements”). We also have audited the Company’s internal control over financial reporting as of December 31, 2018, based on criteria established in </w:t>
      </w:r>
      <w:r>
        <w:rPr>
          <w:rFonts w:ascii="Arial" w:cs="Arial" w:eastAsia="Arial" w:hAnsi="Arial"/>
          <w:sz w:val="17"/>
          <w:szCs w:val="17"/>
          <w:i w:val="1"/>
          <w:iCs w:val="1"/>
          <w:color w:val="auto"/>
        </w:rPr>
        <w:t>Internal Control</w:t>
      </w:r>
    </w:p>
    <w:p>
      <w:pPr>
        <w:spacing w:after="0" w:line="1" w:lineRule="exact"/>
        <w:rPr>
          <w:sz w:val="20"/>
          <w:szCs w:val="20"/>
          <w:color w:val="auto"/>
        </w:rPr>
      </w:pPr>
    </w:p>
    <w:p>
      <w:pPr>
        <w:ind w:left="120" w:hanging="112"/>
        <w:spacing w:after="0"/>
        <w:tabs>
          <w:tab w:leader="none" w:pos="120" w:val="left"/>
        </w:tabs>
        <w:numPr>
          <w:ilvl w:val="0"/>
          <w:numId w:val="5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(2013) issued by the Committee of Sponsoring Organizations of the Treadway Commission (COSO).</w:t>
      </w:r>
    </w:p>
    <w:p>
      <w:pPr>
        <w:spacing w:after="0" w:line="10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COSO.</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Opinions</w:t>
      </w:r>
    </w:p>
    <w:p>
      <w:pPr>
        <w:spacing w:after="0" w:line="1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96"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As described in Management’s Report on Internal Control over Financial Reporting, management has excluded certain elements of the internal control over financial reporting of Bluegrass Materials Company from its assessment of the Company’s internal control over financial reporting as of December 31, 2018 because it was acquired by the Company in a purchase business combination during 2018. Subsequent to the acquisition, certain elements of Bluegrass Materials Company’s internal control over financial reporting and related processes were integrated into the Company’s existing systems and internal control over financial reporting. Those controls that were not integrated have been excluded from management’s assessment of the effectiveness of internal control over financial reporting as of December 31, 2018. We have also excluded these elements of the internal control over financial reporting of Bluegrass Materials Company from our audit of the Company’s internal control over financial reporting. The excluded elements represent controls over less than 1% of consolidated assets and 4% of the consolidated total revenues.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w:t>
      </w:r>
    </w:p>
    <w:p>
      <w:pPr>
        <w:sectPr>
          <w:pgSz w:w="11900" w:h="16838" w:orient="portrait"/>
          <w:cols w:equalWidth="0" w:num="1">
            <w:col w:w="11420"/>
          </w:cols>
          <w:pgMar w:left="240" w:top="265"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9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5" w:lineRule="exact"/>
        <w:rPr>
          <w:sz w:val="20"/>
          <w:szCs w:val="20"/>
          <w:color w:val="auto"/>
        </w:rPr>
      </w:pPr>
    </w:p>
    <w:p>
      <w:pPr>
        <w:ind w:left="6400"/>
        <w:spacing w:after="0"/>
        <w:rPr>
          <w:sz w:val="20"/>
          <w:szCs w:val="20"/>
          <w:color w:val="auto"/>
        </w:rPr>
      </w:pPr>
      <w:r>
        <w:rPr>
          <w:rFonts w:ascii="Arial" w:cs="Arial" w:eastAsia="Arial" w:hAnsi="Arial"/>
          <w:sz w:val="19"/>
          <w:szCs w:val="19"/>
          <w:b w:val="1"/>
          <w:bCs w:val="1"/>
          <w:color w:val="auto"/>
        </w:rPr>
        <w:t>/s/ PricewaterhouseCoopers LLP</w:t>
      </w:r>
    </w:p>
    <w:p>
      <w:pPr>
        <w:spacing w:after="0" w:line="11"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We have served as the Company’s auditor since 2016.</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Raleigh, North Carolina</w:t>
      </w:r>
    </w:p>
    <w:p>
      <w:pPr>
        <w:spacing w:after="0"/>
        <w:rPr>
          <w:sz w:val="20"/>
          <w:szCs w:val="20"/>
          <w:color w:val="auto"/>
        </w:rPr>
      </w:pPr>
      <w:r>
        <w:rPr>
          <w:rFonts w:ascii="Arial" w:cs="Arial" w:eastAsia="Arial" w:hAnsi="Arial"/>
          <w:sz w:val="17"/>
          <w:szCs w:val="17"/>
          <w:color w:val="auto"/>
        </w:rPr>
        <w:t>February 25, 2019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9</w:t>
      </w:r>
    </w:p>
    <w:p>
      <w:pPr>
        <w:sectPr>
          <w:pgSz w:w="11900" w:h="16838" w:orient="portrait"/>
          <w:cols w:equalWidth="0" w:num="1">
            <w:col w:w="11420"/>
          </w:cols>
          <w:pgMar w:left="240" w:top="26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5574030" cy="291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5574030" cy="291465"/>
                    </a:xfrm>
                    <a:prstGeom prst="rect">
                      <a:avLst/>
                    </a:prstGeom>
                    <a:noFill/>
                  </pic:spPr>
                </pic:pic>
              </a:graphicData>
            </a:graphic>
          </wp:anchor>
        </w:drawing>
        <w:t xml:space="preserve">CONSOLIDATED STATEMENTS OF EARNINGS </w:t>
      </w:r>
      <w:r>
        <w:rPr>
          <w:rFonts w:ascii="Arial" w:cs="Arial" w:eastAsia="Arial" w:hAnsi="Arial"/>
          <w:sz w:val="18"/>
          <w:szCs w:val="18"/>
          <w:color w:val="FFFFFF"/>
        </w:rPr>
        <w:t>for years ended December 31</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7660" w:type="dxa"/>
            <w:vAlign w:val="bottom"/>
            <w:gridSpan w:val="2"/>
          </w:tcPr>
          <w:p>
            <w:pPr>
              <w:spacing w:after="0"/>
              <w:rPr>
                <w:sz w:val="20"/>
                <w:szCs w:val="20"/>
                <w:color w:val="auto"/>
              </w:rPr>
            </w:pPr>
            <w:r>
              <w:rPr>
                <w:rFonts w:ascii="Arial" w:cs="Arial" w:eastAsia="Arial" w:hAnsi="Arial"/>
                <w:sz w:val="16"/>
                <w:szCs w:val="16"/>
                <w:color w:val="auto"/>
              </w:rPr>
              <w:t>(add 000, except per share)</w:t>
            </w:r>
          </w:p>
        </w:tc>
        <w:tc>
          <w:tcPr>
            <w:tcW w:w="100" w:type="dxa"/>
            <w:vAlign w:val="bottom"/>
            <w:shd w:val="clear" w:color="auto" w:fill="0085CD"/>
          </w:tcPr>
          <w:p>
            <w:pPr>
              <w:spacing w:after="0"/>
              <w:rPr>
                <w:sz w:val="24"/>
                <w:szCs w:val="24"/>
                <w:color w:val="auto"/>
              </w:rPr>
            </w:pPr>
          </w:p>
        </w:tc>
        <w:tc>
          <w:tcPr>
            <w:tcW w:w="100" w:type="dxa"/>
            <w:vAlign w:val="bottom"/>
            <w:shd w:val="clear" w:color="auto" w:fill="0085CD"/>
          </w:tcPr>
          <w:p>
            <w:pPr>
              <w:spacing w:after="0"/>
              <w:rPr>
                <w:sz w:val="24"/>
                <w:szCs w:val="24"/>
                <w:color w:val="auto"/>
              </w:rPr>
            </w:pPr>
          </w:p>
        </w:tc>
        <w:tc>
          <w:tcPr>
            <w:tcW w:w="940" w:type="dxa"/>
            <w:vAlign w:val="bottom"/>
            <w:shd w:val="clear" w:color="auto" w:fill="0085CD"/>
          </w:tcPr>
          <w:p>
            <w:pPr>
              <w:jc w:val="right"/>
              <w:ind w:right="290"/>
              <w:spacing w:after="0"/>
              <w:rPr>
                <w:sz w:val="20"/>
                <w:szCs w:val="20"/>
                <w:color w:val="auto"/>
              </w:rPr>
            </w:pPr>
            <w:r>
              <w:rPr>
                <w:rFonts w:ascii="Arial" w:cs="Arial" w:eastAsia="Arial" w:hAnsi="Arial"/>
                <w:sz w:val="18"/>
                <w:szCs w:val="18"/>
                <w:b w:val="1"/>
                <w:bCs w:val="1"/>
                <w:color w:val="FFFFFF"/>
              </w:rPr>
              <w:t>2018</w:t>
            </w:r>
          </w:p>
        </w:tc>
        <w:tc>
          <w:tcPr>
            <w:tcW w:w="160" w:type="dxa"/>
            <w:vAlign w:val="bottom"/>
          </w:tcPr>
          <w:p>
            <w:pPr>
              <w:spacing w:after="0"/>
              <w:rPr>
                <w:sz w:val="24"/>
                <w:szCs w:val="24"/>
                <w:color w:val="auto"/>
              </w:rPr>
            </w:pPr>
          </w:p>
        </w:tc>
        <w:tc>
          <w:tcPr>
            <w:tcW w:w="220" w:type="dxa"/>
            <w:vAlign w:val="bottom"/>
            <w:shd w:val="clear" w:color="auto" w:fill="E0EBED"/>
          </w:tcPr>
          <w:p>
            <w:pPr>
              <w:spacing w:after="0"/>
              <w:rPr>
                <w:sz w:val="24"/>
                <w:szCs w:val="24"/>
                <w:color w:val="auto"/>
              </w:rPr>
            </w:pPr>
          </w:p>
        </w:tc>
        <w:tc>
          <w:tcPr>
            <w:tcW w:w="920" w:type="dxa"/>
            <w:vAlign w:val="bottom"/>
            <w:shd w:val="clear" w:color="auto" w:fill="E0EBED"/>
          </w:tcPr>
          <w:p>
            <w:pPr>
              <w:jc w:val="right"/>
              <w:ind w:right="29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40" w:type="dxa"/>
            <w:vAlign w:val="bottom"/>
            <w:shd w:val="clear" w:color="auto" w:fill="E0EBED"/>
          </w:tcPr>
          <w:p>
            <w:pPr>
              <w:jc w:val="right"/>
              <w:ind w:right="2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4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Products and services revenues</w:t>
            </w:r>
          </w:p>
        </w:tc>
        <w:tc>
          <w:tcPr>
            <w:tcW w:w="100" w:type="dxa"/>
            <w:vAlign w:val="bottom"/>
            <w:tcBorders>
              <w:top w:val="single" w:sz="8" w:color="auto"/>
            </w:tcBorders>
            <w:shd w:val="clear" w:color="auto" w:fill="CDDEE7"/>
          </w:tcPr>
          <w:p>
            <w:pPr>
              <w:spacing w:after="0"/>
              <w:rPr>
                <w:sz w:val="15"/>
                <w:szCs w:val="15"/>
                <w:color w:val="auto"/>
              </w:rPr>
            </w:pPr>
          </w:p>
        </w:tc>
        <w:tc>
          <w:tcPr>
            <w:tcW w:w="100" w:type="dxa"/>
            <w:vAlign w:val="bottom"/>
            <w:tcBorders>
              <w:top w:val="single" w:sz="8" w:color="auto"/>
            </w:tcBorders>
            <w:shd w:val="clear" w:color="auto" w:fill="CDDEE7"/>
          </w:tcPr>
          <w:p>
            <w:pPr>
              <w:jc w:val="right"/>
              <w:spacing w:after="0" w:line="173" w:lineRule="exact"/>
              <w:rPr>
                <w:sz w:val="20"/>
                <w:szCs w:val="20"/>
                <w:color w:val="auto"/>
              </w:rPr>
            </w:pPr>
            <w:r>
              <w:rPr>
                <w:rFonts w:ascii="Arial" w:cs="Arial" w:eastAsia="Arial" w:hAnsi="Arial"/>
                <w:sz w:val="18"/>
                <w:szCs w:val="18"/>
                <w:b w:val="1"/>
                <w:bCs w:val="1"/>
                <w:color w:val="auto"/>
                <w:w w:val="79"/>
                <w:shd w:val="clear" w:color="auto" w:fill="CDDEE7"/>
              </w:rPr>
              <w:t>$</w:t>
            </w:r>
          </w:p>
        </w:tc>
        <w:tc>
          <w:tcPr>
            <w:tcW w:w="940" w:type="dxa"/>
            <w:vAlign w:val="bottom"/>
            <w:tcBorders>
              <w:top w:val="single" w:sz="8" w:color="auto"/>
            </w:tcBorders>
            <w:shd w:val="clear" w:color="auto" w:fill="CDDEE7"/>
          </w:tcPr>
          <w:p>
            <w:pPr>
              <w:jc w:val="right"/>
              <w:ind w:right="30"/>
              <w:spacing w:after="0" w:line="173" w:lineRule="exact"/>
              <w:rPr>
                <w:sz w:val="20"/>
                <w:szCs w:val="20"/>
                <w:color w:val="auto"/>
              </w:rPr>
            </w:pPr>
            <w:r>
              <w:rPr>
                <w:rFonts w:ascii="Arial" w:cs="Arial" w:eastAsia="Arial" w:hAnsi="Arial"/>
                <w:sz w:val="18"/>
                <w:szCs w:val="18"/>
                <w:b w:val="1"/>
                <w:bCs w:val="1"/>
                <w:color w:val="auto"/>
                <w:w w:val="99"/>
                <w:shd w:val="clear" w:color="auto" w:fill="CDDEE7"/>
              </w:rPr>
              <w:t>3,980,351</w:t>
            </w: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shd w:val="clear" w:color="auto" w:fill="E0EBED"/>
          </w:tcPr>
          <w:p>
            <w:pPr>
              <w:jc w:val="right"/>
              <w:spacing w:after="0" w:line="173" w:lineRule="exact"/>
              <w:rPr>
                <w:sz w:val="20"/>
                <w:szCs w:val="20"/>
                <w:color w:val="auto"/>
              </w:rPr>
            </w:pPr>
            <w:r>
              <w:rPr>
                <w:rFonts w:ascii="Arial" w:cs="Arial" w:eastAsia="Arial" w:hAnsi="Arial"/>
                <w:sz w:val="18"/>
                <w:szCs w:val="18"/>
                <w:color w:val="auto"/>
                <w:shd w:val="clear" w:color="auto" w:fill="E0EBED"/>
              </w:rPr>
              <w:t>$</w:t>
            </w:r>
          </w:p>
        </w:tc>
        <w:tc>
          <w:tcPr>
            <w:tcW w:w="920" w:type="dxa"/>
            <w:vAlign w:val="bottom"/>
            <w:tcBorders>
              <w:top w:val="single" w:sz="8" w:color="auto"/>
            </w:tcBorders>
            <w:shd w:val="clear" w:color="auto" w:fill="E0EBED"/>
          </w:tcPr>
          <w:p>
            <w:pPr>
              <w:jc w:val="right"/>
              <w:ind w:right="30"/>
              <w:spacing w:after="0" w:line="173" w:lineRule="exact"/>
              <w:rPr>
                <w:sz w:val="20"/>
                <w:szCs w:val="20"/>
                <w:color w:val="auto"/>
              </w:rPr>
            </w:pPr>
            <w:r>
              <w:rPr>
                <w:rFonts w:ascii="Arial" w:cs="Arial" w:eastAsia="Arial" w:hAnsi="Arial"/>
                <w:sz w:val="18"/>
                <w:szCs w:val="18"/>
                <w:color w:val="auto"/>
                <w:w w:val="97"/>
                <w:shd w:val="clear" w:color="auto" w:fill="E0EBED"/>
              </w:rPr>
              <w:t>3,723,478</w:t>
            </w:r>
          </w:p>
        </w:tc>
        <w:tc>
          <w:tcPr>
            <w:tcW w:w="1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shd w:val="clear" w:color="auto" w:fill="E0EBED"/>
          </w:tcPr>
          <w:p>
            <w:pPr>
              <w:jc w:val="right"/>
              <w:spacing w:after="0" w:line="17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E0EBED"/>
          </w:tcPr>
          <w:p>
            <w:pPr>
              <w:jc w:val="right"/>
              <w:ind w:right="30"/>
              <w:spacing w:after="0" w:line="173" w:lineRule="exact"/>
              <w:rPr>
                <w:sz w:val="20"/>
                <w:szCs w:val="20"/>
                <w:color w:val="auto"/>
              </w:rPr>
            </w:pPr>
            <w:r>
              <w:rPr>
                <w:rFonts w:ascii="Arial" w:cs="Arial" w:eastAsia="Arial" w:hAnsi="Arial"/>
                <w:sz w:val="18"/>
                <w:szCs w:val="18"/>
                <w:color w:val="auto"/>
                <w:w w:val="99"/>
              </w:rPr>
              <w:t>3,578,650</w:t>
            </w:r>
          </w:p>
        </w:tc>
        <w:tc>
          <w:tcPr>
            <w:tcW w:w="0" w:type="dxa"/>
            <w:vAlign w:val="bottom"/>
          </w:tcPr>
          <w:p>
            <w:pPr>
              <w:spacing w:after="0"/>
              <w:rPr>
                <w:sz w:val="1"/>
                <w:szCs w:val="1"/>
                <w:color w:val="auto"/>
              </w:rPr>
            </w:pPr>
          </w:p>
        </w:tc>
      </w:tr>
      <w:tr>
        <w:trPr>
          <w:trHeight w:val="225"/>
        </w:trPr>
        <w:tc>
          <w:tcPr>
            <w:tcW w:w="7660" w:type="dxa"/>
            <w:vAlign w:val="bottom"/>
            <w:gridSpan w:val="2"/>
          </w:tcPr>
          <w:p>
            <w:pPr>
              <w:spacing w:after="0" w:line="202" w:lineRule="exact"/>
              <w:rPr>
                <w:sz w:val="20"/>
                <w:szCs w:val="20"/>
                <w:color w:val="auto"/>
              </w:rPr>
            </w:pPr>
            <w:r>
              <w:rPr>
                <w:rFonts w:ascii="Arial" w:cs="Arial" w:eastAsia="Arial" w:hAnsi="Arial"/>
                <w:sz w:val="18"/>
                <w:szCs w:val="18"/>
                <w:color w:val="auto"/>
              </w:rPr>
              <w:t>Freight revenues</w:t>
            </w:r>
          </w:p>
        </w:tc>
        <w:tc>
          <w:tcPr>
            <w:tcW w:w="100" w:type="dxa"/>
            <w:vAlign w:val="bottom"/>
            <w:tcBorders>
              <w:bottom w:val="single" w:sz="8" w:color="CDDEE7"/>
            </w:tcBorders>
            <w:shd w:val="clear" w:color="auto" w:fill="CDDEE7"/>
          </w:tcPr>
          <w:p>
            <w:pPr>
              <w:spacing w:after="0"/>
              <w:rPr>
                <w:sz w:val="19"/>
                <w:szCs w:val="19"/>
                <w:color w:val="auto"/>
              </w:rPr>
            </w:pPr>
          </w:p>
        </w:tc>
        <w:tc>
          <w:tcPr>
            <w:tcW w:w="100" w:type="dxa"/>
            <w:vAlign w:val="bottom"/>
            <w:tcBorders>
              <w:bottom w:val="single" w:sz="8" w:color="CDDEE7"/>
            </w:tcBorders>
            <w:shd w:val="clear" w:color="auto" w:fill="CDDEE7"/>
          </w:tcPr>
          <w:p>
            <w:pPr>
              <w:spacing w:after="0"/>
              <w:rPr>
                <w:sz w:val="19"/>
                <w:szCs w:val="19"/>
                <w:color w:val="auto"/>
              </w:rPr>
            </w:pPr>
          </w:p>
        </w:tc>
        <w:tc>
          <w:tcPr>
            <w:tcW w:w="940" w:type="dxa"/>
            <w:vAlign w:val="bottom"/>
            <w:tcBorders>
              <w:bottom w:val="single" w:sz="8" w:color="CDDEE7"/>
            </w:tcBorders>
            <w:shd w:val="clear" w:color="auto" w:fill="CDDEE7"/>
          </w:tcPr>
          <w:p>
            <w:pPr>
              <w:jc w:val="right"/>
              <w:ind w:right="30"/>
              <w:spacing w:after="0" w:line="202" w:lineRule="exact"/>
              <w:rPr>
                <w:sz w:val="20"/>
                <w:szCs w:val="20"/>
                <w:color w:val="auto"/>
              </w:rPr>
            </w:pPr>
            <w:r>
              <w:rPr>
                <w:rFonts w:ascii="Arial" w:cs="Arial" w:eastAsia="Arial" w:hAnsi="Arial"/>
                <w:sz w:val="18"/>
                <w:szCs w:val="18"/>
                <w:b w:val="1"/>
                <w:bCs w:val="1"/>
                <w:color w:val="auto"/>
              </w:rPr>
              <w:t>263,914</w:t>
            </w:r>
          </w:p>
        </w:tc>
        <w:tc>
          <w:tcPr>
            <w:tcW w:w="160" w:type="dxa"/>
            <w:vAlign w:val="bottom"/>
          </w:tcPr>
          <w:p>
            <w:pPr>
              <w:spacing w:after="0"/>
              <w:rPr>
                <w:sz w:val="19"/>
                <w:szCs w:val="19"/>
                <w:color w:val="auto"/>
              </w:rPr>
            </w:pPr>
          </w:p>
        </w:tc>
        <w:tc>
          <w:tcPr>
            <w:tcW w:w="220" w:type="dxa"/>
            <w:vAlign w:val="bottom"/>
            <w:tcBorders>
              <w:bottom w:val="single" w:sz="8" w:color="E0EBED"/>
            </w:tcBorders>
            <w:shd w:val="clear" w:color="auto" w:fill="E0EBED"/>
          </w:tcPr>
          <w:p>
            <w:pPr>
              <w:spacing w:after="0"/>
              <w:rPr>
                <w:sz w:val="19"/>
                <w:szCs w:val="19"/>
                <w:color w:val="auto"/>
              </w:rPr>
            </w:pPr>
          </w:p>
        </w:tc>
        <w:tc>
          <w:tcPr>
            <w:tcW w:w="920" w:type="dxa"/>
            <w:vAlign w:val="bottom"/>
            <w:tcBorders>
              <w:bottom w:val="single" w:sz="8" w:color="E0EBED"/>
            </w:tcBorders>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242,116</w:t>
            </w:r>
          </w:p>
        </w:tc>
        <w:tc>
          <w:tcPr>
            <w:tcW w:w="180" w:type="dxa"/>
            <w:vAlign w:val="bottom"/>
          </w:tcPr>
          <w:p>
            <w:pPr>
              <w:spacing w:after="0"/>
              <w:rPr>
                <w:sz w:val="19"/>
                <w:szCs w:val="19"/>
                <w:color w:val="auto"/>
              </w:rPr>
            </w:pPr>
          </w:p>
        </w:tc>
        <w:tc>
          <w:tcPr>
            <w:tcW w:w="200" w:type="dxa"/>
            <w:vAlign w:val="bottom"/>
            <w:tcBorders>
              <w:bottom w:val="single" w:sz="8" w:color="E0EBED"/>
            </w:tcBorders>
            <w:shd w:val="clear" w:color="auto" w:fill="E0EBED"/>
          </w:tcPr>
          <w:p>
            <w:pPr>
              <w:spacing w:after="0"/>
              <w:rPr>
                <w:sz w:val="19"/>
                <w:szCs w:val="19"/>
                <w:color w:val="auto"/>
              </w:rPr>
            </w:pPr>
          </w:p>
        </w:tc>
        <w:tc>
          <w:tcPr>
            <w:tcW w:w="940" w:type="dxa"/>
            <w:vAlign w:val="bottom"/>
            <w:tcBorders>
              <w:bottom w:val="single" w:sz="8" w:color="E0EBED"/>
            </w:tcBorders>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240,099</w:t>
            </w:r>
          </w:p>
        </w:tc>
        <w:tc>
          <w:tcPr>
            <w:tcW w:w="0" w:type="dxa"/>
            <w:vAlign w:val="bottom"/>
          </w:tcPr>
          <w:p>
            <w:pPr>
              <w:spacing w:after="0"/>
              <w:rPr>
                <w:sz w:val="1"/>
                <w:szCs w:val="1"/>
                <w:color w:val="auto"/>
              </w:rPr>
            </w:pPr>
          </w:p>
        </w:tc>
      </w:tr>
      <w:tr>
        <w:trPr>
          <w:trHeight w:val="196"/>
        </w:trPr>
        <w:tc>
          <w:tcPr>
            <w:tcW w:w="76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Total revenues</w:t>
            </w:r>
          </w:p>
        </w:tc>
        <w:tc>
          <w:tcPr>
            <w:tcW w:w="100" w:type="dxa"/>
            <w:vAlign w:val="bottom"/>
            <w:tcBorders>
              <w:top w:val="single" w:sz="8" w:color="auto"/>
            </w:tcBorders>
            <w:shd w:val="clear" w:color="auto" w:fill="CDDEE7"/>
          </w:tcPr>
          <w:p>
            <w:pPr>
              <w:spacing w:after="0"/>
              <w:rPr>
                <w:sz w:val="17"/>
                <w:szCs w:val="17"/>
                <w:color w:val="auto"/>
              </w:rPr>
            </w:pPr>
          </w:p>
        </w:tc>
        <w:tc>
          <w:tcPr>
            <w:tcW w:w="100" w:type="dxa"/>
            <w:vAlign w:val="bottom"/>
            <w:tcBorders>
              <w:top w:val="single" w:sz="8" w:color="auto"/>
            </w:tcBorders>
            <w:shd w:val="clear" w:color="auto" w:fill="CDDEE7"/>
          </w:tcPr>
          <w:p>
            <w:pPr>
              <w:spacing w:after="0"/>
              <w:rPr>
                <w:sz w:val="17"/>
                <w:szCs w:val="17"/>
                <w:color w:val="auto"/>
              </w:rPr>
            </w:pPr>
          </w:p>
        </w:tc>
        <w:tc>
          <w:tcPr>
            <w:tcW w:w="940" w:type="dxa"/>
            <w:vAlign w:val="bottom"/>
            <w:tcBorders>
              <w:top w:val="single" w:sz="8" w:color="auto"/>
            </w:tcBorders>
            <w:shd w:val="clear" w:color="auto" w:fill="CDDEE7"/>
          </w:tcPr>
          <w:p>
            <w:pPr>
              <w:jc w:val="right"/>
              <w:ind w:right="30"/>
              <w:spacing w:after="0" w:line="196" w:lineRule="exact"/>
              <w:rPr>
                <w:sz w:val="20"/>
                <w:szCs w:val="20"/>
                <w:color w:val="auto"/>
              </w:rPr>
            </w:pPr>
            <w:r>
              <w:rPr>
                <w:rFonts w:ascii="Arial" w:cs="Arial" w:eastAsia="Arial" w:hAnsi="Arial"/>
                <w:sz w:val="18"/>
                <w:szCs w:val="18"/>
                <w:b w:val="1"/>
                <w:bCs w:val="1"/>
                <w:color w:val="auto"/>
                <w:w w:val="99"/>
                <w:shd w:val="clear" w:color="auto" w:fill="CDDEE7"/>
              </w:rPr>
              <w:t>4,244,265</w:t>
            </w: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shd w:val="clear" w:color="auto" w:fill="E0EBED"/>
          </w:tcPr>
          <w:p>
            <w:pPr>
              <w:spacing w:after="0"/>
              <w:rPr>
                <w:sz w:val="17"/>
                <w:szCs w:val="17"/>
                <w:color w:val="auto"/>
              </w:rPr>
            </w:pPr>
          </w:p>
        </w:tc>
        <w:tc>
          <w:tcPr>
            <w:tcW w:w="920" w:type="dxa"/>
            <w:vAlign w:val="bottom"/>
            <w:tcBorders>
              <w:top w:val="single" w:sz="8" w:color="auto"/>
            </w:tcBorders>
            <w:shd w:val="clear" w:color="auto" w:fill="E0EBED"/>
          </w:tcPr>
          <w:p>
            <w:pPr>
              <w:jc w:val="right"/>
              <w:ind w:right="30"/>
              <w:spacing w:after="0" w:line="196" w:lineRule="exact"/>
              <w:rPr>
                <w:sz w:val="20"/>
                <w:szCs w:val="20"/>
                <w:color w:val="auto"/>
              </w:rPr>
            </w:pPr>
            <w:r>
              <w:rPr>
                <w:rFonts w:ascii="Arial" w:cs="Arial" w:eastAsia="Arial" w:hAnsi="Arial"/>
                <w:sz w:val="18"/>
                <w:szCs w:val="18"/>
                <w:color w:val="auto"/>
                <w:w w:val="97"/>
              </w:rPr>
              <w:t>3,965,594</w:t>
            </w: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shd w:val="clear" w:color="auto" w:fill="E0EBED"/>
          </w:tcPr>
          <w:p>
            <w:pPr>
              <w:spacing w:after="0"/>
              <w:rPr>
                <w:sz w:val="17"/>
                <w:szCs w:val="17"/>
                <w:color w:val="auto"/>
              </w:rPr>
            </w:pPr>
          </w:p>
        </w:tc>
        <w:tc>
          <w:tcPr>
            <w:tcW w:w="940" w:type="dxa"/>
            <w:vAlign w:val="bottom"/>
            <w:tcBorders>
              <w:top w:val="single" w:sz="8" w:color="auto"/>
            </w:tcBorders>
            <w:shd w:val="clear" w:color="auto" w:fill="E0EBED"/>
          </w:tcPr>
          <w:p>
            <w:pPr>
              <w:jc w:val="right"/>
              <w:ind w:right="30"/>
              <w:spacing w:after="0" w:line="196" w:lineRule="exact"/>
              <w:rPr>
                <w:sz w:val="20"/>
                <w:szCs w:val="20"/>
                <w:color w:val="auto"/>
              </w:rPr>
            </w:pPr>
            <w:r>
              <w:rPr>
                <w:rFonts w:ascii="Arial" w:cs="Arial" w:eastAsia="Arial" w:hAnsi="Arial"/>
                <w:sz w:val="18"/>
                <w:szCs w:val="18"/>
                <w:color w:val="auto"/>
                <w:w w:val="99"/>
              </w:rPr>
              <w:t>3,818,749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660" w:type="dxa"/>
            <w:vAlign w:val="bottom"/>
            <w:gridSpan w:val="2"/>
          </w:tcPr>
          <w:p>
            <w:pPr>
              <w:spacing w:after="0" w:line="187" w:lineRule="exact"/>
              <w:rPr>
                <w:sz w:val="20"/>
                <w:szCs w:val="20"/>
                <w:color w:val="auto"/>
              </w:rPr>
            </w:pPr>
            <w:r>
              <w:rPr>
                <w:rFonts w:ascii="Arial" w:cs="Arial" w:eastAsia="Arial" w:hAnsi="Arial"/>
                <w:sz w:val="18"/>
                <w:szCs w:val="18"/>
                <w:color w:val="auto"/>
              </w:rPr>
              <w:t>Cost of revenues – products and services</w:t>
            </w:r>
          </w:p>
        </w:tc>
        <w:tc>
          <w:tcPr>
            <w:tcW w:w="10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940" w:type="dxa"/>
            <w:vAlign w:val="bottom"/>
            <w:shd w:val="clear" w:color="auto" w:fill="CDDEE7"/>
          </w:tcPr>
          <w:p>
            <w:pPr>
              <w:jc w:val="right"/>
              <w:ind w:right="30"/>
              <w:spacing w:after="0" w:line="187" w:lineRule="exact"/>
              <w:rPr>
                <w:sz w:val="20"/>
                <w:szCs w:val="20"/>
                <w:color w:val="auto"/>
              </w:rPr>
            </w:pPr>
            <w:r>
              <w:rPr>
                <w:rFonts w:ascii="Arial" w:cs="Arial" w:eastAsia="Arial" w:hAnsi="Arial"/>
                <w:sz w:val="18"/>
                <w:szCs w:val="18"/>
                <w:b w:val="1"/>
                <w:bCs w:val="1"/>
                <w:color w:val="auto"/>
                <w:w w:val="99"/>
                <w:shd w:val="clear" w:color="auto" w:fill="CDDEE7"/>
              </w:rPr>
              <w:t>3,009,810</w:t>
            </w:r>
          </w:p>
        </w:tc>
        <w:tc>
          <w:tcPr>
            <w:tcW w:w="16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30"/>
              <w:spacing w:after="0" w:line="187" w:lineRule="exact"/>
              <w:rPr>
                <w:sz w:val="20"/>
                <w:szCs w:val="20"/>
                <w:color w:val="auto"/>
              </w:rPr>
            </w:pPr>
            <w:r>
              <w:rPr>
                <w:rFonts w:ascii="Arial" w:cs="Arial" w:eastAsia="Arial" w:hAnsi="Arial"/>
                <w:sz w:val="18"/>
                <w:szCs w:val="18"/>
                <w:color w:val="auto"/>
                <w:w w:val="97"/>
              </w:rPr>
              <w:t>2,749,488</w:t>
            </w:r>
          </w:p>
        </w:tc>
        <w:tc>
          <w:tcPr>
            <w:tcW w:w="18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0"/>
              <w:spacing w:after="0" w:line="187" w:lineRule="exact"/>
              <w:rPr>
                <w:sz w:val="20"/>
                <w:szCs w:val="20"/>
                <w:color w:val="auto"/>
              </w:rPr>
            </w:pPr>
            <w:r>
              <w:rPr>
                <w:rFonts w:ascii="Arial" w:cs="Arial" w:eastAsia="Arial" w:hAnsi="Arial"/>
                <w:sz w:val="18"/>
                <w:szCs w:val="18"/>
                <w:color w:val="auto"/>
                <w:w w:val="99"/>
              </w:rPr>
              <w:t>2,665,029</w:t>
            </w:r>
          </w:p>
        </w:tc>
        <w:tc>
          <w:tcPr>
            <w:tcW w:w="0" w:type="dxa"/>
            <w:vAlign w:val="bottom"/>
          </w:tcPr>
          <w:p>
            <w:pPr>
              <w:spacing w:after="0"/>
              <w:rPr>
                <w:sz w:val="1"/>
                <w:szCs w:val="1"/>
                <w:color w:val="auto"/>
              </w:rPr>
            </w:pPr>
          </w:p>
        </w:tc>
      </w:tr>
      <w:tr>
        <w:trPr>
          <w:trHeight w:val="225"/>
        </w:trPr>
        <w:tc>
          <w:tcPr>
            <w:tcW w:w="7660" w:type="dxa"/>
            <w:vAlign w:val="bottom"/>
            <w:gridSpan w:val="2"/>
          </w:tcPr>
          <w:p>
            <w:pPr>
              <w:spacing w:after="0"/>
              <w:rPr>
                <w:sz w:val="20"/>
                <w:szCs w:val="20"/>
                <w:color w:val="auto"/>
              </w:rPr>
            </w:pPr>
            <w:r>
              <w:rPr>
                <w:rFonts w:ascii="Arial" w:cs="Arial" w:eastAsia="Arial" w:hAnsi="Arial"/>
                <w:sz w:val="18"/>
                <w:szCs w:val="18"/>
                <w:color w:val="auto"/>
              </w:rPr>
              <w:t>Cost of revenues – freight</w:t>
            </w:r>
          </w:p>
        </w:tc>
        <w:tc>
          <w:tcPr>
            <w:tcW w:w="100" w:type="dxa"/>
            <w:vAlign w:val="bottom"/>
            <w:tcBorders>
              <w:bottom w:val="single" w:sz="8" w:color="auto"/>
            </w:tcBorders>
            <w:shd w:val="clear" w:color="auto" w:fill="CDDEE7"/>
          </w:tcPr>
          <w:p>
            <w:pPr>
              <w:spacing w:after="0"/>
              <w:rPr>
                <w:sz w:val="19"/>
                <w:szCs w:val="19"/>
                <w:color w:val="auto"/>
              </w:rPr>
            </w:pPr>
          </w:p>
        </w:tc>
        <w:tc>
          <w:tcPr>
            <w:tcW w:w="100" w:type="dxa"/>
            <w:vAlign w:val="bottom"/>
            <w:tcBorders>
              <w:bottom w:val="single" w:sz="8" w:color="auto"/>
            </w:tcBorders>
            <w:shd w:val="clear" w:color="auto" w:fill="CDDEE7"/>
          </w:tcPr>
          <w:p>
            <w:pPr>
              <w:spacing w:after="0"/>
              <w:rPr>
                <w:sz w:val="19"/>
                <w:szCs w:val="19"/>
                <w:color w:val="auto"/>
              </w:rPr>
            </w:pPr>
          </w:p>
        </w:tc>
        <w:tc>
          <w:tcPr>
            <w:tcW w:w="940" w:type="dxa"/>
            <w:vAlign w:val="bottom"/>
            <w:tcBorders>
              <w:bottom w:val="single" w:sz="8" w:color="auto"/>
            </w:tcBorders>
            <w:shd w:val="clear" w:color="auto" w:fill="CDDEE7"/>
          </w:tcPr>
          <w:p>
            <w:pPr>
              <w:jc w:val="right"/>
              <w:ind w:right="30"/>
              <w:spacing w:after="0"/>
              <w:rPr>
                <w:sz w:val="20"/>
                <w:szCs w:val="20"/>
                <w:color w:val="auto"/>
              </w:rPr>
            </w:pPr>
            <w:r>
              <w:rPr>
                <w:rFonts w:ascii="Arial" w:cs="Arial" w:eastAsia="Arial" w:hAnsi="Arial"/>
                <w:sz w:val="18"/>
                <w:szCs w:val="18"/>
                <w:b w:val="1"/>
                <w:bCs w:val="1"/>
                <w:color w:val="auto"/>
              </w:rPr>
              <w:t>267,878</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shd w:val="clear" w:color="auto" w:fill="E0EBED"/>
          </w:tcPr>
          <w:p>
            <w:pPr>
              <w:spacing w:after="0"/>
              <w:rPr>
                <w:sz w:val="19"/>
                <w:szCs w:val="19"/>
                <w:color w:val="auto"/>
              </w:rPr>
            </w:pPr>
          </w:p>
        </w:tc>
        <w:tc>
          <w:tcPr>
            <w:tcW w:w="920" w:type="dxa"/>
            <w:vAlign w:val="bottom"/>
            <w:tcBorders>
              <w:bottom w:val="single" w:sz="8" w:color="auto"/>
            </w:tcBorders>
            <w:shd w:val="clear" w:color="auto" w:fill="E0EBED"/>
          </w:tcPr>
          <w:p>
            <w:pPr>
              <w:jc w:val="right"/>
              <w:ind w:right="30"/>
              <w:spacing w:after="0"/>
              <w:rPr>
                <w:sz w:val="20"/>
                <w:szCs w:val="20"/>
                <w:color w:val="auto"/>
              </w:rPr>
            </w:pPr>
            <w:r>
              <w:rPr>
                <w:rFonts w:ascii="Arial" w:cs="Arial" w:eastAsia="Arial" w:hAnsi="Arial"/>
                <w:sz w:val="18"/>
                <w:szCs w:val="18"/>
                <w:color w:val="auto"/>
              </w:rPr>
              <w:t>244,166</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shd w:val="clear" w:color="auto" w:fill="E0EBED"/>
          </w:tcPr>
          <w:p>
            <w:pPr>
              <w:spacing w:after="0"/>
              <w:rPr>
                <w:sz w:val="19"/>
                <w:szCs w:val="19"/>
                <w:color w:val="auto"/>
              </w:rPr>
            </w:pPr>
          </w:p>
        </w:tc>
        <w:tc>
          <w:tcPr>
            <w:tcW w:w="940" w:type="dxa"/>
            <w:vAlign w:val="bottom"/>
            <w:tcBorders>
              <w:bottom w:val="single" w:sz="8" w:color="auto"/>
            </w:tcBorders>
            <w:shd w:val="clear" w:color="auto" w:fill="E0EBED"/>
          </w:tcPr>
          <w:p>
            <w:pPr>
              <w:jc w:val="right"/>
              <w:ind w:right="30"/>
              <w:spacing w:after="0"/>
              <w:rPr>
                <w:sz w:val="20"/>
                <w:szCs w:val="20"/>
                <w:color w:val="auto"/>
              </w:rPr>
            </w:pPr>
            <w:r>
              <w:rPr>
                <w:rFonts w:ascii="Arial" w:cs="Arial" w:eastAsia="Arial" w:hAnsi="Arial"/>
                <w:sz w:val="18"/>
                <w:szCs w:val="18"/>
                <w:color w:val="auto"/>
              </w:rPr>
              <w:t>241,982</w:t>
            </w:r>
          </w:p>
        </w:tc>
        <w:tc>
          <w:tcPr>
            <w:tcW w:w="0" w:type="dxa"/>
            <w:vAlign w:val="bottom"/>
          </w:tcPr>
          <w:p>
            <w:pPr>
              <w:spacing w:after="0"/>
              <w:rPr>
                <w:sz w:val="1"/>
                <w:szCs w:val="1"/>
                <w:color w:val="auto"/>
              </w:rPr>
            </w:pPr>
          </w:p>
        </w:tc>
      </w:tr>
      <w:tr>
        <w:trPr>
          <w:trHeight w:val="197"/>
        </w:trPr>
        <w:tc>
          <w:tcPr>
            <w:tcW w:w="7660" w:type="dxa"/>
            <w:vAlign w:val="bottom"/>
            <w:gridSpan w:val="2"/>
          </w:tcPr>
          <w:p>
            <w:pPr>
              <w:spacing w:after="0" w:line="197" w:lineRule="exact"/>
              <w:rPr>
                <w:sz w:val="20"/>
                <w:szCs w:val="20"/>
                <w:color w:val="auto"/>
              </w:rPr>
            </w:pPr>
            <w:r>
              <w:rPr>
                <w:rFonts w:ascii="Arial" w:cs="Arial" w:eastAsia="Arial" w:hAnsi="Arial"/>
                <w:sz w:val="18"/>
                <w:szCs w:val="18"/>
                <w:color w:val="auto"/>
              </w:rPr>
              <w:t>Total cost of revenues</w:t>
            </w: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940" w:type="dxa"/>
            <w:vAlign w:val="bottom"/>
            <w:shd w:val="clear" w:color="auto" w:fill="CDDEE7"/>
          </w:tcPr>
          <w:p>
            <w:pPr>
              <w:jc w:val="right"/>
              <w:ind w:right="30"/>
              <w:spacing w:after="0" w:line="197" w:lineRule="exact"/>
              <w:rPr>
                <w:sz w:val="20"/>
                <w:szCs w:val="20"/>
                <w:color w:val="auto"/>
              </w:rPr>
            </w:pPr>
            <w:r>
              <w:rPr>
                <w:rFonts w:ascii="Arial" w:cs="Arial" w:eastAsia="Arial" w:hAnsi="Arial"/>
                <w:sz w:val="18"/>
                <w:szCs w:val="18"/>
                <w:b w:val="1"/>
                <w:bCs w:val="1"/>
                <w:color w:val="auto"/>
                <w:w w:val="99"/>
                <w:shd w:val="clear" w:color="auto" w:fill="CDDEE7"/>
              </w:rPr>
              <w:t>3,277,688</w:t>
            </w:r>
          </w:p>
        </w:tc>
        <w:tc>
          <w:tcPr>
            <w:tcW w:w="16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920" w:type="dxa"/>
            <w:vAlign w:val="bottom"/>
            <w:shd w:val="clear" w:color="auto" w:fill="E0EBED"/>
          </w:tcPr>
          <w:p>
            <w:pPr>
              <w:jc w:val="right"/>
              <w:ind w:right="30"/>
              <w:spacing w:after="0" w:line="197" w:lineRule="exact"/>
              <w:rPr>
                <w:sz w:val="20"/>
                <w:szCs w:val="20"/>
                <w:color w:val="auto"/>
              </w:rPr>
            </w:pPr>
            <w:r>
              <w:rPr>
                <w:rFonts w:ascii="Arial" w:cs="Arial" w:eastAsia="Arial" w:hAnsi="Arial"/>
                <w:sz w:val="18"/>
                <w:szCs w:val="18"/>
                <w:color w:val="auto"/>
                <w:w w:val="97"/>
                <w:shd w:val="clear" w:color="auto" w:fill="E0EBED"/>
              </w:rPr>
              <w:t>2,993,654</w:t>
            </w:r>
          </w:p>
        </w:tc>
        <w:tc>
          <w:tcPr>
            <w:tcW w:w="18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940" w:type="dxa"/>
            <w:vAlign w:val="bottom"/>
            <w:shd w:val="clear" w:color="auto" w:fill="E0EBED"/>
          </w:tcPr>
          <w:p>
            <w:pPr>
              <w:jc w:val="right"/>
              <w:ind w:right="30"/>
              <w:spacing w:after="0" w:line="197" w:lineRule="exact"/>
              <w:rPr>
                <w:sz w:val="20"/>
                <w:szCs w:val="20"/>
                <w:color w:val="auto"/>
              </w:rPr>
            </w:pPr>
            <w:r>
              <w:rPr>
                <w:rFonts w:ascii="Arial" w:cs="Arial" w:eastAsia="Arial" w:hAnsi="Arial"/>
                <w:sz w:val="18"/>
                <w:szCs w:val="18"/>
                <w:color w:val="auto"/>
                <w:w w:val="99"/>
              </w:rPr>
              <w:t>2,907,011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40" w:type="dxa"/>
            <w:vAlign w:val="bottom"/>
            <w:tcBorders>
              <w:top w:val="single" w:sz="8" w:color="auto"/>
            </w:tcBorders>
          </w:tcPr>
          <w:p>
            <w:pPr>
              <w:spacing w:after="0" w:line="200" w:lineRule="exact"/>
              <w:rPr>
                <w:sz w:val="20"/>
                <w:szCs w:val="20"/>
                <w:color w:val="auto"/>
              </w:rPr>
            </w:pPr>
            <w:r>
              <w:rPr>
                <w:rFonts w:ascii="Arial" w:cs="Arial" w:eastAsia="Arial" w:hAnsi="Arial"/>
                <w:sz w:val="19"/>
                <w:szCs w:val="19"/>
                <w:b w:val="1"/>
                <w:bCs w:val="1"/>
                <w:color w:val="auto"/>
              </w:rPr>
              <w:t>Gross Profit</w:t>
            </w:r>
          </w:p>
        </w:tc>
        <w:tc>
          <w:tcPr>
            <w:tcW w:w="100" w:type="dxa"/>
            <w:vAlign w:val="bottom"/>
            <w:tcBorders>
              <w:top w:val="single" w:sz="8" w:color="auto"/>
            </w:tcBorders>
            <w:shd w:val="clear" w:color="auto" w:fill="CDDEE7"/>
          </w:tcPr>
          <w:p>
            <w:pPr>
              <w:spacing w:after="0"/>
              <w:rPr>
                <w:sz w:val="17"/>
                <w:szCs w:val="17"/>
                <w:color w:val="auto"/>
              </w:rPr>
            </w:pPr>
          </w:p>
        </w:tc>
        <w:tc>
          <w:tcPr>
            <w:tcW w:w="100" w:type="dxa"/>
            <w:vAlign w:val="bottom"/>
            <w:tcBorders>
              <w:top w:val="single" w:sz="8" w:color="auto"/>
            </w:tcBorders>
            <w:shd w:val="clear" w:color="auto" w:fill="CDDEE7"/>
          </w:tcPr>
          <w:p>
            <w:pPr>
              <w:spacing w:after="0"/>
              <w:rPr>
                <w:sz w:val="17"/>
                <w:szCs w:val="17"/>
                <w:color w:val="auto"/>
              </w:rPr>
            </w:pPr>
          </w:p>
        </w:tc>
        <w:tc>
          <w:tcPr>
            <w:tcW w:w="940" w:type="dxa"/>
            <w:vAlign w:val="bottom"/>
            <w:tcBorders>
              <w:top w:val="single" w:sz="8" w:color="auto"/>
            </w:tcBorders>
            <w:shd w:val="clear" w:color="auto" w:fill="CDDEE7"/>
          </w:tcPr>
          <w:p>
            <w:pPr>
              <w:jc w:val="right"/>
              <w:ind w:right="30"/>
              <w:spacing w:after="0" w:line="201" w:lineRule="exact"/>
              <w:rPr>
                <w:sz w:val="20"/>
                <w:szCs w:val="20"/>
                <w:color w:val="auto"/>
              </w:rPr>
            </w:pPr>
            <w:r>
              <w:rPr>
                <w:rFonts w:ascii="Arial" w:cs="Arial" w:eastAsia="Arial" w:hAnsi="Arial"/>
                <w:sz w:val="18"/>
                <w:szCs w:val="18"/>
                <w:b w:val="1"/>
                <w:bCs w:val="1"/>
                <w:color w:val="auto"/>
                <w:shd w:val="clear" w:color="auto" w:fill="CDDEE7"/>
              </w:rPr>
              <w:t>966,577</w:t>
            </w: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shd w:val="clear" w:color="auto" w:fill="E0EBED"/>
          </w:tcPr>
          <w:p>
            <w:pPr>
              <w:spacing w:after="0"/>
              <w:rPr>
                <w:sz w:val="17"/>
                <w:szCs w:val="17"/>
                <w:color w:val="auto"/>
              </w:rPr>
            </w:pPr>
          </w:p>
        </w:tc>
        <w:tc>
          <w:tcPr>
            <w:tcW w:w="920" w:type="dxa"/>
            <w:vAlign w:val="bottom"/>
            <w:tcBorders>
              <w:top w:val="single" w:sz="8" w:color="auto"/>
            </w:tcBorders>
            <w:shd w:val="clear" w:color="auto" w:fill="E0EBED"/>
          </w:tcPr>
          <w:p>
            <w:pPr>
              <w:jc w:val="right"/>
              <w:ind w:right="30"/>
              <w:spacing w:after="0" w:line="201" w:lineRule="exact"/>
              <w:rPr>
                <w:sz w:val="20"/>
                <w:szCs w:val="20"/>
                <w:color w:val="auto"/>
              </w:rPr>
            </w:pPr>
            <w:r>
              <w:rPr>
                <w:rFonts w:ascii="Arial" w:cs="Arial" w:eastAsia="Arial" w:hAnsi="Arial"/>
                <w:sz w:val="18"/>
                <w:szCs w:val="18"/>
                <w:color w:val="auto"/>
              </w:rPr>
              <w:t>971,940</w:t>
            </w: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shd w:val="clear" w:color="auto" w:fill="E0EBED"/>
          </w:tcPr>
          <w:p>
            <w:pPr>
              <w:spacing w:after="0"/>
              <w:rPr>
                <w:sz w:val="17"/>
                <w:szCs w:val="17"/>
                <w:color w:val="auto"/>
              </w:rPr>
            </w:pPr>
          </w:p>
        </w:tc>
        <w:tc>
          <w:tcPr>
            <w:tcW w:w="940" w:type="dxa"/>
            <w:vAlign w:val="bottom"/>
            <w:tcBorders>
              <w:top w:val="single" w:sz="8" w:color="auto"/>
            </w:tcBorders>
            <w:shd w:val="clear" w:color="auto" w:fill="E0EBED"/>
          </w:tcPr>
          <w:p>
            <w:pPr>
              <w:jc w:val="right"/>
              <w:ind w:right="30"/>
              <w:spacing w:after="0" w:line="201" w:lineRule="exact"/>
              <w:rPr>
                <w:sz w:val="20"/>
                <w:szCs w:val="20"/>
                <w:color w:val="auto"/>
              </w:rPr>
            </w:pPr>
            <w:r>
              <w:rPr>
                <w:rFonts w:ascii="Arial" w:cs="Arial" w:eastAsia="Arial" w:hAnsi="Arial"/>
                <w:sz w:val="18"/>
                <w:szCs w:val="18"/>
                <w:color w:val="auto"/>
              </w:rPr>
              <w:t>911,738</w:t>
            </w:r>
          </w:p>
        </w:tc>
        <w:tc>
          <w:tcPr>
            <w:tcW w:w="0" w:type="dxa"/>
            <w:vAlign w:val="bottom"/>
          </w:tcPr>
          <w:p>
            <w:pPr>
              <w:spacing w:after="0"/>
              <w:rPr>
                <w:sz w:val="1"/>
                <w:szCs w:val="1"/>
                <w:color w:val="auto"/>
              </w:rPr>
            </w:pPr>
          </w:p>
        </w:tc>
      </w:tr>
      <w:tr>
        <w:trPr>
          <w:trHeight w:val="203"/>
        </w:trPr>
        <w:tc>
          <w:tcPr>
            <w:tcW w:w="7660" w:type="dxa"/>
            <w:vAlign w:val="bottom"/>
            <w:gridSpan w:val="2"/>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940" w:type="dxa"/>
            <w:vAlign w:val="bottom"/>
            <w:shd w:val="clear" w:color="auto" w:fill="CDDEE7"/>
          </w:tcPr>
          <w:p>
            <w:pPr>
              <w:jc w:val="right"/>
              <w:ind w:right="30"/>
              <w:spacing w:after="0" w:line="202" w:lineRule="exact"/>
              <w:rPr>
                <w:sz w:val="20"/>
                <w:szCs w:val="20"/>
                <w:color w:val="auto"/>
              </w:rPr>
            </w:pPr>
            <w:r>
              <w:rPr>
                <w:rFonts w:ascii="Arial" w:cs="Arial" w:eastAsia="Arial" w:hAnsi="Arial"/>
                <w:sz w:val="18"/>
                <w:szCs w:val="18"/>
                <w:b w:val="1"/>
                <w:bCs w:val="1"/>
                <w:color w:val="auto"/>
              </w:rPr>
              <w:t>280,554</w:t>
            </w:r>
          </w:p>
        </w:tc>
        <w:tc>
          <w:tcPr>
            <w:tcW w:w="16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92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262,128</w:t>
            </w:r>
          </w:p>
        </w:tc>
        <w:tc>
          <w:tcPr>
            <w:tcW w:w="18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9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241,606</w:t>
            </w:r>
          </w:p>
        </w:tc>
        <w:tc>
          <w:tcPr>
            <w:tcW w:w="0" w:type="dxa"/>
            <w:vAlign w:val="bottom"/>
          </w:tcPr>
          <w:p>
            <w:pPr>
              <w:spacing w:after="0"/>
              <w:rPr>
                <w:sz w:val="1"/>
                <w:szCs w:val="1"/>
                <w:color w:val="auto"/>
              </w:rPr>
            </w:pPr>
          </w:p>
        </w:tc>
      </w:tr>
      <w:tr>
        <w:trPr>
          <w:trHeight w:val="203"/>
        </w:trPr>
        <w:tc>
          <w:tcPr>
            <w:tcW w:w="7660" w:type="dxa"/>
            <w:vAlign w:val="bottom"/>
            <w:gridSpan w:val="2"/>
          </w:tcPr>
          <w:p>
            <w:pPr>
              <w:spacing w:after="0" w:line="202" w:lineRule="exact"/>
              <w:rPr>
                <w:sz w:val="20"/>
                <w:szCs w:val="20"/>
                <w:color w:val="auto"/>
              </w:rPr>
            </w:pPr>
            <w:r>
              <w:rPr>
                <w:rFonts w:ascii="Arial" w:cs="Arial" w:eastAsia="Arial" w:hAnsi="Arial"/>
                <w:sz w:val="18"/>
                <w:szCs w:val="18"/>
                <w:color w:val="auto"/>
              </w:rPr>
              <w:t>Acquisition-related expenses, net</w:t>
            </w: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940" w:type="dxa"/>
            <w:vAlign w:val="bottom"/>
            <w:shd w:val="clear" w:color="auto" w:fill="CDDEE7"/>
          </w:tcPr>
          <w:p>
            <w:pPr>
              <w:jc w:val="right"/>
              <w:ind w:right="30"/>
              <w:spacing w:after="0" w:line="202" w:lineRule="exact"/>
              <w:rPr>
                <w:sz w:val="20"/>
                <w:szCs w:val="20"/>
                <w:color w:val="auto"/>
              </w:rPr>
            </w:pPr>
            <w:r>
              <w:rPr>
                <w:rFonts w:ascii="Arial" w:cs="Arial" w:eastAsia="Arial" w:hAnsi="Arial"/>
                <w:sz w:val="18"/>
                <w:szCs w:val="18"/>
                <w:b w:val="1"/>
                <w:bCs w:val="1"/>
                <w:color w:val="auto"/>
              </w:rPr>
              <w:t>13,479</w:t>
            </w:r>
          </w:p>
        </w:tc>
        <w:tc>
          <w:tcPr>
            <w:tcW w:w="16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92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8,638</w:t>
            </w:r>
          </w:p>
        </w:tc>
        <w:tc>
          <w:tcPr>
            <w:tcW w:w="18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9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25"/>
        </w:trPr>
        <w:tc>
          <w:tcPr>
            <w:tcW w:w="7660" w:type="dxa"/>
            <w:vAlign w:val="bottom"/>
            <w:gridSpan w:val="2"/>
          </w:tcPr>
          <w:p>
            <w:pPr>
              <w:spacing w:after="0"/>
              <w:rPr>
                <w:sz w:val="20"/>
                <w:szCs w:val="20"/>
                <w:color w:val="auto"/>
              </w:rPr>
            </w:pPr>
            <w:r>
              <w:rPr>
                <w:rFonts w:ascii="Arial" w:cs="Arial" w:eastAsia="Arial" w:hAnsi="Arial"/>
                <w:sz w:val="18"/>
                <w:szCs w:val="18"/>
                <w:color w:val="auto"/>
              </w:rPr>
              <w:t>Other operating (income) and expenses, net</w:t>
            </w:r>
          </w:p>
        </w:tc>
        <w:tc>
          <w:tcPr>
            <w:tcW w:w="100" w:type="dxa"/>
            <w:vAlign w:val="bottom"/>
            <w:shd w:val="clear" w:color="auto" w:fill="CDDEE7"/>
          </w:tcPr>
          <w:p>
            <w:pPr>
              <w:spacing w:after="0"/>
              <w:rPr>
                <w:sz w:val="19"/>
                <w:szCs w:val="19"/>
                <w:color w:val="auto"/>
              </w:rPr>
            </w:pPr>
          </w:p>
        </w:tc>
        <w:tc>
          <w:tcPr>
            <w:tcW w:w="100" w:type="dxa"/>
            <w:vAlign w:val="bottom"/>
            <w:shd w:val="clear" w:color="auto" w:fill="CDDEE7"/>
          </w:tcPr>
          <w:p>
            <w:pPr>
              <w:spacing w:after="0"/>
              <w:rPr>
                <w:sz w:val="19"/>
                <w:szCs w:val="19"/>
                <w:color w:val="auto"/>
              </w:rPr>
            </w:pPr>
          </w:p>
        </w:tc>
        <w:tc>
          <w:tcPr>
            <w:tcW w:w="940" w:type="dxa"/>
            <w:vAlign w:val="bottom"/>
            <w:shd w:val="clear" w:color="auto" w:fill="CDDEE7"/>
          </w:tcPr>
          <w:p>
            <w:pPr>
              <w:jc w:val="right"/>
              <w:ind w:right="30"/>
              <w:spacing w:after="0"/>
              <w:rPr>
                <w:sz w:val="20"/>
                <w:szCs w:val="20"/>
                <w:color w:val="auto"/>
              </w:rPr>
            </w:pPr>
            <w:r>
              <w:rPr>
                <w:rFonts w:ascii="Arial" w:cs="Arial" w:eastAsia="Arial" w:hAnsi="Arial"/>
                <w:sz w:val="18"/>
                <w:szCs w:val="18"/>
                <w:b w:val="1"/>
                <w:bCs w:val="1"/>
                <w:color w:val="auto"/>
              </w:rPr>
              <w:t>(18,193)</w:t>
            </w:r>
          </w:p>
        </w:tc>
        <w:tc>
          <w:tcPr>
            <w:tcW w:w="160" w:type="dxa"/>
            <w:vAlign w:val="bottom"/>
          </w:tcPr>
          <w:p>
            <w:pPr>
              <w:spacing w:after="0"/>
              <w:rPr>
                <w:sz w:val="19"/>
                <w:szCs w:val="19"/>
                <w:color w:val="auto"/>
              </w:rPr>
            </w:pPr>
          </w:p>
        </w:tc>
        <w:tc>
          <w:tcPr>
            <w:tcW w:w="220" w:type="dxa"/>
            <w:vAlign w:val="bottom"/>
            <w:shd w:val="clear" w:color="auto" w:fill="E0EBED"/>
          </w:tcPr>
          <w:p>
            <w:pPr>
              <w:spacing w:after="0"/>
              <w:rPr>
                <w:sz w:val="19"/>
                <w:szCs w:val="19"/>
                <w:color w:val="auto"/>
              </w:rPr>
            </w:pPr>
          </w:p>
        </w:tc>
        <w:tc>
          <w:tcPr>
            <w:tcW w:w="920" w:type="dxa"/>
            <w:vAlign w:val="bottom"/>
            <w:shd w:val="clear" w:color="auto" w:fill="E0EBED"/>
          </w:tcPr>
          <w:p>
            <w:pPr>
              <w:jc w:val="right"/>
              <w:ind w:right="30"/>
              <w:spacing w:after="0"/>
              <w:rPr>
                <w:sz w:val="20"/>
                <w:szCs w:val="20"/>
                <w:color w:val="auto"/>
              </w:rPr>
            </w:pPr>
            <w:r>
              <w:rPr>
                <w:rFonts w:ascii="Arial" w:cs="Arial" w:eastAsia="Arial" w:hAnsi="Arial"/>
                <w:sz w:val="18"/>
                <w:szCs w:val="18"/>
                <w:color w:val="auto"/>
              </w:rPr>
              <w:t>793</w:t>
            </w:r>
          </w:p>
        </w:tc>
        <w:tc>
          <w:tcPr>
            <w:tcW w:w="180" w:type="dxa"/>
            <w:vAlign w:val="bottom"/>
          </w:tcPr>
          <w:p>
            <w:pPr>
              <w:spacing w:after="0"/>
              <w:rPr>
                <w:sz w:val="19"/>
                <w:szCs w:val="19"/>
                <w:color w:val="auto"/>
              </w:rPr>
            </w:pPr>
          </w:p>
        </w:tc>
        <w:tc>
          <w:tcPr>
            <w:tcW w:w="200" w:type="dxa"/>
            <w:vAlign w:val="bottom"/>
            <w:shd w:val="clear" w:color="auto" w:fill="E0EBED"/>
          </w:tcPr>
          <w:p>
            <w:pPr>
              <w:spacing w:after="0"/>
              <w:rPr>
                <w:sz w:val="19"/>
                <w:szCs w:val="19"/>
                <w:color w:val="auto"/>
              </w:rPr>
            </w:pPr>
          </w:p>
        </w:tc>
        <w:tc>
          <w:tcPr>
            <w:tcW w:w="940" w:type="dxa"/>
            <w:vAlign w:val="bottom"/>
            <w:shd w:val="clear" w:color="auto" w:fill="E0EBED"/>
          </w:tcPr>
          <w:p>
            <w:pPr>
              <w:jc w:val="right"/>
              <w:ind w:right="30"/>
              <w:spacing w:after="0"/>
              <w:rPr>
                <w:sz w:val="20"/>
                <w:szCs w:val="20"/>
                <w:color w:val="auto"/>
              </w:rPr>
            </w:pPr>
            <w:r>
              <w:rPr>
                <w:rFonts w:ascii="Arial" w:cs="Arial" w:eastAsia="Arial" w:hAnsi="Arial"/>
                <w:sz w:val="18"/>
                <w:szCs w:val="18"/>
                <w:color w:val="auto"/>
              </w:rPr>
              <w:t>(8,043)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40" w:type="dxa"/>
            <w:vAlign w:val="bottom"/>
            <w:tcBorders>
              <w:top w:val="single" w:sz="8" w:color="auto"/>
            </w:tcBorders>
          </w:tcPr>
          <w:p>
            <w:pPr>
              <w:spacing w:after="0" w:line="200" w:lineRule="exact"/>
              <w:rPr>
                <w:sz w:val="20"/>
                <w:szCs w:val="20"/>
                <w:color w:val="auto"/>
              </w:rPr>
            </w:pPr>
            <w:r>
              <w:rPr>
                <w:rFonts w:ascii="Arial" w:cs="Arial" w:eastAsia="Arial" w:hAnsi="Arial"/>
                <w:sz w:val="19"/>
                <w:szCs w:val="19"/>
                <w:b w:val="1"/>
                <w:bCs w:val="1"/>
                <w:color w:val="auto"/>
              </w:rPr>
              <w:t>Earnings from Operations</w:t>
            </w:r>
          </w:p>
        </w:tc>
        <w:tc>
          <w:tcPr>
            <w:tcW w:w="100" w:type="dxa"/>
            <w:vAlign w:val="bottom"/>
            <w:tcBorders>
              <w:top w:val="single" w:sz="8" w:color="auto"/>
            </w:tcBorders>
            <w:shd w:val="clear" w:color="auto" w:fill="CDDEE7"/>
          </w:tcPr>
          <w:p>
            <w:pPr>
              <w:spacing w:after="0"/>
              <w:rPr>
                <w:sz w:val="17"/>
                <w:szCs w:val="17"/>
                <w:color w:val="auto"/>
              </w:rPr>
            </w:pPr>
          </w:p>
        </w:tc>
        <w:tc>
          <w:tcPr>
            <w:tcW w:w="100" w:type="dxa"/>
            <w:vAlign w:val="bottom"/>
            <w:tcBorders>
              <w:top w:val="single" w:sz="8" w:color="auto"/>
            </w:tcBorders>
            <w:shd w:val="clear" w:color="auto" w:fill="CDDEE7"/>
          </w:tcPr>
          <w:p>
            <w:pPr>
              <w:spacing w:after="0"/>
              <w:rPr>
                <w:sz w:val="17"/>
                <w:szCs w:val="17"/>
                <w:color w:val="auto"/>
              </w:rPr>
            </w:pPr>
          </w:p>
        </w:tc>
        <w:tc>
          <w:tcPr>
            <w:tcW w:w="940" w:type="dxa"/>
            <w:vAlign w:val="bottom"/>
            <w:tcBorders>
              <w:top w:val="single" w:sz="8" w:color="auto"/>
            </w:tcBorders>
            <w:shd w:val="clear" w:color="auto" w:fill="CDDEE7"/>
          </w:tcPr>
          <w:p>
            <w:pPr>
              <w:jc w:val="right"/>
              <w:ind w:right="30"/>
              <w:spacing w:after="0" w:line="201" w:lineRule="exact"/>
              <w:rPr>
                <w:sz w:val="20"/>
                <w:szCs w:val="20"/>
                <w:color w:val="auto"/>
              </w:rPr>
            </w:pPr>
            <w:r>
              <w:rPr>
                <w:rFonts w:ascii="Arial" w:cs="Arial" w:eastAsia="Arial" w:hAnsi="Arial"/>
                <w:sz w:val="18"/>
                <w:szCs w:val="18"/>
                <w:b w:val="1"/>
                <w:bCs w:val="1"/>
                <w:color w:val="auto"/>
                <w:shd w:val="clear" w:color="auto" w:fill="CDDEE7"/>
              </w:rPr>
              <w:t>690,737</w:t>
            </w: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shd w:val="clear" w:color="auto" w:fill="E0EBED"/>
          </w:tcPr>
          <w:p>
            <w:pPr>
              <w:spacing w:after="0"/>
              <w:rPr>
                <w:sz w:val="17"/>
                <w:szCs w:val="17"/>
                <w:color w:val="auto"/>
              </w:rPr>
            </w:pPr>
          </w:p>
        </w:tc>
        <w:tc>
          <w:tcPr>
            <w:tcW w:w="920" w:type="dxa"/>
            <w:vAlign w:val="bottom"/>
            <w:tcBorders>
              <w:top w:val="single" w:sz="8" w:color="auto"/>
            </w:tcBorders>
            <w:shd w:val="clear" w:color="auto" w:fill="E0EBED"/>
          </w:tcPr>
          <w:p>
            <w:pPr>
              <w:jc w:val="right"/>
              <w:ind w:right="30"/>
              <w:spacing w:after="0" w:line="201" w:lineRule="exact"/>
              <w:rPr>
                <w:sz w:val="20"/>
                <w:szCs w:val="20"/>
                <w:color w:val="auto"/>
              </w:rPr>
            </w:pPr>
            <w:r>
              <w:rPr>
                <w:rFonts w:ascii="Arial" w:cs="Arial" w:eastAsia="Arial" w:hAnsi="Arial"/>
                <w:sz w:val="18"/>
                <w:szCs w:val="18"/>
                <w:color w:val="auto"/>
              </w:rPr>
              <w:t>700,381</w:t>
            </w: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shd w:val="clear" w:color="auto" w:fill="E0EBED"/>
          </w:tcPr>
          <w:p>
            <w:pPr>
              <w:spacing w:after="0"/>
              <w:rPr>
                <w:sz w:val="17"/>
                <w:szCs w:val="17"/>
                <w:color w:val="auto"/>
              </w:rPr>
            </w:pPr>
          </w:p>
        </w:tc>
        <w:tc>
          <w:tcPr>
            <w:tcW w:w="940" w:type="dxa"/>
            <w:vAlign w:val="bottom"/>
            <w:tcBorders>
              <w:top w:val="single" w:sz="8" w:color="auto"/>
            </w:tcBorders>
            <w:shd w:val="clear" w:color="auto" w:fill="E0EBED"/>
          </w:tcPr>
          <w:p>
            <w:pPr>
              <w:jc w:val="right"/>
              <w:ind w:right="30"/>
              <w:spacing w:after="0" w:line="201" w:lineRule="exact"/>
              <w:rPr>
                <w:sz w:val="20"/>
                <w:szCs w:val="20"/>
                <w:color w:val="auto"/>
              </w:rPr>
            </w:pPr>
            <w:r>
              <w:rPr>
                <w:rFonts w:ascii="Arial" w:cs="Arial" w:eastAsia="Arial" w:hAnsi="Arial"/>
                <w:sz w:val="18"/>
                <w:szCs w:val="18"/>
                <w:color w:val="auto"/>
              </w:rPr>
              <w:t>677,266</w:t>
            </w:r>
          </w:p>
        </w:tc>
        <w:tc>
          <w:tcPr>
            <w:tcW w:w="0" w:type="dxa"/>
            <w:vAlign w:val="bottom"/>
          </w:tcPr>
          <w:p>
            <w:pPr>
              <w:spacing w:after="0"/>
              <w:rPr>
                <w:sz w:val="1"/>
                <w:szCs w:val="1"/>
                <w:color w:val="auto"/>
              </w:rPr>
            </w:pPr>
          </w:p>
        </w:tc>
      </w:tr>
      <w:tr>
        <w:trPr>
          <w:trHeight w:val="225"/>
        </w:trPr>
        <w:tc>
          <w:tcPr>
            <w:tcW w:w="76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DDEE7"/>
          </w:tcPr>
          <w:p>
            <w:pPr>
              <w:spacing w:after="0"/>
              <w:rPr>
                <w:sz w:val="19"/>
                <w:szCs w:val="19"/>
                <w:color w:val="auto"/>
              </w:rPr>
            </w:pPr>
          </w:p>
        </w:tc>
        <w:tc>
          <w:tcPr>
            <w:tcW w:w="100" w:type="dxa"/>
            <w:vAlign w:val="bottom"/>
            <w:shd w:val="clear" w:color="auto" w:fill="CDDEE7"/>
          </w:tcPr>
          <w:p>
            <w:pPr>
              <w:spacing w:after="0"/>
              <w:rPr>
                <w:sz w:val="19"/>
                <w:szCs w:val="19"/>
                <w:color w:val="auto"/>
              </w:rPr>
            </w:pPr>
          </w:p>
        </w:tc>
        <w:tc>
          <w:tcPr>
            <w:tcW w:w="940" w:type="dxa"/>
            <w:vAlign w:val="bottom"/>
            <w:shd w:val="clear" w:color="auto" w:fill="CDDEE7"/>
          </w:tcPr>
          <w:p>
            <w:pPr>
              <w:jc w:val="right"/>
              <w:ind w:right="30"/>
              <w:spacing w:after="0"/>
              <w:rPr>
                <w:sz w:val="20"/>
                <w:szCs w:val="20"/>
                <w:color w:val="auto"/>
              </w:rPr>
            </w:pPr>
            <w:r>
              <w:rPr>
                <w:rFonts w:ascii="Arial" w:cs="Arial" w:eastAsia="Arial" w:hAnsi="Arial"/>
                <w:sz w:val="18"/>
                <w:szCs w:val="18"/>
                <w:b w:val="1"/>
                <w:bCs w:val="1"/>
                <w:color w:val="auto"/>
              </w:rPr>
              <w:t>137,069</w:t>
            </w:r>
          </w:p>
        </w:tc>
        <w:tc>
          <w:tcPr>
            <w:tcW w:w="160" w:type="dxa"/>
            <w:vAlign w:val="bottom"/>
          </w:tcPr>
          <w:p>
            <w:pPr>
              <w:spacing w:after="0"/>
              <w:rPr>
                <w:sz w:val="19"/>
                <w:szCs w:val="19"/>
                <w:color w:val="auto"/>
              </w:rPr>
            </w:pPr>
          </w:p>
        </w:tc>
        <w:tc>
          <w:tcPr>
            <w:tcW w:w="220" w:type="dxa"/>
            <w:vAlign w:val="bottom"/>
            <w:shd w:val="clear" w:color="auto" w:fill="E0EBED"/>
          </w:tcPr>
          <w:p>
            <w:pPr>
              <w:spacing w:after="0"/>
              <w:rPr>
                <w:sz w:val="19"/>
                <w:szCs w:val="19"/>
                <w:color w:val="auto"/>
              </w:rPr>
            </w:pPr>
          </w:p>
        </w:tc>
        <w:tc>
          <w:tcPr>
            <w:tcW w:w="920" w:type="dxa"/>
            <w:vAlign w:val="bottom"/>
            <w:shd w:val="clear" w:color="auto" w:fill="E0EBED"/>
          </w:tcPr>
          <w:p>
            <w:pPr>
              <w:jc w:val="right"/>
              <w:ind w:right="30"/>
              <w:spacing w:after="0"/>
              <w:rPr>
                <w:sz w:val="20"/>
                <w:szCs w:val="20"/>
                <w:color w:val="auto"/>
              </w:rPr>
            </w:pPr>
            <w:r>
              <w:rPr>
                <w:rFonts w:ascii="Arial" w:cs="Arial" w:eastAsia="Arial" w:hAnsi="Arial"/>
                <w:sz w:val="18"/>
                <w:szCs w:val="18"/>
                <w:color w:val="auto"/>
              </w:rPr>
              <w:t>91,487</w:t>
            </w:r>
          </w:p>
        </w:tc>
        <w:tc>
          <w:tcPr>
            <w:tcW w:w="180" w:type="dxa"/>
            <w:vAlign w:val="bottom"/>
          </w:tcPr>
          <w:p>
            <w:pPr>
              <w:spacing w:after="0"/>
              <w:rPr>
                <w:sz w:val="19"/>
                <w:szCs w:val="19"/>
                <w:color w:val="auto"/>
              </w:rPr>
            </w:pPr>
          </w:p>
        </w:tc>
        <w:tc>
          <w:tcPr>
            <w:tcW w:w="200" w:type="dxa"/>
            <w:vAlign w:val="bottom"/>
            <w:shd w:val="clear" w:color="auto" w:fill="E0EBED"/>
          </w:tcPr>
          <w:p>
            <w:pPr>
              <w:spacing w:after="0"/>
              <w:rPr>
                <w:sz w:val="19"/>
                <w:szCs w:val="19"/>
                <w:color w:val="auto"/>
              </w:rPr>
            </w:pPr>
          </w:p>
        </w:tc>
        <w:tc>
          <w:tcPr>
            <w:tcW w:w="940" w:type="dxa"/>
            <w:vAlign w:val="bottom"/>
            <w:shd w:val="clear" w:color="auto" w:fill="E0EBED"/>
          </w:tcPr>
          <w:p>
            <w:pPr>
              <w:jc w:val="right"/>
              <w:ind w:right="30"/>
              <w:spacing w:after="0"/>
              <w:rPr>
                <w:sz w:val="20"/>
                <w:szCs w:val="20"/>
                <w:color w:val="auto"/>
              </w:rPr>
            </w:pPr>
            <w:r>
              <w:rPr>
                <w:rFonts w:ascii="Arial" w:cs="Arial" w:eastAsia="Arial" w:hAnsi="Arial"/>
                <w:sz w:val="18"/>
                <w:szCs w:val="18"/>
                <w:color w:val="auto"/>
              </w:rPr>
              <w:t>81,677</w:t>
            </w:r>
          </w:p>
        </w:tc>
        <w:tc>
          <w:tcPr>
            <w:tcW w:w="0" w:type="dxa"/>
            <w:vAlign w:val="bottom"/>
          </w:tcPr>
          <w:p>
            <w:pPr>
              <w:spacing w:after="0"/>
              <w:rPr>
                <w:sz w:val="1"/>
                <w:szCs w:val="1"/>
                <w:color w:val="auto"/>
              </w:rPr>
            </w:pPr>
          </w:p>
        </w:tc>
      </w:tr>
      <w:tr>
        <w:trPr>
          <w:trHeight w:val="203"/>
        </w:trPr>
        <w:tc>
          <w:tcPr>
            <w:tcW w:w="7660" w:type="dxa"/>
            <w:vAlign w:val="bottom"/>
            <w:gridSpan w:val="2"/>
          </w:tcPr>
          <w:p>
            <w:pPr>
              <w:spacing w:after="0" w:line="203" w:lineRule="exact"/>
              <w:rPr>
                <w:sz w:val="20"/>
                <w:szCs w:val="20"/>
                <w:color w:val="auto"/>
              </w:rPr>
            </w:pPr>
            <w:r>
              <w:rPr>
                <w:rFonts w:ascii="Arial" w:cs="Arial" w:eastAsia="Arial" w:hAnsi="Arial"/>
                <w:sz w:val="18"/>
                <w:szCs w:val="18"/>
                <w:color w:val="auto"/>
              </w:rPr>
              <w:t>Other nonoperating income, net</w:t>
            </w: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940" w:type="dxa"/>
            <w:vAlign w:val="bottom"/>
            <w:shd w:val="clear" w:color="auto" w:fill="CDDEE7"/>
          </w:tcPr>
          <w:p>
            <w:pPr>
              <w:jc w:val="right"/>
              <w:ind w:right="30"/>
              <w:spacing w:after="0" w:line="203" w:lineRule="exact"/>
              <w:rPr>
                <w:sz w:val="20"/>
                <w:szCs w:val="20"/>
                <w:color w:val="auto"/>
              </w:rPr>
            </w:pPr>
            <w:r>
              <w:rPr>
                <w:rFonts w:ascii="Arial" w:cs="Arial" w:eastAsia="Arial" w:hAnsi="Arial"/>
                <w:sz w:val="18"/>
                <w:szCs w:val="18"/>
                <w:b w:val="1"/>
                <w:bCs w:val="1"/>
                <w:color w:val="auto"/>
              </w:rPr>
              <w:t>(22,413)</w:t>
            </w:r>
          </w:p>
        </w:tc>
        <w:tc>
          <w:tcPr>
            <w:tcW w:w="16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920" w:type="dxa"/>
            <w:vAlign w:val="bottom"/>
            <w:shd w:val="clear" w:color="auto" w:fill="E0EBED"/>
          </w:tcPr>
          <w:p>
            <w:pPr>
              <w:jc w:val="right"/>
              <w:ind w:right="30"/>
              <w:spacing w:after="0" w:line="203" w:lineRule="exact"/>
              <w:rPr>
                <w:sz w:val="20"/>
                <w:szCs w:val="20"/>
                <w:color w:val="auto"/>
              </w:rPr>
            </w:pPr>
            <w:r>
              <w:rPr>
                <w:rFonts w:ascii="Arial" w:cs="Arial" w:eastAsia="Arial" w:hAnsi="Arial"/>
                <w:sz w:val="18"/>
                <w:szCs w:val="18"/>
                <w:color w:val="auto"/>
              </w:rPr>
              <w:t>(10,034)</w:t>
            </w:r>
          </w:p>
        </w:tc>
        <w:tc>
          <w:tcPr>
            <w:tcW w:w="18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940" w:type="dxa"/>
            <w:vAlign w:val="bottom"/>
            <w:shd w:val="clear" w:color="auto" w:fill="E0EBED"/>
          </w:tcPr>
          <w:p>
            <w:pPr>
              <w:jc w:val="right"/>
              <w:ind w:right="30"/>
              <w:spacing w:after="0" w:line="203" w:lineRule="exact"/>
              <w:rPr>
                <w:sz w:val="20"/>
                <w:szCs w:val="20"/>
                <w:color w:val="auto"/>
              </w:rPr>
            </w:pPr>
            <w:r>
              <w:rPr>
                <w:rFonts w:ascii="Arial" w:cs="Arial" w:eastAsia="Arial" w:hAnsi="Arial"/>
                <w:sz w:val="18"/>
                <w:szCs w:val="18"/>
                <w:color w:val="auto"/>
              </w:rPr>
              <w:t>(11,439)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4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Earnings before income tax expense (benefit)</w:t>
            </w:r>
          </w:p>
        </w:tc>
        <w:tc>
          <w:tcPr>
            <w:tcW w:w="100" w:type="dxa"/>
            <w:vAlign w:val="bottom"/>
            <w:tcBorders>
              <w:top w:val="single" w:sz="8" w:color="auto"/>
            </w:tcBorders>
            <w:shd w:val="clear" w:color="auto" w:fill="CDDEE7"/>
          </w:tcPr>
          <w:p>
            <w:pPr>
              <w:spacing w:after="0"/>
              <w:rPr>
                <w:sz w:val="15"/>
                <w:szCs w:val="15"/>
                <w:color w:val="auto"/>
              </w:rPr>
            </w:pPr>
          </w:p>
        </w:tc>
        <w:tc>
          <w:tcPr>
            <w:tcW w:w="100" w:type="dxa"/>
            <w:vAlign w:val="bottom"/>
            <w:tcBorders>
              <w:top w:val="single" w:sz="8" w:color="auto"/>
            </w:tcBorders>
            <w:shd w:val="clear" w:color="auto" w:fill="CDDEE7"/>
          </w:tcPr>
          <w:p>
            <w:pPr>
              <w:spacing w:after="0"/>
              <w:rPr>
                <w:sz w:val="15"/>
                <w:szCs w:val="15"/>
                <w:color w:val="auto"/>
              </w:rPr>
            </w:pPr>
          </w:p>
        </w:tc>
        <w:tc>
          <w:tcPr>
            <w:tcW w:w="940" w:type="dxa"/>
            <w:vAlign w:val="bottom"/>
            <w:tcBorders>
              <w:top w:val="single" w:sz="8" w:color="auto"/>
            </w:tcBorders>
            <w:shd w:val="clear" w:color="auto" w:fill="CDDEE7"/>
          </w:tcPr>
          <w:p>
            <w:pPr>
              <w:jc w:val="right"/>
              <w:ind w:right="30"/>
              <w:spacing w:after="0" w:line="173" w:lineRule="exact"/>
              <w:rPr>
                <w:sz w:val="20"/>
                <w:szCs w:val="20"/>
                <w:color w:val="auto"/>
              </w:rPr>
            </w:pPr>
            <w:r>
              <w:rPr>
                <w:rFonts w:ascii="Arial" w:cs="Arial" w:eastAsia="Arial" w:hAnsi="Arial"/>
                <w:sz w:val="18"/>
                <w:szCs w:val="18"/>
                <w:b w:val="1"/>
                <w:bCs w:val="1"/>
                <w:color w:val="auto"/>
              </w:rPr>
              <w:t>576,081</w:t>
            </w: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shd w:val="clear" w:color="auto" w:fill="E0EBED"/>
          </w:tcPr>
          <w:p>
            <w:pPr>
              <w:spacing w:after="0"/>
              <w:rPr>
                <w:sz w:val="15"/>
                <w:szCs w:val="15"/>
                <w:color w:val="auto"/>
              </w:rPr>
            </w:pPr>
          </w:p>
        </w:tc>
        <w:tc>
          <w:tcPr>
            <w:tcW w:w="920" w:type="dxa"/>
            <w:vAlign w:val="bottom"/>
            <w:tcBorders>
              <w:top w:val="single" w:sz="8" w:color="auto"/>
            </w:tcBorders>
            <w:shd w:val="clear" w:color="auto" w:fill="E0EBED"/>
          </w:tcPr>
          <w:p>
            <w:pPr>
              <w:jc w:val="right"/>
              <w:ind w:right="30"/>
              <w:spacing w:after="0" w:line="173" w:lineRule="exact"/>
              <w:rPr>
                <w:sz w:val="20"/>
                <w:szCs w:val="20"/>
                <w:color w:val="auto"/>
              </w:rPr>
            </w:pPr>
            <w:r>
              <w:rPr>
                <w:rFonts w:ascii="Arial" w:cs="Arial" w:eastAsia="Arial" w:hAnsi="Arial"/>
                <w:sz w:val="18"/>
                <w:szCs w:val="18"/>
                <w:color w:val="auto"/>
              </w:rPr>
              <w:t>618,928</w:t>
            </w:r>
          </w:p>
        </w:tc>
        <w:tc>
          <w:tcPr>
            <w:tcW w:w="1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shd w:val="clear" w:color="auto" w:fill="E0EBED"/>
          </w:tcPr>
          <w:p>
            <w:pPr>
              <w:spacing w:after="0"/>
              <w:rPr>
                <w:sz w:val="15"/>
                <w:szCs w:val="15"/>
                <w:color w:val="auto"/>
              </w:rPr>
            </w:pPr>
          </w:p>
        </w:tc>
        <w:tc>
          <w:tcPr>
            <w:tcW w:w="940" w:type="dxa"/>
            <w:vAlign w:val="bottom"/>
            <w:tcBorders>
              <w:top w:val="single" w:sz="8" w:color="auto"/>
            </w:tcBorders>
            <w:shd w:val="clear" w:color="auto" w:fill="E0EBED"/>
          </w:tcPr>
          <w:p>
            <w:pPr>
              <w:jc w:val="right"/>
              <w:ind w:right="30"/>
              <w:spacing w:after="0" w:line="173" w:lineRule="exact"/>
              <w:rPr>
                <w:sz w:val="20"/>
                <w:szCs w:val="20"/>
                <w:color w:val="auto"/>
              </w:rPr>
            </w:pPr>
            <w:r>
              <w:rPr>
                <w:rFonts w:ascii="Arial" w:cs="Arial" w:eastAsia="Arial" w:hAnsi="Arial"/>
                <w:sz w:val="18"/>
                <w:szCs w:val="18"/>
                <w:color w:val="auto"/>
              </w:rPr>
              <w:t>607,028</w:t>
            </w:r>
          </w:p>
        </w:tc>
        <w:tc>
          <w:tcPr>
            <w:tcW w:w="0" w:type="dxa"/>
            <w:vAlign w:val="bottom"/>
          </w:tcPr>
          <w:p>
            <w:pPr>
              <w:spacing w:after="0"/>
              <w:rPr>
                <w:sz w:val="1"/>
                <w:szCs w:val="1"/>
                <w:color w:val="auto"/>
              </w:rPr>
            </w:pPr>
          </w:p>
        </w:tc>
      </w:tr>
      <w:tr>
        <w:trPr>
          <w:trHeight w:val="225"/>
        </w:trPr>
        <w:tc>
          <w:tcPr>
            <w:tcW w:w="766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DDEE7"/>
          </w:tcPr>
          <w:p>
            <w:pPr>
              <w:spacing w:after="0"/>
              <w:rPr>
                <w:sz w:val="19"/>
                <w:szCs w:val="19"/>
                <w:color w:val="auto"/>
              </w:rPr>
            </w:pPr>
          </w:p>
        </w:tc>
        <w:tc>
          <w:tcPr>
            <w:tcW w:w="100" w:type="dxa"/>
            <w:vAlign w:val="bottom"/>
            <w:shd w:val="clear" w:color="auto" w:fill="CDDEE7"/>
          </w:tcPr>
          <w:p>
            <w:pPr>
              <w:spacing w:after="0"/>
              <w:rPr>
                <w:sz w:val="19"/>
                <w:szCs w:val="19"/>
                <w:color w:val="auto"/>
              </w:rPr>
            </w:pPr>
          </w:p>
        </w:tc>
        <w:tc>
          <w:tcPr>
            <w:tcW w:w="940" w:type="dxa"/>
            <w:vAlign w:val="bottom"/>
            <w:shd w:val="clear" w:color="auto" w:fill="CDDEE7"/>
          </w:tcPr>
          <w:p>
            <w:pPr>
              <w:jc w:val="right"/>
              <w:ind w:right="30"/>
              <w:spacing w:after="0"/>
              <w:rPr>
                <w:sz w:val="20"/>
                <w:szCs w:val="20"/>
                <w:color w:val="auto"/>
              </w:rPr>
            </w:pPr>
            <w:r>
              <w:rPr>
                <w:rFonts w:ascii="Arial" w:cs="Arial" w:eastAsia="Arial" w:hAnsi="Arial"/>
                <w:sz w:val="18"/>
                <w:szCs w:val="18"/>
                <w:b w:val="1"/>
                <w:bCs w:val="1"/>
                <w:color w:val="auto"/>
              </w:rPr>
              <w:t>105,705</w:t>
            </w:r>
          </w:p>
        </w:tc>
        <w:tc>
          <w:tcPr>
            <w:tcW w:w="160" w:type="dxa"/>
            <w:vAlign w:val="bottom"/>
          </w:tcPr>
          <w:p>
            <w:pPr>
              <w:spacing w:after="0"/>
              <w:rPr>
                <w:sz w:val="19"/>
                <w:szCs w:val="19"/>
                <w:color w:val="auto"/>
              </w:rPr>
            </w:pPr>
          </w:p>
        </w:tc>
        <w:tc>
          <w:tcPr>
            <w:tcW w:w="220" w:type="dxa"/>
            <w:vAlign w:val="bottom"/>
            <w:shd w:val="clear" w:color="auto" w:fill="E0EBED"/>
          </w:tcPr>
          <w:p>
            <w:pPr>
              <w:spacing w:after="0"/>
              <w:rPr>
                <w:sz w:val="19"/>
                <w:szCs w:val="19"/>
                <w:color w:val="auto"/>
              </w:rPr>
            </w:pPr>
          </w:p>
        </w:tc>
        <w:tc>
          <w:tcPr>
            <w:tcW w:w="920" w:type="dxa"/>
            <w:vAlign w:val="bottom"/>
            <w:shd w:val="clear" w:color="auto" w:fill="E0EBED"/>
          </w:tcPr>
          <w:p>
            <w:pPr>
              <w:jc w:val="right"/>
              <w:ind w:right="30"/>
              <w:spacing w:after="0"/>
              <w:rPr>
                <w:sz w:val="20"/>
                <w:szCs w:val="20"/>
                <w:color w:val="auto"/>
              </w:rPr>
            </w:pPr>
            <w:r>
              <w:rPr>
                <w:rFonts w:ascii="Arial" w:cs="Arial" w:eastAsia="Arial" w:hAnsi="Arial"/>
                <w:sz w:val="18"/>
                <w:szCs w:val="18"/>
                <w:color w:val="auto"/>
              </w:rPr>
              <w:t>(94,457)</w:t>
            </w:r>
          </w:p>
        </w:tc>
        <w:tc>
          <w:tcPr>
            <w:tcW w:w="180" w:type="dxa"/>
            <w:vAlign w:val="bottom"/>
          </w:tcPr>
          <w:p>
            <w:pPr>
              <w:spacing w:after="0"/>
              <w:rPr>
                <w:sz w:val="19"/>
                <w:szCs w:val="19"/>
                <w:color w:val="auto"/>
              </w:rPr>
            </w:pPr>
          </w:p>
        </w:tc>
        <w:tc>
          <w:tcPr>
            <w:tcW w:w="200" w:type="dxa"/>
            <w:vAlign w:val="bottom"/>
            <w:shd w:val="clear" w:color="auto" w:fill="E0EBED"/>
          </w:tcPr>
          <w:p>
            <w:pPr>
              <w:spacing w:after="0"/>
              <w:rPr>
                <w:sz w:val="19"/>
                <w:szCs w:val="19"/>
                <w:color w:val="auto"/>
              </w:rPr>
            </w:pPr>
          </w:p>
        </w:tc>
        <w:tc>
          <w:tcPr>
            <w:tcW w:w="940" w:type="dxa"/>
            <w:vAlign w:val="bottom"/>
            <w:shd w:val="clear" w:color="auto" w:fill="E0EBED"/>
          </w:tcPr>
          <w:p>
            <w:pPr>
              <w:jc w:val="right"/>
              <w:ind w:right="30"/>
              <w:spacing w:after="0"/>
              <w:rPr>
                <w:sz w:val="20"/>
                <w:szCs w:val="20"/>
                <w:color w:val="auto"/>
              </w:rPr>
            </w:pPr>
            <w:r>
              <w:rPr>
                <w:rFonts w:ascii="Arial" w:cs="Arial" w:eastAsia="Arial" w:hAnsi="Arial"/>
                <w:sz w:val="18"/>
                <w:szCs w:val="18"/>
                <w:color w:val="auto"/>
              </w:rPr>
              <w:t>181,584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640" w:type="dxa"/>
            <w:vAlign w:val="bottom"/>
            <w:tcBorders>
              <w:top w:val="single" w:sz="8" w:color="auto"/>
            </w:tcBorders>
          </w:tcPr>
          <w:p>
            <w:pPr>
              <w:spacing w:after="0" w:line="200" w:lineRule="exact"/>
              <w:rPr>
                <w:sz w:val="20"/>
                <w:szCs w:val="20"/>
                <w:color w:val="auto"/>
              </w:rPr>
            </w:pPr>
            <w:r>
              <w:rPr>
                <w:rFonts w:ascii="Arial" w:cs="Arial" w:eastAsia="Arial" w:hAnsi="Arial"/>
                <w:sz w:val="19"/>
                <w:szCs w:val="19"/>
                <w:b w:val="1"/>
                <w:bCs w:val="1"/>
                <w:color w:val="auto"/>
              </w:rPr>
              <w:t>Consolidated net earnings</w:t>
            </w:r>
          </w:p>
        </w:tc>
        <w:tc>
          <w:tcPr>
            <w:tcW w:w="100" w:type="dxa"/>
            <w:vAlign w:val="bottom"/>
            <w:tcBorders>
              <w:top w:val="single" w:sz="8" w:color="auto"/>
            </w:tcBorders>
            <w:shd w:val="clear" w:color="auto" w:fill="CDDEE7"/>
          </w:tcPr>
          <w:p>
            <w:pPr>
              <w:spacing w:after="0"/>
              <w:rPr>
                <w:sz w:val="17"/>
                <w:szCs w:val="17"/>
                <w:color w:val="auto"/>
              </w:rPr>
            </w:pPr>
          </w:p>
        </w:tc>
        <w:tc>
          <w:tcPr>
            <w:tcW w:w="100" w:type="dxa"/>
            <w:vAlign w:val="bottom"/>
            <w:tcBorders>
              <w:top w:val="single" w:sz="8" w:color="auto"/>
            </w:tcBorders>
            <w:shd w:val="clear" w:color="auto" w:fill="CDDEE7"/>
          </w:tcPr>
          <w:p>
            <w:pPr>
              <w:spacing w:after="0"/>
              <w:rPr>
                <w:sz w:val="17"/>
                <w:szCs w:val="17"/>
                <w:color w:val="auto"/>
              </w:rPr>
            </w:pPr>
          </w:p>
        </w:tc>
        <w:tc>
          <w:tcPr>
            <w:tcW w:w="940" w:type="dxa"/>
            <w:vAlign w:val="bottom"/>
            <w:tcBorders>
              <w:top w:val="single" w:sz="8" w:color="auto"/>
            </w:tcBorders>
            <w:shd w:val="clear" w:color="auto" w:fill="CDDEE7"/>
          </w:tcPr>
          <w:p>
            <w:pPr>
              <w:jc w:val="right"/>
              <w:ind w:right="30"/>
              <w:spacing w:after="0" w:line="201" w:lineRule="exact"/>
              <w:rPr>
                <w:sz w:val="20"/>
                <w:szCs w:val="20"/>
                <w:color w:val="auto"/>
              </w:rPr>
            </w:pPr>
            <w:r>
              <w:rPr>
                <w:rFonts w:ascii="Arial" w:cs="Arial" w:eastAsia="Arial" w:hAnsi="Arial"/>
                <w:sz w:val="18"/>
                <w:szCs w:val="18"/>
                <w:b w:val="1"/>
                <w:bCs w:val="1"/>
                <w:color w:val="auto"/>
                <w:shd w:val="clear" w:color="auto" w:fill="CDDEE7"/>
              </w:rPr>
              <w:t>470,376</w:t>
            </w: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shd w:val="clear" w:color="auto" w:fill="E0EBED"/>
          </w:tcPr>
          <w:p>
            <w:pPr>
              <w:spacing w:after="0"/>
              <w:rPr>
                <w:sz w:val="17"/>
                <w:szCs w:val="17"/>
                <w:color w:val="auto"/>
              </w:rPr>
            </w:pPr>
          </w:p>
        </w:tc>
        <w:tc>
          <w:tcPr>
            <w:tcW w:w="920" w:type="dxa"/>
            <w:vAlign w:val="bottom"/>
            <w:tcBorders>
              <w:top w:val="single" w:sz="8" w:color="auto"/>
            </w:tcBorders>
            <w:shd w:val="clear" w:color="auto" w:fill="E0EBED"/>
          </w:tcPr>
          <w:p>
            <w:pPr>
              <w:jc w:val="right"/>
              <w:ind w:right="30"/>
              <w:spacing w:after="0" w:line="201" w:lineRule="exact"/>
              <w:rPr>
                <w:sz w:val="20"/>
                <w:szCs w:val="20"/>
                <w:color w:val="auto"/>
              </w:rPr>
            </w:pPr>
            <w:r>
              <w:rPr>
                <w:rFonts w:ascii="Arial" w:cs="Arial" w:eastAsia="Arial" w:hAnsi="Arial"/>
                <w:sz w:val="18"/>
                <w:szCs w:val="18"/>
                <w:color w:val="auto"/>
              </w:rPr>
              <w:t>713,385</w:t>
            </w: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shd w:val="clear" w:color="auto" w:fill="E0EBED"/>
          </w:tcPr>
          <w:p>
            <w:pPr>
              <w:spacing w:after="0"/>
              <w:rPr>
                <w:sz w:val="17"/>
                <w:szCs w:val="17"/>
                <w:color w:val="auto"/>
              </w:rPr>
            </w:pPr>
          </w:p>
        </w:tc>
        <w:tc>
          <w:tcPr>
            <w:tcW w:w="940" w:type="dxa"/>
            <w:vAlign w:val="bottom"/>
            <w:tcBorders>
              <w:top w:val="single" w:sz="8" w:color="auto"/>
            </w:tcBorders>
            <w:shd w:val="clear" w:color="auto" w:fill="E0EBED"/>
          </w:tcPr>
          <w:p>
            <w:pPr>
              <w:jc w:val="right"/>
              <w:ind w:right="30"/>
              <w:spacing w:after="0" w:line="201" w:lineRule="exact"/>
              <w:rPr>
                <w:sz w:val="20"/>
                <w:szCs w:val="20"/>
                <w:color w:val="auto"/>
              </w:rPr>
            </w:pPr>
            <w:r>
              <w:rPr>
                <w:rFonts w:ascii="Arial" w:cs="Arial" w:eastAsia="Arial" w:hAnsi="Arial"/>
                <w:sz w:val="18"/>
                <w:szCs w:val="18"/>
                <w:color w:val="auto"/>
              </w:rPr>
              <w:t>425,444</w:t>
            </w:r>
          </w:p>
        </w:tc>
        <w:tc>
          <w:tcPr>
            <w:tcW w:w="0" w:type="dxa"/>
            <w:vAlign w:val="bottom"/>
          </w:tcPr>
          <w:p>
            <w:pPr>
              <w:spacing w:after="0"/>
              <w:rPr>
                <w:sz w:val="1"/>
                <w:szCs w:val="1"/>
                <w:color w:val="auto"/>
              </w:rPr>
            </w:pPr>
          </w:p>
        </w:tc>
      </w:tr>
      <w:tr>
        <w:trPr>
          <w:trHeight w:val="225"/>
        </w:trPr>
        <w:tc>
          <w:tcPr>
            <w:tcW w:w="7660" w:type="dxa"/>
            <w:vAlign w:val="bottom"/>
            <w:gridSpan w:val="2"/>
          </w:tcPr>
          <w:p>
            <w:pPr>
              <w:spacing w:after="0"/>
              <w:rPr>
                <w:sz w:val="20"/>
                <w:szCs w:val="20"/>
                <w:color w:val="auto"/>
              </w:rPr>
            </w:pPr>
            <w:r>
              <w:rPr>
                <w:rFonts w:ascii="Arial" w:cs="Arial" w:eastAsia="Arial" w:hAnsi="Arial"/>
                <w:sz w:val="18"/>
                <w:szCs w:val="18"/>
                <w:color w:val="auto"/>
              </w:rPr>
              <w:t>Less: Net earnings attributable to noncontrolling interests</w:t>
            </w:r>
          </w:p>
        </w:tc>
        <w:tc>
          <w:tcPr>
            <w:tcW w:w="100" w:type="dxa"/>
            <w:vAlign w:val="bottom"/>
            <w:shd w:val="clear" w:color="auto" w:fill="CDDEE7"/>
          </w:tcPr>
          <w:p>
            <w:pPr>
              <w:spacing w:after="0"/>
              <w:rPr>
                <w:sz w:val="19"/>
                <w:szCs w:val="19"/>
                <w:color w:val="auto"/>
              </w:rPr>
            </w:pPr>
          </w:p>
        </w:tc>
        <w:tc>
          <w:tcPr>
            <w:tcW w:w="100" w:type="dxa"/>
            <w:vAlign w:val="bottom"/>
            <w:shd w:val="clear" w:color="auto" w:fill="CDDEE7"/>
          </w:tcPr>
          <w:p>
            <w:pPr>
              <w:spacing w:after="0"/>
              <w:rPr>
                <w:sz w:val="19"/>
                <w:szCs w:val="19"/>
                <w:color w:val="auto"/>
              </w:rPr>
            </w:pPr>
          </w:p>
        </w:tc>
        <w:tc>
          <w:tcPr>
            <w:tcW w:w="940" w:type="dxa"/>
            <w:vAlign w:val="bottom"/>
            <w:shd w:val="clear" w:color="auto" w:fill="CDDEE7"/>
          </w:tcPr>
          <w:p>
            <w:pPr>
              <w:jc w:val="right"/>
              <w:ind w:right="30"/>
              <w:spacing w:after="0"/>
              <w:rPr>
                <w:sz w:val="20"/>
                <w:szCs w:val="20"/>
                <w:color w:val="auto"/>
              </w:rPr>
            </w:pPr>
            <w:r>
              <w:rPr>
                <w:rFonts w:ascii="Arial" w:cs="Arial" w:eastAsia="Arial" w:hAnsi="Arial"/>
                <w:sz w:val="18"/>
                <w:szCs w:val="18"/>
                <w:b w:val="1"/>
                <w:bCs w:val="1"/>
                <w:color w:val="auto"/>
              </w:rPr>
              <w:t>378</w:t>
            </w:r>
          </w:p>
        </w:tc>
        <w:tc>
          <w:tcPr>
            <w:tcW w:w="160" w:type="dxa"/>
            <w:vAlign w:val="bottom"/>
          </w:tcPr>
          <w:p>
            <w:pPr>
              <w:spacing w:after="0"/>
              <w:rPr>
                <w:sz w:val="19"/>
                <w:szCs w:val="19"/>
                <w:color w:val="auto"/>
              </w:rPr>
            </w:pPr>
          </w:p>
        </w:tc>
        <w:tc>
          <w:tcPr>
            <w:tcW w:w="220" w:type="dxa"/>
            <w:vAlign w:val="bottom"/>
            <w:shd w:val="clear" w:color="auto" w:fill="E0EBED"/>
          </w:tcPr>
          <w:p>
            <w:pPr>
              <w:spacing w:after="0"/>
              <w:rPr>
                <w:sz w:val="19"/>
                <w:szCs w:val="19"/>
                <w:color w:val="auto"/>
              </w:rPr>
            </w:pPr>
          </w:p>
        </w:tc>
        <w:tc>
          <w:tcPr>
            <w:tcW w:w="920" w:type="dxa"/>
            <w:vAlign w:val="bottom"/>
            <w:shd w:val="clear" w:color="auto" w:fill="E0EBED"/>
          </w:tcPr>
          <w:p>
            <w:pPr>
              <w:jc w:val="right"/>
              <w:ind w:right="3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200" w:type="dxa"/>
            <w:vAlign w:val="bottom"/>
            <w:shd w:val="clear" w:color="auto" w:fill="E0EBED"/>
          </w:tcPr>
          <w:p>
            <w:pPr>
              <w:spacing w:after="0"/>
              <w:rPr>
                <w:sz w:val="19"/>
                <w:szCs w:val="19"/>
                <w:color w:val="auto"/>
              </w:rPr>
            </w:pPr>
          </w:p>
        </w:tc>
        <w:tc>
          <w:tcPr>
            <w:tcW w:w="940" w:type="dxa"/>
            <w:vAlign w:val="bottom"/>
            <w:shd w:val="clear" w:color="auto" w:fill="E0EBED"/>
          </w:tcPr>
          <w:p>
            <w:pPr>
              <w:jc w:val="right"/>
              <w:ind w:right="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tcBorders>
              <w:top w:val="single" w:sz="8" w:color="auto"/>
              <w:bottom w:val="single" w:sz="8" w:color="auto"/>
            </w:tcBorders>
          </w:tcPr>
          <w:p>
            <w:pPr>
              <w:spacing w:after="0" w:line="210" w:lineRule="exact"/>
              <w:rPr>
                <w:sz w:val="20"/>
                <w:szCs w:val="20"/>
                <w:color w:val="auto"/>
              </w:rPr>
            </w:pPr>
            <w:r>
              <w:rPr>
                <w:rFonts w:ascii="Arial" w:cs="Arial" w:eastAsia="Arial" w:hAnsi="Arial"/>
                <w:sz w:val="19"/>
                <w:szCs w:val="19"/>
                <w:b w:val="1"/>
                <w:bCs w:val="1"/>
                <w:color w:val="auto"/>
              </w:rPr>
              <w:t>Net Earnings Attributable to Martin Marietta</w:t>
            </w:r>
          </w:p>
        </w:tc>
        <w:tc>
          <w:tcPr>
            <w:tcW w:w="100" w:type="dxa"/>
            <w:vAlign w:val="bottom"/>
            <w:tcBorders>
              <w:top w:val="single" w:sz="8" w:color="auto"/>
              <w:bottom w:val="single" w:sz="8" w:color="auto"/>
            </w:tcBorders>
            <w:shd w:val="clear" w:color="auto" w:fill="CDDEE7"/>
          </w:tcPr>
          <w:p>
            <w:pPr>
              <w:spacing w:after="0"/>
              <w:rPr>
                <w:sz w:val="18"/>
                <w:szCs w:val="18"/>
                <w:color w:val="auto"/>
              </w:rPr>
            </w:pPr>
          </w:p>
        </w:tc>
        <w:tc>
          <w:tcPr>
            <w:tcW w:w="100" w:type="dxa"/>
            <w:vAlign w:val="bottom"/>
            <w:tcBorders>
              <w:top w:val="single" w:sz="8" w:color="auto"/>
              <w:bottom w:val="single" w:sz="8" w:color="auto"/>
            </w:tcBorders>
            <w:shd w:val="clear" w:color="auto" w:fill="CDDEE7"/>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DDEE7"/>
          </w:tcPr>
          <w:p>
            <w:pPr>
              <w:jc w:val="right"/>
              <w:ind w:right="30"/>
              <w:spacing w:after="0"/>
              <w:rPr>
                <w:sz w:val="20"/>
                <w:szCs w:val="20"/>
                <w:color w:val="auto"/>
              </w:rPr>
            </w:pPr>
            <w:r>
              <w:rPr>
                <w:rFonts w:ascii="Arial" w:cs="Arial" w:eastAsia="Arial" w:hAnsi="Arial"/>
                <w:sz w:val="18"/>
                <w:szCs w:val="18"/>
                <w:b w:val="1"/>
                <w:bCs w:val="1"/>
                <w:color w:val="auto"/>
              </w:rPr>
              <w:t>469,998</w:t>
            </w:r>
          </w:p>
        </w:tc>
        <w:tc>
          <w:tcPr>
            <w:tcW w:w="1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shd w:val="clear" w:color="auto" w:fill="E0EBED"/>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E0EBED"/>
          </w:tcPr>
          <w:p>
            <w:pPr>
              <w:jc w:val="right"/>
              <w:ind w:right="30"/>
              <w:spacing w:after="0"/>
              <w:rPr>
                <w:sz w:val="20"/>
                <w:szCs w:val="20"/>
                <w:color w:val="auto"/>
              </w:rPr>
            </w:pPr>
            <w:r>
              <w:rPr>
                <w:rFonts w:ascii="Arial" w:cs="Arial" w:eastAsia="Arial" w:hAnsi="Arial"/>
                <w:sz w:val="18"/>
                <w:szCs w:val="18"/>
                <w:color w:val="auto"/>
              </w:rPr>
              <w:t>713,342</w:t>
            </w:r>
          </w:p>
        </w:tc>
        <w:tc>
          <w:tcPr>
            <w:tcW w:w="1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shd w:val="clear" w:color="auto" w:fill="E0EBED"/>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E0EBED"/>
          </w:tcPr>
          <w:p>
            <w:pPr>
              <w:jc w:val="right"/>
              <w:ind w:right="30"/>
              <w:spacing w:after="0"/>
              <w:rPr>
                <w:sz w:val="20"/>
                <w:szCs w:val="20"/>
                <w:color w:val="auto"/>
              </w:rPr>
            </w:pPr>
            <w:r>
              <w:rPr>
                <w:rFonts w:ascii="Arial" w:cs="Arial" w:eastAsia="Arial" w:hAnsi="Arial"/>
                <w:sz w:val="18"/>
                <w:szCs w:val="18"/>
                <w:color w:val="auto"/>
              </w:rPr>
              <w:t>425,386</w:t>
            </w:r>
          </w:p>
        </w:tc>
        <w:tc>
          <w:tcPr>
            <w:tcW w:w="0" w:type="dxa"/>
            <w:vAlign w:val="bottom"/>
          </w:tcPr>
          <w:p>
            <w:pPr>
              <w:spacing w:after="0"/>
              <w:rPr>
                <w:sz w:val="1"/>
                <w:szCs w:val="1"/>
                <w:color w:val="auto"/>
              </w:rPr>
            </w:pPr>
          </w:p>
        </w:tc>
      </w:tr>
      <w:tr>
        <w:trPr>
          <w:trHeight w:val="418"/>
        </w:trPr>
        <w:tc>
          <w:tcPr>
            <w:tcW w:w="7660" w:type="dxa"/>
            <w:vAlign w:val="bottom"/>
            <w:gridSpan w:val="2"/>
          </w:tcPr>
          <w:p>
            <w:pPr>
              <w:spacing w:after="0"/>
              <w:rPr>
                <w:sz w:val="20"/>
                <w:szCs w:val="20"/>
                <w:color w:val="auto"/>
              </w:rPr>
            </w:pPr>
            <w:r>
              <w:rPr>
                <w:rFonts w:ascii="Arial" w:cs="Arial" w:eastAsia="Arial" w:hAnsi="Arial"/>
                <w:sz w:val="19"/>
                <w:szCs w:val="19"/>
                <w:b w:val="1"/>
                <w:bCs w:val="1"/>
                <w:color w:val="auto"/>
              </w:rPr>
              <w:t>Net Earnings Attributable to Martin Marietta Per Common Share (see Note A)</w:t>
            </w:r>
          </w:p>
        </w:tc>
        <w:tc>
          <w:tcPr>
            <w:tcW w:w="100" w:type="dxa"/>
            <w:vAlign w:val="bottom"/>
            <w:shd w:val="clear" w:color="auto" w:fill="CDDEE7"/>
          </w:tcPr>
          <w:p>
            <w:pPr>
              <w:spacing w:after="0"/>
              <w:rPr>
                <w:sz w:val="24"/>
                <w:szCs w:val="24"/>
                <w:color w:val="auto"/>
              </w:rPr>
            </w:pPr>
          </w:p>
        </w:tc>
        <w:tc>
          <w:tcPr>
            <w:tcW w:w="100" w:type="dxa"/>
            <w:vAlign w:val="bottom"/>
            <w:vMerge w:val="restart"/>
            <w:shd w:val="clear" w:color="auto" w:fill="CDDEE7"/>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vMerge w:val="restart"/>
            <w:shd w:val="clear" w:color="auto" w:fill="CDDEE7"/>
          </w:tcPr>
          <w:p>
            <w:pPr>
              <w:jc w:val="right"/>
              <w:ind w:right="30"/>
              <w:spacing w:after="0"/>
              <w:rPr>
                <w:sz w:val="20"/>
                <w:szCs w:val="20"/>
                <w:color w:val="auto"/>
              </w:rPr>
            </w:pPr>
            <w:r>
              <w:rPr>
                <w:rFonts w:ascii="Arial" w:cs="Arial" w:eastAsia="Arial" w:hAnsi="Arial"/>
                <w:sz w:val="18"/>
                <w:szCs w:val="18"/>
                <w:b w:val="1"/>
                <w:bCs w:val="1"/>
                <w:color w:val="auto"/>
              </w:rPr>
              <w:t>7.46</w:t>
            </w:r>
          </w:p>
        </w:tc>
        <w:tc>
          <w:tcPr>
            <w:tcW w:w="160" w:type="dxa"/>
            <w:vAlign w:val="bottom"/>
          </w:tcPr>
          <w:p>
            <w:pPr>
              <w:spacing w:after="0"/>
              <w:rPr>
                <w:sz w:val="24"/>
                <w:szCs w:val="24"/>
                <w:color w:val="auto"/>
              </w:rPr>
            </w:pPr>
          </w:p>
        </w:tc>
        <w:tc>
          <w:tcPr>
            <w:tcW w:w="220" w:type="dxa"/>
            <w:vAlign w:val="bottom"/>
            <w:shd w:val="clear" w:color="auto" w:fill="E0EBED"/>
          </w:tcPr>
          <w:p>
            <w:pPr>
              <w:spacing w:after="0"/>
              <w:rPr>
                <w:sz w:val="24"/>
                <w:szCs w:val="24"/>
                <w:color w:val="auto"/>
              </w:rPr>
            </w:pPr>
          </w:p>
        </w:tc>
        <w:tc>
          <w:tcPr>
            <w:tcW w:w="920" w:type="dxa"/>
            <w:vAlign w:val="bottom"/>
            <w:shd w:val="clear" w:color="auto" w:fill="E0EBED"/>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4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ind w:left="160"/>
              <w:spacing w:after="0" w:line="203" w:lineRule="exact"/>
              <w:rPr>
                <w:sz w:val="20"/>
                <w:szCs w:val="20"/>
                <w:color w:val="auto"/>
              </w:rPr>
            </w:pPr>
            <w:r>
              <w:rPr>
                <w:rFonts w:ascii="Arial" w:cs="Arial" w:eastAsia="Arial" w:hAnsi="Arial"/>
                <w:sz w:val="18"/>
                <w:szCs w:val="18"/>
                <w:color w:val="auto"/>
              </w:rPr>
              <w:t>– Basic attributable to common shareholders</w:t>
            </w: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vMerge w:val="continue"/>
            <w:shd w:val="clear" w:color="auto" w:fill="CDDEE7"/>
          </w:tcPr>
          <w:p>
            <w:pPr>
              <w:spacing w:after="0"/>
              <w:rPr>
                <w:sz w:val="18"/>
                <w:szCs w:val="18"/>
                <w:color w:val="auto"/>
              </w:rPr>
            </w:pPr>
          </w:p>
        </w:tc>
        <w:tc>
          <w:tcPr>
            <w:tcW w:w="940" w:type="dxa"/>
            <w:vAlign w:val="bottom"/>
            <w:tcBorders>
              <w:bottom w:val="single" w:sz="8" w:color="auto"/>
            </w:tcBorders>
            <w:vMerge w:val="continue"/>
            <w:shd w:val="clear" w:color="auto" w:fill="CDDEE7"/>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jc w:val="right"/>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0EBED"/>
          </w:tcPr>
          <w:p>
            <w:pPr>
              <w:jc w:val="right"/>
              <w:ind w:right="30"/>
              <w:spacing w:after="0" w:line="203" w:lineRule="exact"/>
              <w:rPr>
                <w:sz w:val="20"/>
                <w:szCs w:val="20"/>
                <w:color w:val="auto"/>
              </w:rPr>
            </w:pPr>
            <w:r>
              <w:rPr>
                <w:rFonts w:ascii="Arial" w:cs="Arial" w:eastAsia="Arial" w:hAnsi="Arial"/>
                <w:sz w:val="18"/>
                <w:szCs w:val="18"/>
                <w:color w:val="auto"/>
              </w:rPr>
              <w:t>11.30</w:t>
            </w: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jc w:val="right"/>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0EBED"/>
          </w:tcPr>
          <w:p>
            <w:pPr>
              <w:jc w:val="right"/>
              <w:ind w:right="30"/>
              <w:spacing w:after="0" w:line="203" w:lineRule="exact"/>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ind w:left="160"/>
              <w:spacing w:after="0" w:line="202" w:lineRule="exact"/>
              <w:rPr>
                <w:sz w:val="20"/>
                <w:szCs w:val="20"/>
                <w:color w:val="auto"/>
              </w:rPr>
            </w:pPr>
            <w:r>
              <w:rPr>
                <w:rFonts w:ascii="Arial" w:cs="Arial" w:eastAsia="Arial" w:hAnsi="Arial"/>
                <w:sz w:val="18"/>
                <w:szCs w:val="18"/>
                <w:color w:val="auto"/>
              </w:rPr>
              <w:t>– Diluted attributable to common shareholders</w:t>
            </w: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DDEE7"/>
          </w:tcPr>
          <w:p>
            <w:pPr>
              <w:jc w:val="right"/>
              <w:ind w:right="30"/>
              <w:spacing w:after="0" w:line="202" w:lineRule="exact"/>
              <w:rPr>
                <w:sz w:val="20"/>
                <w:szCs w:val="20"/>
                <w:color w:val="auto"/>
              </w:rPr>
            </w:pPr>
            <w:r>
              <w:rPr>
                <w:rFonts w:ascii="Arial" w:cs="Arial" w:eastAsia="Arial" w:hAnsi="Arial"/>
                <w:sz w:val="18"/>
                <w:szCs w:val="18"/>
                <w:b w:val="1"/>
                <w:bCs w:val="1"/>
                <w:color w:val="auto"/>
              </w:rPr>
              <w:t>7.43</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11.25</w:t>
            </w: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418"/>
        </w:trPr>
        <w:tc>
          <w:tcPr>
            <w:tcW w:w="7660" w:type="dxa"/>
            <w:vAlign w:val="bottom"/>
            <w:gridSpan w:val="2"/>
          </w:tcPr>
          <w:p>
            <w:pPr>
              <w:spacing w:after="0"/>
              <w:rPr>
                <w:sz w:val="20"/>
                <w:szCs w:val="20"/>
                <w:color w:val="auto"/>
              </w:rPr>
            </w:pPr>
            <w:r>
              <w:rPr>
                <w:rFonts w:ascii="Arial" w:cs="Arial" w:eastAsia="Arial" w:hAnsi="Arial"/>
                <w:sz w:val="19"/>
                <w:szCs w:val="19"/>
                <w:b w:val="1"/>
                <w:bCs w:val="1"/>
                <w:color w:val="auto"/>
              </w:rPr>
              <w:t>Weighted-Average Common Shares Outstanding</w:t>
            </w:r>
          </w:p>
        </w:tc>
        <w:tc>
          <w:tcPr>
            <w:tcW w:w="100" w:type="dxa"/>
            <w:vAlign w:val="bottom"/>
            <w:shd w:val="clear" w:color="auto" w:fill="CDDEE7"/>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940" w:type="dxa"/>
            <w:vAlign w:val="bottom"/>
            <w:vMerge w:val="restart"/>
            <w:shd w:val="clear" w:color="auto" w:fill="CDDEE7"/>
          </w:tcPr>
          <w:p>
            <w:pPr>
              <w:jc w:val="right"/>
              <w:ind w:right="30"/>
              <w:spacing w:after="0"/>
              <w:rPr>
                <w:sz w:val="20"/>
                <w:szCs w:val="20"/>
                <w:color w:val="auto"/>
              </w:rPr>
            </w:pPr>
            <w:r>
              <w:rPr>
                <w:rFonts w:ascii="Arial" w:cs="Arial" w:eastAsia="Arial" w:hAnsi="Arial"/>
                <w:sz w:val="18"/>
                <w:szCs w:val="18"/>
                <w:b w:val="1"/>
                <w:bCs w:val="1"/>
                <w:color w:val="auto"/>
              </w:rPr>
              <w:t>62,895</w:t>
            </w:r>
          </w:p>
        </w:tc>
        <w:tc>
          <w:tcPr>
            <w:tcW w:w="160" w:type="dxa"/>
            <w:vAlign w:val="bottom"/>
          </w:tcPr>
          <w:p>
            <w:pPr>
              <w:spacing w:after="0"/>
              <w:rPr>
                <w:sz w:val="24"/>
                <w:szCs w:val="24"/>
                <w:color w:val="auto"/>
              </w:rPr>
            </w:pPr>
          </w:p>
        </w:tc>
        <w:tc>
          <w:tcPr>
            <w:tcW w:w="220" w:type="dxa"/>
            <w:vAlign w:val="bottom"/>
            <w:shd w:val="clear" w:color="auto" w:fill="E0EBED"/>
          </w:tcPr>
          <w:p>
            <w:pPr>
              <w:spacing w:after="0"/>
              <w:rPr>
                <w:sz w:val="24"/>
                <w:szCs w:val="24"/>
                <w:color w:val="auto"/>
              </w:rPr>
            </w:pPr>
          </w:p>
        </w:tc>
        <w:tc>
          <w:tcPr>
            <w:tcW w:w="920" w:type="dxa"/>
            <w:vAlign w:val="bottom"/>
            <w:shd w:val="clear" w:color="auto" w:fill="E0EBED"/>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4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ind w:left="160"/>
              <w:spacing w:after="0" w:line="203" w:lineRule="exact"/>
              <w:rPr>
                <w:sz w:val="20"/>
                <w:szCs w:val="20"/>
                <w:color w:val="auto"/>
              </w:rPr>
            </w:pPr>
            <w:r>
              <w:rPr>
                <w:rFonts w:ascii="Arial" w:cs="Arial" w:eastAsia="Arial" w:hAnsi="Arial"/>
                <w:sz w:val="18"/>
                <w:szCs w:val="18"/>
                <w:color w:val="auto"/>
              </w:rPr>
              <w:t>– Basic</w:t>
            </w: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940" w:type="dxa"/>
            <w:vAlign w:val="bottom"/>
            <w:tcBorders>
              <w:bottom w:val="single" w:sz="8" w:color="auto"/>
            </w:tcBorders>
            <w:vMerge w:val="continue"/>
            <w:shd w:val="clear" w:color="auto" w:fill="CDDEE7"/>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30"/>
              <w:spacing w:after="0" w:line="203" w:lineRule="exact"/>
              <w:rPr>
                <w:sz w:val="20"/>
                <w:szCs w:val="20"/>
                <w:color w:val="auto"/>
              </w:rPr>
            </w:pPr>
            <w:r>
              <w:rPr>
                <w:rFonts w:ascii="Arial" w:cs="Arial" w:eastAsia="Arial" w:hAnsi="Arial"/>
                <w:sz w:val="18"/>
                <w:szCs w:val="18"/>
                <w:color w:val="auto"/>
              </w:rPr>
              <w:t>62,932</w:t>
            </w: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30"/>
              <w:spacing w:after="0" w:line="203" w:lineRule="exact"/>
              <w:rPr>
                <w:sz w:val="20"/>
                <w:szCs w:val="20"/>
                <w:color w:val="auto"/>
              </w:rPr>
            </w:pPr>
            <w:r>
              <w:rPr>
                <w:rFonts w:ascii="Arial" w:cs="Arial" w:eastAsia="Arial" w:hAnsi="Arial"/>
                <w:sz w:val="18"/>
                <w:szCs w:val="18"/>
                <w:color w:val="auto"/>
              </w:rPr>
              <w:t>63,610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ind w:left="160"/>
              <w:spacing w:after="0" w:line="202" w:lineRule="exact"/>
              <w:rPr>
                <w:sz w:val="20"/>
                <w:szCs w:val="20"/>
                <w:color w:val="auto"/>
              </w:rPr>
            </w:pPr>
            <w:r>
              <w:rPr>
                <w:rFonts w:ascii="Arial" w:cs="Arial" w:eastAsia="Arial" w:hAnsi="Arial"/>
                <w:sz w:val="18"/>
                <w:szCs w:val="18"/>
                <w:color w:val="auto"/>
              </w:rPr>
              <w:t>– Diluted</w:t>
            </w: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940" w:type="dxa"/>
            <w:vAlign w:val="bottom"/>
            <w:tcBorders>
              <w:bottom w:val="single" w:sz="8" w:color="auto"/>
            </w:tcBorders>
            <w:shd w:val="clear" w:color="auto" w:fill="CDDEE7"/>
          </w:tcPr>
          <w:p>
            <w:pPr>
              <w:jc w:val="right"/>
              <w:ind w:right="30"/>
              <w:spacing w:after="0" w:line="202" w:lineRule="exact"/>
              <w:rPr>
                <w:sz w:val="20"/>
                <w:szCs w:val="20"/>
                <w:color w:val="auto"/>
              </w:rPr>
            </w:pPr>
            <w:r>
              <w:rPr>
                <w:rFonts w:ascii="Arial" w:cs="Arial" w:eastAsia="Arial" w:hAnsi="Arial"/>
                <w:sz w:val="18"/>
                <w:szCs w:val="18"/>
                <w:b w:val="1"/>
                <w:bCs w:val="1"/>
                <w:color w:val="auto"/>
              </w:rPr>
              <w:t>63,147</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63,217</w:t>
            </w: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63,861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notes on pages 15 through 41 are an integral part of these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10</w:t>
      </w:r>
    </w:p>
    <w:p>
      <w:pPr>
        <w:sectPr>
          <w:pgSz w:w="11900" w:h="16838" w:orient="portrait"/>
          <w:cols w:equalWidth="0" w:num="1">
            <w:col w:w="11420"/>
          </w:cols>
          <w:pgMar w:left="240" w:top="387"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6080125" cy="291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6080125" cy="291465"/>
                    </a:xfrm>
                    <a:prstGeom prst="rect">
                      <a:avLst/>
                    </a:prstGeom>
                    <a:noFill/>
                  </pic:spPr>
                </pic:pic>
              </a:graphicData>
            </a:graphic>
          </wp:anchor>
        </w:drawing>
        <w:t xml:space="preserve">CONSOLIDATED STATEMENTS OF COMPREHENSIVE EARNINGS </w:t>
      </w:r>
      <w:r>
        <w:rPr>
          <w:rFonts w:ascii="Arial" w:cs="Arial" w:eastAsia="Arial" w:hAnsi="Arial"/>
          <w:sz w:val="18"/>
          <w:szCs w:val="18"/>
          <w:color w:val="FFFFFF"/>
        </w:rPr>
        <w:t>for years ended December 31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7820" w:type="dxa"/>
            <w:vAlign w:val="bottom"/>
            <w:gridSpan w:val="2"/>
          </w:tcPr>
          <w:p>
            <w:pPr>
              <w:spacing w:after="0"/>
              <w:rPr>
                <w:sz w:val="20"/>
                <w:szCs w:val="20"/>
                <w:color w:val="auto"/>
              </w:rPr>
            </w:pPr>
            <w:r>
              <w:rPr>
                <w:rFonts w:ascii="Arial" w:cs="Arial" w:eastAsia="Arial" w:hAnsi="Arial"/>
                <w:sz w:val="16"/>
                <w:szCs w:val="16"/>
                <w:color w:val="auto"/>
              </w:rPr>
              <w:t>(add 000)</w:t>
            </w:r>
          </w:p>
        </w:tc>
        <w:tc>
          <w:tcPr>
            <w:tcW w:w="220" w:type="dxa"/>
            <w:vAlign w:val="bottom"/>
            <w:shd w:val="clear" w:color="auto" w:fill="0085CD"/>
          </w:tcPr>
          <w:p>
            <w:pPr>
              <w:spacing w:after="0"/>
              <w:rPr>
                <w:sz w:val="24"/>
                <w:szCs w:val="24"/>
                <w:color w:val="auto"/>
              </w:rPr>
            </w:pPr>
          </w:p>
        </w:tc>
        <w:tc>
          <w:tcPr>
            <w:tcW w:w="740" w:type="dxa"/>
            <w:vAlign w:val="bottom"/>
            <w:shd w:val="clear" w:color="auto" w:fill="0085CD"/>
          </w:tcPr>
          <w:p>
            <w:pPr>
              <w:jc w:val="right"/>
              <w:ind w:right="130"/>
              <w:spacing w:after="0"/>
              <w:rPr>
                <w:sz w:val="20"/>
                <w:szCs w:val="20"/>
                <w:color w:val="auto"/>
              </w:rPr>
            </w:pPr>
            <w:r>
              <w:rPr>
                <w:rFonts w:ascii="Arial" w:cs="Arial" w:eastAsia="Arial" w:hAnsi="Arial"/>
                <w:sz w:val="18"/>
                <w:szCs w:val="18"/>
                <w:b w:val="1"/>
                <w:bCs w:val="1"/>
                <w:color w:val="FFFFFF"/>
              </w:rPr>
              <w:t>2018</w:t>
            </w:r>
          </w:p>
        </w:tc>
        <w:tc>
          <w:tcPr>
            <w:tcW w:w="120" w:type="dxa"/>
            <w:vAlign w:val="bottom"/>
            <w:shd w:val="clear" w:color="auto" w:fill="0085CD"/>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880" w:type="dxa"/>
            <w:vAlign w:val="bottom"/>
            <w:shd w:val="clear" w:color="auto" w:fill="E0EBED"/>
          </w:tcPr>
          <w:p>
            <w:pPr>
              <w:jc w:val="right"/>
              <w:ind w:right="25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4"/>
                <w:szCs w:val="24"/>
                <w:color w:val="auto"/>
              </w:rPr>
            </w:pPr>
          </w:p>
        </w:tc>
        <w:tc>
          <w:tcPr>
            <w:tcW w:w="220" w:type="dxa"/>
            <w:vAlign w:val="bottom"/>
            <w:shd w:val="clear" w:color="auto" w:fill="E0EBED"/>
          </w:tcPr>
          <w:p>
            <w:pPr>
              <w:spacing w:after="0"/>
              <w:rPr>
                <w:sz w:val="24"/>
                <w:szCs w:val="24"/>
                <w:color w:val="auto"/>
              </w:rPr>
            </w:pPr>
          </w:p>
        </w:tc>
        <w:tc>
          <w:tcPr>
            <w:tcW w:w="880" w:type="dxa"/>
            <w:vAlign w:val="bottom"/>
            <w:shd w:val="clear" w:color="auto" w:fill="E0EBED"/>
          </w:tcPr>
          <w:p>
            <w:pPr>
              <w:jc w:val="right"/>
              <w:ind w:right="2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auto"/>
              <w:bottom w:val="single" w:sz="8" w:color="auto"/>
            </w:tcBorders>
          </w:tcPr>
          <w:p>
            <w:pPr>
              <w:spacing w:after="0" w:line="210" w:lineRule="exact"/>
              <w:rPr>
                <w:sz w:val="20"/>
                <w:szCs w:val="20"/>
                <w:color w:val="auto"/>
              </w:rPr>
            </w:pPr>
            <w:r>
              <w:rPr>
                <w:rFonts w:ascii="Arial" w:cs="Arial" w:eastAsia="Arial" w:hAnsi="Arial"/>
                <w:sz w:val="19"/>
                <w:szCs w:val="19"/>
                <w:b w:val="1"/>
                <w:bCs w:val="1"/>
                <w:color w:val="auto"/>
              </w:rPr>
              <w:t>Consolidated Net Earnings</w:t>
            </w:r>
          </w:p>
        </w:tc>
        <w:tc>
          <w:tcPr>
            <w:tcW w:w="220" w:type="dxa"/>
            <w:vAlign w:val="bottom"/>
            <w:tcBorders>
              <w:top w:val="single" w:sz="8" w:color="auto"/>
              <w:bottom w:val="single" w:sz="8" w:color="auto"/>
            </w:tcBorders>
            <w:shd w:val="clear" w:color="auto" w:fill="CDDEE7"/>
          </w:tcPr>
          <w:p>
            <w:pPr>
              <w:jc w:val="right"/>
              <w:spacing w:after="0"/>
              <w:rPr>
                <w:sz w:val="20"/>
                <w:szCs w:val="20"/>
                <w:color w:val="auto"/>
              </w:rPr>
            </w:pPr>
            <w:r>
              <w:rPr>
                <w:rFonts w:ascii="Arial" w:cs="Arial" w:eastAsia="Arial" w:hAnsi="Arial"/>
                <w:sz w:val="18"/>
                <w:szCs w:val="18"/>
                <w:b w:val="1"/>
                <w:bCs w:val="1"/>
                <w:color w:val="auto"/>
                <w:shd w:val="clear" w:color="auto" w:fill="CDDEE7"/>
              </w:rPr>
              <w:t>$</w:t>
            </w:r>
          </w:p>
        </w:tc>
        <w:tc>
          <w:tcPr>
            <w:tcW w:w="860" w:type="dxa"/>
            <w:vAlign w:val="bottom"/>
            <w:tcBorders>
              <w:top w:val="single" w:sz="8" w:color="auto"/>
              <w:bottom w:val="single" w:sz="8" w:color="auto"/>
            </w:tcBorders>
            <w:gridSpan w:val="2"/>
            <w:shd w:val="clear" w:color="auto" w:fill="CDDEE7"/>
          </w:tcPr>
          <w:p>
            <w:pPr>
              <w:jc w:val="right"/>
              <w:ind w:right="120"/>
              <w:spacing w:after="0"/>
              <w:rPr>
                <w:sz w:val="20"/>
                <w:szCs w:val="20"/>
                <w:color w:val="auto"/>
              </w:rPr>
            </w:pPr>
            <w:r>
              <w:rPr>
                <w:rFonts w:ascii="Arial" w:cs="Arial" w:eastAsia="Arial" w:hAnsi="Arial"/>
                <w:sz w:val="18"/>
                <w:szCs w:val="18"/>
                <w:b w:val="1"/>
                <w:bCs w:val="1"/>
                <w:color w:val="auto"/>
                <w:shd w:val="clear" w:color="auto" w:fill="CDDEE7"/>
              </w:rPr>
              <w:t>470,376</w:t>
            </w:r>
          </w:p>
        </w:tc>
        <w:tc>
          <w:tcPr>
            <w:tcW w:w="1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shd w:val="clear" w:color="auto" w:fill="E0EBED"/>
          </w:tcPr>
          <w:p>
            <w:pPr>
              <w:jc w:val="right"/>
              <w:spacing w:after="0"/>
              <w:rPr>
                <w:sz w:val="20"/>
                <w:szCs w:val="20"/>
                <w:color w:val="auto"/>
              </w:rPr>
            </w:pPr>
            <w:r>
              <w:rPr>
                <w:rFonts w:ascii="Arial" w:cs="Arial" w:eastAsia="Arial" w:hAnsi="Arial"/>
                <w:sz w:val="18"/>
                <w:szCs w:val="18"/>
                <w:color w:val="auto"/>
                <w:shd w:val="clear" w:color="auto" w:fill="E0EBED"/>
              </w:rPr>
              <w:t>$</w:t>
            </w:r>
          </w:p>
        </w:tc>
        <w:tc>
          <w:tcPr>
            <w:tcW w:w="880" w:type="dxa"/>
            <w:vAlign w:val="bottom"/>
            <w:tcBorders>
              <w:top w:val="single" w:sz="8" w:color="auto"/>
              <w:bottom w:val="single" w:sz="8" w:color="auto"/>
            </w:tcBorders>
            <w:shd w:val="clear" w:color="auto" w:fill="E0EBED"/>
          </w:tcPr>
          <w:p>
            <w:pPr>
              <w:jc w:val="right"/>
              <w:ind w:right="30"/>
              <w:spacing w:after="0"/>
              <w:rPr>
                <w:sz w:val="20"/>
                <w:szCs w:val="20"/>
                <w:color w:val="auto"/>
              </w:rPr>
            </w:pPr>
            <w:r>
              <w:rPr>
                <w:rFonts w:ascii="Arial" w:cs="Arial" w:eastAsia="Arial" w:hAnsi="Arial"/>
                <w:sz w:val="18"/>
                <w:szCs w:val="18"/>
                <w:color w:val="auto"/>
                <w:shd w:val="clear" w:color="auto" w:fill="E0EBED"/>
              </w:rPr>
              <w:t>713,385</w:t>
            </w:r>
          </w:p>
        </w:tc>
        <w:tc>
          <w:tcPr>
            <w:tcW w:w="1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shd w:val="clear" w:color="auto" w:fill="E0EBED"/>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E0EBED"/>
          </w:tcPr>
          <w:p>
            <w:pPr>
              <w:jc w:val="right"/>
              <w:ind w:right="30"/>
              <w:spacing w:after="0"/>
              <w:rPr>
                <w:sz w:val="20"/>
                <w:szCs w:val="20"/>
                <w:color w:val="auto"/>
              </w:rPr>
            </w:pPr>
            <w:r>
              <w:rPr>
                <w:rFonts w:ascii="Arial" w:cs="Arial" w:eastAsia="Arial" w:hAnsi="Arial"/>
                <w:sz w:val="18"/>
                <w:szCs w:val="18"/>
                <w:color w:val="auto"/>
              </w:rPr>
              <w:t>425,444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Pr>
          <w:p>
            <w:pPr>
              <w:spacing w:after="0" w:line="196" w:lineRule="exact"/>
              <w:rPr>
                <w:sz w:val="20"/>
                <w:szCs w:val="20"/>
                <w:color w:val="auto"/>
              </w:rPr>
            </w:pPr>
            <w:r>
              <w:rPr>
                <w:rFonts w:ascii="Arial" w:cs="Arial" w:eastAsia="Arial" w:hAnsi="Arial"/>
                <w:sz w:val="18"/>
                <w:szCs w:val="18"/>
                <w:color w:val="auto"/>
              </w:rPr>
              <w:t>Other comprehensive (loss) earnings, net of tax:</w:t>
            </w:r>
          </w:p>
        </w:tc>
        <w:tc>
          <w:tcPr>
            <w:tcW w:w="220" w:type="dxa"/>
            <w:vAlign w:val="bottom"/>
            <w:shd w:val="clear" w:color="auto" w:fill="CDDEE7"/>
          </w:tcPr>
          <w:p>
            <w:pPr>
              <w:spacing w:after="0"/>
              <w:rPr>
                <w:sz w:val="17"/>
                <w:szCs w:val="17"/>
                <w:color w:val="auto"/>
              </w:rPr>
            </w:pPr>
          </w:p>
        </w:tc>
        <w:tc>
          <w:tcPr>
            <w:tcW w:w="740" w:type="dxa"/>
            <w:vAlign w:val="bottom"/>
            <w:shd w:val="clear" w:color="auto" w:fill="CDDEE7"/>
          </w:tcPr>
          <w:p>
            <w:pPr>
              <w:spacing w:after="0"/>
              <w:rPr>
                <w:sz w:val="17"/>
                <w:szCs w:val="17"/>
                <w:color w:val="auto"/>
              </w:rPr>
            </w:pPr>
          </w:p>
        </w:tc>
        <w:tc>
          <w:tcPr>
            <w:tcW w:w="120" w:type="dxa"/>
            <w:vAlign w:val="bottom"/>
            <w:shd w:val="clear" w:color="auto" w:fill="CDDEE7"/>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880" w:type="dxa"/>
            <w:vAlign w:val="bottom"/>
            <w:shd w:val="clear" w:color="auto" w:fill="E0EBED"/>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80" w:type="dxa"/>
            <w:vAlign w:val="bottom"/>
            <w:shd w:val="clear" w:color="auto" w:fill="E0EBED"/>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Defined benefit pension and postretirement plans:</w:t>
            </w:r>
          </w:p>
        </w:tc>
        <w:tc>
          <w:tcPr>
            <w:tcW w:w="220" w:type="dxa"/>
            <w:vAlign w:val="bottom"/>
            <w:shd w:val="clear" w:color="auto" w:fill="CDDEE7"/>
          </w:tcPr>
          <w:p>
            <w:pPr>
              <w:spacing w:after="0"/>
              <w:rPr>
                <w:sz w:val="24"/>
                <w:szCs w:val="24"/>
                <w:color w:val="auto"/>
              </w:rPr>
            </w:pPr>
          </w:p>
        </w:tc>
        <w:tc>
          <w:tcPr>
            <w:tcW w:w="860" w:type="dxa"/>
            <w:vAlign w:val="bottom"/>
            <w:gridSpan w:val="2"/>
            <w:vMerge w:val="restart"/>
            <w:shd w:val="clear" w:color="auto" w:fill="CDDEE7"/>
          </w:tcPr>
          <w:p>
            <w:pPr>
              <w:jc w:val="right"/>
              <w:ind w:right="60"/>
              <w:spacing w:after="0"/>
              <w:rPr>
                <w:sz w:val="20"/>
                <w:szCs w:val="20"/>
                <w:color w:val="auto"/>
              </w:rPr>
            </w:pPr>
            <w:r>
              <w:rPr>
                <w:rFonts w:ascii="Arial" w:cs="Arial" w:eastAsia="Arial" w:hAnsi="Arial"/>
                <w:sz w:val="18"/>
                <w:szCs w:val="18"/>
                <w:b w:val="1"/>
                <w:bCs w:val="1"/>
                <w:color w:val="auto"/>
              </w:rPr>
              <w:t>(22,877)</w:t>
            </w:r>
          </w:p>
        </w:tc>
        <w:tc>
          <w:tcPr>
            <w:tcW w:w="18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880" w:type="dxa"/>
            <w:vAlign w:val="bottom"/>
            <w:shd w:val="clear" w:color="auto" w:fill="E0EBED"/>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shd w:val="clear" w:color="auto" w:fill="E0EBED"/>
          </w:tcPr>
          <w:p>
            <w:pPr>
              <w:spacing w:after="0"/>
              <w:rPr>
                <w:sz w:val="24"/>
                <w:szCs w:val="24"/>
                <w:color w:val="auto"/>
              </w:rPr>
            </w:pPr>
          </w:p>
        </w:tc>
        <w:tc>
          <w:tcPr>
            <w:tcW w:w="88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0" w:type="dxa"/>
            <w:vAlign w:val="bottom"/>
          </w:tcPr>
          <w:p>
            <w:pPr>
              <w:ind w:left="340"/>
              <w:spacing w:after="0" w:line="181" w:lineRule="exact"/>
              <w:rPr>
                <w:sz w:val="20"/>
                <w:szCs w:val="20"/>
                <w:color w:val="auto"/>
              </w:rPr>
            </w:pPr>
            <w:r>
              <w:rPr>
                <w:rFonts w:ascii="Arial" w:cs="Arial" w:eastAsia="Arial" w:hAnsi="Arial"/>
                <w:sz w:val="18"/>
                <w:szCs w:val="18"/>
                <w:color w:val="auto"/>
              </w:rPr>
              <w:t>Net loss arising during period, net of tax of $(7,640), $(2,625) and $(19,734), respectively</w:t>
            </w:r>
          </w:p>
        </w:tc>
        <w:tc>
          <w:tcPr>
            <w:tcW w:w="220" w:type="dxa"/>
            <w:vAlign w:val="bottom"/>
            <w:shd w:val="clear" w:color="auto" w:fill="CDDEE7"/>
          </w:tcPr>
          <w:p>
            <w:pPr>
              <w:spacing w:after="0"/>
              <w:rPr>
                <w:sz w:val="15"/>
                <w:szCs w:val="15"/>
                <w:color w:val="auto"/>
              </w:rPr>
            </w:pPr>
          </w:p>
        </w:tc>
        <w:tc>
          <w:tcPr>
            <w:tcW w:w="860" w:type="dxa"/>
            <w:vAlign w:val="bottom"/>
            <w:gridSpan w:val="2"/>
            <w:vMerge w:val="continue"/>
            <w:shd w:val="clear" w:color="auto" w:fill="CDDEE7"/>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880" w:type="dxa"/>
            <w:vAlign w:val="bottom"/>
            <w:shd w:val="clear" w:color="auto" w:fill="E0EBED"/>
          </w:tcPr>
          <w:p>
            <w:pPr>
              <w:jc w:val="right"/>
              <w:spacing w:after="0" w:line="181" w:lineRule="exact"/>
              <w:rPr>
                <w:sz w:val="20"/>
                <w:szCs w:val="20"/>
                <w:color w:val="auto"/>
              </w:rPr>
            </w:pPr>
            <w:r>
              <w:rPr>
                <w:rFonts w:ascii="Arial" w:cs="Arial" w:eastAsia="Arial" w:hAnsi="Arial"/>
                <w:sz w:val="18"/>
                <w:szCs w:val="18"/>
                <w:color w:val="auto"/>
              </w:rPr>
              <w:t>(8,052)</w:t>
            </w:r>
          </w:p>
        </w:tc>
        <w:tc>
          <w:tcPr>
            <w:tcW w:w="160" w:type="dxa"/>
            <w:vAlign w:val="bottom"/>
          </w:tcPr>
          <w:p>
            <w:pPr>
              <w:spacing w:after="0"/>
              <w:rPr>
                <w:sz w:val="15"/>
                <w:szCs w:val="15"/>
                <w:color w:val="auto"/>
              </w:rPr>
            </w:pPr>
          </w:p>
        </w:tc>
        <w:tc>
          <w:tcPr>
            <w:tcW w:w="220" w:type="dxa"/>
            <w:vAlign w:val="bottom"/>
            <w:shd w:val="clear" w:color="auto" w:fill="E0EBED"/>
          </w:tcPr>
          <w:p>
            <w:pPr>
              <w:spacing w:after="0"/>
              <w:rPr>
                <w:sz w:val="15"/>
                <w:szCs w:val="15"/>
                <w:color w:val="auto"/>
              </w:rPr>
            </w:pPr>
          </w:p>
        </w:tc>
        <w:tc>
          <w:tcPr>
            <w:tcW w:w="880" w:type="dxa"/>
            <w:vAlign w:val="bottom"/>
            <w:shd w:val="clear" w:color="auto" w:fill="E0EBED"/>
          </w:tcPr>
          <w:p>
            <w:pPr>
              <w:jc w:val="right"/>
              <w:spacing w:after="0" w:line="181" w:lineRule="exact"/>
              <w:rPr>
                <w:sz w:val="20"/>
                <w:szCs w:val="20"/>
                <w:color w:val="auto"/>
              </w:rPr>
            </w:pPr>
            <w:r>
              <w:rPr>
                <w:rFonts w:ascii="Arial" w:cs="Arial" w:eastAsia="Arial" w:hAnsi="Arial"/>
                <w:sz w:val="18"/>
                <w:szCs w:val="18"/>
                <w:color w:val="auto"/>
              </w:rPr>
              <w:t>(31,620)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340"/>
              <w:spacing w:after="0" w:line="202" w:lineRule="exact"/>
              <w:rPr>
                <w:sz w:val="20"/>
                <w:szCs w:val="20"/>
                <w:color w:val="auto"/>
              </w:rPr>
            </w:pPr>
            <w:r>
              <w:rPr>
                <w:rFonts w:ascii="Arial" w:cs="Arial" w:eastAsia="Arial" w:hAnsi="Arial"/>
                <w:sz w:val="18"/>
                <w:szCs w:val="18"/>
                <w:color w:val="auto"/>
              </w:rPr>
              <w:t>Amortization of prior service credit, net of tax of $(493), $(547) and $(617), respectively</w:t>
            </w:r>
          </w:p>
        </w:tc>
        <w:tc>
          <w:tcPr>
            <w:tcW w:w="220" w:type="dxa"/>
            <w:vAlign w:val="bottom"/>
            <w:shd w:val="clear" w:color="auto" w:fill="CDDEE7"/>
          </w:tcPr>
          <w:p>
            <w:pPr>
              <w:spacing w:after="0"/>
              <w:rPr>
                <w:sz w:val="17"/>
                <w:szCs w:val="17"/>
                <w:color w:val="auto"/>
              </w:rPr>
            </w:pPr>
          </w:p>
        </w:tc>
        <w:tc>
          <w:tcPr>
            <w:tcW w:w="74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(1,478)</w:t>
            </w:r>
          </w:p>
        </w:tc>
        <w:tc>
          <w:tcPr>
            <w:tcW w:w="120" w:type="dxa"/>
            <w:vAlign w:val="bottom"/>
            <w:shd w:val="clear" w:color="auto" w:fill="CDDEE7"/>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88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(883)</w:t>
            </w:r>
          </w:p>
        </w:tc>
        <w:tc>
          <w:tcPr>
            <w:tcW w:w="16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8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Amortization of actuarial loss, net of tax of $3,156, $5,271 and $4,437, respectively</w:t>
            </w:r>
          </w:p>
        </w:tc>
        <w:tc>
          <w:tcPr>
            <w:tcW w:w="220" w:type="dxa"/>
            <w:vAlign w:val="bottom"/>
            <w:shd w:val="clear" w:color="auto" w:fill="CDDEE7"/>
          </w:tcPr>
          <w:p>
            <w:pPr>
              <w:spacing w:after="0"/>
              <w:rPr>
                <w:sz w:val="19"/>
                <w:szCs w:val="19"/>
                <w:color w:val="auto"/>
              </w:rPr>
            </w:pPr>
          </w:p>
        </w:tc>
        <w:tc>
          <w:tcPr>
            <w:tcW w:w="740" w:type="dxa"/>
            <w:vAlign w:val="bottom"/>
            <w:shd w:val="clear" w:color="auto" w:fill="CDDEE7"/>
          </w:tcPr>
          <w:p>
            <w:pPr>
              <w:jc w:val="right"/>
              <w:spacing w:after="0"/>
              <w:rPr>
                <w:sz w:val="20"/>
                <w:szCs w:val="20"/>
                <w:color w:val="auto"/>
              </w:rPr>
            </w:pPr>
            <w:r>
              <w:rPr>
                <w:rFonts w:ascii="Arial" w:cs="Arial" w:eastAsia="Arial" w:hAnsi="Arial"/>
                <w:sz w:val="18"/>
                <w:szCs w:val="18"/>
                <w:b w:val="1"/>
                <w:bCs w:val="1"/>
                <w:color w:val="auto"/>
              </w:rPr>
              <w:t>9,463</w:t>
            </w:r>
          </w:p>
        </w:tc>
        <w:tc>
          <w:tcPr>
            <w:tcW w:w="120" w:type="dxa"/>
            <w:vAlign w:val="bottom"/>
            <w:shd w:val="clear" w:color="auto" w:fill="CDDEE7"/>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shd w:val="clear" w:color="auto" w:fill="E0EBED"/>
          </w:tcPr>
          <w:p>
            <w:pPr>
              <w:spacing w:after="0"/>
              <w:rPr>
                <w:sz w:val="19"/>
                <w:szCs w:val="19"/>
                <w:color w:val="auto"/>
              </w:rPr>
            </w:pPr>
          </w:p>
        </w:tc>
        <w:tc>
          <w:tcPr>
            <w:tcW w:w="880" w:type="dxa"/>
            <w:vAlign w:val="bottom"/>
            <w:shd w:val="clear" w:color="auto" w:fill="E0EBED"/>
          </w:tcPr>
          <w:p>
            <w:pPr>
              <w:jc w:val="right"/>
              <w:ind w:right="30"/>
              <w:spacing w:after="0"/>
              <w:rPr>
                <w:sz w:val="20"/>
                <w:szCs w:val="20"/>
                <w:color w:val="auto"/>
              </w:rPr>
            </w:pPr>
            <w:r>
              <w:rPr>
                <w:rFonts w:ascii="Arial" w:cs="Arial" w:eastAsia="Arial" w:hAnsi="Arial"/>
                <w:sz w:val="18"/>
                <w:szCs w:val="18"/>
                <w:color w:val="auto"/>
              </w:rPr>
              <w:t>8,503</w:t>
            </w:r>
          </w:p>
        </w:tc>
        <w:tc>
          <w:tcPr>
            <w:tcW w:w="160" w:type="dxa"/>
            <w:vAlign w:val="bottom"/>
          </w:tcPr>
          <w:p>
            <w:pPr>
              <w:spacing w:after="0"/>
              <w:rPr>
                <w:sz w:val="19"/>
                <w:szCs w:val="19"/>
                <w:color w:val="auto"/>
              </w:rPr>
            </w:pPr>
          </w:p>
        </w:tc>
        <w:tc>
          <w:tcPr>
            <w:tcW w:w="220" w:type="dxa"/>
            <w:vAlign w:val="bottom"/>
            <w:shd w:val="clear" w:color="auto" w:fill="E0EBED"/>
          </w:tcPr>
          <w:p>
            <w:pPr>
              <w:spacing w:after="0"/>
              <w:rPr>
                <w:sz w:val="19"/>
                <w:szCs w:val="19"/>
                <w:color w:val="auto"/>
              </w:rPr>
            </w:pPr>
          </w:p>
        </w:tc>
        <w:tc>
          <w:tcPr>
            <w:tcW w:w="880" w:type="dxa"/>
            <w:vAlign w:val="bottom"/>
            <w:shd w:val="clear" w:color="auto" w:fill="E0EBED"/>
          </w:tcPr>
          <w:p>
            <w:pPr>
              <w:jc w:val="right"/>
              <w:ind w:right="30"/>
              <w:spacing w:after="0"/>
              <w:rPr>
                <w:sz w:val="20"/>
                <w:szCs w:val="20"/>
                <w:color w:val="auto"/>
              </w:rPr>
            </w:pPr>
            <w:r>
              <w:rPr>
                <w:rFonts w:ascii="Arial" w:cs="Arial" w:eastAsia="Arial" w:hAnsi="Arial"/>
                <w:sz w:val="18"/>
                <w:szCs w:val="18"/>
                <w:color w:val="auto"/>
              </w:rPr>
              <w:t>7,138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340"/>
              <w:spacing w:after="0" w:line="202" w:lineRule="exact"/>
              <w:rPr>
                <w:sz w:val="20"/>
                <w:szCs w:val="20"/>
                <w:color w:val="auto"/>
              </w:rPr>
            </w:pPr>
            <w:r>
              <w:rPr>
                <w:rFonts w:ascii="Arial" w:cs="Arial" w:eastAsia="Arial" w:hAnsi="Arial"/>
                <w:sz w:val="18"/>
                <w:szCs w:val="18"/>
                <w:color w:val="auto"/>
              </w:rPr>
              <w:t>Amount recognized in net periodic pension cost due to settlement, net of tax of $734, $8 and</w:t>
            </w:r>
          </w:p>
        </w:tc>
        <w:tc>
          <w:tcPr>
            <w:tcW w:w="220" w:type="dxa"/>
            <w:vAlign w:val="bottom"/>
            <w:shd w:val="clear" w:color="auto" w:fill="CDDEE7"/>
          </w:tcPr>
          <w:p>
            <w:pPr>
              <w:spacing w:after="0"/>
              <w:rPr>
                <w:sz w:val="17"/>
                <w:szCs w:val="17"/>
                <w:color w:val="auto"/>
              </w:rPr>
            </w:pPr>
          </w:p>
        </w:tc>
        <w:tc>
          <w:tcPr>
            <w:tcW w:w="740" w:type="dxa"/>
            <w:vAlign w:val="bottom"/>
            <w:vMerge w:val="restart"/>
            <w:shd w:val="clear" w:color="auto" w:fill="CDDEE7"/>
          </w:tcPr>
          <w:p>
            <w:pPr>
              <w:jc w:val="right"/>
              <w:spacing w:after="0"/>
              <w:rPr>
                <w:sz w:val="20"/>
                <w:szCs w:val="20"/>
                <w:color w:val="auto"/>
              </w:rPr>
            </w:pPr>
            <w:r>
              <w:rPr>
                <w:rFonts w:ascii="Arial" w:cs="Arial" w:eastAsia="Arial" w:hAnsi="Arial"/>
                <w:sz w:val="18"/>
                <w:szCs w:val="18"/>
                <w:b w:val="1"/>
                <w:bCs w:val="1"/>
                <w:color w:val="auto"/>
              </w:rPr>
              <w:t>2,202</w:t>
            </w:r>
          </w:p>
        </w:tc>
        <w:tc>
          <w:tcPr>
            <w:tcW w:w="120" w:type="dxa"/>
            <w:vAlign w:val="bottom"/>
            <w:shd w:val="clear" w:color="auto" w:fill="CDDEE7"/>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880" w:type="dxa"/>
            <w:vAlign w:val="bottom"/>
            <w:shd w:val="clear" w:color="auto" w:fill="E0EBED"/>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80" w:type="dxa"/>
            <w:vAlign w:val="bottom"/>
            <w:shd w:val="clear" w:color="auto" w:fill="E0EBED"/>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520"/>
              <w:spacing w:after="0" w:line="202" w:lineRule="exact"/>
              <w:rPr>
                <w:sz w:val="20"/>
                <w:szCs w:val="20"/>
                <w:color w:val="auto"/>
              </w:rPr>
            </w:pPr>
            <w:r>
              <w:rPr>
                <w:rFonts w:ascii="Arial" w:cs="Arial" w:eastAsia="Arial" w:hAnsi="Arial"/>
                <w:sz w:val="18"/>
                <w:szCs w:val="18"/>
                <w:color w:val="auto"/>
              </w:rPr>
              <w:t>$44, respectively</w:t>
            </w:r>
          </w:p>
        </w:tc>
        <w:tc>
          <w:tcPr>
            <w:tcW w:w="220" w:type="dxa"/>
            <w:vAlign w:val="bottom"/>
            <w:shd w:val="clear" w:color="auto" w:fill="CDDEE7"/>
          </w:tcPr>
          <w:p>
            <w:pPr>
              <w:spacing w:after="0"/>
              <w:rPr>
                <w:sz w:val="17"/>
                <w:szCs w:val="17"/>
                <w:color w:val="auto"/>
              </w:rPr>
            </w:pPr>
          </w:p>
        </w:tc>
        <w:tc>
          <w:tcPr>
            <w:tcW w:w="740" w:type="dxa"/>
            <w:vAlign w:val="bottom"/>
            <w:vMerge w:val="continue"/>
            <w:shd w:val="clear" w:color="auto" w:fill="CDDEE7"/>
          </w:tcPr>
          <w:p>
            <w:pPr>
              <w:spacing w:after="0"/>
              <w:rPr>
                <w:sz w:val="17"/>
                <w:szCs w:val="17"/>
                <w:color w:val="auto"/>
              </w:rPr>
            </w:pPr>
          </w:p>
        </w:tc>
        <w:tc>
          <w:tcPr>
            <w:tcW w:w="120" w:type="dxa"/>
            <w:vAlign w:val="bottom"/>
            <w:shd w:val="clear" w:color="auto" w:fill="CDDEE7"/>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88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13</w:t>
            </w:r>
          </w:p>
        </w:tc>
        <w:tc>
          <w:tcPr>
            <w:tcW w:w="16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8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340"/>
              <w:spacing w:after="0" w:line="202" w:lineRule="exact"/>
              <w:rPr>
                <w:sz w:val="20"/>
                <w:szCs w:val="20"/>
                <w:color w:val="auto"/>
              </w:rPr>
            </w:pPr>
            <w:r>
              <w:rPr>
                <w:rFonts w:ascii="Arial" w:cs="Arial" w:eastAsia="Arial" w:hAnsi="Arial"/>
                <w:sz w:val="18"/>
                <w:szCs w:val="18"/>
                <w:color w:val="auto"/>
              </w:rPr>
              <w:t>Amount recognized in net periodic pension cost due to special plan termination benefits, net</w:t>
            </w:r>
          </w:p>
        </w:tc>
        <w:tc>
          <w:tcPr>
            <w:tcW w:w="220" w:type="dxa"/>
            <w:vAlign w:val="bottom"/>
            <w:shd w:val="clear" w:color="auto" w:fill="CDDEE7"/>
          </w:tcPr>
          <w:p>
            <w:pPr>
              <w:spacing w:after="0"/>
              <w:rPr>
                <w:sz w:val="17"/>
                <w:szCs w:val="17"/>
                <w:color w:val="auto"/>
              </w:rPr>
            </w:pPr>
          </w:p>
        </w:tc>
        <w:tc>
          <w:tcPr>
            <w:tcW w:w="740" w:type="dxa"/>
            <w:vAlign w:val="bottom"/>
            <w:vMerge w:val="restart"/>
            <w:shd w:val="clear" w:color="auto" w:fill="CDDEE7"/>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DDEE7"/>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880" w:type="dxa"/>
            <w:vAlign w:val="bottom"/>
            <w:shd w:val="clear" w:color="auto" w:fill="E0EBED"/>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80" w:type="dxa"/>
            <w:vAlign w:val="bottom"/>
            <w:shd w:val="clear" w:color="auto" w:fill="E0EBED"/>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520"/>
              <w:spacing w:after="0" w:line="203" w:lineRule="exact"/>
              <w:rPr>
                <w:sz w:val="20"/>
                <w:szCs w:val="20"/>
                <w:color w:val="auto"/>
              </w:rPr>
            </w:pPr>
            <w:r>
              <w:rPr>
                <w:rFonts w:ascii="Arial" w:cs="Arial" w:eastAsia="Arial" w:hAnsi="Arial"/>
                <w:sz w:val="18"/>
                <w:szCs w:val="18"/>
                <w:color w:val="auto"/>
              </w:rPr>
              <w:t>of tax of $0, $0 and $293, respectively</w:t>
            </w:r>
          </w:p>
        </w:tc>
        <w:tc>
          <w:tcPr>
            <w:tcW w:w="220" w:type="dxa"/>
            <w:vAlign w:val="bottom"/>
            <w:tcBorders>
              <w:bottom w:val="single" w:sz="8" w:color="auto"/>
            </w:tcBorders>
            <w:shd w:val="clear" w:color="auto" w:fill="CDDEE7"/>
          </w:tcPr>
          <w:p>
            <w:pPr>
              <w:spacing w:after="0"/>
              <w:rPr>
                <w:sz w:val="17"/>
                <w:szCs w:val="17"/>
                <w:color w:val="auto"/>
              </w:rPr>
            </w:pPr>
          </w:p>
        </w:tc>
        <w:tc>
          <w:tcPr>
            <w:tcW w:w="740" w:type="dxa"/>
            <w:vAlign w:val="bottom"/>
            <w:tcBorders>
              <w:bottom w:val="single" w:sz="8" w:color="auto"/>
            </w:tcBorders>
            <w:vMerge w:val="continue"/>
            <w:shd w:val="clear" w:color="auto" w:fill="CDDEE7"/>
          </w:tcPr>
          <w:p>
            <w:pPr>
              <w:spacing w:after="0"/>
              <w:rPr>
                <w:sz w:val="17"/>
                <w:szCs w:val="17"/>
                <w:color w:val="auto"/>
              </w:rPr>
            </w:pPr>
          </w:p>
        </w:tc>
        <w:tc>
          <w:tcPr>
            <w:tcW w:w="120" w:type="dxa"/>
            <w:vAlign w:val="bottom"/>
            <w:tcBorders>
              <w:bottom w:val="single" w:sz="8" w:color="auto"/>
            </w:tcBorders>
            <w:shd w:val="clear" w:color="auto" w:fill="CDDEE7"/>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880" w:type="dxa"/>
            <w:vAlign w:val="bottom"/>
            <w:tcBorders>
              <w:bottom w:val="single" w:sz="8" w:color="auto"/>
            </w:tcBorders>
            <w:shd w:val="clear" w:color="auto" w:fill="E0EBED"/>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shd w:val="clear" w:color="auto" w:fill="E0EBED"/>
          </w:tcPr>
          <w:p>
            <w:pPr>
              <w:spacing w:after="0"/>
              <w:rPr>
                <w:sz w:val="17"/>
                <w:szCs w:val="17"/>
                <w:color w:val="auto"/>
              </w:rPr>
            </w:pPr>
          </w:p>
        </w:tc>
        <w:tc>
          <w:tcPr>
            <w:tcW w:w="880" w:type="dxa"/>
            <w:vAlign w:val="bottom"/>
            <w:tcBorders>
              <w:bottom w:val="single" w:sz="8" w:color="auto"/>
            </w:tcBorders>
            <w:shd w:val="clear" w:color="auto" w:fill="E0EBED"/>
          </w:tcPr>
          <w:p>
            <w:pPr>
              <w:jc w:val="right"/>
              <w:ind w:right="30"/>
              <w:spacing w:after="0" w:line="203" w:lineRule="exact"/>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220" w:type="dxa"/>
            <w:vAlign w:val="bottom"/>
            <w:shd w:val="clear" w:color="auto" w:fill="CDDEE7"/>
          </w:tcPr>
          <w:p>
            <w:pPr>
              <w:spacing w:after="0"/>
              <w:rPr>
                <w:sz w:val="17"/>
                <w:szCs w:val="17"/>
                <w:color w:val="auto"/>
              </w:rPr>
            </w:pPr>
          </w:p>
        </w:tc>
        <w:tc>
          <w:tcPr>
            <w:tcW w:w="740" w:type="dxa"/>
            <w:vAlign w:val="bottom"/>
            <w:shd w:val="clear" w:color="auto" w:fill="CDDEE7"/>
          </w:tcPr>
          <w:p>
            <w:pPr>
              <w:jc w:val="right"/>
              <w:spacing w:after="0" w:line="196" w:lineRule="exact"/>
              <w:rPr>
                <w:sz w:val="20"/>
                <w:szCs w:val="20"/>
                <w:color w:val="auto"/>
              </w:rPr>
            </w:pPr>
            <w:r>
              <w:rPr>
                <w:rFonts w:ascii="Arial" w:cs="Arial" w:eastAsia="Arial" w:hAnsi="Arial"/>
                <w:sz w:val="18"/>
                <w:szCs w:val="18"/>
                <w:b w:val="1"/>
                <w:bCs w:val="1"/>
                <w:color w:val="auto"/>
              </w:rPr>
              <w:t>(12,690)</w:t>
            </w:r>
          </w:p>
        </w:tc>
        <w:tc>
          <w:tcPr>
            <w:tcW w:w="120" w:type="dxa"/>
            <w:vAlign w:val="bottom"/>
            <w:shd w:val="clear" w:color="auto" w:fill="CDDEE7"/>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880" w:type="dxa"/>
            <w:vAlign w:val="bottom"/>
            <w:shd w:val="clear" w:color="auto" w:fill="E0EBED"/>
          </w:tcPr>
          <w:p>
            <w:pPr>
              <w:jc w:val="right"/>
              <w:ind w:right="30"/>
              <w:spacing w:after="0" w:line="196" w:lineRule="exact"/>
              <w:rPr>
                <w:sz w:val="20"/>
                <w:szCs w:val="20"/>
                <w:color w:val="auto"/>
              </w:rPr>
            </w:pPr>
            <w:r>
              <w:rPr>
                <w:rFonts w:ascii="Arial" w:cs="Arial" w:eastAsia="Arial" w:hAnsi="Arial"/>
                <w:sz w:val="18"/>
                <w:szCs w:val="18"/>
                <w:color w:val="auto"/>
              </w:rPr>
              <w:t>(419)</w:t>
            </w:r>
          </w:p>
        </w:tc>
        <w:tc>
          <w:tcPr>
            <w:tcW w:w="16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80" w:type="dxa"/>
            <w:vAlign w:val="bottom"/>
            <w:shd w:val="clear" w:color="auto" w:fill="E0EBED"/>
          </w:tcPr>
          <w:p>
            <w:pPr>
              <w:jc w:val="right"/>
              <w:ind w:right="30"/>
              <w:spacing w:after="0" w:line="196" w:lineRule="exact"/>
              <w:rPr>
                <w:sz w:val="20"/>
                <w:szCs w:val="20"/>
                <w:color w:val="auto"/>
              </w:rPr>
            </w:pPr>
            <w:r>
              <w:rPr>
                <w:rFonts w:ascii="Arial" w:cs="Arial" w:eastAsia="Arial" w:hAnsi="Arial"/>
                <w:sz w:val="18"/>
                <w:szCs w:val="18"/>
                <w:color w:val="auto"/>
              </w:rPr>
              <w:t>(24,932)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Foreign currency translation (loss) gain</w:t>
            </w:r>
          </w:p>
        </w:tc>
        <w:tc>
          <w:tcPr>
            <w:tcW w:w="220" w:type="dxa"/>
            <w:vAlign w:val="bottom"/>
            <w:shd w:val="clear" w:color="auto" w:fill="CDDEE7"/>
          </w:tcPr>
          <w:p>
            <w:pPr>
              <w:spacing w:after="0"/>
              <w:rPr>
                <w:sz w:val="24"/>
                <w:szCs w:val="24"/>
                <w:color w:val="auto"/>
              </w:rPr>
            </w:pPr>
          </w:p>
        </w:tc>
        <w:tc>
          <w:tcPr>
            <w:tcW w:w="860" w:type="dxa"/>
            <w:vAlign w:val="bottom"/>
            <w:gridSpan w:val="2"/>
            <w:shd w:val="clear" w:color="auto" w:fill="CDDEE7"/>
          </w:tcPr>
          <w:p>
            <w:pPr>
              <w:jc w:val="right"/>
              <w:ind w:right="60"/>
              <w:spacing w:after="0"/>
              <w:rPr>
                <w:sz w:val="20"/>
                <w:szCs w:val="20"/>
                <w:color w:val="auto"/>
              </w:rPr>
            </w:pPr>
            <w:r>
              <w:rPr>
                <w:rFonts w:ascii="Arial" w:cs="Arial" w:eastAsia="Arial" w:hAnsi="Arial"/>
                <w:sz w:val="18"/>
                <w:szCs w:val="18"/>
                <w:b w:val="1"/>
                <w:bCs w:val="1"/>
                <w:color w:val="auto"/>
              </w:rPr>
              <w:t>(2,052)</w:t>
            </w:r>
          </w:p>
        </w:tc>
        <w:tc>
          <w:tcPr>
            <w:tcW w:w="18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880" w:type="dxa"/>
            <w:vAlign w:val="bottom"/>
            <w:shd w:val="clear" w:color="auto" w:fill="E0EBED"/>
          </w:tcPr>
          <w:p>
            <w:pPr>
              <w:jc w:val="right"/>
              <w:ind w:right="30"/>
              <w:spacing w:after="0"/>
              <w:rPr>
                <w:sz w:val="20"/>
                <w:szCs w:val="20"/>
                <w:color w:val="auto"/>
              </w:rPr>
            </w:pPr>
            <w:r>
              <w:rPr>
                <w:rFonts w:ascii="Arial" w:cs="Arial" w:eastAsia="Arial" w:hAnsi="Arial"/>
                <w:sz w:val="18"/>
                <w:szCs w:val="18"/>
                <w:color w:val="auto"/>
              </w:rPr>
              <w:t>1,140</w:t>
            </w:r>
          </w:p>
        </w:tc>
        <w:tc>
          <w:tcPr>
            <w:tcW w:w="160" w:type="dxa"/>
            <w:vAlign w:val="bottom"/>
          </w:tcPr>
          <w:p>
            <w:pPr>
              <w:spacing w:after="0"/>
              <w:rPr>
                <w:sz w:val="24"/>
                <w:szCs w:val="24"/>
                <w:color w:val="auto"/>
              </w:rPr>
            </w:pPr>
          </w:p>
        </w:tc>
        <w:tc>
          <w:tcPr>
            <w:tcW w:w="220" w:type="dxa"/>
            <w:vAlign w:val="bottom"/>
            <w:shd w:val="clear" w:color="auto" w:fill="E0EBED"/>
          </w:tcPr>
          <w:p>
            <w:pPr>
              <w:spacing w:after="0"/>
              <w:rPr>
                <w:sz w:val="24"/>
                <w:szCs w:val="24"/>
                <w:color w:val="auto"/>
              </w:rPr>
            </w:pPr>
          </w:p>
        </w:tc>
        <w:tc>
          <w:tcPr>
            <w:tcW w:w="880" w:type="dxa"/>
            <w:vAlign w:val="bottom"/>
            <w:shd w:val="clear" w:color="auto" w:fill="E0EBED"/>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Amortization of terminated value of forward starting interest rate swap agreements into interest</w:t>
            </w:r>
          </w:p>
        </w:tc>
        <w:tc>
          <w:tcPr>
            <w:tcW w:w="220" w:type="dxa"/>
            <w:vAlign w:val="bottom"/>
            <w:shd w:val="clear" w:color="auto" w:fill="CDDEE7"/>
          </w:tcPr>
          <w:p>
            <w:pPr>
              <w:spacing w:after="0"/>
              <w:rPr>
                <w:sz w:val="24"/>
                <w:szCs w:val="24"/>
                <w:color w:val="auto"/>
              </w:rPr>
            </w:pPr>
          </w:p>
        </w:tc>
        <w:tc>
          <w:tcPr>
            <w:tcW w:w="740" w:type="dxa"/>
            <w:vAlign w:val="bottom"/>
            <w:vMerge w:val="restart"/>
            <w:shd w:val="clear" w:color="auto" w:fill="CDDEE7"/>
          </w:tcPr>
          <w:p>
            <w:pPr>
              <w:jc w:val="right"/>
              <w:spacing w:after="0"/>
              <w:rPr>
                <w:sz w:val="20"/>
                <w:szCs w:val="20"/>
                <w:color w:val="auto"/>
              </w:rPr>
            </w:pPr>
            <w:r>
              <w:rPr>
                <w:rFonts w:ascii="Arial" w:cs="Arial" w:eastAsia="Arial" w:hAnsi="Arial"/>
                <w:sz w:val="18"/>
                <w:szCs w:val="18"/>
                <w:b w:val="1"/>
                <w:bCs w:val="1"/>
                <w:color w:val="auto"/>
              </w:rPr>
              <w:t>280</w:t>
            </w:r>
          </w:p>
        </w:tc>
        <w:tc>
          <w:tcPr>
            <w:tcW w:w="120" w:type="dxa"/>
            <w:vAlign w:val="bottom"/>
            <w:shd w:val="clear" w:color="auto" w:fill="CDDEE7"/>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880" w:type="dxa"/>
            <w:vAlign w:val="bottom"/>
            <w:shd w:val="clear" w:color="auto" w:fill="E0EBED"/>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shd w:val="clear" w:color="auto" w:fill="E0EBED"/>
          </w:tcPr>
          <w:p>
            <w:pPr>
              <w:spacing w:after="0"/>
              <w:rPr>
                <w:sz w:val="24"/>
                <w:szCs w:val="24"/>
                <w:color w:val="auto"/>
              </w:rPr>
            </w:pPr>
          </w:p>
        </w:tc>
        <w:tc>
          <w:tcPr>
            <w:tcW w:w="88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340"/>
              <w:spacing w:after="0" w:line="203" w:lineRule="exact"/>
              <w:rPr>
                <w:sz w:val="20"/>
                <w:szCs w:val="20"/>
                <w:color w:val="auto"/>
              </w:rPr>
            </w:pPr>
            <w:r>
              <w:rPr>
                <w:rFonts w:ascii="Arial" w:cs="Arial" w:eastAsia="Arial" w:hAnsi="Arial"/>
                <w:sz w:val="18"/>
                <w:szCs w:val="18"/>
                <w:color w:val="auto"/>
              </w:rPr>
              <w:t>expense, net of tax of $178, $571 and $541, respectively</w:t>
            </w:r>
          </w:p>
        </w:tc>
        <w:tc>
          <w:tcPr>
            <w:tcW w:w="220" w:type="dxa"/>
            <w:vAlign w:val="bottom"/>
            <w:tcBorders>
              <w:bottom w:val="single" w:sz="8" w:color="auto"/>
            </w:tcBorders>
            <w:shd w:val="clear" w:color="auto" w:fill="CDDEE7"/>
          </w:tcPr>
          <w:p>
            <w:pPr>
              <w:spacing w:after="0"/>
              <w:rPr>
                <w:sz w:val="17"/>
                <w:szCs w:val="17"/>
                <w:color w:val="auto"/>
              </w:rPr>
            </w:pPr>
          </w:p>
        </w:tc>
        <w:tc>
          <w:tcPr>
            <w:tcW w:w="740" w:type="dxa"/>
            <w:vAlign w:val="bottom"/>
            <w:tcBorders>
              <w:bottom w:val="single" w:sz="8" w:color="auto"/>
            </w:tcBorders>
            <w:vMerge w:val="continue"/>
            <w:shd w:val="clear" w:color="auto" w:fill="CDDEE7"/>
          </w:tcPr>
          <w:p>
            <w:pPr>
              <w:spacing w:after="0"/>
              <w:rPr>
                <w:sz w:val="17"/>
                <w:szCs w:val="17"/>
                <w:color w:val="auto"/>
              </w:rPr>
            </w:pPr>
          </w:p>
        </w:tc>
        <w:tc>
          <w:tcPr>
            <w:tcW w:w="120" w:type="dxa"/>
            <w:vAlign w:val="bottom"/>
            <w:tcBorders>
              <w:bottom w:val="single" w:sz="8" w:color="auto"/>
            </w:tcBorders>
            <w:shd w:val="clear" w:color="auto" w:fill="CDDEE7"/>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880" w:type="dxa"/>
            <w:vAlign w:val="bottom"/>
            <w:tcBorders>
              <w:bottom w:val="single" w:sz="8" w:color="auto"/>
            </w:tcBorders>
            <w:shd w:val="clear" w:color="auto" w:fill="E0EBED"/>
          </w:tcPr>
          <w:p>
            <w:pPr>
              <w:jc w:val="right"/>
              <w:ind w:right="30"/>
              <w:spacing w:after="0" w:line="203" w:lineRule="exact"/>
              <w:rPr>
                <w:sz w:val="20"/>
                <w:szCs w:val="20"/>
                <w:color w:val="auto"/>
              </w:rPr>
            </w:pPr>
            <w:r>
              <w:rPr>
                <w:rFonts w:ascii="Arial" w:cs="Arial" w:eastAsia="Arial" w:hAnsi="Arial"/>
                <w:sz w:val="18"/>
                <w:szCs w:val="18"/>
                <w:color w:val="auto"/>
              </w:rPr>
              <w:t>872</w:t>
            </w: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shd w:val="clear" w:color="auto" w:fill="E0EBED"/>
          </w:tcPr>
          <w:p>
            <w:pPr>
              <w:spacing w:after="0"/>
              <w:rPr>
                <w:sz w:val="17"/>
                <w:szCs w:val="17"/>
                <w:color w:val="auto"/>
              </w:rPr>
            </w:pPr>
          </w:p>
        </w:tc>
        <w:tc>
          <w:tcPr>
            <w:tcW w:w="880" w:type="dxa"/>
            <w:vAlign w:val="bottom"/>
            <w:tcBorders>
              <w:bottom w:val="single" w:sz="8" w:color="auto"/>
            </w:tcBorders>
            <w:shd w:val="clear" w:color="auto" w:fill="E0EBED"/>
          </w:tcPr>
          <w:p>
            <w:pPr>
              <w:jc w:val="right"/>
              <w:ind w:right="30"/>
              <w:spacing w:after="0" w:line="203" w:lineRule="exact"/>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shd w:val="clear" w:color="auto" w:fill="CDDEE7"/>
          </w:tcPr>
          <w:p>
            <w:pPr>
              <w:spacing w:after="0"/>
              <w:rPr>
                <w:sz w:val="17"/>
                <w:szCs w:val="17"/>
                <w:color w:val="auto"/>
              </w:rPr>
            </w:pPr>
          </w:p>
        </w:tc>
        <w:tc>
          <w:tcPr>
            <w:tcW w:w="860" w:type="dxa"/>
            <w:vAlign w:val="bottom"/>
            <w:tcBorders>
              <w:bottom w:val="single" w:sz="8" w:color="auto"/>
            </w:tcBorders>
            <w:gridSpan w:val="2"/>
            <w:shd w:val="clear" w:color="auto" w:fill="CDDEE7"/>
          </w:tcPr>
          <w:p>
            <w:pPr>
              <w:jc w:val="right"/>
              <w:ind w:right="60"/>
              <w:spacing w:after="0" w:line="196" w:lineRule="exact"/>
              <w:rPr>
                <w:sz w:val="20"/>
                <w:szCs w:val="20"/>
                <w:color w:val="auto"/>
              </w:rPr>
            </w:pPr>
            <w:r>
              <w:rPr>
                <w:rFonts w:ascii="Arial" w:cs="Arial" w:eastAsia="Arial" w:hAnsi="Arial"/>
                <w:sz w:val="18"/>
                <w:szCs w:val="18"/>
                <w:b w:val="1"/>
                <w:bCs w:val="1"/>
                <w:color w:val="auto"/>
              </w:rPr>
              <w:t>(14,462)</w:t>
            </w: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880" w:type="dxa"/>
            <w:vAlign w:val="bottom"/>
            <w:tcBorders>
              <w:bottom w:val="single" w:sz="8" w:color="auto"/>
            </w:tcBorders>
            <w:shd w:val="clear" w:color="auto" w:fill="E0EBED"/>
          </w:tcPr>
          <w:p>
            <w:pPr>
              <w:jc w:val="right"/>
              <w:ind w:right="30"/>
              <w:spacing w:after="0" w:line="196" w:lineRule="exact"/>
              <w:rPr>
                <w:sz w:val="20"/>
                <w:szCs w:val="20"/>
                <w:color w:val="auto"/>
              </w:rPr>
            </w:pPr>
            <w:r>
              <w:rPr>
                <w:rFonts w:ascii="Arial" w:cs="Arial" w:eastAsia="Arial" w:hAnsi="Arial"/>
                <w:sz w:val="18"/>
                <w:szCs w:val="18"/>
                <w:color w:val="auto"/>
              </w:rPr>
              <w:t>1,593</w:t>
            </w: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shd w:val="clear" w:color="auto" w:fill="E0EBED"/>
          </w:tcPr>
          <w:p>
            <w:pPr>
              <w:spacing w:after="0"/>
              <w:rPr>
                <w:sz w:val="17"/>
                <w:szCs w:val="17"/>
                <w:color w:val="auto"/>
              </w:rPr>
            </w:pPr>
          </w:p>
        </w:tc>
        <w:tc>
          <w:tcPr>
            <w:tcW w:w="880" w:type="dxa"/>
            <w:vAlign w:val="bottom"/>
            <w:tcBorders>
              <w:bottom w:val="single" w:sz="8" w:color="auto"/>
            </w:tcBorders>
            <w:shd w:val="clear" w:color="auto" w:fill="E0EBED"/>
          </w:tcPr>
          <w:p>
            <w:pPr>
              <w:jc w:val="right"/>
              <w:spacing w:after="0" w:line="196" w:lineRule="exact"/>
              <w:rPr>
                <w:sz w:val="20"/>
                <w:szCs w:val="20"/>
                <w:color w:val="auto"/>
              </w:rPr>
            </w:pPr>
            <w:r>
              <w:rPr>
                <w:rFonts w:ascii="Arial" w:cs="Arial" w:eastAsia="Arial" w:hAnsi="Arial"/>
                <w:sz w:val="18"/>
                <w:szCs w:val="18"/>
                <w:color w:val="auto"/>
              </w:rPr>
              <w:t>(25,004)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0" w:type="dxa"/>
            <w:vAlign w:val="bottom"/>
          </w:tcPr>
          <w:p>
            <w:pPr>
              <w:spacing w:after="0" w:line="173" w:lineRule="exact"/>
              <w:rPr>
                <w:sz w:val="20"/>
                <w:szCs w:val="20"/>
                <w:color w:val="auto"/>
              </w:rPr>
            </w:pPr>
            <w:r>
              <w:rPr>
                <w:rFonts w:ascii="Arial" w:cs="Arial" w:eastAsia="Arial" w:hAnsi="Arial"/>
                <w:sz w:val="18"/>
                <w:szCs w:val="18"/>
                <w:color w:val="auto"/>
              </w:rPr>
              <w:t>Consolidated comprehensive earnings</w:t>
            </w:r>
          </w:p>
        </w:tc>
        <w:tc>
          <w:tcPr>
            <w:tcW w:w="220" w:type="dxa"/>
            <w:vAlign w:val="bottom"/>
            <w:shd w:val="clear" w:color="auto" w:fill="CDDEE7"/>
          </w:tcPr>
          <w:p>
            <w:pPr>
              <w:spacing w:after="0"/>
              <w:rPr>
                <w:sz w:val="15"/>
                <w:szCs w:val="15"/>
                <w:color w:val="auto"/>
              </w:rPr>
            </w:pPr>
          </w:p>
        </w:tc>
        <w:tc>
          <w:tcPr>
            <w:tcW w:w="740" w:type="dxa"/>
            <w:vAlign w:val="bottom"/>
            <w:shd w:val="clear" w:color="auto" w:fill="CDDEE7"/>
          </w:tcPr>
          <w:p>
            <w:pPr>
              <w:jc w:val="right"/>
              <w:spacing w:after="0" w:line="173" w:lineRule="exact"/>
              <w:rPr>
                <w:sz w:val="20"/>
                <w:szCs w:val="20"/>
                <w:color w:val="auto"/>
              </w:rPr>
            </w:pPr>
            <w:r>
              <w:rPr>
                <w:rFonts w:ascii="Arial" w:cs="Arial" w:eastAsia="Arial" w:hAnsi="Arial"/>
                <w:sz w:val="18"/>
                <w:szCs w:val="18"/>
                <w:b w:val="1"/>
                <w:bCs w:val="1"/>
                <w:color w:val="auto"/>
              </w:rPr>
              <w:t>455,914</w:t>
            </w:r>
          </w:p>
        </w:tc>
        <w:tc>
          <w:tcPr>
            <w:tcW w:w="120" w:type="dxa"/>
            <w:vAlign w:val="bottom"/>
            <w:shd w:val="clear" w:color="auto" w:fill="CDDEE7"/>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880" w:type="dxa"/>
            <w:vAlign w:val="bottom"/>
            <w:shd w:val="clear" w:color="auto" w:fill="E0EBED"/>
          </w:tcPr>
          <w:p>
            <w:pPr>
              <w:jc w:val="right"/>
              <w:ind w:right="30"/>
              <w:spacing w:after="0" w:line="173" w:lineRule="exact"/>
              <w:rPr>
                <w:sz w:val="20"/>
                <w:szCs w:val="20"/>
                <w:color w:val="auto"/>
              </w:rPr>
            </w:pPr>
            <w:r>
              <w:rPr>
                <w:rFonts w:ascii="Arial" w:cs="Arial" w:eastAsia="Arial" w:hAnsi="Arial"/>
                <w:sz w:val="18"/>
                <w:szCs w:val="18"/>
                <w:color w:val="auto"/>
              </w:rPr>
              <w:t>714,978</w:t>
            </w:r>
          </w:p>
        </w:tc>
        <w:tc>
          <w:tcPr>
            <w:tcW w:w="160" w:type="dxa"/>
            <w:vAlign w:val="bottom"/>
          </w:tcPr>
          <w:p>
            <w:pPr>
              <w:spacing w:after="0"/>
              <w:rPr>
                <w:sz w:val="15"/>
                <w:szCs w:val="15"/>
                <w:color w:val="auto"/>
              </w:rPr>
            </w:pPr>
          </w:p>
        </w:tc>
        <w:tc>
          <w:tcPr>
            <w:tcW w:w="220" w:type="dxa"/>
            <w:vAlign w:val="bottom"/>
            <w:shd w:val="clear" w:color="auto" w:fill="E0EBED"/>
          </w:tcPr>
          <w:p>
            <w:pPr>
              <w:spacing w:after="0"/>
              <w:rPr>
                <w:sz w:val="15"/>
                <w:szCs w:val="15"/>
                <w:color w:val="auto"/>
              </w:rPr>
            </w:pPr>
          </w:p>
        </w:tc>
        <w:tc>
          <w:tcPr>
            <w:tcW w:w="880" w:type="dxa"/>
            <w:vAlign w:val="bottom"/>
            <w:shd w:val="clear" w:color="auto" w:fill="E0EBED"/>
          </w:tcPr>
          <w:p>
            <w:pPr>
              <w:jc w:val="right"/>
              <w:ind w:right="30"/>
              <w:spacing w:after="0" w:line="173" w:lineRule="exact"/>
              <w:rPr>
                <w:sz w:val="20"/>
                <w:szCs w:val="20"/>
                <w:color w:val="auto"/>
              </w:rPr>
            </w:pPr>
            <w:r>
              <w:rPr>
                <w:rFonts w:ascii="Arial" w:cs="Arial" w:eastAsia="Arial" w:hAnsi="Arial"/>
                <w:sz w:val="18"/>
                <w:szCs w:val="18"/>
                <w:color w:val="auto"/>
              </w:rPr>
              <w:t>400,440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Less: Comprehensive earnings attributable to noncontrolling interests</w:t>
            </w:r>
          </w:p>
        </w:tc>
        <w:tc>
          <w:tcPr>
            <w:tcW w:w="220" w:type="dxa"/>
            <w:vAlign w:val="bottom"/>
            <w:tcBorders>
              <w:bottom w:val="single" w:sz="8" w:color="auto"/>
            </w:tcBorders>
            <w:shd w:val="clear" w:color="auto" w:fill="CDDEE7"/>
          </w:tcPr>
          <w:p>
            <w:pPr>
              <w:spacing w:after="0"/>
              <w:rPr>
                <w:sz w:val="19"/>
                <w:szCs w:val="19"/>
                <w:color w:val="auto"/>
              </w:rPr>
            </w:pPr>
          </w:p>
        </w:tc>
        <w:tc>
          <w:tcPr>
            <w:tcW w:w="74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8"/>
                <w:szCs w:val="18"/>
                <w:b w:val="1"/>
                <w:bCs w:val="1"/>
                <w:color w:val="auto"/>
              </w:rPr>
              <w:t>391</w:t>
            </w:r>
          </w:p>
        </w:tc>
        <w:tc>
          <w:tcPr>
            <w:tcW w:w="120" w:type="dxa"/>
            <w:vAlign w:val="bottom"/>
            <w:tcBorders>
              <w:bottom w:val="single" w:sz="8" w:color="auto"/>
            </w:tcBorders>
            <w:shd w:val="clear" w:color="auto" w:fill="CDDEE7"/>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shd w:val="clear" w:color="auto" w:fill="E0EBED"/>
          </w:tcPr>
          <w:p>
            <w:pPr>
              <w:spacing w:after="0"/>
              <w:rPr>
                <w:sz w:val="19"/>
                <w:szCs w:val="19"/>
                <w:color w:val="auto"/>
              </w:rPr>
            </w:pPr>
          </w:p>
        </w:tc>
        <w:tc>
          <w:tcPr>
            <w:tcW w:w="880" w:type="dxa"/>
            <w:vAlign w:val="bottom"/>
            <w:tcBorders>
              <w:bottom w:val="single" w:sz="8" w:color="auto"/>
            </w:tcBorders>
            <w:shd w:val="clear" w:color="auto" w:fill="E0EBED"/>
          </w:tcPr>
          <w:p>
            <w:pPr>
              <w:jc w:val="right"/>
              <w:ind w:right="30"/>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shd w:val="clear" w:color="auto" w:fill="E0EBED"/>
          </w:tcPr>
          <w:p>
            <w:pPr>
              <w:spacing w:after="0"/>
              <w:rPr>
                <w:sz w:val="19"/>
                <w:szCs w:val="19"/>
                <w:color w:val="auto"/>
              </w:rPr>
            </w:pPr>
          </w:p>
        </w:tc>
        <w:tc>
          <w:tcPr>
            <w:tcW w:w="880" w:type="dxa"/>
            <w:vAlign w:val="bottom"/>
            <w:tcBorders>
              <w:bottom w:val="single" w:sz="8" w:color="auto"/>
            </w:tcBorders>
            <w:shd w:val="clear" w:color="auto" w:fill="E0EBED"/>
          </w:tcPr>
          <w:p>
            <w:pPr>
              <w:jc w:val="right"/>
              <w:ind w:right="3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tcBorders>
              <w:bottom w:val="single" w:sz="8" w:color="auto"/>
            </w:tcBorders>
          </w:tcPr>
          <w:p>
            <w:pPr>
              <w:spacing w:after="0" w:line="210" w:lineRule="exact"/>
              <w:rPr>
                <w:sz w:val="20"/>
                <w:szCs w:val="20"/>
                <w:color w:val="auto"/>
              </w:rPr>
            </w:pPr>
            <w:r>
              <w:rPr>
                <w:rFonts w:ascii="Arial" w:cs="Arial" w:eastAsia="Arial" w:hAnsi="Arial"/>
                <w:sz w:val="19"/>
                <w:szCs w:val="19"/>
                <w:b w:val="1"/>
                <w:bCs w:val="1"/>
                <w:color w:val="auto"/>
              </w:rPr>
              <w:t>Comprehensive Earnings Attributable to Martin Marietta</w:t>
            </w:r>
          </w:p>
        </w:tc>
        <w:tc>
          <w:tcPr>
            <w:tcW w:w="2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8"/>
                <w:szCs w:val="18"/>
                <w:b w:val="1"/>
                <w:bCs w:val="1"/>
                <w:color w:val="auto"/>
              </w:rPr>
              <w:t>455,523</w:t>
            </w:r>
          </w:p>
        </w:tc>
        <w:tc>
          <w:tcPr>
            <w:tcW w:w="120" w:type="dxa"/>
            <w:vAlign w:val="bottom"/>
            <w:tcBorders>
              <w:bottom w:val="single" w:sz="8" w:color="auto"/>
            </w:tcBorders>
            <w:shd w:val="clear" w:color="auto" w:fill="CDDEE7"/>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E0EBED"/>
          </w:tcPr>
          <w:p>
            <w:pPr>
              <w:jc w:val="right"/>
              <w:ind w:right="30"/>
              <w:spacing w:after="0"/>
              <w:rPr>
                <w:sz w:val="20"/>
                <w:szCs w:val="20"/>
                <w:color w:val="auto"/>
              </w:rPr>
            </w:pPr>
            <w:r>
              <w:rPr>
                <w:rFonts w:ascii="Arial" w:cs="Arial" w:eastAsia="Arial" w:hAnsi="Arial"/>
                <w:sz w:val="18"/>
                <w:szCs w:val="18"/>
                <w:color w:val="auto"/>
              </w:rPr>
              <w:t>714,925</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E0EBED"/>
          </w:tcPr>
          <w:p>
            <w:pPr>
              <w:jc w:val="right"/>
              <w:ind w:right="30"/>
              <w:spacing w:after="0"/>
              <w:rPr>
                <w:sz w:val="20"/>
                <w:szCs w:val="20"/>
                <w:color w:val="auto"/>
              </w:rPr>
            </w:pPr>
            <w:r>
              <w:rPr>
                <w:rFonts w:ascii="Arial" w:cs="Arial" w:eastAsia="Arial" w:hAnsi="Arial"/>
                <w:sz w:val="18"/>
                <w:szCs w:val="18"/>
                <w:color w:val="auto"/>
              </w:rPr>
              <w:t>400,321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notes on pages 15 through 41 are an integral part of these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11</w:t>
      </w:r>
    </w:p>
    <w:p>
      <w:pPr>
        <w:sectPr>
          <w:pgSz w:w="11900" w:h="16838" w:orient="portrait"/>
          <w:cols w:equalWidth="0" w:num="1">
            <w:col w:w="11420"/>
          </w:cols>
          <w:pgMar w:left="240" w:top="387"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338"/>
        </w:trPr>
        <w:tc>
          <w:tcPr>
            <w:tcW w:w="20" w:type="dxa"/>
            <w:vAlign w:val="bottom"/>
          </w:tcPr>
          <w:p>
            <w:pPr>
              <w:spacing w:after="0"/>
              <w:rPr>
                <w:sz w:val="24"/>
                <w:szCs w:val="24"/>
                <w:color w:val="auto"/>
              </w:rPr>
            </w:pPr>
          </w:p>
        </w:tc>
        <w:tc>
          <w:tcPr>
            <w:tcW w:w="8760" w:type="dxa"/>
            <w:vAlign w:val="bottom"/>
            <w:shd w:val="clear" w:color="auto" w:fill="0085CD"/>
          </w:tcPr>
          <w:p>
            <w:pPr>
              <w:spacing w:after="0"/>
              <w:rPr>
                <w:sz w:val="20"/>
                <w:szCs w:val="20"/>
                <w:color w:val="auto"/>
              </w:rPr>
            </w:pPr>
            <w:r>
              <w:rPr>
                <w:rFonts w:ascii="Arial" w:cs="Arial" w:eastAsia="Arial" w:hAnsi="Arial"/>
                <w:sz w:val="18"/>
                <w:szCs w:val="18"/>
                <w:b w:val="1"/>
                <w:bCs w:val="1"/>
                <w:color w:val="FFFFFF"/>
              </w:rPr>
              <w:t xml:space="preserve">CONSOLIDATED BALANCE SHEETS </w:t>
            </w:r>
            <w:r>
              <w:rPr>
                <w:rFonts w:ascii="Arial" w:cs="Arial" w:eastAsia="Arial" w:hAnsi="Arial"/>
                <w:sz w:val="18"/>
                <w:szCs w:val="18"/>
                <w:color w:val="FFFFFF"/>
              </w:rPr>
              <w:t>at December 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760" w:type="dxa"/>
            <w:vAlign w:val="bottom"/>
            <w:shd w:val="clear" w:color="auto" w:fill="0085CD"/>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87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Assets </w:t>
            </w:r>
            <w:r>
              <w:rPr>
                <w:rFonts w:ascii="Arial" w:cs="Arial" w:eastAsia="Arial" w:hAnsi="Arial"/>
                <w:sz w:val="16"/>
                <w:szCs w:val="16"/>
                <w:color w:val="auto"/>
              </w:rPr>
              <w:t>(add 000)</w:t>
            </w:r>
          </w:p>
        </w:tc>
        <w:tc>
          <w:tcPr>
            <w:tcW w:w="180" w:type="dxa"/>
            <w:vAlign w:val="bottom"/>
          </w:tcPr>
          <w:p>
            <w:pPr>
              <w:spacing w:after="0"/>
              <w:rPr>
                <w:sz w:val="24"/>
                <w:szCs w:val="24"/>
                <w:color w:val="auto"/>
              </w:rPr>
            </w:pPr>
          </w:p>
        </w:tc>
        <w:tc>
          <w:tcPr>
            <w:tcW w:w="120" w:type="dxa"/>
            <w:vAlign w:val="bottom"/>
            <w:shd w:val="clear" w:color="auto" w:fill="0085CD"/>
          </w:tcPr>
          <w:p>
            <w:pPr>
              <w:spacing w:after="0"/>
              <w:rPr>
                <w:sz w:val="24"/>
                <w:szCs w:val="24"/>
                <w:color w:val="auto"/>
              </w:rPr>
            </w:pPr>
          </w:p>
        </w:tc>
        <w:tc>
          <w:tcPr>
            <w:tcW w:w="100" w:type="dxa"/>
            <w:vAlign w:val="bottom"/>
            <w:shd w:val="clear" w:color="auto" w:fill="0085CD"/>
          </w:tcPr>
          <w:p>
            <w:pPr>
              <w:spacing w:after="0"/>
              <w:rPr>
                <w:sz w:val="24"/>
                <w:szCs w:val="24"/>
                <w:color w:val="auto"/>
              </w:rPr>
            </w:pPr>
          </w:p>
        </w:tc>
        <w:tc>
          <w:tcPr>
            <w:tcW w:w="800" w:type="dxa"/>
            <w:vAlign w:val="bottom"/>
            <w:shd w:val="clear" w:color="auto" w:fill="0085CD"/>
          </w:tcPr>
          <w:p>
            <w:pPr>
              <w:jc w:val="right"/>
              <w:ind w:right="170"/>
              <w:spacing w:after="0"/>
              <w:rPr>
                <w:sz w:val="20"/>
                <w:szCs w:val="20"/>
                <w:color w:val="auto"/>
              </w:rPr>
            </w:pPr>
            <w:r>
              <w:rPr>
                <w:rFonts w:ascii="Arial" w:cs="Arial" w:eastAsia="Arial" w:hAnsi="Arial"/>
                <w:sz w:val="18"/>
                <w:szCs w:val="18"/>
                <w:b w:val="1"/>
                <w:bCs w:val="1"/>
                <w:color w:val="FFFFFF"/>
              </w:rPr>
              <w:t>2018</w:t>
            </w:r>
          </w:p>
        </w:tc>
        <w:tc>
          <w:tcPr>
            <w:tcW w:w="120" w:type="dxa"/>
            <w:vAlign w:val="bottom"/>
            <w:shd w:val="clear" w:color="auto" w:fill="0085CD"/>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40" w:type="dxa"/>
            <w:vAlign w:val="bottom"/>
            <w:shd w:val="clear" w:color="auto" w:fill="E0EBED"/>
          </w:tcPr>
          <w:p>
            <w:pPr>
              <w:jc w:val="right"/>
              <w:ind w:right="2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6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b w:val="1"/>
                <w:bCs w:val="1"/>
                <w:color w:val="auto"/>
              </w:rPr>
              <w:t>Current Assets:</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shd w:val="clear" w:color="auto" w:fill="CDDEE7"/>
          </w:tcPr>
          <w:p>
            <w:pPr>
              <w:spacing w:after="0"/>
              <w:rPr>
                <w:sz w:val="18"/>
                <w:szCs w:val="18"/>
                <w:color w:val="auto"/>
              </w:rPr>
            </w:pPr>
          </w:p>
        </w:tc>
        <w:tc>
          <w:tcPr>
            <w:tcW w:w="100" w:type="dxa"/>
            <w:vAlign w:val="bottom"/>
            <w:tcBorders>
              <w:top w:val="single" w:sz="8" w:color="auto"/>
            </w:tcBorders>
            <w:vMerge w:val="restart"/>
            <w:shd w:val="clear" w:color="auto" w:fill="CDDEE7"/>
          </w:tcPr>
          <w:p>
            <w:pPr>
              <w:jc w:val="right"/>
              <w:spacing w:after="0"/>
              <w:rPr>
                <w:sz w:val="20"/>
                <w:szCs w:val="20"/>
                <w:color w:val="auto"/>
              </w:rPr>
            </w:pPr>
            <w:r>
              <w:rPr>
                <w:rFonts w:ascii="Arial" w:cs="Arial" w:eastAsia="Arial" w:hAnsi="Arial"/>
                <w:sz w:val="18"/>
                <w:szCs w:val="18"/>
                <w:b w:val="1"/>
                <w:bCs w:val="1"/>
                <w:color w:val="auto"/>
                <w:w w:val="79"/>
                <w:shd w:val="clear" w:color="auto" w:fill="CDDEE7"/>
              </w:rPr>
              <w:t>$</w:t>
            </w:r>
          </w:p>
        </w:tc>
        <w:tc>
          <w:tcPr>
            <w:tcW w:w="920" w:type="dxa"/>
            <w:vAlign w:val="bottom"/>
            <w:tcBorders>
              <w:top w:val="single" w:sz="8" w:color="auto"/>
            </w:tcBorders>
            <w:gridSpan w:val="2"/>
            <w:vMerge w:val="restart"/>
            <w:shd w:val="clear" w:color="auto" w:fill="CDDEE7"/>
          </w:tcPr>
          <w:p>
            <w:pPr>
              <w:jc w:val="right"/>
              <w:ind w:right="120"/>
              <w:spacing w:after="0"/>
              <w:rPr>
                <w:sz w:val="20"/>
                <w:szCs w:val="20"/>
                <w:color w:val="auto"/>
              </w:rPr>
            </w:pPr>
            <w:r>
              <w:rPr>
                <w:rFonts w:ascii="Arial" w:cs="Arial" w:eastAsia="Arial" w:hAnsi="Arial"/>
                <w:sz w:val="18"/>
                <w:szCs w:val="18"/>
                <w:b w:val="1"/>
                <w:bCs w:val="1"/>
                <w:color w:val="auto"/>
                <w:shd w:val="clear" w:color="auto" w:fill="CDDEE7"/>
              </w:rPr>
              <w:t>44,892</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shd w:val="clear" w:color="auto" w:fill="E0EBED"/>
          </w:tcPr>
          <w:p>
            <w:pPr>
              <w:spacing w:after="0"/>
              <w:rPr>
                <w:sz w:val="18"/>
                <w:szCs w:val="18"/>
                <w:color w:val="auto"/>
              </w:rPr>
            </w:pPr>
          </w:p>
        </w:tc>
        <w:tc>
          <w:tcPr>
            <w:tcW w:w="940" w:type="dxa"/>
            <w:vAlign w:val="bottom"/>
            <w:tcBorders>
              <w:top w:val="single" w:sz="8" w:color="auto"/>
            </w:tcBorders>
            <w:shd w:val="clear" w:color="auto" w:fill="E0EBED"/>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8780" w:type="dxa"/>
            <w:vAlign w:val="bottom"/>
            <w:gridSpan w:val="2"/>
          </w:tcPr>
          <w:p>
            <w:pPr>
              <w:spacing w:after="0" w:line="181" w:lineRule="exact"/>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5"/>
                <w:szCs w:val="15"/>
                <w:color w:val="auto"/>
              </w:rPr>
            </w:pPr>
          </w:p>
        </w:tc>
        <w:tc>
          <w:tcPr>
            <w:tcW w:w="120" w:type="dxa"/>
            <w:vAlign w:val="bottom"/>
            <w:shd w:val="clear" w:color="auto" w:fill="CDDEE7"/>
          </w:tcPr>
          <w:p>
            <w:pPr>
              <w:spacing w:after="0"/>
              <w:rPr>
                <w:sz w:val="15"/>
                <w:szCs w:val="15"/>
                <w:color w:val="auto"/>
              </w:rPr>
            </w:pPr>
          </w:p>
        </w:tc>
        <w:tc>
          <w:tcPr>
            <w:tcW w:w="100" w:type="dxa"/>
            <w:vAlign w:val="bottom"/>
            <w:vMerge w:val="continue"/>
            <w:shd w:val="clear" w:color="auto" w:fill="CDDEE7"/>
          </w:tcPr>
          <w:p>
            <w:pPr>
              <w:spacing w:after="0"/>
              <w:rPr>
                <w:sz w:val="15"/>
                <w:szCs w:val="15"/>
                <w:color w:val="auto"/>
              </w:rPr>
            </w:pPr>
          </w:p>
        </w:tc>
        <w:tc>
          <w:tcPr>
            <w:tcW w:w="920" w:type="dxa"/>
            <w:vAlign w:val="bottom"/>
            <w:gridSpan w:val="2"/>
            <w:vMerge w:val="continue"/>
            <w:shd w:val="clear" w:color="auto" w:fill="CDDEE7"/>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shd w:val="clear" w:color="auto" w:fill="E0EBED"/>
          </w:tcPr>
          <w:p>
            <w:pPr>
              <w:jc w:val="right"/>
              <w:spacing w:after="0" w:line="181" w:lineRule="exact"/>
              <w:rPr>
                <w:sz w:val="20"/>
                <w:szCs w:val="20"/>
                <w:color w:val="auto"/>
              </w:rPr>
            </w:pPr>
            <w:r>
              <w:rPr>
                <w:rFonts w:ascii="Arial" w:cs="Arial" w:eastAsia="Arial" w:hAnsi="Arial"/>
                <w:sz w:val="18"/>
                <w:szCs w:val="18"/>
                <w:color w:val="auto"/>
              </w:rPr>
              <w:t>$</w:t>
            </w:r>
          </w:p>
        </w:tc>
        <w:tc>
          <w:tcPr>
            <w:tcW w:w="940" w:type="dxa"/>
            <w:vAlign w:val="bottom"/>
            <w:shd w:val="clear" w:color="auto" w:fill="E0EBED"/>
          </w:tcPr>
          <w:p>
            <w:pPr>
              <w:jc w:val="right"/>
              <w:ind w:right="30"/>
              <w:spacing w:after="0" w:line="181" w:lineRule="exact"/>
              <w:rPr>
                <w:sz w:val="20"/>
                <w:szCs w:val="20"/>
                <w:color w:val="auto"/>
              </w:rPr>
            </w:pPr>
            <w:r>
              <w:rPr>
                <w:rFonts w:ascii="Arial" w:cs="Arial" w:eastAsia="Arial" w:hAnsi="Arial"/>
                <w:sz w:val="18"/>
                <w:szCs w:val="18"/>
                <w:color w:val="auto"/>
                <w:w w:val="99"/>
              </w:rPr>
              <w:t>1,446,364</w:t>
            </w:r>
          </w:p>
        </w:tc>
        <w:tc>
          <w:tcPr>
            <w:tcW w:w="0" w:type="dxa"/>
            <w:vAlign w:val="bottom"/>
          </w:tcPr>
          <w:p>
            <w:pPr>
              <w:spacing w:after="0"/>
              <w:rPr>
                <w:sz w:val="1"/>
                <w:szCs w:val="1"/>
                <w:color w:val="auto"/>
              </w:rPr>
            </w:pPr>
          </w:p>
        </w:tc>
      </w:tr>
      <w:tr>
        <w:trPr>
          <w:trHeight w:val="203"/>
        </w:trPr>
        <w:tc>
          <w:tcPr>
            <w:tcW w:w="8780" w:type="dxa"/>
            <w:vAlign w:val="bottom"/>
            <w:gridSpan w:val="2"/>
          </w:tcPr>
          <w:p>
            <w:pPr>
              <w:spacing w:after="0" w:line="202" w:lineRule="exact"/>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7"/>
                <w:szCs w:val="17"/>
                <w:color w:val="auto"/>
              </w:rPr>
            </w:pPr>
          </w:p>
        </w:tc>
        <w:tc>
          <w:tcPr>
            <w:tcW w:w="12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0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523,276</w:t>
            </w:r>
          </w:p>
        </w:tc>
        <w:tc>
          <w:tcPr>
            <w:tcW w:w="120" w:type="dxa"/>
            <w:vAlign w:val="bottom"/>
            <w:shd w:val="clear" w:color="auto" w:fill="CDDEE7"/>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9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487,240</w:t>
            </w:r>
          </w:p>
        </w:tc>
        <w:tc>
          <w:tcPr>
            <w:tcW w:w="0" w:type="dxa"/>
            <w:vAlign w:val="bottom"/>
          </w:tcPr>
          <w:p>
            <w:pPr>
              <w:spacing w:after="0"/>
              <w:rPr>
                <w:sz w:val="1"/>
                <w:szCs w:val="1"/>
                <w:color w:val="auto"/>
              </w:rPr>
            </w:pPr>
          </w:p>
        </w:tc>
      </w:tr>
      <w:tr>
        <w:trPr>
          <w:trHeight w:val="203"/>
        </w:trPr>
        <w:tc>
          <w:tcPr>
            <w:tcW w:w="8780" w:type="dxa"/>
            <w:vAlign w:val="bottom"/>
            <w:gridSpan w:val="2"/>
          </w:tcPr>
          <w:p>
            <w:pPr>
              <w:spacing w:after="0" w:line="202" w:lineRule="exact"/>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7"/>
                <w:szCs w:val="17"/>
                <w:color w:val="auto"/>
              </w:rPr>
            </w:pPr>
          </w:p>
        </w:tc>
        <w:tc>
          <w:tcPr>
            <w:tcW w:w="12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0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663,035</w:t>
            </w:r>
          </w:p>
        </w:tc>
        <w:tc>
          <w:tcPr>
            <w:tcW w:w="120" w:type="dxa"/>
            <w:vAlign w:val="bottom"/>
            <w:shd w:val="clear" w:color="auto" w:fill="CDDEE7"/>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9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600,591</w:t>
            </w:r>
          </w:p>
        </w:tc>
        <w:tc>
          <w:tcPr>
            <w:tcW w:w="0" w:type="dxa"/>
            <w:vAlign w:val="bottom"/>
          </w:tcPr>
          <w:p>
            <w:pPr>
              <w:spacing w:after="0"/>
              <w:rPr>
                <w:sz w:val="1"/>
                <w:szCs w:val="1"/>
                <w:color w:val="auto"/>
              </w:rPr>
            </w:pPr>
          </w:p>
        </w:tc>
      </w:tr>
      <w:tr>
        <w:trPr>
          <w:trHeight w:val="225"/>
        </w:trPr>
        <w:tc>
          <w:tcPr>
            <w:tcW w:w="8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shd w:val="clear" w:color="auto" w:fill="CDDEE7"/>
          </w:tcPr>
          <w:p>
            <w:pPr>
              <w:spacing w:after="0"/>
              <w:rPr>
                <w:sz w:val="19"/>
                <w:szCs w:val="19"/>
                <w:color w:val="auto"/>
              </w:rPr>
            </w:pPr>
          </w:p>
        </w:tc>
        <w:tc>
          <w:tcPr>
            <w:tcW w:w="100" w:type="dxa"/>
            <w:vAlign w:val="bottom"/>
            <w:tcBorders>
              <w:bottom w:val="single" w:sz="8" w:color="auto"/>
            </w:tcBorders>
            <w:shd w:val="clear" w:color="auto" w:fill="CDDEE7"/>
          </w:tcPr>
          <w:p>
            <w:pPr>
              <w:spacing w:after="0"/>
              <w:rPr>
                <w:sz w:val="19"/>
                <w:szCs w:val="19"/>
                <w:color w:val="auto"/>
              </w:rPr>
            </w:pPr>
          </w:p>
        </w:tc>
        <w:tc>
          <w:tcPr>
            <w:tcW w:w="80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8"/>
                <w:szCs w:val="18"/>
                <w:b w:val="1"/>
                <w:bCs w:val="1"/>
                <w:color w:val="auto"/>
              </w:rPr>
              <w:t>134,613</w:t>
            </w:r>
          </w:p>
        </w:tc>
        <w:tc>
          <w:tcPr>
            <w:tcW w:w="120" w:type="dxa"/>
            <w:vAlign w:val="bottom"/>
            <w:tcBorders>
              <w:bottom w:val="single" w:sz="8" w:color="auto"/>
            </w:tcBorders>
            <w:shd w:val="clear" w:color="auto" w:fill="CDDEE7"/>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shd w:val="clear" w:color="auto" w:fill="E0EBED"/>
          </w:tcPr>
          <w:p>
            <w:pPr>
              <w:spacing w:after="0"/>
              <w:rPr>
                <w:sz w:val="19"/>
                <w:szCs w:val="19"/>
                <w:color w:val="auto"/>
              </w:rPr>
            </w:pPr>
          </w:p>
        </w:tc>
        <w:tc>
          <w:tcPr>
            <w:tcW w:w="940" w:type="dxa"/>
            <w:vAlign w:val="bottom"/>
            <w:tcBorders>
              <w:bottom w:val="single" w:sz="8" w:color="auto"/>
            </w:tcBorders>
            <w:shd w:val="clear" w:color="auto" w:fill="E0EBED"/>
          </w:tcPr>
          <w:p>
            <w:pPr>
              <w:jc w:val="right"/>
              <w:ind w:right="30"/>
              <w:spacing w:after="0"/>
              <w:rPr>
                <w:sz w:val="20"/>
                <w:szCs w:val="20"/>
                <w:color w:val="auto"/>
              </w:rPr>
            </w:pPr>
            <w:r>
              <w:rPr>
                <w:rFonts w:ascii="Arial" w:cs="Arial" w:eastAsia="Arial" w:hAnsi="Arial"/>
                <w:sz w:val="18"/>
                <w:szCs w:val="18"/>
                <w:color w:val="auto"/>
              </w:rPr>
              <w:t>96,965</w:t>
            </w:r>
          </w:p>
        </w:tc>
        <w:tc>
          <w:tcPr>
            <w:tcW w:w="0" w:type="dxa"/>
            <w:vAlign w:val="bottom"/>
          </w:tcPr>
          <w:p>
            <w:pPr>
              <w:spacing w:after="0"/>
              <w:rPr>
                <w:sz w:val="1"/>
                <w:szCs w:val="1"/>
                <w:color w:val="auto"/>
              </w:rPr>
            </w:pPr>
          </w:p>
        </w:tc>
      </w:tr>
      <w:tr>
        <w:trPr>
          <w:trHeight w:val="210"/>
        </w:trPr>
        <w:tc>
          <w:tcPr>
            <w:tcW w:w="8780" w:type="dxa"/>
            <w:vAlign w:val="bottom"/>
            <w:gridSpan w:val="2"/>
          </w:tcPr>
          <w:p>
            <w:pPr>
              <w:spacing w:after="0" w:line="210" w:lineRule="exact"/>
              <w:rPr>
                <w:sz w:val="20"/>
                <w:szCs w:val="20"/>
                <w:color w:val="auto"/>
              </w:rPr>
            </w:pPr>
            <w:r>
              <w:rPr>
                <w:rFonts w:ascii="Arial" w:cs="Arial" w:eastAsia="Arial" w:hAnsi="Arial"/>
                <w:sz w:val="19"/>
                <w:szCs w:val="19"/>
                <w:b w:val="1"/>
                <w:bCs w:val="1"/>
                <w:color w:val="auto"/>
              </w:rPr>
              <w:t>Total Current Assets</w:t>
            </w:r>
          </w:p>
        </w:tc>
        <w:tc>
          <w:tcPr>
            <w:tcW w:w="180" w:type="dxa"/>
            <w:vAlign w:val="bottom"/>
          </w:tcPr>
          <w:p>
            <w:pPr>
              <w:spacing w:after="0"/>
              <w:rPr>
                <w:sz w:val="18"/>
                <w:szCs w:val="18"/>
                <w:color w:val="auto"/>
              </w:rPr>
            </w:pPr>
          </w:p>
        </w:tc>
        <w:tc>
          <w:tcPr>
            <w:tcW w:w="120" w:type="dxa"/>
            <w:vAlign w:val="bottom"/>
            <w:shd w:val="clear" w:color="auto" w:fill="CDDEE7"/>
          </w:tcPr>
          <w:p>
            <w:pPr>
              <w:spacing w:after="0"/>
              <w:rPr>
                <w:sz w:val="18"/>
                <w:szCs w:val="18"/>
                <w:color w:val="auto"/>
              </w:rPr>
            </w:pPr>
          </w:p>
        </w:tc>
        <w:tc>
          <w:tcPr>
            <w:tcW w:w="100" w:type="dxa"/>
            <w:vAlign w:val="bottom"/>
            <w:shd w:val="clear" w:color="auto" w:fill="CDDEE7"/>
          </w:tcPr>
          <w:p>
            <w:pPr>
              <w:spacing w:after="0"/>
              <w:rPr>
                <w:sz w:val="18"/>
                <w:szCs w:val="18"/>
                <w:color w:val="auto"/>
              </w:rPr>
            </w:pPr>
          </w:p>
        </w:tc>
        <w:tc>
          <w:tcPr>
            <w:tcW w:w="800" w:type="dxa"/>
            <w:vAlign w:val="bottom"/>
            <w:shd w:val="clear" w:color="auto" w:fill="CDDEE7"/>
          </w:tcPr>
          <w:p>
            <w:pPr>
              <w:jc w:val="right"/>
              <w:spacing w:after="0"/>
              <w:rPr>
                <w:sz w:val="20"/>
                <w:szCs w:val="20"/>
                <w:color w:val="auto"/>
              </w:rPr>
            </w:pPr>
            <w:r>
              <w:rPr>
                <w:rFonts w:ascii="Arial" w:cs="Arial" w:eastAsia="Arial" w:hAnsi="Arial"/>
                <w:sz w:val="18"/>
                <w:szCs w:val="18"/>
                <w:b w:val="1"/>
                <w:bCs w:val="1"/>
                <w:color w:val="auto"/>
                <w:w w:val="97"/>
              </w:rPr>
              <w:t>1,365,816</w:t>
            </w:r>
          </w:p>
        </w:tc>
        <w:tc>
          <w:tcPr>
            <w:tcW w:w="120" w:type="dxa"/>
            <w:vAlign w:val="bottom"/>
            <w:shd w:val="clear" w:color="auto" w:fill="CDDEE7"/>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shd w:val="clear" w:color="auto" w:fill="E0EBED"/>
          </w:tcPr>
          <w:p>
            <w:pPr>
              <w:spacing w:after="0"/>
              <w:rPr>
                <w:sz w:val="18"/>
                <w:szCs w:val="18"/>
                <w:color w:val="auto"/>
              </w:rPr>
            </w:pPr>
          </w:p>
        </w:tc>
        <w:tc>
          <w:tcPr>
            <w:tcW w:w="940" w:type="dxa"/>
            <w:vAlign w:val="bottom"/>
            <w:shd w:val="clear" w:color="auto" w:fill="E0EBED"/>
          </w:tcPr>
          <w:p>
            <w:pPr>
              <w:jc w:val="right"/>
              <w:ind w:right="30"/>
              <w:spacing w:after="0"/>
              <w:rPr>
                <w:sz w:val="20"/>
                <w:szCs w:val="20"/>
                <w:color w:val="auto"/>
              </w:rPr>
            </w:pPr>
            <w:r>
              <w:rPr>
                <w:rFonts w:ascii="Arial" w:cs="Arial" w:eastAsia="Arial" w:hAnsi="Arial"/>
                <w:sz w:val="18"/>
                <w:szCs w:val="18"/>
                <w:color w:val="auto"/>
                <w:w w:val="99"/>
              </w:rPr>
              <w:t>2,631,160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87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4"/>
                <w:szCs w:val="24"/>
                <w:color w:val="auto"/>
              </w:rPr>
            </w:pPr>
          </w:p>
        </w:tc>
        <w:tc>
          <w:tcPr>
            <w:tcW w:w="120" w:type="dxa"/>
            <w:vAlign w:val="bottom"/>
            <w:shd w:val="clear" w:color="auto" w:fill="CDDEE7"/>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920" w:type="dxa"/>
            <w:vAlign w:val="bottom"/>
            <w:gridSpan w:val="2"/>
            <w:shd w:val="clear" w:color="auto" w:fill="CDDEE7"/>
          </w:tcPr>
          <w:p>
            <w:pPr>
              <w:jc w:val="right"/>
              <w:ind w:right="120"/>
              <w:spacing w:after="0"/>
              <w:rPr>
                <w:sz w:val="20"/>
                <w:szCs w:val="20"/>
                <w:color w:val="auto"/>
              </w:rPr>
            </w:pPr>
            <w:r>
              <w:rPr>
                <w:rFonts w:ascii="Arial" w:cs="Arial" w:eastAsia="Arial" w:hAnsi="Arial"/>
                <w:sz w:val="18"/>
                <w:szCs w:val="18"/>
                <w:b w:val="1"/>
                <w:bCs w:val="1"/>
                <w:color w:val="auto"/>
                <w:w w:val="97"/>
              </w:rPr>
              <w:t>5,157,229</w:t>
            </w:r>
          </w:p>
        </w:tc>
        <w:tc>
          <w:tcPr>
            <w:tcW w:w="18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40" w:type="dxa"/>
            <w:vAlign w:val="bottom"/>
            <w:shd w:val="clear" w:color="auto" w:fill="E0EBED"/>
          </w:tcPr>
          <w:p>
            <w:pPr>
              <w:jc w:val="right"/>
              <w:ind w:right="30"/>
              <w:spacing w:after="0"/>
              <w:rPr>
                <w:sz w:val="20"/>
                <w:szCs w:val="20"/>
                <w:color w:val="auto"/>
              </w:rPr>
            </w:pPr>
            <w:r>
              <w:rPr>
                <w:rFonts w:ascii="Arial" w:cs="Arial" w:eastAsia="Arial" w:hAnsi="Arial"/>
                <w:sz w:val="18"/>
                <w:szCs w:val="18"/>
                <w:color w:val="auto"/>
                <w:w w:val="99"/>
              </w:rPr>
              <w:t>3,592,813</w:t>
            </w:r>
          </w:p>
        </w:tc>
        <w:tc>
          <w:tcPr>
            <w:tcW w:w="0" w:type="dxa"/>
            <w:vAlign w:val="bottom"/>
          </w:tcPr>
          <w:p>
            <w:pPr>
              <w:spacing w:after="0"/>
              <w:rPr>
                <w:sz w:val="1"/>
                <w:szCs w:val="1"/>
                <w:color w:val="auto"/>
              </w:rPr>
            </w:pPr>
          </w:p>
        </w:tc>
      </w:tr>
      <w:tr>
        <w:trPr>
          <w:trHeight w:val="203"/>
        </w:trPr>
        <w:tc>
          <w:tcPr>
            <w:tcW w:w="878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7"/>
                <w:szCs w:val="17"/>
                <w:color w:val="auto"/>
              </w:rPr>
            </w:pPr>
          </w:p>
        </w:tc>
        <w:tc>
          <w:tcPr>
            <w:tcW w:w="12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920" w:type="dxa"/>
            <w:vAlign w:val="bottom"/>
            <w:gridSpan w:val="2"/>
            <w:shd w:val="clear" w:color="auto" w:fill="CDDEE7"/>
          </w:tcPr>
          <w:p>
            <w:pPr>
              <w:jc w:val="right"/>
              <w:ind w:right="120"/>
              <w:spacing w:after="0" w:line="202" w:lineRule="exact"/>
              <w:rPr>
                <w:sz w:val="20"/>
                <w:szCs w:val="20"/>
                <w:color w:val="auto"/>
              </w:rPr>
            </w:pPr>
            <w:r>
              <w:rPr>
                <w:rFonts w:ascii="Arial" w:cs="Arial" w:eastAsia="Arial" w:hAnsi="Arial"/>
                <w:sz w:val="18"/>
                <w:szCs w:val="18"/>
                <w:b w:val="1"/>
                <w:bCs w:val="1"/>
                <w:color w:val="auto"/>
                <w:w w:val="97"/>
                <w:shd w:val="clear" w:color="auto" w:fill="CDDEE7"/>
              </w:rPr>
              <w:t>2,399,118</w:t>
            </w:r>
          </w:p>
        </w:tc>
        <w:tc>
          <w:tcPr>
            <w:tcW w:w="18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9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w w:val="99"/>
              </w:rPr>
              <w:t>2,160,290</w:t>
            </w:r>
          </w:p>
        </w:tc>
        <w:tc>
          <w:tcPr>
            <w:tcW w:w="0" w:type="dxa"/>
            <w:vAlign w:val="bottom"/>
          </w:tcPr>
          <w:p>
            <w:pPr>
              <w:spacing w:after="0"/>
              <w:rPr>
                <w:sz w:val="1"/>
                <w:szCs w:val="1"/>
                <w:color w:val="auto"/>
              </w:rPr>
            </w:pPr>
          </w:p>
        </w:tc>
      </w:tr>
      <w:tr>
        <w:trPr>
          <w:trHeight w:val="203"/>
        </w:trPr>
        <w:tc>
          <w:tcPr>
            <w:tcW w:w="8780" w:type="dxa"/>
            <w:vAlign w:val="bottom"/>
            <w:gridSpan w:val="2"/>
          </w:tcPr>
          <w:p>
            <w:pPr>
              <w:spacing w:after="0" w:line="202" w:lineRule="exact"/>
              <w:rPr>
                <w:sz w:val="20"/>
                <w:szCs w:val="20"/>
                <w:color w:val="auto"/>
              </w:rPr>
            </w:pPr>
            <w:r>
              <w:rPr>
                <w:rFonts w:ascii="Arial" w:cs="Arial" w:eastAsia="Arial" w:hAnsi="Arial"/>
                <w:sz w:val="18"/>
                <w:szCs w:val="18"/>
                <w:color w:val="auto"/>
              </w:rPr>
              <w:t>Other intangibles, net</w:t>
            </w:r>
          </w:p>
        </w:tc>
        <w:tc>
          <w:tcPr>
            <w:tcW w:w="180" w:type="dxa"/>
            <w:vAlign w:val="bottom"/>
          </w:tcPr>
          <w:p>
            <w:pPr>
              <w:spacing w:after="0"/>
              <w:rPr>
                <w:sz w:val="17"/>
                <w:szCs w:val="17"/>
                <w:color w:val="auto"/>
              </w:rPr>
            </w:pPr>
          </w:p>
        </w:tc>
        <w:tc>
          <w:tcPr>
            <w:tcW w:w="12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0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501,282</w:t>
            </w:r>
          </w:p>
        </w:tc>
        <w:tc>
          <w:tcPr>
            <w:tcW w:w="120" w:type="dxa"/>
            <w:vAlign w:val="bottom"/>
            <w:shd w:val="clear" w:color="auto" w:fill="CDDEE7"/>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9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506,349</w:t>
            </w:r>
          </w:p>
        </w:tc>
        <w:tc>
          <w:tcPr>
            <w:tcW w:w="0" w:type="dxa"/>
            <w:vAlign w:val="bottom"/>
          </w:tcPr>
          <w:p>
            <w:pPr>
              <w:spacing w:after="0"/>
              <w:rPr>
                <w:sz w:val="1"/>
                <w:szCs w:val="1"/>
                <w:color w:val="auto"/>
              </w:rPr>
            </w:pPr>
          </w:p>
        </w:tc>
      </w:tr>
      <w:tr>
        <w:trPr>
          <w:trHeight w:val="225"/>
        </w:trPr>
        <w:tc>
          <w:tcPr>
            <w:tcW w:w="878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19"/>
                <w:szCs w:val="19"/>
                <w:color w:val="auto"/>
              </w:rPr>
            </w:pPr>
          </w:p>
        </w:tc>
        <w:tc>
          <w:tcPr>
            <w:tcW w:w="120" w:type="dxa"/>
            <w:vAlign w:val="bottom"/>
            <w:shd w:val="clear" w:color="auto" w:fill="CDDEE7"/>
          </w:tcPr>
          <w:p>
            <w:pPr>
              <w:spacing w:after="0"/>
              <w:rPr>
                <w:sz w:val="19"/>
                <w:szCs w:val="19"/>
                <w:color w:val="auto"/>
              </w:rPr>
            </w:pPr>
          </w:p>
        </w:tc>
        <w:tc>
          <w:tcPr>
            <w:tcW w:w="100" w:type="dxa"/>
            <w:vAlign w:val="bottom"/>
            <w:shd w:val="clear" w:color="auto" w:fill="CDDEE7"/>
          </w:tcPr>
          <w:p>
            <w:pPr>
              <w:spacing w:after="0"/>
              <w:rPr>
                <w:sz w:val="19"/>
                <w:szCs w:val="19"/>
                <w:color w:val="auto"/>
              </w:rPr>
            </w:pPr>
          </w:p>
        </w:tc>
        <w:tc>
          <w:tcPr>
            <w:tcW w:w="800" w:type="dxa"/>
            <w:vAlign w:val="bottom"/>
            <w:shd w:val="clear" w:color="auto" w:fill="CDDEE7"/>
          </w:tcPr>
          <w:p>
            <w:pPr>
              <w:jc w:val="right"/>
              <w:spacing w:after="0"/>
              <w:rPr>
                <w:sz w:val="20"/>
                <w:szCs w:val="20"/>
                <w:color w:val="auto"/>
              </w:rPr>
            </w:pPr>
            <w:r>
              <w:rPr>
                <w:rFonts w:ascii="Arial" w:cs="Arial" w:eastAsia="Arial" w:hAnsi="Arial"/>
                <w:sz w:val="18"/>
                <w:szCs w:val="18"/>
                <w:b w:val="1"/>
                <w:bCs w:val="1"/>
                <w:color w:val="auto"/>
              </w:rPr>
              <w:t>127,974</w:t>
            </w:r>
          </w:p>
        </w:tc>
        <w:tc>
          <w:tcPr>
            <w:tcW w:w="120" w:type="dxa"/>
            <w:vAlign w:val="bottom"/>
            <w:shd w:val="clear" w:color="auto" w:fill="CDDEE7"/>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shd w:val="clear" w:color="auto" w:fill="E0EBED"/>
          </w:tcPr>
          <w:p>
            <w:pPr>
              <w:spacing w:after="0"/>
              <w:rPr>
                <w:sz w:val="19"/>
                <w:szCs w:val="19"/>
                <w:color w:val="auto"/>
              </w:rPr>
            </w:pPr>
          </w:p>
        </w:tc>
        <w:tc>
          <w:tcPr>
            <w:tcW w:w="940" w:type="dxa"/>
            <w:vAlign w:val="bottom"/>
            <w:shd w:val="clear" w:color="auto" w:fill="E0EBED"/>
          </w:tcPr>
          <w:p>
            <w:pPr>
              <w:jc w:val="right"/>
              <w:ind w:right="30"/>
              <w:spacing w:after="0"/>
              <w:rPr>
                <w:sz w:val="20"/>
                <w:szCs w:val="20"/>
                <w:color w:val="auto"/>
              </w:rPr>
            </w:pPr>
            <w:r>
              <w:rPr>
                <w:rFonts w:ascii="Arial" w:cs="Arial" w:eastAsia="Arial" w:hAnsi="Arial"/>
                <w:sz w:val="18"/>
                <w:szCs w:val="18"/>
                <w:color w:val="auto"/>
              </w:rPr>
              <w:t>101,899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tcBorders>
              <w:top w:val="single" w:sz="8" w:color="auto"/>
              <w:bottom w:val="single" w:sz="8" w:color="auto"/>
            </w:tcBorders>
          </w:tcPr>
          <w:p>
            <w:pPr>
              <w:spacing w:after="0" w:line="210" w:lineRule="exact"/>
              <w:rPr>
                <w:sz w:val="20"/>
                <w:szCs w:val="20"/>
                <w:color w:val="auto"/>
              </w:rPr>
            </w:pPr>
            <w:r>
              <w:rPr>
                <w:rFonts w:ascii="Arial" w:cs="Arial" w:eastAsia="Arial" w:hAnsi="Arial"/>
                <w:sz w:val="19"/>
                <w:szCs w:val="19"/>
                <w:b w:val="1"/>
                <w:bCs w:val="1"/>
                <w:color w:val="auto"/>
              </w:rPr>
              <w:t>Total Assets</w:t>
            </w: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shd w:val="clear" w:color="auto" w:fill="CDDEE7"/>
          </w:tcPr>
          <w:p>
            <w:pPr>
              <w:spacing w:after="0"/>
              <w:rPr>
                <w:sz w:val="18"/>
                <w:szCs w:val="18"/>
                <w:color w:val="auto"/>
              </w:rPr>
            </w:pPr>
          </w:p>
        </w:tc>
        <w:tc>
          <w:tcPr>
            <w:tcW w:w="100" w:type="dxa"/>
            <w:vAlign w:val="bottom"/>
            <w:tcBorders>
              <w:top w:val="single" w:sz="8" w:color="auto"/>
              <w:bottom w:val="single" w:sz="8" w:color="auto"/>
            </w:tcBorders>
            <w:shd w:val="clear" w:color="auto" w:fill="CDDEE7"/>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DDEE7"/>
          </w:tcPr>
          <w:p>
            <w:pPr>
              <w:jc w:val="right"/>
              <w:spacing w:after="0"/>
              <w:rPr>
                <w:sz w:val="20"/>
                <w:szCs w:val="20"/>
                <w:color w:val="auto"/>
              </w:rPr>
            </w:pPr>
            <w:r>
              <w:rPr>
                <w:rFonts w:ascii="Arial" w:cs="Arial" w:eastAsia="Arial" w:hAnsi="Arial"/>
                <w:sz w:val="18"/>
                <w:szCs w:val="18"/>
                <w:b w:val="1"/>
                <w:bCs w:val="1"/>
                <w:color w:val="auto"/>
                <w:w w:val="97"/>
              </w:rPr>
              <w:t>9,551,419</w:t>
            </w:r>
          </w:p>
        </w:tc>
        <w:tc>
          <w:tcPr>
            <w:tcW w:w="120" w:type="dxa"/>
            <w:vAlign w:val="bottom"/>
            <w:tcBorders>
              <w:top w:val="single" w:sz="8" w:color="auto"/>
              <w:bottom w:val="single" w:sz="8" w:color="auto"/>
            </w:tcBorders>
            <w:shd w:val="clear" w:color="auto" w:fill="CDDEE7"/>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shd w:val="clear" w:color="auto" w:fill="E0EBED"/>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E0EBED"/>
          </w:tcPr>
          <w:p>
            <w:pPr>
              <w:jc w:val="right"/>
              <w:ind w:right="30"/>
              <w:spacing w:after="0"/>
              <w:rPr>
                <w:sz w:val="20"/>
                <w:szCs w:val="20"/>
                <w:color w:val="auto"/>
              </w:rPr>
            </w:pPr>
            <w:r>
              <w:rPr>
                <w:rFonts w:ascii="Arial" w:cs="Arial" w:eastAsia="Arial" w:hAnsi="Arial"/>
                <w:sz w:val="18"/>
                <w:szCs w:val="18"/>
                <w:color w:val="auto"/>
                <w:w w:val="99"/>
              </w:rPr>
              <w:t>8,992,511</w:t>
            </w:r>
          </w:p>
        </w:tc>
        <w:tc>
          <w:tcPr>
            <w:tcW w:w="0" w:type="dxa"/>
            <w:vAlign w:val="bottom"/>
          </w:tcPr>
          <w:p>
            <w:pPr>
              <w:spacing w:after="0"/>
              <w:rPr>
                <w:sz w:val="1"/>
                <w:szCs w:val="1"/>
                <w:color w:val="auto"/>
              </w:rPr>
            </w:pPr>
          </w:p>
        </w:tc>
      </w:tr>
      <w:tr>
        <w:trPr>
          <w:trHeight w:val="378"/>
        </w:trPr>
        <w:tc>
          <w:tcPr>
            <w:tcW w:w="8780" w:type="dxa"/>
            <w:vAlign w:val="bottom"/>
            <w:gridSpan w:val="2"/>
          </w:tcPr>
          <w:p>
            <w:pPr>
              <w:spacing w:after="0"/>
              <w:rPr>
                <w:sz w:val="20"/>
                <w:szCs w:val="20"/>
                <w:color w:val="auto"/>
              </w:rPr>
            </w:pPr>
            <w:r>
              <w:rPr>
                <w:rFonts w:ascii="Arial" w:cs="Arial" w:eastAsia="Arial" w:hAnsi="Arial"/>
                <w:sz w:val="19"/>
                <w:szCs w:val="19"/>
                <w:b w:val="1"/>
                <w:bCs w:val="1"/>
                <w:color w:val="auto"/>
              </w:rPr>
              <w:t xml:space="preserve">Liabilities and Equity </w:t>
            </w:r>
            <w:r>
              <w:rPr>
                <w:rFonts w:ascii="Arial" w:cs="Arial" w:eastAsia="Arial" w:hAnsi="Arial"/>
                <w:sz w:val="19"/>
                <w:szCs w:val="19"/>
                <w:color w:val="auto"/>
              </w:rPr>
              <w:t>(add 000, except parenthetical share data)</w:t>
            </w:r>
          </w:p>
        </w:tc>
        <w:tc>
          <w:tcPr>
            <w:tcW w:w="180" w:type="dxa"/>
            <w:vAlign w:val="bottom"/>
          </w:tcPr>
          <w:p>
            <w:pPr>
              <w:spacing w:after="0"/>
              <w:rPr>
                <w:sz w:val="24"/>
                <w:szCs w:val="24"/>
                <w:color w:val="auto"/>
              </w:rPr>
            </w:pPr>
          </w:p>
        </w:tc>
        <w:tc>
          <w:tcPr>
            <w:tcW w:w="120" w:type="dxa"/>
            <w:vAlign w:val="bottom"/>
            <w:shd w:val="clear" w:color="auto" w:fill="CDDEE7"/>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800" w:type="dxa"/>
            <w:vAlign w:val="bottom"/>
            <w:shd w:val="clear" w:color="auto" w:fill="CDDEE7"/>
          </w:tcPr>
          <w:p>
            <w:pPr>
              <w:spacing w:after="0"/>
              <w:rPr>
                <w:sz w:val="24"/>
                <w:szCs w:val="24"/>
                <w:color w:val="auto"/>
              </w:rPr>
            </w:pPr>
          </w:p>
        </w:tc>
        <w:tc>
          <w:tcPr>
            <w:tcW w:w="120" w:type="dxa"/>
            <w:vAlign w:val="bottom"/>
            <w:shd w:val="clear" w:color="auto" w:fill="CDDEE7"/>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4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6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b w:val="1"/>
                <w:bCs w:val="1"/>
                <w:color w:val="auto"/>
              </w:rPr>
              <w:t>Current Liabilities:</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shd w:val="clear" w:color="auto" w:fill="CDDEE7"/>
          </w:tcPr>
          <w:p>
            <w:pPr>
              <w:spacing w:after="0"/>
              <w:rPr>
                <w:sz w:val="18"/>
                <w:szCs w:val="18"/>
                <w:color w:val="auto"/>
              </w:rPr>
            </w:pPr>
          </w:p>
        </w:tc>
        <w:tc>
          <w:tcPr>
            <w:tcW w:w="100" w:type="dxa"/>
            <w:vAlign w:val="bottom"/>
            <w:tcBorders>
              <w:top w:val="single" w:sz="8" w:color="auto"/>
            </w:tcBorders>
            <w:vMerge w:val="restart"/>
            <w:shd w:val="clear" w:color="auto" w:fill="CDDEE7"/>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vMerge w:val="restart"/>
            <w:shd w:val="clear" w:color="auto" w:fill="CDDEE7"/>
          </w:tcPr>
          <w:p>
            <w:pPr>
              <w:jc w:val="right"/>
              <w:spacing w:after="0"/>
              <w:rPr>
                <w:sz w:val="20"/>
                <w:szCs w:val="20"/>
                <w:color w:val="auto"/>
              </w:rPr>
            </w:pPr>
            <w:r>
              <w:rPr>
                <w:rFonts w:ascii="Arial" w:cs="Arial" w:eastAsia="Arial" w:hAnsi="Arial"/>
                <w:sz w:val="18"/>
                <w:szCs w:val="18"/>
                <w:b w:val="1"/>
                <w:bCs w:val="1"/>
                <w:color w:val="auto"/>
              </w:rPr>
              <w:t>210,808</w:t>
            </w:r>
          </w:p>
        </w:tc>
        <w:tc>
          <w:tcPr>
            <w:tcW w:w="120" w:type="dxa"/>
            <w:vAlign w:val="bottom"/>
            <w:tcBorders>
              <w:top w:val="single" w:sz="8" w:color="auto"/>
            </w:tcBorders>
            <w:shd w:val="clear" w:color="auto" w:fill="CDDEE7"/>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shd w:val="clear" w:color="auto" w:fill="E0EBED"/>
          </w:tcPr>
          <w:p>
            <w:pPr>
              <w:spacing w:after="0"/>
              <w:rPr>
                <w:sz w:val="18"/>
                <w:szCs w:val="18"/>
                <w:color w:val="auto"/>
              </w:rPr>
            </w:pPr>
          </w:p>
        </w:tc>
        <w:tc>
          <w:tcPr>
            <w:tcW w:w="940" w:type="dxa"/>
            <w:vAlign w:val="bottom"/>
            <w:tcBorders>
              <w:top w:val="single" w:sz="8" w:color="auto"/>
            </w:tcBorders>
            <w:shd w:val="clear" w:color="auto" w:fill="E0EBED"/>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8780" w:type="dxa"/>
            <w:vAlign w:val="bottom"/>
            <w:gridSpan w:val="2"/>
          </w:tcPr>
          <w:p>
            <w:pPr>
              <w:spacing w:after="0" w:line="181" w:lineRule="exact"/>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5"/>
                <w:szCs w:val="15"/>
                <w:color w:val="auto"/>
              </w:rPr>
            </w:pPr>
          </w:p>
        </w:tc>
        <w:tc>
          <w:tcPr>
            <w:tcW w:w="120" w:type="dxa"/>
            <w:vAlign w:val="bottom"/>
            <w:shd w:val="clear" w:color="auto" w:fill="CDDEE7"/>
          </w:tcPr>
          <w:p>
            <w:pPr>
              <w:spacing w:after="0"/>
              <w:rPr>
                <w:sz w:val="15"/>
                <w:szCs w:val="15"/>
                <w:color w:val="auto"/>
              </w:rPr>
            </w:pPr>
          </w:p>
        </w:tc>
        <w:tc>
          <w:tcPr>
            <w:tcW w:w="100" w:type="dxa"/>
            <w:vAlign w:val="bottom"/>
            <w:vMerge w:val="continue"/>
            <w:shd w:val="clear" w:color="auto" w:fill="CDDEE7"/>
          </w:tcPr>
          <w:p>
            <w:pPr>
              <w:spacing w:after="0"/>
              <w:rPr>
                <w:sz w:val="15"/>
                <w:szCs w:val="15"/>
                <w:color w:val="auto"/>
              </w:rPr>
            </w:pPr>
          </w:p>
        </w:tc>
        <w:tc>
          <w:tcPr>
            <w:tcW w:w="800" w:type="dxa"/>
            <w:vAlign w:val="bottom"/>
            <w:vMerge w:val="continue"/>
            <w:shd w:val="clear" w:color="auto" w:fill="CDDEE7"/>
          </w:tcPr>
          <w:p>
            <w:pPr>
              <w:spacing w:after="0"/>
              <w:rPr>
                <w:sz w:val="15"/>
                <w:szCs w:val="15"/>
                <w:color w:val="auto"/>
              </w:rPr>
            </w:pPr>
          </w:p>
        </w:tc>
        <w:tc>
          <w:tcPr>
            <w:tcW w:w="120" w:type="dxa"/>
            <w:vAlign w:val="bottom"/>
            <w:shd w:val="clear" w:color="auto" w:fill="CDDEE7"/>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shd w:val="clear" w:color="auto" w:fill="E0EBED"/>
          </w:tcPr>
          <w:p>
            <w:pPr>
              <w:jc w:val="right"/>
              <w:spacing w:after="0" w:line="181" w:lineRule="exact"/>
              <w:rPr>
                <w:sz w:val="20"/>
                <w:szCs w:val="20"/>
                <w:color w:val="auto"/>
              </w:rPr>
            </w:pPr>
            <w:r>
              <w:rPr>
                <w:rFonts w:ascii="Arial" w:cs="Arial" w:eastAsia="Arial" w:hAnsi="Arial"/>
                <w:sz w:val="18"/>
                <w:szCs w:val="18"/>
                <w:color w:val="auto"/>
              </w:rPr>
              <w:t>$</w:t>
            </w:r>
          </w:p>
        </w:tc>
        <w:tc>
          <w:tcPr>
            <w:tcW w:w="940" w:type="dxa"/>
            <w:vAlign w:val="bottom"/>
            <w:shd w:val="clear" w:color="auto" w:fill="E0EBED"/>
          </w:tcPr>
          <w:p>
            <w:pPr>
              <w:jc w:val="right"/>
              <w:ind w:right="30"/>
              <w:spacing w:after="0" w:line="181" w:lineRule="exact"/>
              <w:rPr>
                <w:sz w:val="20"/>
                <w:szCs w:val="20"/>
                <w:color w:val="auto"/>
              </w:rPr>
            </w:pPr>
            <w:r>
              <w:rPr>
                <w:rFonts w:ascii="Arial" w:cs="Arial" w:eastAsia="Arial" w:hAnsi="Arial"/>
                <w:sz w:val="18"/>
                <w:szCs w:val="18"/>
                <w:color w:val="auto"/>
              </w:rPr>
              <w:t>183,638</w:t>
            </w:r>
          </w:p>
        </w:tc>
        <w:tc>
          <w:tcPr>
            <w:tcW w:w="0" w:type="dxa"/>
            <w:vAlign w:val="bottom"/>
          </w:tcPr>
          <w:p>
            <w:pPr>
              <w:spacing w:after="0"/>
              <w:rPr>
                <w:sz w:val="1"/>
                <w:szCs w:val="1"/>
                <w:color w:val="auto"/>
              </w:rPr>
            </w:pPr>
          </w:p>
        </w:tc>
      </w:tr>
      <w:tr>
        <w:trPr>
          <w:trHeight w:val="203"/>
        </w:trPr>
        <w:tc>
          <w:tcPr>
            <w:tcW w:w="8780" w:type="dxa"/>
            <w:vAlign w:val="bottom"/>
            <w:gridSpan w:val="2"/>
          </w:tcPr>
          <w:p>
            <w:pPr>
              <w:spacing w:after="0" w:line="202" w:lineRule="exact"/>
              <w:rPr>
                <w:sz w:val="20"/>
                <w:szCs w:val="20"/>
                <w:color w:val="auto"/>
              </w:rPr>
            </w:pPr>
            <w:r>
              <w:rPr>
                <w:rFonts w:ascii="Arial" w:cs="Arial" w:eastAsia="Arial" w:hAnsi="Arial"/>
                <w:sz w:val="18"/>
                <w:szCs w:val="18"/>
                <w:color w:val="auto"/>
              </w:rPr>
              <w:t>Accrued salaries, benefits and payroll taxes</w:t>
            </w:r>
          </w:p>
        </w:tc>
        <w:tc>
          <w:tcPr>
            <w:tcW w:w="180" w:type="dxa"/>
            <w:vAlign w:val="bottom"/>
          </w:tcPr>
          <w:p>
            <w:pPr>
              <w:spacing w:after="0"/>
              <w:rPr>
                <w:sz w:val="17"/>
                <w:szCs w:val="17"/>
                <w:color w:val="auto"/>
              </w:rPr>
            </w:pPr>
          </w:p>
        </w:tc>
        <w:tc>
          <w:tcPr>
            <w:tcW w:w="12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0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51,434</w:t>
            </w:r>
          </w:p>
        </w:tc>
        <w:tc>
          <w:tcPr>
            <w:tcW w:w="120" w:type="dxa"/>
            <w:vAlign w:val="bottom"/>
            <w:shd w:val="clear" w:color="auto" w:fill="CDDEE7"/>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9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44,255</w:t>
            </w:r>
          </w:p>
        </w:tc>
        <w:tc>
          <w:tcPr>
            <w:tcW w:w="0" w:type="dxa"/>
            <w:vAlign w:val="bottom"/>
          </w:tcPr>
          <w:p>
            <w:pPr>
              <w:spacing w:after="0"/>
              <w:rPr>
                <w:sz w:val="1"/>
                <w:szCs w:val="1"/>
                <w:color w:val="auto"/>
              </w:rPr>
            </w:pPr>
          </w:p>
        </w:tc>
      </w:tr>
      <w:tr>
        <w:trPr>
          <w:trHeight w:val="203"/>
        </w:trPr>
        <w:tc>
          <w:tcPr>
            <w:tcW w:w="8780" w:type="dxa"/>
            <w:vAlign w:val="bottom"/>
            <w:gridSpan w:val="2"/>
          </w:tcPr>
          <w:p>
            <w:pPr>
              <w:spacing w:after="0" w:line="202" w:lineRule="exact"/>
              <w:rPr>
                <w:sz w:val="20"/>
                <w:szCs w:val="20"/>
                <w:color w:val="auto"/>
              </w:rPr>
            </w:pPr>
            <w:r>
              <w:rPr>
                <w:rFonts w:ascii="Arial" w:cs="Arial" w:eastAsia="Arial" w:hAnsi="Arial"/>
                <w:sz w:val="18"/>
                <w:szCs w:val="18"/>
                <w:color w:val="auto"/>
              </w:rPr>
              <w:t>Pension and postretirement benefits</w:t>
            </w:r>
          </w:p>
        </w:tc>
        <w:tc>
          <w:tcPr>
            <w:tcW w:w="180" w:type="dxa"/>
            <w:vAlign w:val="bottom"/>
          </w:tcPr>
          <w:p>
            <w:pPr>
              <w:spacing w:after="0"/>
              <w:rPr>
                <w:sz w:val="17"/>
                <w:szCs w:val="17"/>
                <w:color w:val="auto"/>
              </w:rPr>
            </w:pPr>
          </w:p>
        </w:tc>
        <w:tc>
          <w:tcPr>
            <w:tcW w:w="12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0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9,942</w:t>
            </w:r>
          </w:p>
        </w:tc>
        <w:tc>
          <w:tcPr>
            <w:tcW w:w="120" w:type="dxa"/>
            <w:vAlign w:val="bottom"/>
            <w:shd w:val="clear" w:color="auto" w:fill="CDDEE7"/>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9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13,652</w:t>
            </w:r>
          </w:p>
        </w:tc>
        <w:tc>
          <w:tcPr>
            <w:tcW w:w="0" w:type="dxa"/>
            <w:vAlign w:val="bottom"/>
          </w:tcPr>
          <w:p>
            <w:pPr>
              <w:spacing w:after="0"/>
              <w:rPr>
                <w:sz w:val="1"/>
                <w:szCs w:val="1"/>
                <w:color w:val="auto"/>
              </w:rPr>
            </w:pPr>
          </w:p>
        </w:tc>
      </w:tr>
      <w:tr>
        <w:trPr>
          <w:trHeight w:val="203"/>
        </w:trPr>
        <w:tc>
          <w:tcPr>
            <w:tcW w:w="8780" w:type="dxa"/>
            <w:vAlign w:val="bottom"/>
            <w:gridSpan w:val="2"/>
          </w:tcPr>
          <w:p>
            <w:pPr>
              <w:spacing w:after="0" w:line="202" w:lineRule="exact"/>
              <w:rPr>
                <w:sz w:val="20"/>
                <w:szCs w:val="20"/>
                <w:color w:val="auto"/>
              </w:rPr>
            </w:pPr>
            <w:r>
              <w:rPr>
                <w:rFonts w:ascii="Arial" w:cs="Arial" w:eastAsia="Arial" w:hAnsi="Arial"/>
                <w:sz w:val="18"/>
                <w:szCs w:val="18"/>
                <w:color w:val="auto"/>
              </w:rPr>
              <w:t>Accrued insurance and other taxes</w:t>
            </w:r>
          </w:p>
        </w:tc>
        <w:tc>
          <w:tcPr>
            <w:tcW w:w="180" w:type="dxa"/>
            <w:vAlign w:val="bottom"/>
          </w:tcPr>
          <w:p>
            <w:pPr>
              <w:spacing w:after="0"/>
              <w:rPr>
                <w:sz w:val="17"/>
                <w:szCs w:val="17"/>
                <w:color w:val="auto"/>
              </w:rPr>
            </w:pPr>
          </w:p>
        </w:tc>
        <w:tc>
          <w:tcPr>
            <w:tcW w:w="12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0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63,543</w:t>
            </w:r>
          </w:p>
        </w:tc>
        <w:tc>
          <w:tcPr>
            <w:tcW w:w="120" w:type="dxa"/>
            <w:vAlign w:val="bottom"/>
            <w:shd w:val="clear" w:color="auto" w:fill="CDDEE7"/>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9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64,958</w:t>
            </w:r>
          </w:p>
        </w:tc>
        <w:tc>
          <w:tcPr>
            <w:tcW w:w="0" w:type="dxa"/>
            <w:vAlign w:val="bottom"/>
          </w:tcPr>
          <w:p>
            <w:pPr>
              <w:spacing w:after="0"/>
              <w:rPr>
                <w:sz w:val="1"/>
                <w:szCs w:val="1"/>
                <w:color w:val="auto"/>
              </w:rPr>
            </w:pPr>
          </w:p>
        </w:tc>
      </w:tr>
      <w:tr>
        <w:trPr>
          <w:trHeight w:val="203"/>
        </w:trPr>
        <w:tc>
          <w:tcPr>
            <w:tcW w:w="8780" w:type="dxa"/>
            <w:vAlign w:val="bottom"/>
            <w:gridSpan w:val="2"/>
          </w:tcPr>
          <w:p>
            <w:pPr>
              <w:spacing w:after="0" w:line="202" w:lineRule="exact"/>
              <w:rPr>
                <w:sz w:val="20"/>
                <w:szCs w:val="20"/>
                <w:color w:val="auto"/>
              </w:rPr>
            </w:pPr>
            <w:r>
              <w:rPr>
                <w:rFonts w:ascii="Arial" w:cs="Arial" w:eastAsia="Arial" w:hAnsi="Arial"/>
                <w:sz w:val="18"/>
                <w:szCs w:val="18"/>
                <w:color w:val="auto"/>
              </w:rPr>
              <w:t>Current maturities of long-term debt</w:t>
            </w:r>
          </w:p>
        </w:tc>
        <w:tc>
          <w:tcPr>
            <w:tcW w:w="180" w:type="dxa"/>
            <w:vAlign w:val="bottom"/>
          </w:tcPr>
          <w:p>
            <w:pPr>
              <w:spacing w:after="0"/>
              <w:rPr>
                <w:sz w:val="17"/>
                <w:szCs w:val="17"/>
                <w:color w:val="auto"/>
              </w:rPr>
            </w:pPr>
          </w:p>
        </w:tc>
        <w:tc>
          <w:tcPr>
            <w:tcW w:w="12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0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390,042</w:t>
            </w:r>
          </w:p>
        </w:tc>
        <w:tc>
          <w:tcPr>
            <w:tcW w:w="120" w:type="dxa"/>
            <w:vAlign w:val="bottom"/>
            <w:shd w:val="clear" w:color="auto" w:fill="CDDEE7"/>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9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299,909</w:t>
            </w:r>
          </w:p>
        </w:tc>
        <w:tc>
          <w:tcPr>
            <w:tcW w:w="0" w:type="dxa"/>
            <w:vAlign w:val="bottom"/>
          </w:tcPr>
          <w:p>
            <w:pPr>
              <w:spacing w:after="0"/>
              <w:rPr>
                <w:sz w:val="1"/>
                <w:szCs w:val="1"/>
                <w:color w:val="auto"/>
              </w:rPr>
            </w:pPr>
          </w:p>
        </w:tc>
      </w:tr>
      <w:tr>
        <w:trPr>
          <w:trHeight w:val="225"/>
        </w:trPr>
        <w:tc>
          <w:tcPr>
            <w:tcW w:w="8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shd w:val="clear" w:color="auto" w:fill="CDDEE7"/>
          </w:tcPr>
          <w:p>
            <w:pPr>
              <w:spacing w:after="0"/>
              <w:rPr>
                <w:sz w:val="19"/>
                <w:szCs w:val="19"/>
                <w:color w:val="auto"/>
              </w:rPr>
            </w:pPr>
          </w:p>
        </w:tc>
        <w:tc>
          <w:tcPr>
            <w:tcW w:w="100" w:type="dxa"/>
            <w:vAlign w:val="bottom"/>
            <w:tcBorders>
              <w:bottom w:val="single" w:sz="8" w:color="auto"/>
            </w:tcBorders>
            <w:shd w:val="clear" w:color="auto" w:fill="CDDEE7"/>
          </w:tcPr>
          <w:p>
            <w:pPr>
              <w:spacing w:after="0"/>
              <w:rPr>
                <w:sz w:val="19"/>
                <w:szCs w:val="19"/>
                <w:color w:val="auto"/>
              </w:rPr>
            </w:pPr>
          </w:p>
        </w:tc>
        <w:tc>
          <w:tcPr>
            <w:tcW w:w="80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8"/>
                <w:szCs w:val="18"/>
                <w:b w:val="1"/>
                <w:bCs w:val="1"/>
                <w:color w:val="auto"/>
              </w:rPr>
              <w:t>60,981</w:t>
            </w:r>
          </w:p>
        </w:tc>
        <w:tc>
          <w:tcPr>
            <w:tcW w:w="120" w:type="dxa"/>
            <w:vAlign w:val="bottom"/>
            <w:tcBorders>
              <w:bottom w:val="single" w:sz="8" w:color="auto"/>
            </w:tcBorders>
            <w:shd w:val="clear" w:color="auto" w:fill="CDDEE7"/>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shd w:val="clear" w:color="auto" w:fill="E0EBED"/>
          </w:tcPr>
          <w:p>
            <w:pPr>
              <w:spacing w:after="0"/>
              <w:rPr>
                <w:sz w:val="19"/>
                <w:szCs w:val="19"/>
                <w:color w:val="auto"/>
              </w:rPr>
            </w:pPr>
          </w:p>
        </w:tc>
        <w:tc>
          <w:tcPr>
            <w:tcW w:w="940" w:type="dxa"/>
            <w:vAlign w:val="bottom"/>
            <w:tcBorders>
              <w:bottom w:val="single" w:sz="8" w:color="auto"/>
            </w:tcBorders>
            <w:shd w:val="clear" w:color="auto" w:fill="E0EBED"/>
          </w:tcPr>
          <w:p>
            <w:pPr>
              <w:jc w:val="right"/>
              <w:ind w:right="30"/>
              <w:spacing w:after="0"/>
              <w:rPr>
                <w:sz w:val="20"/>
                <w:szCs w:val="20"/>
                <w:color w:val="auto"/>
              </w:rPr>
            </w:pPr>
            <w:r>
              <w:rPr>
                <w:rFonts w:ascii="Arial" w:cs="Arial" w:eastAsia="Arial" w:hAnsi="Arial"/>
                <w:sz w:val="18"/>
                <w:szCs w:val="18"/>
                <w:color w:val="auto"/>
              </w:rPr>
              <w:t>87,804</w:t>
            </w:r>
          </w:p>
        </w:tc>
        <w:tc>
          <w:tcPr>
            <w:tcW w:w="0" w:type="dxa"/>
            <w:vAlign w:val="bottom"/>
          </w:tcPr>
          <w:p>
            <w:pPr>
              <w:spacing w:after="0"/>
              <w:rPr>
                <w:sz w:val="1"/>
                <w:szCs w:val="1"/>
                <w:color w:val="auto"/>
              </w:rPr>
            </w:pPr>
          </w:p>
        </w:tc>
      </w:tr>
      <w:tr>
        <w:trPr>
          <w:trHeight w:val="210"/>
        </w:trPr>
        <w:tc>
          <w:tcPr>
            <w:tcW w:w="8780" w:type="dxa"/>
            <w:vAlign w:val="bottom"/>
            <w:gridSpan w:val="2"/>
          </w:tcPr>
          <w:p>
            <w:pPr>
              <w:spacing w:after="0" w:line="210" w:lineRule="exact"/>
              <w:rPr>
                <w:sz w:val="20"/>
                <w:szCs w:val="20"/>
                <w:color w:val="auto"/>
              </w:rPr>
            </w:pPr>
            <w:r>
              <w:rPr>
                <w:rFonts w:ascii="Arial" w:cs="Arial" w:eastAsia="Arial" w:hAnsi="Arial"/>
                <w:sz w:val="19"/>
                <w:szCs w:val="19"/>
                <w:b w:val="1"/>
                <w:bCs w:val="1"/>
                <w:color w:val="auto"/>
              </w:rPr>
              <w:t>Total Current Liabilities</w:t>
            </w:r>
          </w:p>
        </w:tc>
        <w:tc>
          <w:tcPr>
            <w:tcW w:w="180" w:type="dxa"/>
            <w:vAlign w:val="bottom"/>
          </w:tcPr>
          <w:p>
            <w:pPr>
              <w:spacing w:after="0"/>
              <w:rPr>
                <w:sz w:val="18"/>
                <w:szCs w:val="18"/>
                <w:color w:val="auto"/>
              </w:rPr>
            </w:pPr>
          </w:p>
        </w:tc>
        <w:tc>
          <w:tcPr>
            <w:tcW w:w="120" w:type="dxa"/>
            <w:vAlign w:val="bottom"/>
            <w:shd w:val="clear" w:color="auto" w:fill="CDDEE7"/>
          </w:tcPr>
          <w:p>
            <w:pPr>
              <w:spacing w:after="0"/>
              <w:rPr>
                <w:sz w:val="18"/>
                <w:szCs w:val="18"/>
                <w:color w:val="auto"/>
              </w:rPr>
            </w:pPr>
          </w:p>
        </w:tc>
        <w:tc>
          <w:tcPr>
            <w:tcW w:w="100" w:type="dxa"/>
            <w:vAlign w:val="bottom"/>
            <w:shd w:val="clear" w:color="auto" w:fill="CDDEE7"/>
          </w:tcPr>
          <w:p>
            <w:pPr>
              <w:spacing w:after="0"/>
              <w:rPr>
                <w:sz w:val="18"/>
                <w:szCs w:val="18"/>
                <w:color w:val="auto"/>
              </w:rPr>
            </w:pPr>
          </w:p>
        </w:tc>
        <w:tc>
          <w:tcPr>
            <w:tcW w:w="800" w:type="dxa"/>
            <w:vAlign w:val="bottom"/>
            <w:shd w:val="clear" w:color="auto" w:fill="CDDEE7"/>
          </w:tcPr>
          <w:p>
            <w:pPr>
              <w:jc w:val="right"/>
              <w:spacing w:after="0"/>
              <w:rPr>
                <w:sz w:val="20"/>
                <w:szCs w:val="20"/>
                <w:color w:val="auto"/>
              </w:rPr>
            </w:pPr>
            <w:r>
              <w:rPr>
                <w:rFonts w:ascii="Arial" w:cs="Arial" w:eastAsia="Arial" w:hAnsi="Arial"/>
                <w:sz w:val="18"/>
                <w:szCs w:val="18"/>
                <w:b w:val="1"/>
                <w:bCs w:val="1"/>
                <w:color w:val="auto"/>
              </w:rPr>
              <w:t>786,750</w:t>
            </w:r>
          </w:p>
        </w:tc>
        <w:tc>
          <w:tcPr>
            <w:tcW w:w="120" w:type="dxa"/>
            <w:vAlign w:val="bottom"/>
            <w:shd w:val="clear" w:color="auto" w:fill="CDDEE7"/>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shd w:val="clear" w:color="auto" w:fill="E0EBED"/>
          </w:tcPr>
          <w:p>
            <w:pPr>
              <w:spacing w:after="0"/>
              <w:rPr>
                <w:sz w:val="18"/>
                <w:szCs w:val="18"/>
                <w:color w:val="auto"/>
              </w:rPr>
            </w:pPr>
          </w:p>
        </w:tc>
        <w:tc>
          <w:tcPr>
            <w:tcW w:w="940" w:type="dxa"/>
            <w:vAlign w:val="bottom"/>
            <w:shd w:val="clear" w:color="auto" w:fill="E0EBED"/>
          </w:tcPr>
          <w:p>
            <w:pPr>
              <w:jc w:val="right"/>
              <w:ind w:right="30"/>
              <w:spacing w:after="0"/>
              <w:rPr>
                <w:sz w:val="20"/>
                <w:szCs w:val="20"/>
                <w:color w:val="auto"/>
              </w:rPr>
            </w:pPr>
            <w:r>
              <w:rPr>
                <w:rFonts w:ascii="Arial" w:cs="Arial" w:eastAsia="Arial" w:hAnsi="Arial"/>
                <w:sz w:val="18"/>
                <w:szCs w:val="18"/>
                <w:color w:val="auto"/>
              </w:rPr>
              <w:t>694,216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87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4"/>
                <w:szCs w:val="24"/>
                <w:color w:val="auto"/>
              </w:rPr>
            </w:pPr>
          </w:p>
        </w:tc>
        <w:tc>
          <w:tcPr>
            <w:tcW w:w="120" w:type="dxa"/>
            <w:vAlign w:val="bottom"/>
            <w:shd w:val="clear" w:color="auto" w:fill="CDDEE7"/>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920" w:type="dxa"/>
            <w:vAlign w:val="bottom"/>
            <w:gridSpan w:val="2"/>
            <w:shd w:val="clear" w:color="auto" w:fill="CDDEE7"/>
          </w:tcPr>
          <w:p>
            <w:pPr>
              <w:jc w:val="right"/>
              <w:ind w:right="120"/>
              <w:spacing w:after="0"/>
              <w:rPr>
                <w:sz w:val="20"/>
                <w:szCs w:val="20"/>
                <w:color w:val="auto"/>
              </w:rPr>
            </w:pPr>
            <w:r>
              <w:rPr>
                <w:rFonts w:ascii="Arial" w:cs="Arial" w:eastAsia="Arial" w:hAnsi="Arial"/>
                <w:sz w:val="18"/>
                <w:szCs w:val="18"/>
                <w:b w:val="1"/>
                <w:bCs w:val="1"/>
                <w:color w:val="auto"/>
                <w:w w:val="97"/>
              </w:rPr>
              <w:t>2,730,439</w:t>
            </w:r>
          </w:p>
        </w:tc>
        <w:tc>
          <w:tcPr>
            <w:tcW w:w="18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40" w:type="dxa"/>
            <w:vAlign w:val="bottom"/>
            <w:shd w:val="clear" w:color="auto" w:fill="E0EBED"/>
          </w:tcPr>
          <w:p>
            <w:pPr>
              <w:jc w:val="right"/>
              <w:ind w:right="30"/>
              <w:spacing w:after="0"/>
              <w:rPr>
                <w:sz w:val="20"/>
                <w:szCs w:val="20"/>
                <w:color w:val="auto"/>
              </w:rPr>
            </w:pPr>
            <w:r>
              <w:rPr>
                <w:rFonts w:ascii="Arial" w:cs="Arial" w:eastAsia="Arial" w:hAnsi="Arial"/>
                <w:sz w:val="18"/>
                <w:szCs w:val="18"/>
                <w:color w:val="auto"/>
                <w:w w:val="99"/>
              </w:rPr>
              <w:t>2,727,294</w:t>
            </w:r>
          </w:p>
        </w:tc>
        <w:tc>
          <w:tcPr>
            <w:tcW w:w="0" w:type="dxa"/>
            <w:vAlign w:val="bottom"/>
          </w:tcPr>
          <w:p>
            <w:pPr>
              <w:spacing w:after="0"/>
              <w:rPr>
                <w:sz w:val="1"/>
                <w:szCs w:val="1"/>
                <w:color w:val="auto"/>
              </w:rPr>
            </w:pPr>
          </w:p>
        </w:tc>
      </w:tr>
      <w:tr>
        <w:trPr>
          <w:trHeight w:val="203"/>
        </w:trPr>
        <w:tc>
          <w:tcPr>
            <w:tcW w:w="8780" w:type="dxa"/>
            <w:vAlign w:val="bottom"/>
            <w:gridSpan w:val="2"/>
          </w:tcPr>
          <w:p>
            <w:pPr>
              <w:spacing w:after="0" w:line="202" w:lineRule="exact"/>
              <w:rPr>
                <w:sz w:val="20"/>
                <w:szCs w:val="20"/>
                <w:color w:val="auto"/>
              </w:rPr>
            </w:pPr>
            <w:r>
              <w:rPr>
                <w:rFonts w:ascii="Arial" w:cs="Arial" w:eastAsia="Arial" w:hAnsi="Arial"/>
                <w:sz w:val="18"/>
                <w:szCs w:val="18"/>
                <w:color w:val="auto"/>
              </w:rPr>
              <w:t>Pension, postretirement and postemployment benefits</w:t>
            </w:r>
          </w:p>
        </w:tc>
        <w:tc>
          <w:tcPr>
            <w:tcW w:w="180" w:type="dxa"/>
            <w:vAlign w:val="bottom"/>
          </w:tcPr>
          <w:p>
            <w:pPr>
              <w:spacing w:after="0"/>
              <w:rPr>
                <w:sz w:val="17"/>
                <w:szCs w:val="17"/>
                <w:color w:val="auto"/>
              </w:rPr>
            </w:pPr>
          </w:p>
        </w:tc>
        <w:tc>
          <w:tcPr>
            <w:tcW w:w="12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0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134,469</w:t>
            </w:r>
          </w:p>
        </w:tc>
        <w:tc>
          <w:tcPr>
            <w:tcW w:w="120" w:type="dxa"/>
            <w:vAlign w:val="bottom"/>
            <w:shd w:val="clear" w:color="auto" w:fill="CDDEE7"/>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9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244,043</w:t>
            </w:r>
          </w:p>
        </w:tc>
        <w:tc>
          <w:tcPr>
            <w:tcW w:w="0" w:type="dxa"/>
            <w:vAlign w:val="bottom"/>
          </w:tcPr>
          <w:p>
            <w:pPr>
              <w:spacing w:after="0"/>
              <w:rPr>
                <w:sz w:val="1"/>
                <w:szCs w:val="1"/>
                <w:color w:val="auto"/>
              </w:rPr>
            </w:pPr>
          </w:p>
        </w:tc>
      </w:tr>
      <w:tr>
        <w:trPr>
          <w:trHeight w:val="203"/>
        </w:trPr>
        <w:tc>
          <w:tcPr>
            <w:tcW w:w="8780" w:type="dxa"/>
            <w:vAlign w:val="bottom"/>
            <w:gridSpan w:val="2"/>
          </w:tcPr>
          <w:p>
            <w:pPr>
              <w:spacing w:after="0" w:line="202" w:lineRule="exact"/>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17"/>
                <w:szCs w:val="17"/>
                <w:color w:val="auto"/>
              </w:rPr>
            </w:pPr>
          </w:p>
        </w:tc>
        <w:tc>
          <w:tcPr>
            <w:tcW w:w="12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0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705,564</w:t>
            </w:r>
          </w:p>
        </w:tc>
        <w:tc>
          <w:tcPr>
            <w:tcW w:w="120" w:type="dxa"/>
            <w:vAlign w:val="bottom"/>
            <w:shd w:val="clear" w:color="auto" w:fill="CDDEE7"/>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9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410,723</w:t>
            </w:r>
          </w:p>
        </w:tc>
        <w:tc>
          <w:tcPr>
            <w:tcW w:w="0" w:type="dxa"/>
            <w:vAlign w:val="bottom"/>
          </w:tcPr>
          <w:p>
            <w:pPr>
              <w:spacing w:after="0"/>
              <w:rPr>
                <w:sz w:val="1"/>
                <w:szCs w:val="1"/>
                <w:color w:val="auto"/>
              </w:rPr>
            </w:pPr>
          </w:p>
        </w:tc>
      </w:tr>
      <w:tr>
        <w:trPr>
          <w:trHeight w:val="225"/>
        </w:trPr>
        <w:tc>
          <w:tcPr>
            <w:tcW w:w="878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19"/>
                <w:szCs w:val="19"/>
                <w:color w:val="auto"/>
              </w:rPr>
            </w:pPr>
          </w:p>
        </w:tc>
        <w:tc>
          <w:tcPr>
            <w:tcW w:w="120" w:type="dxa"/>
            <w:vAlign w:val="bottom"/>
            <w:shd w:val="clear" w:color="auto" w:fill="CDDEE7"/>
          </w:tcPr>
          <w:p>
            <w:pPr>
              <w:spacing w:after="0"/>
              <w:rPr>
                <w:sz w:val="19"/>
                <w:szCs w:val="19"/>
                <w:color w:val="auto"/>
              </w:rPr>
            </w:pPr>
          </w:p>
        </w:tc>
        <w:tc>
          <w:tcPr>
            <w:tcW w:w="100" w:type="dxa"/>
            <w:vAlign w:val="bottom"/>
            <w:shd w:val="clear" w:color="auto" w:fill="CDDEE7"/>
          </w:tcPr>
          <w:p>
            <w:pPr>
              <w:spacing w:after="0"/>
              <w:rPr>
                <w:sz w:val="19"/>
                <w:szCs w:val="19"/>
                <w:color w:val="auto"/>
              </w:rPr>
            </w:pPr>
          </w:p>
        </w:tc>
        <w:tc>
          <w:tcPr>
            <w:tcW w:w="800" w:type="dxa"/>
            <w:vAlign w:val="bottom"/>
            <w:shd w:val="clear" w:color="auto" w:fill="CDDEE7"/>
          </w:tcPr>
          <w:p>
            <w:pPr>
              <w:jc w:val="right"/>
              <w:spacing w:after="0"/>
              <w:rPr>
                <w:sz w:val="20"/>
                <w:szCs w:val="20"/>
                <w:color w:val="auto"/>
              </w:rPr>
            </w:pPr>
            <w:r>
              <w:rPr>
                <w:rFonts w:ascii="Arial" w:cs="Arial" w:eastAsia="Arial" w:hAnsi="Arial"/>
                <w:sz w:val="18"/>
                <w:szCs w:val="18"/>
                <w:b w:val="1"/>
                <w:bCs w:val="1"/>
                <w:color w:val="auto"/>
              </w:rPr>
              <w:t>244,785</w:t>
            </w:r>
          </w:p>
        </w:tc>
        <w:tc>
          <w:tcPr>
            <w:tcW w:w="120" w:type="dxa"/>
            <w:vAlign w:val="bottom"/>
            <w:shd w:val="clear" w:color="auto" w:fill="CDDEE7"/>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shd w:val="clear" w:color="auto" w:fill="E0EBED"/>
          </w:tcPr>
          <w:p>
            <w:pPr>
              <w:spacing w:after="0"/>
              <w:rPr>
                <w:sz w:val="19"/>
                <w:szCs w:val="19"/>
                <w:color w:val="auto"/>
              </w:rPr>
            </w:pPr>
          </w:p>
        </w:tc>
        <w:tc>
          <w:tcPr>
            <w:tcW w:w="940" w:type="dxa"/>
            <w:vAlign w:val="bottom"/>
            <w:shd w:val="clear" w:color="auto" w:fill="E0EBED"/>
          </w:tcPr>
          <w:p>
            <w:pPr>
              <w:jc w:val="right"/>
              <w:ind w:right="30"/>
              <w:spacing w:after="0"/>
              <w:rPr>
                <w:sz w:val="20"/>
                <w:szCs w:val="20"/>
                <w:color w:val="auto"/>
              </w:rPr>
            </w:pPr>
            <w:r>
              <w:rPr>
                <w:rFonts w:ascii="Arial" w:cs="Arial" w:eastAsia="Arial" w:hAnsi="Arial"/>
                <w:sz w:val="18"/>
                <w:szCs w:val="18"/>
                <w:color w:val="auto"/>
              </w:rPr>
              <w:t>233,758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Borders>
              <w:top w:val="single" w:sz="8" w:color="auto"/>
              <w:bottom w:val="single" w:sz="8" w:color="auto"/>
            </w:tcBorders>
          </w:tcPr>
          <w:p>
            <w:pPr>
              <w:spacing w:after="0" w:line="210" w:lineRule="exact"/>
              <w:rPr>
                <w:sz w:val="20"/>
                <w:szCs w:val="20"/>
                <w:color w:val="auto"/>
              </w:rPr>
            </w:pPr>
            <w:r>
              <w:rPr>
                <w:rFonts w:ascii="Arial" w:cs="Arial" w:eastAsia="Arial" w:hAnsi="Arial"/>
                <w:sz w:val="19"/>
                <w:szCs w:val="19"/>
                <w:b w:val="1"/>
                <w:bCs w:val="1"/>
                <w:color w:val="auto"/>
              </w:rPr>
              <w:t>Total Liabilities</w:t>
            </w: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shd w:val="clear" w:color="auto" w:fill="CDDEE7"/>
          </w:tcPr>
          <w:p>
            <w:pPr>
              <w:spacing w:after="0"/>
              <w:rPr>
                <w:sz w:val="18"/>
                <w:szCs w:val="18"/>
                <w:color w:val="auto"/>
              </w:rPr>
            </w:pPr>
          </w:p>
        </w:tc>
        <w:tc>
          <w:tcPr>
            <w:tcW w:w="100" w:type="dxa"/>
            <w:vAlign w:val="bottom"/>
            <w:tcBorders>
              <w:top w:val="single" w:sz="8" w:color="auto"/>
              <w:bottom w:val="single" w:sz="8" w:color="auto"/>
            </w:tcBorders>
            <w:shd w:val="clear" w:color="auto" w:fill="CDDEE7"/>
          </w:tcPr>
          <w:p>
            <w:pPr>
              <w:spacing w:after="0"/>
              <w:rPr>
                <w:sz w:val="18"/>
                <w:szCs w:val="18"/>
                <w:color w:val="auto"/>
              </w:rPr>
            </w:pPr>
          </w:p>
        </w:tc>
        <w:tc>
          <w:tcPr>
            <w:tcW w:w="800" w:type="dxa"/>
            <w:vAlign w:val="bottom"/>
            <w:tcBorders>
              <w:top w:val="single" w:sz="8" w:color="auto"/>
              <w:bottom w:val="single" w:sz="8" w:color="auto"/>
            </w:tcBorders>
            <w:shd w:val="clear" w:color="auto" w:fill="CDDEE7"/>
          </w:tcPr>
          <w:p>
            <w:pPr>
              <w:jc w:val="right"/>
              <w:spacing w:after="0"/>
              <w:rPr>
                <w:sz w:val="20"/>
                <w:szCs w:val="20"/>
                <w:color w:val="auto"/>
              </w:rPr>
            </w:pPr>
            <w:r>
              <w:rPr>
                <w:rFonts w:ascii="Arial" w:cs="Arial" w:eastAsia="Arial" w:hAnsi="Arial"/>
                <w:sz w:val="18"/>
                <w:szCs w:val="18"/>
                <w:b w:val="1"/>
                <w:bCs w:val="1"/>
                <w:color w:val="auto"/>
                <w:w w:val="97"/>
              </w:rPr>
              <w:t>4,602,007</w:t>
            </w:r>
          </w:p>
        </w:tc>
        <w:tc>
          <w:tcPr>
            <w:tcW w:w="120" w:type="dxa"/>
            <w:vAlign w:val="bottom"/>
            <w:tcBorders>
              <w:top w:val="single" w:sz="8" w:color="auto"/>
              <w:bottom w:val="single" w:sz="8" w:color="auto"/>
            </w:tcBorders>
            <w:shd w:val="clear" w:color="auto" w:fill="CDDEE7"/>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shd w:val="clear" w:color="auto" w:fill="E0EBED"/>
          </w:tcPr>
          <w:p>
            <w:pPr>
              <w:spacing w:after="0"/>
              <w:rPr>
                <w:sz w:val="18"/>
                <w:szCs w:val="18"/>
                <w:color w:val="auto"/>
              </w:rPr>
            </w:pPr>
          </w:p>
        </w:tc>
        <w:tc>
          <w:tcPr>
            <w:tcW w:w="940" w:type="dxa"/>
            <w:vAlign w:val="bottom"/>
            <w:tcBorders>
              <w:top w:val="single" w:sz="8" w:color="auto"/>
              <w:bottom w:val="single" w:sz="8" w:color="auto"/>
            </w:tcBorders>
            <w:shd w:val="clear" w:color="auto" w:fill="E0EBED"/>
          </w:tcPr>
          <w:p>
            <w:pPr>
              <w:jc w:val="right"/>
              <w:ind w:right="30"/>
              <w:spacing w:after="0"/>
              <w:rPr>
                <w:sz w:val="20"/>
                <w:szCs w:val="20"/>
                <w:color w:val="auto"/>
              </w:rPr>
            </w:pPr>
            <w:r>
              <w:rPr>
                <w:rFonts w:ascii="Arial" w:cs="Arial" w:eastAsia="Arial" w:hAnsi="Arial"/>
                <w:sz w:val="18"/>
                <w:szCs w:val="18"/>
                <w:color w:val="auto"/>
                <w:w w:val="99"/>
              </w:rPr>
              <w:t>4,310,034</w:t>
            </w:r>
          </w:p>
        </w:tc>
        <w:tc>
          <w:tcPr>
            <w:tcW w:w="0" w:type="dxa"/>
            <w:vAlign w:val="bottom"/>
          </w:tcPr>
          <w:p>
            <w:pPr>
              <w:spacing w:after="0"/>
              <w:rPr>
                <w:sz w:val="1"/>
                <w:szCs w:val="1"/>
                <w:color w:val="auto"/>
              </w:rPr>
            </w:pPr>
          </w:p>
        </w:tc>
      </w:tr>
      <w:tr>
        <w:trPr>
          <w:trHeight w:val="371"/>
        </w:trPr>
        <w:tc>
          <w:tcPr>
            <w:tcW w:w="8780" w:type="dxa"/>
            <w:vAlign w:val="bottom"/>
            <w:gridSpan w:val="2"/>
          </w:tcPr>
          <w:p>
            <w:pPr>
              <w:spacing w:after="0"/>
              <w:rPr>
                <w:sz w:val="20"/>
                <w:szCs w:val="20"/>
                <w:color w:val="auto"/>
              </w:rPr>
            </w:pPr>
            <w:r>
              <w:rPr>
                <w:rFonts w:ascii="Arial" w:cs="Arial" w:eastAsia="Arial" w:hAnsi="Arial"/>
                <w:sz w:val="19"/>
                <w:szCs w:val="19"/>
                <w:b w:val="1"/>
                <w:bCs w:val="1"/>
                <w:color w:val="auto"/>
              </w:rPr>
              <w:t>Equity:</w:t>
            </w:r>
          </w:p>
        </w:tc>
        <w:tc>
          <w:tcPr>
            <w:tcW w:w="180" w:type="dxa"/>
            <w:vAlign w:val="bottom"/>
          </w:tcPr>
          <w:p>
            <w:pPr>
              <w:spacing w:after="0"/>
              <w:rPr>
                <w:sz w:val="24"/>
                <w:szCs w:val="24"/>
                <w:color w:val="auto"/>
              </w:rPr>
            </w:pPr>
          </w:p>
        </w:tc>
        <w:tc>
          <w:tcPr>
            <w:tcW w:w="120" w:type="dxa"/>
            <w:vAlign w:val="bottom"/>
            <w:shd w:val="clear" w:color="auto" w:fill="CDDEE7"/>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800" w:type="dxa"/>
            <w:vAlign w:val="bottom"/>
            <w:shd w:val="clear" w:color="auto" w:fill="CDDEE7"/>
          </w:tcPr>
          <w:p>
            <w:pPr>
              <w:spacing w:after="0"/>
              <w:rPr>
                <w:sz w:val="24"/>
                <w:szCs w:val="24"/>
                <w:color w:val="auto"/>
              </w:rPr>
            </w:pPr>
          </w:p>
        </w:tc>
        <w:tc>
          <w:tcPr>
            <w:tcW w:w="120" w:type="dxa"/>
            <w:vAlign w:val="bottom"/>
            <w:shd w:val="clear" w:color="auto" w:fill="CDDEE7"/>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4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780" w:type="dxa"/>
            <w:vAlign w:val="bottom"/>
            <w:gridSpan w:val="2"/>
          </w:tcPr>
          <w:p>
            <w:pPr>
              <w:spacing w:after="0" w:line="202" w:lineRule="exact"/>
              <w:rPr>
                <w:sz w:val="20"/>
                <w:szCs w:val="20"/>
                <w:color w:val="auto"/>
              </w:rPr>
            </w:pPr>
            <w:r>
              <w:rPr>
                <w:rFonts w:ascii="Arial" w:cs="Arial" w:eastAsia="Arial" w:hAnsi="Arial"/>
                <w:sz w:val="18"/>
                <w:szCs w:val="18"/>
                <w:color w:val="auto"/>
              </w:rPr>
              <w:t>Common stock ($0.01 par value; 100,000,000 shares authorized; 62,515,000 and 62,873,000 shares</w:t>
            </w:r>
          </w:p>
        </w:tc>
        <w:tc>
          <w:tcPr>
            <w:tcW w:w="180" w:type="dxa"/>
            <w:vAlign w:val="bottom"/>
          </w:tcPr>
          <w:p>
            <w:pPr>
              <w:spacing w:after="0"/>
              <w:rPr>
                <w:sz w:val="17"/>
                <w:szCs w:val="17"/>
                <w:color w:val="auto"/>
              </w:rPr>
            </w:pPr>
          </w:p>
        </w:tc>
        <w:tc>
          <w:tcPr>
            <w:tcW w:w="12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00" w:type="dxa"/>
            <w:vAlign w:val="bottom"/>
            <w:vMerge w:val="restart"/>
            <w:shd w:val="clear" w:color="auto" w:fill="CDDEE7"/>
          </w:tcPr>
          <w:p>
            <w:pPr>
              <w:jc w:val="right"/>
              <w:spacing w:after="0"/>
              <w:rPr>
                <w:sz w:val="20"/>
                <w:szCs w:val="20"/>
                <w:color w:val="auto"/>
              </w:rPr>
            </w:pPr>
            <w:r>
              <w:rPr>
                <w:rFonts w:ascii="Arial" w:cs="Arial" w:eastAsia="Arial" w:hAnsi="Arial"/>
                <w:sz w:val="18"/>
                <w:szCs w:val="18"/>
                <w:b w:val="1"/>
                <w:bCs w:val="1"/>
                <w:color w:val="auto"/>
              </w:rPr>
              <w:t>624</w:t>
            </w:r>
          </w:p>
        </w:tc>
        <w:tc>
          <w:tcPr>
            <w:tcW w:w="120" w:type="dxa"/>
            <w:vAlign w:val="bottom"/>
            <w:shd w:val="clear" w:color="auto" w:fill="CDDEE7"/>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940" w:type="dxa"/>
            <w:vAlign w:val="bottom"/>
            <w:shd w:val="clear" w:color="auto" w:fill="E0EBED"/>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ind w:left="160"/>
              <w:spacing w:after="0" w:line="202" w:lineRule="exact"/>
              <w:rPr>
                <w:sz w:val="20"/>
                <w:szCs w:val="20"/>
                <w:color w:val="auto"/>
              </w:rPr>
            </w:pPr>
            <w:r>
              <w:rPr>
                <w:rFonts w:ascii="Arial" w:cs="Arial" w:eastAsia="Arial" w:hAnsi="Arial"/>
                <w:sz w:val="18"/>
                <w:szCs w:val="18"/>
                <w:color w:val="auto"/>
              </w:rPr>
              <w:t>outstanding at December 31, 2018 and 2017, respectively)</w:t>
            </w:r>
          </w:p>
        </w:tc>
        <w:tc>
          <w:tcPr>
            <w:tcW w:w="180" w:type="dxa"/>
            <w:vAlign w:val="bottom"/>
          </w:tcPr>
          <w:p>
            <w:pPr>
              <w:spacing w:after="0"/>
              <w:rPr>
                <w:sz w:val="17"/>
                <w:szCs w:val="17"/>
                <w:color w:val="auto"/>
              </w:rPr>
            </w:pPr>
          </w:p>
        </w:tc>
        <w:tc>
          <w:tcPr>
            <w:tcW w:w="12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00" w:type="dxa"/>
            <w:vAlign w:val="bottom"/>
            <w:vMerge w:val="continue"/>
            <w:shd w:val="clear" w:color="auto" w:fill="CDDEE7"/>
          </w:tcPr>
          <w:p>
            <w:pPr>
              <w:spacing w:after="0"/>
              <w:rPr>
                <w:sz w:val="17"/>
                <w:szCs w:val="17"/>
                <w:color w:val="auto"/>
              </w:rPr>
            </w:pPr>
          </w:p>
        </w:tc>
        <w:tc>
          <w:tcPr>
            <w:tcW w:w="120" w:type="dxa"/>
            <w:vAlign w:val="bottom"/>
            <w:shd w:val="clear" w:color="auto" w:fill="CDDEE7"/>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9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181"/>
        </w:trPr>
        <w:tc>
          <w:tcPr>
            <w:tcW w:w="8780" w:type="dxa"/>
            <w:vAlign w:val="bottom"/>
            <w:gridSpan w:val="2"/>
          </w:tcPr>
          <w:p>
            <w:pPr>
              <w:spacing w:after="0" w:line="181" w:lineRule="exact"/>
              <w:rPr>
                <w:sz w:val="20"/>
                <w:szCs w:val="20"/>
                <w:color w:val="auto"/>
              </w:rPr>
            </w:pPr>
            <w:r>
              <w:rPr>
                <w:rFonts w:ascii="Arial" w:cs="Arial" w:eastAsia="Arial" w:hAnsi="Arial"/>
                <w:sz w:val="18"/>
                <w:szCs w:val="18"/>
                <w:color w:val="auto"/>
              </w:rPr>
              <w:t>Preferred stock ($0.01 par value; 10,000,000 shares authorized; no shares outstanding)</w:t>
            </w:r>
          </w:p>
        </w:tc>
        <w:tc>
          <w:tcPr>
            <w:tcW w:w="180" w:type="dxa"/>
            <w:vAlign w:val="bottom"/>
          </w:tcPr>
          <w:p>
            <w:pPr>
              <w:spacing w:after="0"/>
              <w:rPr>
                <w:sz w:val="15"/>
                <w:szCs w:val="15"/>
                <w:color w:val="auto"/>
              </w:rPr>
            </w:pPr>
          </w:p>
        </w:tc>
        <w:tc>
          <w:tcPr>
            <w:tcW w:w="12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800" w:type="dxa"/>
            <w:vAlign w:val="bottom"/>
            <w:shd w:val="clear" w:color="auto" w:fill="CDDEE7"/>
          </w:tcPr>
          <w:p>
            <w:pPr>
              <w:jc w:val="right"/>
              <w:spacing w:after="0" w:line="181"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DDEE7"/>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940" w:type="dxa"/>
            <w:vAlign w:val="bottom"/>
            <w:shd w:val="clear" w:color="auto" w:fill="E0EBED"/>
          </w:tcPr>
          <w:p>
            <w:pPr>
              <w:jc w:val="right"/>
              <w:ind w:right="3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780" w:type="dxa"/>
            <w:vAlign w:val="bottom"/>
            <w:gridSpan w:val="2"/>
          </w:tcPr>
          <w:p>
            <w:pPr>
              <w:spacing w:after="0" w:line="202" w:lineRule="exact"/>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7"/>
                <w:szCs w:val="17"/>
                <w:color w:val="auto"/>
              </w:rPr>
            </w:pPr>
          </w:p>
        </w:tc>
        <w:tc>
          <w:tcPr>
            <w:tcW w:w="12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0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w w:val="97"/>
              </w:rPr>
              <w:t>3,396,059</w:t>
            </w:r>
          </w:p>
        </w:tc>
        <w:tc>
          <w:tcPr>
            <w:tcW w:w="120" w:type="dxa"/>
            <w:vAlign w:val="bottom"/>
            <w:shd w:val="clear" w:color="auto" w:fill="CDDEE7"/>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9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w w:val="99"/>
              </w:rPr>
              <w:t>3,368,007</w:t>
            </w:r>
          </w:p>
        </w:tc>
        <w:tc>
          <w:tcPr>
            <w:tcW w:w="0" w:type="dxa"/>
            <w:vAlign w:val="bottom"/>
          </w:tcPr>
          <w:p>
            <w:pPr>
              <w:spacing w:after="0"/>
              <w:rPr>
                <w:sz w:val="1"/>
                <w:szCs w:val="1"/>
                <w:color w:val="auto"/>
              </w:rPr>
            </w:pPr>
          </w:p>
        </w:tc>
      </w:tr>
      <w:tr>
        <w:trPr>
          <w:trHeight w:val="203"/>
        </w:trPr>
        <w:tc>
          <w:tcPr>
            <w:tcW w:w="8780" w:type="dxa"/>
            <w:vAlign w:val="bottom"/>
            <w:gridSpan w:val="2"/>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7"/>
                <w:szCs w:val="17"/>
                <w:color w:val="auto"/>
              </w:rPr>
            </w:pPr>
          </w:p>
        </w:tc>
        <w:tc>
          <w:tcPr>
            <w:tcW w:w="12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0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(143,579)</w:t>
            </w:r>
          </w:p>
        </w:tc>
        <w:tc>
          <w:tcPr>
            <w:tcW w:w="120" w:type="dxa"/>
            <w:vAlign w:val="bottom"/>
            <w:shd w:val="clear" w:color="auto" w:fill="CDDEE7"/>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shd w:val="clear" w:color="auto" w:fill="E0EBED"/>
          </w:tcPr>
          <w:p>
            <w:pPr>
              <w:spacing w:after="0"/>
              <w:rPr>
                <w:sz w:val="17"/>
                <w:szCs w:val="17"/>
                <w:color w:val="auto"/>
              </w:rPr>
            </w:pPr>
          </w:p>
        </w:tc>
        <w:tc>
          <w:tcPr>
            <w:tcW w:w="9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(129,104)</w:t>
            </w:r>
          </w:p>
        </w:tc>
        <w:tc>
          <w:tcPr>
            <w:tcW w:w="0" w:type="dxa"/>
            <w:vAlign w:val="bottom"/>
          </w:tcPr>
          <w:p>
            <w:pPr>
              <w:spacing w:after="0"/>
              <w:rPr>
                <w:sz w:val="1"/>
                <w:szCs w:val="1"/>
                <w:color w:val="auto"/>
              </w:rPr>
            </w:pPr>
          </w:p>
        </w:tc>
      </w:tr>
      <w:tr>
        <w:trPr>
          <w:trHeight w:val="225"/>
        </w:trPr>
        <w:tc>
          <w:tcPr>
            <w:tcW w:w="8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shd w:val="clear" w:color="auto" w:fill="CDDEE7"/>
          </w:tcPr>
          <w:p>
            <w:pPr>
              <w:spacing w:after="0"/>
              <w:rPr>
                <w:sz w:val="19"/>
                <w:szCs w:val="19"/>
                <w:color w:val="auto"/>
              </w:rPr>
            </w:pPr>
          </w:p>
        </w:tc>
        <w:tc>
          <w:tcPr>
            <w:tcW w:w="100" w:type="dxa"/>
            <w:vAlign w:val="bottom"/>
            <w:tcBorders>
              <w:bottom w:val="single" w:sz="8" w:color="auto"/>
            </w:tcBorders>
            <w:shd w:val="clear" w:color="auto" w:fill="CDDEE7"/>
          </w:tcPr>
          <w:p>
            <w:pPr>
              <w:spacing w:after="0"/>
              <w:rPr>
                <w:sz w:val="19"/>
                <w:szCs w:val="19"/>
                <w:color w:val="auto"/>
              </w:rPr>
            </w:pPr>
          </w:p>
        </w:tc>
        <w:tc>
          <w:tcPr>
            <w:tcW w:w="80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8"/>
                <w:szCs w:val="18"/>
                <w:b w:val="1"/>
                <w:bCs w:val="1"/>
                <w:color w:val="auto"/>
                <w:w w:val="97"/>
              </w:rPr>
              <w:t>1,693,259</w:t>
            </w:r>
          </w:p>
        </w:tc>
        <w:tc>
          <w:tcPr>
            <w:tcW w:w="120" w:type="dxa"/>
            <w:vAlign w:val="bottom"/>
            <w:tcBorders>
              <w:bottom w:val="single" w:sz="8" w:color="auto"/>
            </w:tcBorders>
            <w:shd w:val="clear" w:color="auto" w:fill="CDDEE7"/>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shd w:val="clear" w:color="auto" w:fill="E0EBED"/>
          </w:tcPr>
          <w:p>
            <w:pPr>
              <w:spacing w:after="0"/>
              <w:rPr>
                <w:sz w:val="19"/>
                <w:szCs w:val="19"/>
                <w:color w:val="auto"/>
              </w:rPr>
            </w:pPr>
          </w:p>
        </w:tc>
        <w:tc>
          <w:tcPr>
            <w:tcW w:w="940" w:type="dxa"/>
            <w:vAlign w:val="bottom"/>
            <w:tcBorders>
              <w:bottom w:val="single" w:sz="8" w:color="auto"/>
            </w:tcBorders>
            <w:shd w:val="clear" w:color="auto" w:fill="E0EBED"/>
          </w:tcPr>
          <w:p>
            <w:pPr>
              <w:jc w:val="right"/>
              <w:ind w:right="30"/>
              <w:spacing w:after="0"/>
              <w:rPr>
                <w:sz w:val="20"/>
                <w:szCs w:val="20"/>
                <w:color w:val="auto"/>
              </w:rPr>
            </w:pPr>
            <w:r>
              <w:rPr>
                <w:rFonts w:ascii="Arial" w:cs="Arial" w:eastAsia="Arial" w:hAnsi="Arial"/>
                <w:sz w:val="18"/>
                <w:szCs w:val="18"/>
                <w:color w:val="auto"/>
                <w:w w:val="99"/>
              </w:rPr>
              <w:t>1,440,069</w:t>
            </w:r>
          </w:p>
        </w:tc>
        <w:tc>
          <w:tcPr>
            <w:tcW w:w="0" w:type="dxa"/>
            <w:vAlign w:val="bottom"/>
          </w:tcPr>
          <w:p>
            <w:pPr>
              <w:spacing w:after="0"/>
              <w:rPr>
                <w:sz w:val="1"/>
                <w:szCs w:val="1"/>
                <w:color w:val="auto"/>
              </w:rPr>
            </w:pPr>
          </w:p>
        </w:tc>
      </w:tr>
      <w:tr>
        <w:trPr>
          <w:trHeight w:val="187"/>
        </w:trPr>
        <w:tc>
          <w:tcPr>
            <w:tcW w:w="8780" w:type="dxa"/>
            <w:vAlign w:val="bottom"/>
            <w:gridSpan w:val="2"/>
          </w:tcPr>
          <w:p>
            <w:pPr>
              <w:spacing w:after="0" w:line="187" w:lineRule="exact"/>
              <w:rPr>
                <w:sz w:val="20"/>
                <w:szCs w:val="20"/>
                <w:color w:val="auto"/>
              </w:rPr>
            </w:pPr>
            <w:r>
              <w:rPr>
                <w:rFonts w:ascii="Arial" w:cs="Arial" w:eastAsia="Arial" w:hAnsi="Arial"/>
                <w:sz w:val="19"/>
                <w:szCs w:val="19"/>
                <w:b w:val="1"/>
                <w:bCs w:val="1"/>
                <w:color w:val="auto"/>
              </w:rPr>
              <w:t>Total Shareholders’ Equity</w:t>
            </w:r>
          </w:p>
        </w:tc>
        <w:tc>
          <w:tcPr>
            <w:tcW w:w="180" w:type="dxa"/>
            <w:vAlign w:val="bottom"/>
          </w:tcPr>
          <w:p>
            <w:pPr>
              <w:spacing w:after="0"/>
              <w:rPr>
                <w:sz w:val="16"/>
                <w:szCs w:val="16"/>
                <w:color w:val="auto"/>
              </w:rPr>
            </w:pP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00" w:type="dxa"/>
            <w:vAlign w:val="bottom"/>
            <w:shd w:val="clear" w:color="auto" w:fill="CDDEE7"/>
          </w:tcPr>
          <w:p>
            <w:pPr>
              <w:jc w:val="right"/>
              <w:spacing w:after="0" w:line="187" w:lineRule="exact"/>
              <w:rPr>
                <w:sz w:val="20"/>
                <w:szCs w:val="20"/>
                <w:color w:val="auto"/>
              </w:rPr>
            </w:pPr>
            <w:r>
              <w:rPr>
                <w:rFonts w:ascii="Arial" w:cs="Arial" w:eastAsia="Arial" w:hAnsi="Arial"/>
                <w:sz w:val="18"/>
                <w:szCs w:val="18"/>
                <w:b w:val="1"/>
                <w:bCs w:val="1"/>
                <w:color w:val="auto"/>
                <w:w w:val="97"/>
              </w:rPr>
              <w:t>4,946,363</w:t>
            </w:r>
          </w:p>
        </w:tc>
        <w:tc>
          <w:tcPr>
            <w:tcW w:w="120" w:type="dxa"/>
            <w:vAlign w:val="bottom"/>
            <w:shd w:val="clear" w:color="auto" w:fill="CDDEE7"/>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30"/>
              <w:spacing w:after="0" w:line="187" w:lineRule="exact"/>
              <w:rPr>
                <w:sz w:val="20"/>
                <w:szCs w:val="20"/>
                <w:color w:val="auto"/>
              </w:rPr>
            </w:pPr>
            <w:r>
              <w:rPr>
                <w:rFonts w:ascii="Arial" w:cs="Arial" w:eastAsia="Arial" w:hAnsi="Arial"/>
                <w:sz w:val="18"/>
                <w:szCs w:val="18"/>
                <w:color w:val="auto"/>
                <w:w w:val="99"/>
              </w:rPr>
              <w:t>4,679,600</w:t>
            </w:r>
          </w:p>
        </w:tc>
        <w:tc>
          <w:tcPr>
            <w:tcW w:w="0" w:type="dxa"/>
            <w:vAlign w:val="bottom"/>
          </w:tcPr>
          <w:p>
            <w:pPr>
              <w:spacing w:after="0"/>
              <w:rPr>
                <w:sz w:val="1"/>
                <w:szCs w:val="1"/>
                <w:color w:val="auto"/>
              </w:rPr>
            </w:pPr>
          </w:p>
        </w:tc>
      </w:tr>
      <w:tr>
        <w:trPr>
          <w:trHeight w:val="225"/>
        </w:trPr>
        <w:tc>
          <w:tcPr>
            <w:tcW w:w="8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shd w:val="clear" w:color="auto" w:fill="CDDEE7"/>
          </w:tcPr>
          <w:p>
            <w:pPr>
              <w:spacing w:after="0"/>
              <w:rPr>
                <w:sz w:val="19"/>
                <w:szCs w:val="19"/>
                <w:color w:val="auto"/>
              </w:rPr>
            </w:pPr>
          </w:p>
        </w:tc>
        <w:tc>
          <w:tcPr>
            <w:tcW w:w="100" w:type="dxa"/>
            <w:vAlign w:val="bottom"/>
            <w:tcBorders>
              <w:bottom w:val="single" w:sz="8" w:color="auto"/>
            </w:tcBorders>
            <w:shd w:val="clear" w:color="auto" w:fill="CDDEE7"/>
          </w:tcPr>
          <w:p>
            <w:pPr>
              <w:spacing w:after="0"/>
              <w:rPr>
                <w:sz w:val="19"/>
                <w:szCs w:val="19"/>
                <w:color w:val="auto"/>
              </w:rPr>
            </w:pPr>
          </w:p>
        </w:tc>
        <w:tc>
          <w:tcPr>
            <w:tcW w:w="80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8"/>
                <w:szCs w:val="18"/>
                <w:b w:val="1"/>
                <w:bCs w:val="1"/>
                <w:color w:val="auto"/>
              </w:rPr>
              <w:t>3,049</w:t>
            </w:r>
          </w:p>
        </w:tc>
        <w:tc>
          <w:tcPr>
            <w:tcW w:w="120" w:type="dxa"/>
            <w:vAlign w:val="bottom"/>
            <w:tcBorders>
              <w:bottom w:val="single" w:sz="8" w:color="auto"/>
            </w:tcBorders>
            <w:shd w:val="clear" w:color="auto" w:fill="CDDEE7"/>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shd w:val="clear" w:color="auto" w:fill="E0EBED"/>
          </w:tcPr>
          <w:p>
            <w:pPr>
              <w:spacing w:after="0"/>
              <w:rPr>
                <w:sz w:val="19"/>
                <w:szCs w:val="19"/>
                <w:color w:val="auto"/>
              </w:rPr>
            </w:pPr>
          </w:p>
        </w:tc>
        <w:tc>
          <w:tcPr>
            <w:tcW w:w="940" w:type="dxa"/>
            <w:vAlign w:val="bottom"/>
            <w:tcBorders>
              <w:bottom w:val="single" w:sz="8" w:color="auto"/>
            </w:tcBorders>
            <w:shd w:val="clear" w:color="auto" w:fill="E0EBED"/>
          </w:tcPr>
          <w:p>
            <w:pPr>
              <w:jc w:val="right"/>
              <w:ind w:right="30"/>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10"/>
        </w:trPr>
        <w:tc>
          <w:tcPr>
            <w:tcW w:w="8780" w:type="dxa"/>
            <w:vAlign w:val="bottom"/>
            <w:tcBorders>
              <w:bottom w:val="single" w:sz="8" w:color="auto"/>
            </w:tcBorders>
            <w:gridSpan w:val="2"/>
          </w:tcPr>
          <w:p>
            <w:pPr>
              <w:spacing w:after="0" w:line="210" w:lineRule="exact"/>
              <w:rPr>
                <w:sz w:val="20"/>
                <w:szCs w:val="20"/>
                <w:color w:val="auto"/>
              </w:rPr>
            </w:pPr>
            <w:r>
              <w:rPr>
                <w:rFonts w:ascii="Arial" w:cs="Arial" w:eastAsia="Arial" w:hAnsi="Arial"/>
                <w:sz w:val="19"/>
                <w:szCs w:val="19"/>
                <w:b w:val="1"/>
                <w:bCs w:val="1"/>
                <w:color w:val="auto"/>
              </w:rPr>
              <w:t>Total Equity</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0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8"/>
                <w:szCs w:val="18"/>
                <w:b w:val="1"/>
                <w:bCs w:val="1"/>
                <w:color w:val="auto"/>
                <w:w w:val="97"/>
              </w:rPr>
              <w:t>4,949,412</w:t>
            </w:r>
          </w:p>
        </w:tc>
        <w:tc>
          <w:tcPr>
            <w:tcW w:w="120" w:type="dxa"/>
            <w:vAlign w:val="bottom"/>
            <w:tcBorders>
              <w:bottom w:val="single" w:sz="8" w:color="auto"/>
            </w:tcBorders>
            <w:shd w:val="clear" w:color="auto" w:fill="CDDEE7"/>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30"/>
              <w:spacing w:after="0"/>
              <w:rPr>
                <w:sz w:val="20"/>
                <w:szCs w:val="20"/>
                <w:color w:val="auto"/>
              </w:rPr>
            </w:pPr>
            <w:r>
              <w:rPr>
                <w:rFonts w:ascii="Arial" w:cs="Arial" w:eastAsia="Arial" w:hAnsi="Arial"/>
                <w:sz w:val="18"/>
                <w:szCs w:val="18"/>
                <w:color w:val="auto"/>
                <w:w w:val="99"/>
              </w:rPr>
              <w:t>4,682,477</w:t>
            </w:r>
          </w:p>
        </w:tc>
        <w:tc>
          <w:tcPr>
            <w:tcW w:w="0" w:type="dxa"/>
            <w:vAlign w:val="bottom"/>
          </w:tcPr>
          <w:p>
            <w:pPr>
              <w:spacing w:after="0"/>
              <w:rPr>
                <w:sz w:val="1"/>
                <w:szCs w:val="1"/>
                <w:color w:val="auto"/>
              </w:rPr>
            </w:pPr>
          </w:p>
        </w:tc>
      </w:tr>
      <w:tr>
        <w:trPr>
          <w:trHeight w:val="210"/>
        </w:trPr>
        <w:tc>
          <w:tcPr>
            <w:tcW w:w="8780" w:type="dxa"/>
            <w:vAlign w:val="bottom"/>
            <w:gridSpan w:val="2"/>
          </w:tcPr>
          <w:p>
            <w:pPr>
              <w:spacing w:after="0" w:line="210" w:lineRule="exact"/>
              <w:rPr>
                <w:sz w:val="20"/>
                <w:szCs w:val="20"/>
                <w:color w:val="auto"/>
              </w:rPr>
            </w:pPr>
            <w:r>
              <w:rPr>
                <w:rFonts w:ascii="Arial" w:cs="Arial" w:eastAsia="Arial" w:hAnsi="Arial"/>
                <w:sz w:val="19"/>
                <w:szCs w:val="19"/>
                <w:b w:val="1"/>
                <w:bCs w:val="1"/>
                <w:color w:val="auto"/>
              </w:rPr>
              <w:t>Total Liabilities and Equity</w:t>
            </w:r>
          </w:p>
        </w:tc>
        <w:tc>
          <w:tcPr>
            <w:tcW w:w="180" w:type="dxa"/>
            <w:vAlign w:val="bottom"/>
          </w:tcPr>
          <w:p>
            <w:pPr>
              <w:spacing w:after="0"/>
              <w:rPr>
                <w:sz w:val="18"/>
                <w:szCs w:val="18"/>
                <w:color w:val="auto"/>
              </w:rPr>
            </w:pPr>
          </w:p>
        </w:tc>
        <w:tc>
          <w:tcPr>
            <w:tcW w:w="120" w:type="dxa"/>
            <w:vAlign w:val="bottom"/>
            <w:shd w:val="clear" w:color="auto" w:fill="CDDEE7"/>
          </w:tcPr>
          <w:p>
            <w:pPr>
              <w:spacing w:after="0"/>
              <w:rPr>
                <w:sz w:val="18"/>
                <w:szCs w:val="18"/>
                <w:color w:val="auto"/>
              </w:rPr>
            </w:pPr>
          </w:p>
        </w:tc>
        <w:tc>
          <w:tcPr>
            <w:tcW w:w="100" w:type="dxa"/>
            <w:vAlign w:val="bottom"/>
            <w:shd w:val="clear" w:color="auto" w:fill="CDDEE7"/>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DDEE7"/>
          </w:tcPr>
          <w:p>
            <w:pPr>
              <w:jc w:val="right"/>
              <w:spacing w:after="0"/>
              <w:rPr>
                <w:sz w:val="20"/>
                <w:szCs w:val="20"/>
                <w:color w:val="auto"/>
              </w:rPr>
            </w:pPr>
            <w:r>
              <w:rPr>
                <w:rFonts w:ascii="Arial" w:cs="Arial" w:eastAsia="Arial" w:hAnsi="Arial"/>
                <w:sz w:val="18"/>
                <w:szCs w:val="18"/>
                <w:b w:val="1"/>
                <w:bCs w:val="1"/>
                <w:color w:val="auto"/>
                <w:w w:val="97"/>
              </w:rPr>
              <w:t>9,551,419</w:t>
            </w:r>
          </w:p>
        </w:tc>
        <w:tc>
          <w:tcPr>
            <w:tcW w:w="120" w:type="dxa"/>
            <w:vAlign w:val="bottom"/>
            <w:shd w:val="clear" w:color="auto" w:fill="CDDEE7"/>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shd w:val="clear" w:color="auto" w:fill="E0EBED"/>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0EBED"/>
          </w:tcPr>
          <w:p>
            <w:pPr>
              <w:jc w:val="right"/>
              <w:ind w:right="30"/>
              <w:spacing w:after="0"/>
              <w:rPr>
                <w:sz w:val="20"/>
                <w:szCs w:val="20"/>
                <w:color w:val="auto"/>
              </w:rPr>
            </w:pPr>
            <w:r>
              <w:rPr>
                <w:rFonts w:ascii="Arial" w:cs="Arial" w:eastAsia="Arial" w:hAnsi="Arial"/>
                <w:sz w:val="18"/>
                <w:szCs w:val="18"/>
                <w:color w:val="auto"/>
                <w:w w:val="99"/>
              </w:rPr>
              <w:t>8,992,511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The notes on pages 15 through 41 are an integral part of these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12</w:t>
      </w:r>
    </w:p>
    <w:p>
      <w:pPr>
        <w:sectPr>
          <w:pgSz w:w="11900" w:h="16838" w:orient="portrait"/>
          <w:cols w:equalWidth="0" w:num="1">
            <w:col w:w="11420"/>
          </w:cols>
          <w:pgMar w:left="240" w:top="288"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5360035" cy="291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extLst>
                    </a:blip>
                    <a:srcRect/>
                    <a:stretch>
                      <a:fillRect/>
                    </a:stretch>
                  </pic:blipFill>
                  <pic:spPr bwMode="auto">
                    <a:xfrm>
                      <a:off x="0" y="0"/>
                      <a:ext cx="5360035" cy="291465"/>
                    </a:xfrm>
                    <a:prstGeom prst="rect">
                      <a:avLst/>
                    </a:prstGeom>
                    <a:noFill/>
                  </pic:spPr>
                </pic:pic>
              </a:graphicData>
            </a:graphic>
          </wp:anchor>
        </w:drawing>
        <w:t xml:space="preserve">CONSOLIDATED STATEMENTS OF CASH FLOWS </w:t>
      </w:r>
      <w:r>
        <w:rPr>
          <w:rFonts w:ascii="Arial" w:cs="Arial" w:eastAsia="Arial" w:hAnsi="Arial"/>
          <w:sz w:val="18"/>
          <w:szCs w:val="18"/>
          <w:color w:val="FFFFFF"/>
        </w:rPr>
        <w:t>for years ended December 31</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6060" w:type="dxa"/>
            <w:vAlign w:val="bottom"/>
            <w:gridSpan w:val="2"/>
          </w:tcPr>
          <w:p>
            <w:pPr>
              <w:spacing w:after="0"/>
              <w:rPr>
                <w:sz w:val="20"/>
                <w:szCs w:val="20"/>
                <w:color w:val="auto"/>
              </w:rPr>
            </w:pPr>
            <w:r>
              <w:rPr>
                <w:rFonts w:ascii="Arial" w:cs="Arial" w:eastAsia="Arial" w:hAnsi="Arial"/>
                <w:sz w:val="16"/>
                <w:szCs w:val="16"/>
                <w:color w:val="auto"/>
              </w:rPr>
              <w:t>(add 000)</w:t>
            </w:r>
          </w:p>
        </w:tc>
        <w:tc>
          <w:tcPr>
            <w:tcW w:w="1480" w:type="dxa"/>
            <w:vAlign w:val="bottom"/>
          </w:tcPr>
          <w:p>
            <w:pPr>
              <w:spacing w:after="0"/>
              <w:rPr>
                <w:sz w:val="24"/>
                <w:szCs w:val="24"/>
                <w:color w:val="auto"/>
              </w:rPr>
            </w:pPr>
          </w:p>
        </w:tc>
        <w:tc>
          <w:tcPr>
            <w:tcW w:w="100" w:type="dxa"/>
            <w:vAlign w:val="bottom"/>
            <w:shd w:val="clear" w:color="auto" w:fill="0085CD"/>
          </w:tcPr>
          <w:p>
            <w:pPr>
              <w:spacing w:after="0"/>
              <w:rPr>
                <w:sz w:val="24"/>
                <w:szCs w:val="24"/>
                <w:color w:val="auto"/>
              </w:rPr>
            </w:pPr>
          </w:p>
        </w:tc>
        <w:tc>
          <w:tcPr>
            <w:tcW w:w="100" w:type="dxa"/>
            <w:vAlign w:val="bottom"/>
            <w:shd w:val="clear" w:color="auto" w:fill="0085CD"/>
          </w:tcPr>
          <w:p>
            <w:pPr>
              <w:spacing w:after="0"/>
              <w:rPr>
                <w:sz w:val="24"/>
                <w:szCs w:val="24"/>
                <w:color w:val="auto"/>
              </w:rPr>
            </w:pPr>
          </w:p>
        </w:tc>
        <w:tc>
          <w:tcPr>
            <w:tcW w:w="880" w:type="dxa"/>
            <w:vAlign w:val="bottom"/>
            <w:shd w:val="clear" w:color="auto" w:fill="0085CD"/>
          </w:tcPr>
          <w:p>
            <w:pPr>
              <w:jc w:val="right"/>
              <w:ind w:right="210"/>
              <w:spacing w:after="0"/>
              <w:rPr>
                <w:sz w:val="20"/>
                <w:szCs w:val="20"/>
                <w:color w:val="auto"/>
              </w:rPr>
            </w:pPr>
            <w:r>
              <w:rPr>
                <w:rFonts w:ascii="Arial" w:cs="Arial" w:eastAsia="Arial" w:hAnsi="Arial"/>
                <w:sz w:val="18"/>
                <w:szCs w:val="18"/>
                <w:b w:val="1"/>
                <w:bCs w:val="1"/>
                <w:color w:val="FFFFFF"/>
              </w:rPr>
              <w:t>2018</w:t>
            </w:r>
          </w:p>
        </w:tc>
        <w:tc>
          <w:tcPr>
            <w:tcW w:w="120" w:type="dxa"/>
            <w:vAlign w:val="bottom"/>
            <w:shd w:val="clear" w:color="auto" w:fill="0085CD"/>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shd w:val="clear" w:color="auto" w:fill="E0EBED"/>
          </w:tcPr>
          <w:p>
            <w:pPr>
              <w:spacing w:after="0"/>
              <w:rPr>
                <w:sz w:val="24"/>
                <w:szCs w:val="24"/>
                <w:color w:val="auto"/>
              </w:rPr>
            </w:pPr>
          </w:p>
        </w:tc>
        <w:tc>
          <w:tcPr>
            <w:tcW w:w="1000" w:type="dxa"/>
            <w:vAlign w:val="bottom"/>
            <w:shd w:val="clear" w:color="auto" w:fill="E0EBED"/>
          </w:tcPr>
          <w:p>
            <w:pPr>
              <w:jc w:val="right"/>
              <w:ind w:right="33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4"/>
                <w:szCs w:val="24"/>
                <w:color w:val="auto"/>
              </w:rPr>
            </w:pPr>
          </w:p>
        </w:tc>
        <w:tc>
          <w:tcPr>
            <w:tcW w:w="220" w:type="dxa"/>
            <w:vAlign w:val="bottom"/>
            <w:shd w:val="clear" w:color="auto" w:fill="E0EBED"/>
          </w:tcPr>
          <w:p>
            <w:pPr>
              <w:spacing w:after="0"/>
              <w:rPr>
                <w:sz w:val="24"/>
                <w:szCs w:val="24"/>
                <w:color w:val="auto"/>
              </w:rPr>
            </w:pPr>
          </w:p>
        </w:tc>
        <w:tc>
          <w:tcPr>
            <w:tcW w:w="840" w:type="dxa"/>
            <w:vAlign w:val="bottom"/>
            <w:shd w:val="clear" w:color="auto" w:fill="E0EBED"/>
          </w:tcPr>
          <w:p>
            <w:pPr>
              <w:jc w:val="right"/>
              <w:ind w:right="2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top w:val="single" w:sz="8" w:color="auto"/>
            </w:tcBorders>
          </w:tcPr>
          <w:p>
            <w:pPr>
              <w:spacing w:after="0" w:line="209" w:lineRule="exact"/>
              <w:rPr>
                <w:sz w:val="20"/>
                <w:szCs w:val="20"/>
                <w:color w:val="auto"/>
              </w:rPr>
            </w:pPr>
            <w:r>
              <w:rPr>
                <w:rFonts w:ascii="Arial" w:cs="Arial" w:eastAsia="Arial" w:hAnsi="Arial"/>
                <w:sz w:val="19"/>
                <w:szCs w:val="19"/>
                <w:b w:val="1"/>
                <w:bCs w:val="1"/>
                <w:color w:val="auto"/>
              </w:rPr>
              <w:t>Cash Flows from Operating Activities:</w:t>
            </w: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shd w:val="clear" w:color="auto" w:fill="CDDEE7"/>
          </w:tcPr>
          <w:p>
            <w:pPr>
              <w:spacing w:after="0"/>
              <w:rPr>
                <w:sz w:val="18"/>
                <w:szCs w:val="18"/>
                <w:color w:val="auto"/>
              </w:rPr>
            </w:pPr>
          </w:p>
        </w:tc>
        <w:tc>
          <w:tcPr>
            <w:tcW w:w="100" w:type="dxa"/>
            <w:vAlign w:val="bottom"/>
            <w:tcBorders>
              <w:top w:val="single" w:sz="8" w:color="auto"/>
            </w:tcBorders>
            <w:vMerge w:val="restart"/>
            <w:shd w:val="clear" w:color="auto" w:fill="CDDEE7"/>
          </w:tcPr>
          <w:p>
            <w:pPr>
              <w:jc w:val="right"/>
              <w:spacing w:after="0"/>
              <w:rPr>
                <w:sz w:val="20"/>
                <w:szCs w:val="20"/>
                <w:color w:val="auto"/>
              </w:rPr>
            </w:pPr>
            <w:r>
              <w:rPr>
                <w:rFonts w:ascii="Arial" w:cs="Arial" w:eastAsia="Arial" w:hAnsi="Arial"/>
                <w:sz w:val="18"/>
                <w:szCs w:val="18"/>
                <w:b w:val="1"/>
                <w:bCs w:val="1"/>
                <w:color w:val="auto"/>
                <w:w w:val="79"/>
                <w:shd w:val="clear" w:color="auto" w:fill="CDDEE7"/>
              </w:rPr>
              <w:t>$</w:t>
            </w:r>
          </w:p>
        </w:tc>
        <w:tc>
          <w:tcPr>
            <w:tcW w:w="1000" w:type="dxa"/>
            <w:vAlign w:val="bottom"/>
            <w:tcBorders>
              <w:top w:val="single" w:sz="8" w:color="auto"/>
            </w:tcBorders>
            <w:gridSpan w:val="2"/>
            <w:vMerge w:val="restart"/>
            <w:shd w:val="clear" w:color="auto" w:fill="CDDEE7"/>
          </w:tcPr>
          <w:p>
            <w:pPr>
              <w:jc w:val="right"/>
              <w:ind w:right="120"/>
              <w:spacing w:after="0"/>
              <w:rPr>
                <w:sz w:val="20"/>
                <w:szCs w:val="20"/>
                <w:color w:val="auto"/>
              </w:rPr>
            </w:pPr>
            <w:r>
              <w:rPr>
                <w:rFonts w:ascii="Arial" w:cs="Arial" w:eastAsia="Arial" w:hAnsi="Arial"/>
                <w:sz w:val="18"/>
                <w:szCs w:val="18"/>
                <w:b w:val="1"/>
                <w:bCs w:val="1"/>
                <w:color w:val="auto"/>
                <w:shd w:val="clear" w:color="auto" w:fill="CDDEE7"/>
              </w:rPr>
              <w:t>470,376</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shd w:val="clear" w:color="auto" w:fill="E0EBED"/>
          </w:tcPr>
          <w:p>
            <w:pPr>
              <w:spacing w:after="0"/>
              <w:rPr>
                <w:sz w:val="18"/>
                <w:szCs w:val="18"/>
                <w:color w:val="auto"/>
              </w:rPr>
            </w:pPr>
          </w:p>
        </w:tc>
        <w:tc>
          <w:tcPr>
            <w:tcW w:w="1000" w:type="dxa"/>
            <w:vAlign w:val="bottom"/>
            <w:tcBorders>
              <w:top w:val="single" w:sz="8" w:color="auto"/>
            </w:tcBorders>
            <w:shd w:val="clear" w:color="auto" w:fill="E0EBED"/>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shd w:val="clear" w:color="auto" w:fill="E0EBED"/>
          </w:tcPr>
          <w:p>
            <w:pPr>
              <w:spacing w:after="0"/>
              <w:rPr>
                <w:sz w:val="18"/>
                <w:szCs w:val="18"/>
                <w:color w:val="auto"/>
              </w:rPr>
            </w:pPr>
          </w:p>
        </w:tc>
        <w:tc>
          <w:tcPr>
            <w:tcW w:w="840" w:type="dxa"/>
            <w:vAlign w:val="bottom"/>
            <w:tcBorders>
              <w:top w:val="single" w:sz="8" w:color="auto"/>
            </w:tcBorders>
            <w:shd w:val="clear" w:color="auto" w:fill="E0EBED"/>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Consolidated net earnings</w:t>
            </w:r>
          </w:p>
        </w:tc>
        <w:tc>
          <w:tcPr>
            <w:tcW w:w="1480" w:type="dxa"/>
            <w:vAlign w:val="bottom"/>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 w:type="dxa"/>
            <w:vAlign w:val="bottom"/>
            <w:vMerge w:val="continue"/>
            <w:shd w:val="clear" w:color="auto" w:fill="CDDEE7"/>
          </w:tcPr>
          <w:p>
            <w:pPr>
              <w:spacing w:after="0"/>
              <w:rPr>
                <w:sz w:val="17"/>
                <w:szCs w:val="17"/>
                <w:color w:val="auto"/>
              </w:rPr>
            </w:pPr>
          </w:p>
        </w:tc>
        <w:tc>
          <w:tcPr>
            <w:tcW w:w="1000" w:type="dxa"/>
            <w:vAlign w:val="bottom"/>
            <w:gridSpan w:val="2"/>
            <w:vMerge w:val="continue"/>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0EBED"/>
          </w:tcPr>
          <w:p>
            <w:pPr>
              <w:jc w:val="right"/>
              <w:ind w:right="50"/>
              <w:spacing w:after="0" w:line="202" w:lineRule="exact"/>
              <w:rPr>
                <w:sz w:val="20"/>
                <w:szCs w:val="20"/>
                <w:color w:val="auto"/>
              </w:rPr>
            </w:pPr>
            <w:r>
              <w:rPr>
                <w:rFonts w:ascii="Arial" w:cs="Arial" w:eastAsia="Arial" w:hAnsi="Arial"/>
                <w:sz w:val="18"/>
                <w:szCs w:val="18"/>
                <w:color w:val="auto"/>
              </w:rPr>
              <w:t>713,385</w:t>
            </w:r>
          </w:p>
        </w:tc>
        <w:tc>
          <w:tcPr>
            <w:tcW w:w="200" w:type="dxa"/>
            <w:vAlign w:val="bottom"/>
          </w:tcPr>
          <w:p>
            <w:pPr>
              <w:spacing w:after="0"/>
              <w:rPr>
                <w:sz w:val="17"/>
                <w:szCs w:val="17"/>
                <w:color w:val="auto"/>
              </w:rPr>
            </w:pPr>
          </w:p>
        </w:tc>
        <w:tc>
          <w:tcPr>
            <w:tcW w:w="220" w:type="dxa"/>
            <w:vAlign w:val="bottom"/>
            <w:shd w:val="clear" w:color="auto" w:fill="E0EBED"/>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425,444</w:t>
            </w:r>
          </w:p>
        </w:tc>
        <w:tc>
          <w:tcPr>
            <w:tcW w:w="0" w:type="dxa"/>
            <w:vAlign w:val="bottom"/>
          </w:tcPr>
          <w:p>
            <w:pPr>
              <w:spacing w:after="0"/>
              <w:rPr>
                <w:sz w:val="1"/>
                <w:szCs w:val="1"/>
                <w:color w:val="auto"/>
              </w:rPr>
            </w:pPr>
          </w:p>
        </w:tc>
      </w:tr>
      <w:tr>
        <w:trPr>
          <w:trHeight w:val="203"/>
        </w:trPr>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Adjustments to reconcile consolidated net earnings to net cash provided by operating</w:t>
            </w: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80" w:type="dxa"/>
            <w:vAlign w:val="bottom"/>
            <w:shd w:val="clear" w:color="auto" w:fill="CDDEE7"/>
          </w:tcPr>
          <w:p>
            <w:pPr>
              <w:spacing w:after="0"/>
              <w:rPr>
                <w:sz w:val="17"/>
                <w:szCs w:val="17"/>
                <w:color w:val="auto"/>
              </w:rPr>
            </w:pPr>
          </w:p>
        </w:tc>
        <w:tc>
          <w:tcPr>
            <w:tcW w:w="120" w:type="dxa"/>
            <w:vAlign w:val="bottom"/>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1000" w:type="dxa"/>
            <w:vAlign w:val="bottom"/>
            <w:shd w:val="clear" w:color="auto" w:fill="E0EBED"/>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40" w:type="dxa"/>
            <w:vAlign w:val="bottom"/>
            <w:shd w:val="clear" w:color="auto" w:fill="E0EBED"/>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ind w:left="160"/>
              <w:spacing w:after="0" w:line="202" w:lineRule="exact"/>
              <w:rPr>
                <w:sz w:val="20"/>
                <w:szCs w:val="20"/>
                <w:color w:val="auto"/>
              </w:rPr>
            </w:pPr>
            <w:r>
              <w:rPr>
                <w:rFonts w:ascii="Arial" w:cs="Arial" w:eastAsia="Arial" w:hAnsi="Arial"/>
                <w:sz w:val="18"/>
                <w:szCs w:val="18"/>
                <w:color w:val="auto"/>
              </w:rPr>
              <w:t>activities:</w:t>
            </w:r>
          </w:p>
        </w:tc>
        <w:tc>
          <w:tcPr>
            <w:tcW w:w="1480" w:type="dxa"/>
            <w:vAlign w:val="bottom"/>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80" w:type="dxa"/>
            <w:vAlign w:val="bottom"/>
            <w:vMerge w:val="restart"/>
            <w:shd w:val="clear" w:color="auto" w:fill="CDDEE7"/>
          </w:tcPr>
          <w:p>
            <w:pPr>
              <w:jc w:val="right"/>
              <w:spacing w:after="0"/>
              <w:rPr>
                <w:sz w:val="20"/>
                <w:szCs w:val="20"/>
                <w:color w:val="auto"/>
              </w:rPr>
            </w:pPr>
            <w:r>
              <w:rPr>
                <w:rFonts w:ascii="Arial" w:cs="Arial" w:eastAsia="Arial" w:hAnsi="Arial"/>
                <w:sz w:val="18"/>
                <w:szCs w:val="18"/>
                <w:b w:val="1"/>
                <w:bCs w:val="1"/>
                <w:color w:val="auto"/>
              </w:rPr>
              <w:t>344,033</w:t>
            </w:r>
          </w:p>
        </w:tc>
        <w:tc>
          <w:tcPr>
            <w:tcW w:w="120" w:type="dxa"/>
            <w:vAlign w:val="bottom"/>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1000" w:type="dxa"/>
            <w:vAlign w:val="bottom"/>
            <w:shd w:val="clear" w:color="auto" w:fill="E0EBED"/>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40" w:type="dxa"/>
            <w:vAlign w:val="bottom"/>
            <w:shd w:val="clear" w:color="auto" w:fill="E0EBED"/>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60" w:type="dxa"/>
            <w:vAlign w:val="bottom"/>
            <w:gridSpan w:val="2"/>
          </w:tcPr>
          <w:p>
            <w:pPr>
              <w:spacing w:after="0" w:line="181" w:lineRule="exact"/>
              <w:rPr>
                <w:sz w:val="20"/>
                <w:szCs w:val="20"/>
                <w:color w:val="auto"/>
              </w:rPr>
            </w:pPr>
            <w:r>
              <w:rPr>
                <w:rFonts w:ascii="Arial" w:cs="Arial" w:eastAsia="Arial" w:hAnsi="Arial"/>
                <w:sz w:val="18"/>
                <w:szCs w:val="18"/>
                <w:color w:val="auto"/>
              </w:rPr>
              <w:t>Depreciation, depletion and amortization</w:t>
            </w:r>
          </w:p>
        </w:tc>
        <w:tc>
          <w:tcPr>
            <w:tcW w:w="1480" w:type="dxa"/>
            <w:vAlign w:val="bottom"/>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880" w:type="dxa"/>
            <w:vAlign w:val="bottom"/>
            <w:vMerge w:val="continue"/>
            <w:shd w:val="clear" w:color="auto" w:fill="CDDEE7"/>
          </w:tcPr>
          <w:p>
            <w:pPr>
              <w:spacing w:after="0"/>
              <w:rPr>
                <w:sz w:val="15"/>
                <w:szCs w:val="15"/>
                <w:color w:val="auto"/>
              </w:rPr>
            </w:pPr>
          </w:p>
        </w:tc>
        <w:tc>
          <w:tcPr>
            <w:tcW w:w="120" w:type="dxa"/>
            <w:vAlign w:val="bottom"/>
            <w:shd w:val="clear" w:color="auto" w:fill="CDDEE7"/>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shd w:val="clear" w:color="auto" w:fill="E0EBED"/>
          </w:tcPr>
          <w:p>
            <w:pPr>
              <w:spacing w:after="0"/>
              <w:rPr>
                <w:sz w:val="15"/>
                <w:szCs w:val="15"/>
                <w:color w:val="auto"/>
              </w:rPr>
            </w:pPr>
          </w:p>
        </w:tc>
        <w:tc>
          <w:tcPr>
            <w:tcW w:w="1000" w:type="dxa"/>
            <w:vAlign w:val="bottom"/>
            <w:shd w:val="clear" w:color="auto" w:fill="E0EBED"/>
          </w:tcPr>
          <w:p>
            <w:pPr>
              <w:jc w:val="right"/>
              <w:ind w:right="50"/>
              <w:spacing w:after="0" w:line="181" w:lineRule="exact"/>
              <w:rPr>
                <w:sz w:val="20"/>
                <w:szCs w:val="20"/>
                <w:color w:val="auto"/>
              </w:rPr>
            </w:pPr>
            <w:r>
              <w:rPr>
                <w:rFonts w:ascii="Arial" w:cs="Arial" w:eastAsia="Arial" w:hAnsi="Arial"/>
                <w:sz w:val="18"/>
                <w:szCs w:val="18"/>
                <w:color w:val="auto"/>
              </w:rPr>
              <w:t>297,162</w:t>
            </w:r>
          </w:p>
        </w:tc>
        <w:tc>
          <w:tcPr>
            <w:tcW w:w="200" w:type="dxa"/>
            <w:vAlign w:val="bottom"/>
          </w:tcPr>
          <w:p>
            <w:pPr>
              <w:spacing w:after="0"/>
              <w:rPr>
                <w:sz w:val="15"/>
                <w:szCs w:val="15"/>
                <w:color w:val="auto"/>
              </w:rPr>
            </w:pPr>
          </w:p>
        </w:tc>
        <w:tc>
          <w:tcPr>
            <w:tcW w:w="220" w:type="dxa"/>
            <w:vAlign w:val="bottom"/>
            <w:shd w:val="clear" w:color="auto" w:fill="E0EBED"/>
          </w:tcPr>
          <w:p>
            <w:pPr>
              <w:spacing w:after="0"/>
              <w:rPr>
                <w:sz w:val="15"/>
                <w:szCs w:val="15"/>
                <w:color w:val="auto"/>
              </w:rPr>
            </w:pPr>
          </w:p>
        </w:tc>
        <w:tc>
          <w:tcPr>
            <w:tcW w:w="840" w:type="dxa"/>
            <w:vAlign w:val="bottom"/>
            <w:shd w:val="clear" w:color="auto" w:fill="E0EBED"/>
          </w:tcPr>
          <w:p>
            <w:pPr>
              <w:jc w:val="right"/>
              <w:ind w:right="30"/>
              <w:spacing w:after="0" w:line="181" w:lineRule="exact"/>
              <w:rPr>
                <w:sz w:val="20"/>
                <w:szCs w:val="20"/>
                <w:color w:val="auto"/>
              </w:rPr>
            </w:pPr>
            <w:r>
              <w:rPr>
                <w:rFonts w:ascii="Arial" w:cs="Arial" w:eastAsia="Arial" w:hAnsi="Arial"/>
                <w:sz w:val="18"/>
                <w:szCs w:val="18"/>
                <w:color w:val="auto"/>
              </w:rPr>
              <w:t>285,253</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1480" w:type="dxa"/>
            <w:vAlign w:val="bottom"/>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8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29,253</w:t>
            </w:r>
          </w:p>
        </w:tc>
        <w:tc>
          <w:tcPr>
            <w:tcW w:w="120" w:type="dxa"/>
            <w:vAlign w:val="bottom"/>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1000" w:type="dxa"/>
            <w:vAlign w:val="bottom"/>
            <w:shd w:val="clear" w:color="auto" w:fill="E0EBED"/>
          </w:tcPr>
          <w:p>
            <w:pPr>
              <w:jc w:val="right"/>
              <w:ind w:right="50"/>
              <w:spacing w:after="0" w:line="202" w:lineRule="exact"/>
              <w:rPr>
                <w:sz w:val="20"/>
                <w:szCs w:val="20"/>
                <w:color w:val="auto"/>
              </w:rPr>
            </w:pPr>
            <w:r>
              <w:rPr>
                <w:rFonts w:ascii="Arial" w:cs="Arial" w:eastAsia="Arial" w:hAnsi="Arial"/>
                <w:sz w:val="18"/>
                <w:szCs w:val="18"/>
                <w:color w:val="auto"/>
              </w:rPr>
              <w:t>30,460</w:t>
            </w: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20,481</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(Gain) Loss on divestitures and sales of assets</w:t>
            </w:r>
          </w:p>
        </w:tc>
        <w:tc>
          <w:tcPr>
            <w:tcW w:w="1480" w:type="dxa"/>
            <w:vAlign w:val="bottom"/>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8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(39,260)</w:t>
            </w:r>
          </w:p>
        </w:tc>
        <w:tc>
          <w:tcPr>
            <w:tcW w:w="120" w:type="dxa"/>
            <w:vAlign w:val="bottom"/>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1000" w:type="dxa"/>
            <w:vAlign w:val="bottom"/>
            <w:shd w:val="clear" w:color="auto" w:fill="E0EBED"/>
          </w:tcPr>
          <w:p>
            <w:pPr>
              <w:jc w:val="right"/>
              <w:ind w:right="50"/>
              <w:spacing w:after="0" w:line="202" w:lineRule="exact"/>
              <w:rPr>
                <w:sz w:val="20"/>
                <w:szCs w:val="20"/>
                <w:color w:val="auto"/>
              </w:rPr>
            </w:pPr>
            <w:r>
              <w:rPr>
                <w:rFonts w:ascii="Arial" w:cs="Arial" w:eastAsia="Arial" w:hAnsi="Arial"/>
                <w:sz w:val="18"/>
                <w:szCs w:val="18"/>
                <w:color w:val="auto"/>
              </w:rPr>
              <w:t>(19,366)</w:t>
            </w: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Deferred income taxes, net</w:t>
            </w:r>
          </w:p>
        </w:tc>
        <w:tc>
          <w:tcPr>
            <w:tcW w:w="1480" w:type="dxa"/>
            <w:vAlign w:val="bottom"/>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8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85,063</w:t>
            </w:r>
          </w:p>
        </w:tc>
        <w:tc>
          <w:tcPr>
            <w:tcW w:w="120" w:type="dxa"/>
            <w:vAlign w:val="bottom"/>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1000" w:type="dxa"/>
            <w:vAlign w:val="bottom"/>
            <w:shd w:val="clear" w:color="auto" w:fill="E0EBED"/>
          </w:tcPr>
          <w:p>
            <w:pPr>
              <w:jc w:val="right"/>
              <w:ind w:right="50"/>
              <w:spacing w:after="0" w:line="202" w:lineRule="exact"/>
              <w:rPr>
                <w:sz w:val="20"/>
                <w:szCs w:val="20"/>
                <w:color w:val="auto"/>
              </w:rPr>
            </w:pPr>
            <w:r>
              <w:rPr>
                <w:rFonts w:ascii="Arial" w:cs="Arial" w:eastAsia="Arial" w:hAnsi="Arial"/>
                <w:sz w:val="18"/>
                <w:szCs w:val="18"/>
                <w:color w:val="auto"/>
              </w:rPr>
              <w:t>(239,056)</w:t>
            </w: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67,050</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Noncash portion of asset and portfolio rationalization charge</w:t>
            </w:r>
          </w:p>
        </w:tc>
        <w:tc>
          <w:tcPr>
            <w:tcW w:w="1480" w:type="dxa"/>
            <w:vAlign w:val="bottom"/>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8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16,970</w:t>
            </w:r>
          </w:p>
        </w:tc>
        <w:tc>
          <w:tcPr>
            <w:tcW w:w="120" w:type="dxa"/>
            <w:vAlign w:val="bottom"/>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1000" w:type="dxa"/>
            <w:vAlign w:val="bottom"/>
            <w:shd w:val="clear" w:color="auto" w:fill="E0EBED"/>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060" w:type="dxa"/>
            <w:vAlign w:val="bottom"/>
            <w:gridSpan w:val="2"/>
          </w:tcPr>
          <w:p>
            <w:pPr>
              <w:spacing w:after="0"/>
              <w:rPr>
                <w:sz w:val="20"/>
                <w:szCs w:val="20"/>
                <w:color w:val="auto"/>
              </w:rPr>
            </w:pPr>
            <w:r>
              <w:rPr>
                <w:rFonts w:ascii="Arial" w:cs="Arial" w:eastAsia="Arial" w:hAnsi="Arial"/>
                <w:sz w:val="18"/>
                <w:szCs w:val="18"/>
                <w:color w:val="auto"/>
              </w:rPr>
              <w:t>Other items, net</w:t>
            </w:r>
          </w:p>
        </w:tc>
        <w:tc>
          <w:tcPr>
            <w:tcW w:w="1480" w:type="dxa"/>
            <w:vAlign w:val="bottom"/>
          </w:tcPr>
          <w:p>
            <w:pPr>
              <w:spacing w:after="0"/>
              <w:rPr>
                <w:sz w:val="19"/>
                <w:szCs w:val="19"/>
                <w:color w:val="auto"/>
              </w:rPr>
            </w:pPr>
          </w:p>
        </w:tc>
        <w:tc>
          <w:tcPr>
            <w:tcW w:w="100" w:type="dxa"/>
            <w:vAlign w:val="bottom"/>
            <w:shd w:val="clear" w:color="auto" w:fill="CDDEE7"/>
          </w:tcPr>
          <w:p>
            <w:pPr>
              <w:spacing w:after="0"/>
              <w:rPr>
                <w:sz w:val="19"/>
                <w:szCs w:val="19"/>
                <w:color w:val="auto"/>
              </w:rPr>
            </w:pPr>
          </w:p>
        </w:tc>
        <w:tc>
          <w:tcPr>
            <w:tcW w:w="100" w:type="dxa"/>
            <w:vAlign w:val="bottom"/>
            <w:shd w:val="clear" w:color="auto" w:fill="CDDEE7"/>
          </w:tcPr>
          <w:p>
            <w:pPr>
              <w:spacing w:after="0"/>
              <w:rPr>
                <w:sz w:val="19"/>
                <w:szCs w:val="19"/>
                <w:color w:val="auto"/>
              </w:rPr>
            </w:pPr>
          </w:p>
        </w:tc>
        <w:tc>
          <w:tcPr>
            <w:tcW w:w="880" w:type="dxa"/>
            <w:vAlign w:val="bottom"/>
            <w:shd w:val="clear" w:color="auto" w:fill="CDDEE7"/>
          </w:tcPr>
          <w:p>
            <w:pPr>
              <w:jc w:val="right"/>
              <w:spacing w:after="0"/>
              <w:rPr>
                <w:sz w:val="20"/>
                <w:szCs w:val="20"/>
                <w:color w:val="auto"/>
              </w:rPr>
            </w:pPr>
            <w:r>
              <w:rPr>
                <w:rFonts w:ascii="Arial" w:cs="Arial" w:eastAsia="Arial" w:hAnsi="Arial"/>
                <w:sz w:val="18"/>
                <w:szCs w:val="18"/>
                <w:b w:val="1"/>
                <w:bCs w:val="1"/>
                <w:color w:val="auto"/>
              </w:rPr>
              <w:t>(8,891)</w:t>
            </w:r>
          </w:p>
        </w:tc>
        <w:tc>
          <w:tcPr>
            <w:tcW w:w="120" w:type="dxa"/>
            <w:vAlign w:val="bottom"/>
            <w:shd w:val="clear" w:color="auto" w:fill="CDDEE7"/>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shd w:val="clear" w:color="auto" w:fill="E0EBED"/>
          </w:tcPr>
          <w:p>
            <w:pPr>
              <w:spacing w:after="0"/>
              <w:rPr>
                <w:sz w:val="19"/>
                <w:szCs w:val="19"/>
                <w:color w:val="auto"/>
              </w:rPr>
            </w:pPr>
          </w:p>
        </w:tc>
        <w:tc>
          <w:tcPr>
            <w:tcW w:w="1000" w:type="dxa"/>
            <w:vAlign w:val="bottom"/>
            <w:shd w:val="clear" w:color="auto" w:fill="E0EBED"/>
          </w:tcPr>
          <w:p>
            <w:pPr>
              <w:jc w:val="right"/>
              <w:ind w:right="50"/>
              <w:spacing w:after="0"/>
              <w:rPr>
                <w:sz w:val="20"/>
                <w:szCs w:val="20"/>
                <w:color w:val="auto"/>
              </w:rPr>
            </w:pPr>
            <w:r>
              <w:rPr>
                <w:rFonts w:ascii="Arial" w:cs="Arial" w:eastAsia="Arial" w:hAnsi="Arial"/>
                <w:sz w:val="18"/>
                <w:szCs w:val="18"/>
                <w:color w:val="auto"/>
              </w:rPr>
              <w:t>(13,437)</w:t>
            </w:r>
          </w:p>
        </w:tc>
        <w:tc>
          <w:tcPr>
            <w:tcW w:w="200" w:type="dxa"/>
            <w:vAlign w:val="bottom"/>
          </w:tcPr>
          <w:p>
            <w:pPr>
              <w:spacing w:after="0"/>
              <w:rPr>
                <w:sz w:val="19"/>
                <w:szCs w:val="19"/>
                <w:color w:val="auto"/>
              </w:rPr>
            </w:pPr>
          </w:p>
        </w:tc>
        <w:tc>
          <w:tcPr>
            <w:tcW w:w="220" w:type="dxa"/>
            <w:vAlign w:val="bottom"/>
            <w:shd w:val="clear" w:color="auto" w:fill="E0EBED"/>
          </w:tcPr>
          <w:p>
            <w:pPr>
              <w:spacing w:after="0"/>
              <w:rPr>
                <w:sz w:val="19"/>
                <w:szCs w:val="19"/>
                <w:color w:val="auto"/>
              </w:rPr>
            </w:pPr>
          </w:p>
        </w:tc>
        <w:tc>
          <w:tcPr>
            <w:tcW w:w="840" w:type="dxa"/>
            <w:vAlign w:val="bottom"/>
            <w:shd w:val="clear" w:color="auto" w:fill="E0EBED"/>
          </w:tcPr>
          <w:p>
            <w:pPr>
              <w:jc w:val="right"/>
              <w:ind w:right="30"/>
              <w:spacing w:after="0"/>
              <w:rPr>
                <w:sz w:val="20"/>
                <w:szCs w:val="20"/>
                <w:color w:val="auto"/>
              </w:rPr>
            </w:pPr>
            <w:r>
              <w:rPr>
                <w:rFonts w:ascii="Arial" w:cs="Arial" w:eastAsia="Arial" w:hAnsi="Arial"/>
                <w:sz w:val="18"/>
                <w:szCs w:val="18"/>
                <w:color w:val="auto"/>
              </w:rPr>
              <w:t>(18,023)</w:t>
            </w:r>
          </w:p>
        </w:tc>
        <w:tc>
          <w:tcPr>
            <w:tcW w:w="0" w:type="dxa"/>
            <w:vAlign w:val="bottom"/>
          </w:tcPr>
          <w:p>
            <w:pPr>
              <w:spacing w:after="0"/>
              <w:rPr>
                <w:sz w:val="1"/>
                <w:szCs w:val="1"/>
                <w:color w:val="auto"/>
              </w:rPr>
            </w:pPr>
          </w:p>
        </w:tc>
      </w:tr>
      <w:tr>
        <w:trPr>
          <w:trHeight w:val="203"/>
        </w:trPr>
        <w:tc>
          <w:tcPr>
            <w:tcW w:w="7540" w:type="dxa"/>
            <w:vAlign w:val="bottom"/>
            <w:gridSpan w:val="3"/>
          </w:tcPr>
          <w:p>
            <w:pPr>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80" w:type="dxa"/>
            <w:vAlign w:val="bottom"/>
            <w:vMerge w:val="restart"/>
            <w:shd w:val="clear" w:color="auto" w:fill="CDDEE7"/>
          </w:tcPr>
          <w:p>
            <w:pPr>
              <w:jc w:val="right"/>
              <w:spacing w:after="0"/>
              <w:rPr>
                <w:sz w:val="20"/>
                <w:szCs w:val="20"/>
                <w:color w:val="auto"/>
              </w:rPr>
            </w:pPr>
            <w:r>
              <w:rPr>
                <w:rFonts w:ascii="Arial" w:cs="Arial" w:eastAsia="Arial" w:hAnsi="Arial"/>
                <w:sz w:val="18"/>
                <w:szCs w:val="18"/>
                <w:b w:val="1"/>
                <w:bCs w:val="1"/>
                <w:color w:val="auto"/>
              </w:rPr>
              <w:t>(10,617)</w:t>
            </w:r>
          </w:p>
        </w:tc>
        <w:tc>
          <w:tcPr>
            <w:tcW w:w="120" w:type="dxa"/>
            <w:vAlign w:val="bottom"/>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1000" w:type="dxa"/>
            <w:vAlign w:val="bottom"/>
            <w:shd w:val="clear" w:color="auto" w:fill="E0EBED"/>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40" w:type="dxa"/>
            <w:vAlign w:val="bottom"/>
            <w:shd w:val="clear" w:color="auto" w:fill="E0EBED"/>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040" w:type="dxa"/>
            <w:vAlign w:val="bottom"/>
          </w:tcPr>
          <w:p>
            <w:pPr>
              <w:ind w:left="340"/>
              <w:spacing w:after="0" w:line="181" w:lineRule="exact"/>
              <w:rPr>
                <w:sz w:val="20"/>
                <w:szCs w:val="20"/>
                <w:color w:val="auto"/>
              </w:rPr>
            </w:pPr>
            <w:r>
              <w:rPr>
                <w:rFonts w:ascii="Arial" w:cs="Arial" w:eastAsia="Arial" w:hAnsi="Arial"/>
                <w:sz w:val="18"/>
                <w:szCs w:val="18"/>
                <w:color w:val="auto"/>
              </w:rPr>
              <w:t>Accounts receivable, net</w:t>
            </w:r>
          </w:p>
        </w:tc>
        <w:tc>
          <w:tcPr>
            <w:tcW w:w="1480" w:type="dxa"/>
            <w:vAlign w:val="bottom"/>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880" w:type="dxa"/>
            <w:vAlign w:val="bottom"/>
            <w:vMerge w:val="continue"/>
            <w:shd w:val="clear" w:color="auto" w:fill="CDDEE7"/>
          </w:tcPr>
          <w:p>
            <w:pPr>
              <w:spacing w:after="0"/>
              <w:rPr>
                <w:sz w:val="15"/>
                <w:szCs w:val="15"/>
                <w:color w:val="auto"/>
              </w:rPr>
            </w:pPr>
          </w:p>
        </w:tc>
        <w:tc>
          <w:tcPr>
            <w:tcW w:w="120" w:type="dxa"/>
            <w:vAlign w:val="bottom"/>
            <w:shd w:val="clear" w:color="auto" w:fill="CDDEE7"/>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shd w:val="clear" w:color="auto" w:fill="E0EBED"/>
          </w:tcPr>
          <w:p>
            <w:pPr>
              <w:spacing w:after="0"/>
              <w:rPr>
                <w:sz w:val="15"/>
                <w:szCs w:val="15"/>
                <w:color w:val="auto"/>
              </w:rPr>
            </w:pPr>
          </w:p>
        </w:tc>
        <w:tc>
          <w:tcPr>
            <w:tcW w:w="1000" w:type="dxa"/>
            <w:vAlign w:val="bottom"/>
            <w:shd w:val="clear" w:color="auto" w:fill="E0EBED"/>
          </w:tcPr>
          <w:p>
            <w:pPr>
              <w:jc w:val="right"/>
              <w:ind w:right="50"/>
              <w:spacing w:after="0" w:line="181" w:lineRule="exact"/>
              <w:rPr>
                <w:sz w:val="20"/>
                <w:szCs w:val="20"/>
                <w:color w:val="auto"/>
              </w:rPr>
            </w:pPr>
            <w:r>
              <w:rPr>
                <w:rFonts w:ascii="Arial" w:cs="Arial" w:eastAsia="Arial" w:hAnsi="Arial"/>
                <w:sz w:val="18"/>
                <w:szCs w:val="18"/>
                <w:color w:val="auto"/>
              </w:rPr>
              <w:t>(29,329)</w:t>
            </w:r>
          </w:p>
        </w:tc>
        <w:tc>
          <w:tcPr>
            <w:tcW w:w="200" w:type="dxa"/>
            <w:vAlign w:val="bottom"/>
          </w:tcPr>
          <w:p>
            <w:pPr>
              <w:spacing w:after="0"/>
              <w:rPr>
                <w:sz w:val="15"/>
                <w:szCs w:val="15"/>
                <w:color w:val="auto"/>
              </w:rPr>
            </w:pPr>
          </w:p>
        </w:tc>
        <w:tc>
          <w:tcPr>
            <w:tcW w:w="220" w:type="dxa"/>
            <w:vAlign w:val="bottom"/>
            <w:shd w:val="clear" w:color="auto" w:fill="E0EBED"/>
          </w:tcPr>
          <w:p>
            <w:pPr>
              <w:spacing w:after="0"/>
              <w:rPr>
                <w:sz w:val="15"/>
                <w:szCs w:val="15"/>
                <w:color w:val="auto"/>
              </w:rPr>
            </w:pPr>
          </w:p>
        </w:tc>
        <w:tc>
          <w:tcPr>
            <w:tcW w:w="840" w:type="dxa"/>
            <w:vAlign w:val="bottom"/>
            <w:shd w:val="clear" w:color="auto" w:fill="E0EBED"/>
          </w:tcPr>
          <w:p>
            <w:pPr>
              <w:jc w:val="right"/>
              <w:ind w:right="30"/>
              <w:spacing w:after="0" w:line="181" w:lineRule="exact"/>
              <w:rPr>
                <w:sz w:val="20"/>
                <w:szCs w:val="20"/>
                <w:color w:val="auto"/>
              </w:rPr>
            </w:pPr>
            <w:r>
              <w:rPr>
                <w:rFonts w:ascii="Arial" w:cs="Arial" w:eastAsia="Arial" w:hAnsi="Arial"/>
                <w:sz w:val="18"/>
                <w:szCs w:val="18"/>
                <w:color w:val="auto"/>
              </w:rPr>
              <w:t>(25,072)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ind w:left="340"/>
              <w:spacing w:after="0" w:line="202" w:lineRule="exact"/>
              <w:rPr>
                <w:sz w:val="20"/>
                <w:szCs w:val="20"/>
                <w:color w:val="auto"/>
              </w:rPr>
            </w:pPr>
            <w:r>
              <w:rPr>
                <w:rFonts w:ascii="Arial" w:cs="Arial" w:eastAsia="Arial" w:hAnsi="Arial"/>
                <w:sz w:val="18"/>
                <w:szCs w:val="18"/>
                <w:color w:val="auto"/>
              </w:rPr>
              <w:t>Inventories, net</w:t>
            </w:r>
          </w:p>
        </w:tc>
        <w:tc>
          <w:tcPr>
            <w:tcW w:w="1480" w:type="dxa"/>
            <w:vAlign w:val="bottom"/>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8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(21,984)</w:t>
            </w:r>
          </w:p>
        </w:tc>
        <w:tc>
          <w:tcPr>
            <w:tcW w:w="120" w:type="dxa"/>
            <w:vAlign w:val="bottom"/>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1000" w:type="dxa"/>
            <w:vAlign w:val="bottom"/>
            <w:shd w:val="clear" w:color="auto" w:fill="E0EBED"/>
          </w:tcPr>
          <w:p>
            <w:pPr>
              <w:jc w:val="right"/>
              <w:ind w:right="50"/>
              <w:spacing w:after="0" w:line="202" w:lineRule="exact"/>
              <w:rPr>
                <w:sz w:val="20"/>
                <w:szCs w:val="20"/>
                <w:color w:val="auto"/>
              </w:rPr>
            </w:pPr>
            <w:r>
              <w:rPr>
                <w:rFonts w:ascii="Arial" w:cs="Arial" w:eastAsia="Arial" w:hAnsi="Arial"/>
                <w:sz w:val="18"/>
                <w:szCs w:val="18"/>
                <w:color w:val="auto"/>
              </w:rPr>
              <w:t>(78,966)</w:t>
            </w: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(47,381)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ind w:left="340"/>
              <w:spacing w:after="0" w:line="202" w:lineRule="exact"/>
              <w:rPr>
                <w:sz w:val="20"/>
                <w:szCs w:val="20"/>
                <w:color w:val="auto"/>
              </w:rPr>
            </w:pPr>
            <w:r>
              <w:rPr>
                <w:rFonts w:ascii="Arial" w:cs="Arial" w:eastAsia="Arial" w:hAnsi="Arial"/>
                <w:sz w:val="18"/>
                <w:szCs w:val="18"/>
                <w:color w:val="auto"/>
              </w:rPr>
              <w:t>Accounts payable</w:t>
            </w:r>
          </w:p>
        </w:tc>
        <w:tc>
          <w:tcPr>
            <w:tcW w:w="1480" w:type="dxa"/>
            <w:vAlign w:val="bottom"/>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8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20,148</w:t>
            </w:r>
          </w:p>
        </w:tc>
        <w:tc>
          <w:tcPr>
            <w:tcW w:w="120" w:type="dxa"/>
            <w:vAlign w:val="bottom"/>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1000" w:type="dxa"/>
            <w:vAlign w:val="bottom"/>
            <w:shd w:val="clear" w:color="auto" w:fill="E0EBED"/>
          </w:tcPr>
          <w:p>
            <w:pPr>
              <w:jc w:val="right"/>
              <w:ind w:right="50"/>
              <w:spacing w:after="0" w:line="202" w:lineRule="exact"/>
              <w:rPr>
                <w:sz w:val="20"/>
                <w:szCs w:val="20"/>
                <w:color w:val="auto"/>
              </w:rPr>
            </w:pPr>
            <w:r>
              <w:rPr>
                <w:rFonts w:ascii="Arial" w:cs="Arial" w:eastAsia="Arial" w:hAnsi="Arial"/>
                <w:sz w:val="18"/>
                <w:szCs w:val="18"/>
                <w:color w:val="auto"/>
              </w:rPr>
              <w:t>(17,874)</w:t>
            </w: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(8,116)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 assets and liabilities, net</w:t>
            </w: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shd w:val="clear" w:color="auto" w:fill="CDDEE7"/>
          </w:tcPr>
          <w:p>
            <w:pPr>
              <w:spacing w:after="0"/>
              <w:rPr>
                <w:sz w:val="19"/>
                <w:szCs w:val="19"/>
                <w:color w:val="auto"/>
              </w:rPr>
            </w:pPr>
          </w:p>
        </w:tc>
        <w:tc>
          <w:tcPr>
            <w:tcW w:w="100" w:type="dxa"/>
            <w:vAlign w:val="bottom"/>
            <w:tcBorders>
              <w:bottom w:val="single" w:sz="8" w:color="auto"/>
            </w:tcBorders>
            <w:shd w:val="clear" w:color="auto" w:fill="CDDEE7"/>
          </w:tcPr>
          <w:p>
            <w:pPr>
              <w:spacing w:after="0"/>
              <w:rPr>
                <w:sz w:val="19"/>
                <w:szCs w:val="19"/>
                <w:color w:val="auto"/>
              </w:rPr>
            </w:pPr>
          </w:p>
        </w:tc>
        <w:tc>
          <w:tcPr>
            <w:tcW w:w="88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8"/>
                <w:szCs w:val="18"/>
                <w:b w:val="1"/>
                <w:bCs w:val="1"/>
                <w:color w:val="auto"/>
              </w:rPr>
              <w:t>(179,943)</w:t>
            </w:r>
          </w:p>
        </w:tc>
        <w:tc>
          <w:tcPr>
            <w:tcW w:w="120" w:type="dxa"/>
            <w:vAlign w:val="bottom"/>
            <w:tcBorders>
              <w:bottom w:val="single" w:sz="8" w:color="auto"/>
            </w:tcBorders>
            <w:shd w:val="clear" w:color="auto" w:fill="CDDEE7"/>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shd w:val="clear" w:color="auto" w:fill="E0EBED"/>
          </w:tcPr>
          <w:p>
            <w:pPr>
              <w:spacing w:after="0"/>
              <w:rPr>
                <w:sz w:val="19"/>
                <w:szCs w:val="19"/>
                <w:color w:val="auto"/>
              </w:rPr>
            </w:pPr>
          </w:p>
        </w:tc>
        <w:tc>
          <w:tcPr>
            <w:tcW w:w="1000" w:type="dxa"/>
            <w:vAlign w:val="bottom"/>
            <w:tcBorders>
              <w:bottom w:val="single" w:sz="8" w:color="auto"/>
            </w:tcBorders>
            <w:shd w:val="clear" w:color="auto" w:fill="E0EBED"/>
          </w:tcPr>
          <w:p>
            <w:pPr>
              <w:jc w:val="right"/>
              <w:ind w:right="50"/>
              <w:spacing w:after="0"/>
              <w:rPr>
                <w:sz w:val="20"/>
                <w:szCs w:val="20"/>
                <w:color w:val="auto"/>
              </w:rPr>
            </w:pPr>
            <w:r>
              <w:rPr>
                <w:rFonts w:ascii="Arial" w:cs="Arial" w:eastAsia="Arial" w:hAnsi="Arial"/>
                <w:sz w:val="18"/>
                <w:szCs w:val="18"/>
                <w:color w:val="auto"/>
              </w:rPr>
              <w:t>14,619</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shd w:val="clear" w:color="auto" w:fill="E0EBED"/>
          </w:tcPr>
          <w:p>
            <w:pPr>
              <w:spacing w:after="0"/>
              <w:rPr>
                <w:sz w:val="19"/>
                <w:szCs w:val="19"/>
                <w:color w:val="auto"/>
              </w:rPr>
            </w:pPr>
          </w:p>
        </w:tc>
        <w:tc>
          <w:tcPr>
            <w:tcW w:w="840" w:type="dxa"/>
            <w:vAlign w:val="bottom"/>
            <w:tcBorders>
              <w:bottom w:val="single" w:sz="8" w:color="auto"/>
            </w:tcBorders>
            <w:shd w:val="clear" w:color="auto" w:fill="E0EBED"/>
          </w:tcPr>
          <w:p>
            <w:pPr>
              <w:jc w:val="right"/>
              <w:ind w:right="30"/>
              <w:spacing w:after="0"/>
              <w:rPr>
                <w:sz w:val="20"/>
                <w:szCs w:val="20"/>
                <w:color w:val="auto"/>
              </w:rPr>
            </w:pPr>
            <w:r>
              <w:rPr>
                <w:rFonts w:ascii="Arial" w:cs="Arial" w:eastAsia="Arial" w:hAnsi="Arial"/>
                <w:sz w:val="18"/>
                <w:szCs w:val="18"/>
                <w:color w:val="auto"/>
              </w:rPr>
              <w:t>(11,106)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bottom w:val="single" w:sz="8" w:color="auto"/>
            </w:tcBorders>
          </w:tcPr>
          <w:p>
            <w:pPr>
              <w:spacing w:after="0" w:line="210" w:lineRule="exact"/>
              <w:rPr>
                <w:sz w:val="20"/>
                <w:szCs w:val="20"/>
                <w:color w:val="auto"/>
              </w:rPr>
            </w:pPr>
            <w:r>
              <w:rPr>
                <w:rFonts w:ascii="Arial" w:cs="Arial" w:eastAsia="Arial" w:hAnsi="Arial"/>
                <w:sz w:val="19"/>
                <w:szCs w:val="19"/>
                <w:b w:val="1"/>
                <w:bCs w:val="1"/>
                <w:color w:val="auto"/>
              </w:rPr>
              <w:t>Net Cash Provided by Operating Activities</w:t>
            </w: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8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8"/>
                <w:szCs w:val="18"/>
                <w:b w:val="1"/>
                <w:bCs w:val="1"/>
                <w:color w:val="auto"/>
              </w:rPr>
              <w:t>705,148</w:t>
            </w:r>
          </w:p>
        </w:tc>
        <w:tc>
          <w:tcPr>
            <w:tcW w:w="120" w:type="dxa"/>
            <w:vAlign w:val="bottom"/>
            <w:tcBorders>
              <w:bottom w:val="single" w:sz="8" w:color="auto"/>
            </w:tcBorders>
            <w:shd w:val="clear" w:color="auto" w:fill="CDDEE7"/>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1000" w:type="dxa"/>
            <w:vAlign w:val="bottom"/>
            <w:tcBorders>
              <w:bottom w:val="single" w:sz="8" w:color="auto"/>
            </w:tcBorders>
            <w:shd w:val="clear" w:color="auto" w:fill="E0EBED"/>
          </w:tcPr>
          <w:p>
            <w:pPr>
              <w:jc w:val="right"/>
              <w:ind w:right="50"/>
              <w:spacing w:after="0"/>
              <w:rPr>
                <w:sz w:val="20"/>
                <w:szCs w:val="20"/>
                <w:color w:val="auto"/>
              </w:rPr>
            </w:pPr>
            <w:r>
              <w:rPr>
                <w:rFonts w:ascii="Arial" w:cs="Arial" w:eastAsia="Arial" w:hAnsi="Arial"/>
                <w:sz w:val="18"/>
                <w:szCs w:val="18"/>
                <w:color w:val="auto"/>
              </w:rPr>
              <w:t>657,598</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840" w:type="dxa"/>
            <w:vAlign w:val="bottom"/>
            <w:tcBorders>
              <w:bottom w:val="single" w:sz="8" w:color="auto"/>
            </w:tcBorders>
            <w:shd w:val="clear" w:color="auto" w:fill="E0EBED"/>
          </w:tcPr>
          <w:p>
            <w:pPr>
              <w:jc w:val="right"/>
              <w:ind w:right="30"/>
              <w:spacing w:after="0"/>
              <w:rPr>
                <w:sz w:val="20"/>
                <w:szCs w:val="20"/>
                <w:color w:val="auto"/>
              </w:rPr>
            </w:pPr>
            <w:r>
              <w:rPr>
                <w:rFonts w:ascii="Arial" w:cs="Arial" w:eastAsia="Arial" w:hAnsi="Arial"/>
                <w:sz w:val="18"/>
                <w:szCs w:val="18"/>
                <w:color w:val="auto"/>
              </w:rPr>
              <w:t>688,940</w:t>
            </w:r>
          </w:p>
        </w:tc>
        <w:tc>
          <w:tcPr>
            <w:tcW w:w="0" w:type="dxa"/>
            <w:vAlign w:val="bottom"/>
          </w:tcPr>
          <w:p>
            <w:pPr>
              <w:spacing w:after="0"/>
              <w:rPr>
                <w:sz w:val="1"/>
                <w:szCs w:val="1"/>
                <w:color w:val="auto"/>
              </w:rPr>
            </w:pPr>
          </w:p>
        </w:tc>
      </w:tr>
      <w:tr>
        <w:trPr>
          <w:trHeight w:val="303"/>
        </w:trPr>
        <w:tc>
          <w:tcPr>
            <w:tcW w:w="6060" w:type="dxa"/>
            <w:vAlign w:val="bottom"/>
            <w:gridSpan w:val="2"/>
          </w:tcPr>
          <w:p>
            <w:pPr>
              <w:spacing w:after="0"/>
              <w:rPr>
                <w:sz w:val="20"/>
                <w:szCs w:val="20"/>
                <w:color w:val="auto"/>
              </w:rPr>
            </w:pPr>
            <w:r>
              <w:rPr>
                <w:rFonts w:ascii="Arial" w:cs="Arial" w:eastAsia="Arial" w:hAnsi="Arial"/>
                <w:sz w:val="19"/>
                <w:szCs w:val="19"/>
                <w:b w:val="1"/>
                <w:bCs w:val="1"/>
                <w:color w:val="auto"/>
              </w:rPr>
              <w:t>Cash Flows from Investing Activities:</w:t>
            </w:r>
          </w:p>
        </w:tc>
        <w:tc>
          <w:tcPr>
            <w:tcW w:w="1480" w:type="dxa"/>
            <w:vAlign w:val="bottom"/>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1000" w:type="dxa"/>
            <w:vAlign w:val="bottom"/>
            <w:gridSpan w:val="2"/>
            <w:vMerge w:val="restart"/>
            <w:shd w:val="clear" w:color="auto" w:fill="CDDEE7"/>
          </w:tcPr>
          <w:p>
            <w:pPr>
              <w:jc w:val="right"/>
              <w:ind w:right="60"/>
              <w:spacing w:after="0"/>
              <w:rPr>
                <w:sz w:val="20"/>
                <w:szCs w:val="20"/>
                <w:color w:val="auto"/>
              </w:rPr>
            </w:pPr>
            <w:r>
              <w:rPr>
                <w:rFonts w:ascii="Arial" w:cs="Arial" w:eastAsia="Arial" w:hAnsi="Arial"/>
                <w:sz w:val="18"/>
                <w:szCs w:val="18"/>
                <w:b w:val="1"/>
                <w:bCs w:val="1"/>
                <w:color w:val="auto"/>
              </w:rPr>
              <w:t>(375,954)</w:t>
            </w:r>
          </w:p>
        </w:tc>
        <w:tc>
          <w:tcPr>
            <w:tcW w:w="200" w:type="dxa"/>
            <w:vAlign w:val="bottom"/>
          </w:tcPr>
          <w:p>
            <w:pPr>
              <w:spacing w:after="0"/>
              <w:rPr>
                <w:sz w:val="24"/>
                <w:szCs w:val="24"/>
                <w:color w:val="auto"/>
              </w:rPr>
            </w:pPr>
          </w:p>
        </w:tc>
        <w:tc>
          <w:tcPr>
            <w:tcW w:w="220" w:type="dxa"/>
            <w:vAlign w:val="bottom"/>
            <w:shd w:val="clear" w:color="auto" w:fill="E0EBED"/>
          </w:tcPr>
          <w:p>
            <w:pPr>
              <w:spacing w:after="0"/>
              <w:rPr>
                <w:sz w:val="24"/>
                <w:szCs w:val="24"/>
                <w:color w:val="auto"/>
              </w:rPr>
            </w:pPr>
          </w:p>
        </w:tc>
        <w:tc>
          <w:tcPr>
            <w:tcW w:w="1000" w:type="dxa"/>
            <w:vAlign w:val="bottom"/>
            <w:shd w:val="clear" w:color="auto" w:fill="E0EBED"/>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shd w:val="clear" w:color="auto" w:fill="E0EBED"/>
          </w:tcPr>
          <w:p>
            <w:pPr>
              <w:spacing w:after="0"/>
              <w:rPr>
                <w:sz w:val="24"/>
                <w:szCs w:val="24"/>
                <w:color w:val="auto"/>
              </w:rPr>
            </w:pPr>
          </w:p>
        </w:tc>
        <w:tc>
          <w:tcPr>
            <w:tcW w:w="84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Additions to property, plant and equipment</w:t>
            </w:r>
          </w:p>
        </w:tc>
        <w:tc>
          <w:tcPr>
            <w:tcW w:w="1480" w:type="dxa"/>
            <w:vAlign w:val="bottom"/>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0" w:type="dxa"/>
            <w:vAlign w:val="bottom"/>
            <w:gridSpan w:val="2"/>
            <w:vMerge w:val="continue"/>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1000" w:type="dxa"/>
            <w:vAlign w:val="bottom"/>
            <w:shd w:val="clear" w:color="auto" w:fill="E0EBED"/>
          </w:tcPr>
          <w:p>
            <w:pPr>
              <w:jc w:val="right"/>
              <w:spacing w:after="0" w:line="202" w:lineRule="exact"/>
              <w:rPr>
                <w:sz w:val="20"/>
                <w:szCs w:val="20"/>
                <w:color w:val="auto"/>
              </w:rPr>
            </w:pPr>
            <w:r>
              <w:rPr>
                <w:rFonts w:ascii="Arial" w:cs="Arial" w:eastAsia="Arial" w:hAnsi="Arial"/>
                <w:sz w:val="18"/>
                <w:szCs w:val="18"/>
                <w:color w:val="auto"/>
              </w:rPr>
              <w:t>(410,325)</w:t>
            </w: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40" w:type="dxa"/>
            <w:vAlign w:val="bottom"/>
            <w:shd w:val="clear" w:color="auto" w:fill="E0EBED"/>
          </w:tcPr>
          <w:p>
            <w:pPr>
              <w:jc w:val="right"/>
              <w:spacing w:after="0" w:line="202" w:lineRule="exact"/>
              <w:rPr>
                <w:sz w:val="20"/>
                <w:szCs w:val="20"/>
                <w:color w:val="auto"/>
              </w:rPr>
            </w:pPr>
            <w:r>
              <w:rPr>
                <w:rFonts w:ascii="Arial" w:cs="Arial" w:eastAsia="Arial" w:hAnsi="Arial"/>
                <w:sz w:val="18"/>
                <w:szCs w:val="18"/>
                <w:color w:val="auto"/>
                <w:w w:val="98"/>
                <w:shd w:val="clear" w:color="auto" w:fill="E0EBED"/>
              </w:rPr>
              <w:t>(387,267)</w:t>
            </w:r>
          </w:p>
        </w:tc>
        <w:tc>
          <w:tcPr>
            <w:tcW w:w="0" w:type="dxa"/>
            <w:vAlign w:val="bottom"/>
          </w:tcPr>
          <w:p>
            <w:pPr>
              <w:spacing w:after="0"/>
              <w:rPr>
                <w:sz w:val="1"/>
                <w:szCs w:val="1"/>
                <w:color w:val="auto"/>
              </w:rPr>
            </w:pPr>
          </w:p>
        </w:tc>
      </w:tr>
      <w:tr>
        <w:trPr>
          <w:trHeight w:val="181"/>
        </w:trPr>
        <w:tc>
          <w:tcPr>
            <w:tcW w:w="6060" w:type="dxa"/>
            <w:vAlign w:val="bottom"/>
            <w:gridSpan w:val="2"/>
          </w:tcPr>
          <w:p>
            <w:pPr>
              <w:spacing w:after="0" w:line="181" w:lineRule="exact"/>
              <w:rPr>
                <w:sz w:val="20"/>
                <w:szCs w:val="20"/>
                <w:color w:val="auto"/>
              </w:rPr>
            </w:pPr>
            <w:r>
              <w:rPr>
                <w:rFonts w:ascii="Arial" w:cs="Arial" w:eastAsia="Arial" w:hAnsi="Arial"/>
                <w:sz w:val="18"/>
                <w:szCs w:val="18"/>
                <w:color w:val="auto"/>
              </w:rPr>
              <w:t>Acquisitions, net of cash acquired</w:t>
            </w:r>
          </w:p>
        </w:tc>
        <w:tc>
          <w:tcPr>
            <w:tcW w:w="1480" w:type="dxa"/>
            <w:vAlign w:val="bottom"/>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880" w:type="dxa"/>
            <w:vAlign w:val="bottom"/>
            <w:shd w:val="clear" w:color="auto" w:fill="CDDEE7"/>
          </w:tcPr>
          <w:p>
            <w:pPr>
              <w:jc w:val="right"/>
              <w:spacing w:after="0" w:line="181" w:lineRule="exact"/>
              <w:rPr>
                <w:sz w:val="20"/>
                <w:szCs w:val="20"/>
                <w:color w:val="auto"/>
              </w:rPr>
            </w:pPr>
            <w:r>
              <w:rPr>
                <w:rFonts w:ascii="Arial" w:cs="Arial" w:eastAsia="Arial" w:hAnsi="Arial"/>
                <w:sz w:val="18"/>
                <w:szCs w:val="18"/>
                <w:b w:val="1"/>
                <w:bCs w:val="1"/>
                <w:color w:val="auto"/>
                <w:w w:val="93"/>
                <w:shd w:val="clear" w:color="auto" w:fill="CDDEE7"/>
              </w:rPr>
              <w:t>(1,642,137)</w:t>
            </w:r>
          </w:p>
        </w:tc>
        <w:tc>
          <w:tcPr>
            <w:tcW w:w="120" w:type="dxa"/>
            <w:vAlign w:val="bottom"/>
            <w:shd w:val="clear" w:color="auto" w:fill="CDDEE7"/>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shd w:val="clear" w:color="auto" w:fill="E0EBED"/>
          </w:tcPr>
          <w:p>
            <w:pPr>
              <w:spacing w:after="0"/>
              <w:rPr>
                <w:sz w:val="15"/>
                <w:szCs w:val="15"/>
                <w:color w:val="auto"/>
              </w:rPr>
            </w:pPr>
          </w:p>
        </w:tc>
        <w:tc>
          <w:tcPr>
            <w:tcW w:w="1000" w:type="dxa"/>
            <w:vAlign w:val="bottom"/>
            <w:shd w:val="clear" w:color="auto" w:fill="E0EBED"/>
          </w:tcPr>
          <w:p>
            <w:pPr>
              <w:jc w:val="right"/>
              <w:ind w:right="50"/>
              <w:spacing w:after="0" w:line="181" w:lineRule="exact"/>
              <w:rPr>
                <w:sz w:val="20"/>
                <w:szCs w:val="20"/>
                <w:color w:val="auto"/>
              </w:rPr>
            </w:pPr>
            <w:r>
              <w:rPr>
                <w:rFonts w:ascii="Arial" w:cs="Arial" w:eastAsia="Arial" w:hAnsi="Arial"/>
                <w:sz w:val="18"/>
                <w:szCs w:val="18"/>
                <w:color w:val="auto"/>
              </w:rPr>
              <w:t>(12,095)</w:t>
            </w:r>
          </w:p>
        </w:tc>
        <w:tc>
          <w:tcPr>
            <w:tcW w:w="200" w:type="dxa"/>
            <w:vAlign w:val="bottom"/>
          </w:tcPr>
          <w:p>
            <w:pPr>
              <w:spacing w:after="0"/>
              <w:rPr>
                <w:sz w:val="15"/>
                <w:szCs w:val="15"/>
                <w:color w:val="auto"/>
              </w:rPr>
            </w:pPr>
          </w:p>
        </w:tc>
        <w:tc>
          <w:tcPr>
            <w:tcW w:w="220" w:type="dxa"/>
            <w:vAlign w:val="bottom"/>
            <w:shd w:val="clear" w:color="auto" w:fill="E0EBED"/>
          </w:tcPr>
          <w:p>
            <w:pPr>
              <w:spacing w:after="0"/>
              <w:rPr>
                <w:sz w:val="15"/>
                <w:szCs w:val="15"/>
                <w:color w:val="auto"/>
              </w:rPr>
            </w:pPr>
          </w:p>
        </w:tc>
        <w:tc>
          <w:tcPr>
            <w:tcW w:w="840" w:type="dxa"/>
            <w:vAlign w:val="bottom"/>
            <w:shd w:val="clear" w:color="auto" w:fill="E0EBED"/>
          </w:tcPr>
          <w:p>
            <w:pPr>
              <w:jc w:val="right"/>
              <w:ind w:right="30"/>
              <w:spacing w:after="0" w:line="181" w:lineRule="exact"/>
              <w:rPr>
                <w:sz w:val="20"/>
                <w:szCs w:val="20"/>
                <w:color w:val="auto"/>
              </w:rPr>
            </w:pPr>
            <w:r>
              <w:rPr>
                <w:rFonts w:ascii="Arial" w:cs="Arial" w:eastAsia="Arial" w:hAnsi="Arial"/>
                <w:sz w:val="18"/>
                <w:szCs w:val="18"/>
                <w:color w:val="auto"/>
                <w:w w:val="90"/>
                <w:shd w:val="clear" w:color="auto" w:fill="E0EBED"/>
              </w:rPr>
              <w:t>(174,522)</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divestitures and sales of assets</w:t>
            </w:r>
          </w:p>
        </w:tc>
        <w:tc>
          <w:tcPr>
            <w:tcW w:w="1480" w:type="dxa"/>
            <w:vAlign w:val="bottom"/>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8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69,114</w:t>
            </w:r>
          </w:p>
        </w:tc>
        <w:tc>
          <w:tcPr>
            <w:tcW w:w="120" w:type="dxa"/>
            <w:vAlign w:val="bottom"/>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1000" w:type="dxa"/>
            <w:vAlign w:val="bottom"/>
            <w:shd w:val="clear" w:color="auto" w:fill="E0EBED"/>
          </w:tcPr>
          <w:p>
            <w:pPr>
              <w:jc w:val="right"/>
              <w:ind w:right="50"/>
              <w:spacing w:after="0" w:line="202" w:lineRule="exact"/>
              <w:rPr>
                <w:sz w:val="20"/>
                <w:szCs w:val="20"/>
                <w:color w:val="auto"/>
              </w:rPr>
            </w:pPr>
            <w:r>
              <w:rPr>
                <w:rFonts w:ascii="Arial" w:cs="Arial" w:eastAsia="Arial" w:hAnsi="Arial"/>
                <w:sz w:val="18"/>
                <w:szCs w:val="18"/>
                <w:color w:val="auto"/>
              </w:rPr>
              <w:t>35,941</w:t>
            </w: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Payment of railcar construction advances</w:t>
            </w:r>
          </w:p>
        </w:tc>
        <w:tc>
          <w:tcPr>
            <w:tcW w:w="1480" w:type="dxa"/>
            <w:vAlign w:val="bottom"/>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8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(79,351)</w:t>
            </w:r>
          </w:p>
        </w:tc>
        <w:tc>
          <w:tcPr>
            <w:tcW w:w="120" w:type="dxa"/>
            <w:vAlign w:val="bottom"/>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1000" w:type="dxa"/>
            <w:vAlign w:val="bottom"/>
            <w:shd w:val="clear" w:color="auto" w:fill="E0EBED"/>
          </w:tcPr>
          <w:p>
            <w:pPr>
              <w:jc w:val="right"/>
              <w:ind w:right="50"/>
              <w:spacing w:after="0" w:line="202" w:lineRule="exact"/>
              <w:rPr>
                <w:sz w:val="20"/>
                <w:szCs w:val="20"/>
                <w:color w:val="auto"/>
              </w:rPr>
            </w:pPr>
            <w:r>
              <w:rPr>
                <w:rFonts w:ascii="Arial" w:cs="Arial" w:eastAsia="Arial" w:hAnsi="Arial"/>
                <w:sz w:val="18"/>
                <w:szCs w:val="18"/>
                <w:color w:val="auto"/>
              </w:rPr>
              <w:t>(43,594)</w:t>
            </w: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(82,910)</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Reimbursement of railcar construction advances</w:t>
            </w:r>
          </w:p>
        </w:tc>
        <w:tc>
          <w:tcPr>
            <w:tcW w:w="1480" w:type="dxa"/>
            <w:vAlign w:val="bottom"/>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8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79,351</w:t>
            </w:r>
          </w:p>
        </w:tc>
        <w:tc>
          <w:tcPr>
            <w:tcW w:w="120" w:type="dxa"/>
            <w:vAlign w:val="bottom"/>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1000" w:type="dxa"/>
            <w:vAlign w:val="bottom"/>
            <w:shd w:val="clear" w:color="auto" w:fill="E0EBED"/>
          </w:tcPr>
          <w:p>
            <w:pPr>
              <w:jc w:val="right"/>
              <w:ind w:right="50"/>
              <w:spacing w:after="0" w:line="202" w:lineRule="exact"/>
              <w:rPr>
                <w:sz w:val="20"/>
                <w:szCs w:val="20"/>
                <w:color w:val="auto"/>
              </w:rPr>
            </w:pPr>
            <w:r>
              <w:rPr>
                <w:rFonts w:ascii="Arial" w:cs="Arial" w:eastAsia="Arial" w:hAnsi="Arial"/>
                <w:sz w:val="18"/>
                <w:szCs w:val="18"/>
                <w:color w:val="auto"/>
              </w:rPr>
              <w:t>43,594</w:t>
            </w: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82,910</w:t>
            </w:r>
          </w:p>
        </w:tc>
        <w:tc>
          <w:tcPr>
            <w:tcW w:w="0" w:type="dxa"/>
            <w:vAlign w:val="bottom"/>
          </w:tcPr>
          <w:p>
            <w:pPr>
              <w:spacing w:after="0"/>
              <w:rPr>
                <w:sz w:val="1"/>
                <w:szCs w:val="1"/>
                <w:color w:val="auto"/>
              </w:rPr>
            </w:pPr>
          </w:p>
        </w:tc>
      </w:tr>
      <w:tr>
        <w:trPr>
          <w:trHeight w:val="225"/>
        </w:trPr>
        <w:tc>
          <w:tcPr>
            <w:tcW w:w="6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Investments in life insurance contracts, net</w:t>
            </w: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shd w:val="clear" w:color="auto" w:fill="CDDEE7"/>
          </w:tcPr>
          <w:p>
            <w:pPr>
              <w:spacing w:after="0"/>
              <w:rPr>
                <w:sz w:val="19"/>
                <w:szCs w:val="19"/>
                <w:color w:val="auto"/>
              </w:rPr>
            </w:pPr>
          </w:p>
        </w:tc>
        <w:tc>
          <w:tcPr>
            <w:tcW w:w="100" w:type="dxa"/>
            <w:vAlign w:val="bottom"/>
            <w:tcBorders>
              <w:bottom w:val="single" w:sz="8" w:color="auto"/>
            </w:tcBorders>
            <w:shd w:val="clear" w:color="auto" w:fill="CDDEE7"/>
          </w:tcPr>
          <w:p>
            <w:pPr>
              <w:spacing w:after="0"/>
              <w:rPr>
                <w:sz w:val="19"/>
                <w:szCs w:val="19"/>
                <w:color w:val="auto"/>
              </w:rPr>
            </w:pPr>
          </w:p>
        </w:tc>
        <w:tc>
          <w:tcPr>
            <w:tcW w:w="88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8"/>
                <w:szCs w:val="18"/>
                <w:b w:val="1"/>
                <w:bCs w:val="1"/>
                <w:color w:val="auto"/>
              </w:rPr>
              <w:t>771</w:t>
            </w:r>
          </w:p>
        </w:tc>
        <w:tc>
          <w:tcPr>
            <w:tcW w:w="120" w:type="dxa"/>
            <w:vAlign w:val="bottom"/>
            <w:tcBorders>
              <w:bottom w:val="single" w:sz="8" w:color="auto"/>
            </w:tcBorders>
            <w:shd w:val="clear" w:color="auto" w:fill="CDDEE7"/>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shd w:val="clear" w:color="auto" w:fill="E0EBED"/>
          </w:tcPr>
          <w:p>
            <w:pPr>
              <w:spacing w:after="0"/>
              <w:rPr>
                <w:sz w:val="19"/>
                <w:szCs w:val="19"/>
                <w:color w:val="auto"/>
              </w:rPr>
            </w:pPr>
          </w:p>
        </w:tc>
        <w:tc>
          <w:tcPr>
            <w:tcW w:w="1000" w:type="dxa"/>
            <w:vAlign w:val="bottom"/>
            <w:tcBorders>
              <w:bottom w:val="single" w:sz="8" w:color="auto"/>
            </w:tcBorders>
            <w:shd w:val="clear" w:color="auto" w:fill="E0EBED"/>
          </w:tcPr>
          <w:p>
            <w:pPr>
              <w:jc w:val="right"/>
              <w:ind w:right="50"/>
              <w:spacing w:after="0"/>
              <w:rPr>
                <w:sz w:val="20"/>
                <w:szCs w:val="20"/>
                <w:color w:val="auto"/>
              </w:rPr>
            </w:pPr>
            <w:r>
              <w:rPr>
                <w:rFonts w:ascii="Arial" w:cs="Arial" w:eastAsia="Arial" w:hAnsi="Arial"/>
                <w:sz w:val="18"/>
                <w:szCs w:val="18"/>
                <w:color w:val="auto"/>
              </w:rPr>
              <w:t>280</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shd w:val="clear" w:color="auto" w:fill="E0EBED"/>
          </w:tcPr>
          <w:p>
            <w:pPr>
              <w:spacing w:after="0"/>
              <w:rPr>
                <w:sz w:val="19"/>
                <w:szCs w:val="19"/>
                <w:color w:val="auto"/>
              </w:rPr>
            </w:pPr>
          </w:p>
        </w:tc>
        <w:tc>
          <w:tcPr>
            <w:tcW w:w="840" w:type="dxa"/>
            <w:vAlign w:val="bottom"/>
            <w:tcBorders>
              <w:bottom w:val="single" w:sz="8" w:color="auto"/>
            </w:tcBorders>
            <w:shd w:val="clear" w:color="auto" w:fill="E0EBED"/>
          </w:tcPr>
          <w:p>
            <w:pPr>
              <w:jc w:val="right"/>
              <w:ind w:right="3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0"/>
        </w:trPr>
        <w:tc>
          <w:tcPr>
            <w:tcW w:w="6060" w:type="dxa"/>
            <w:vAlign w:val="bottom"/>
            <w:gridSpan w:val="2"/>
          </w:tcPr>
          <w:p>
            <w:pPr>
              <w:spacing w:after="0" w:line="210" w:lineRule="exact"/>
              <w:rPr>
                <w:sz w:val="20"/>
                <w:szCs w:val="20"/>
                <w:color w:val="auto"/>
              </w:rPr>
            </w:pPr>
            <w:r>
              <w:rPr>
                <w:rFonts w:ascii="Arial" w:cs="Arial" w:eastAsia="Arial" w:hAnsi="Arial"/>
                <w:sz w:val="19"/>
                <w:szCs w:val="19"/>
                <w:b w:val="1"/>
                <w:bCs w:val="1"/>
                <w:color w:val="auto"/>
              </w:rPr>
              <w:t>Net Cash Used for Investing Activities</w:t>
            </w:r>
          </w:p>
        </w:tc>
        <w:tc>
          <w:tcPr>
            <w:tcW w:w="1480" w:type="dxa"/>
            <w:vAlign w:val="bottom"/>
          </w:tcPr>
          <w:p>
            <w:pPr>
              <w:spacing w:after="0"/>
              <w:rPr>
                <w:sz w:val="18"/>
                <w:szCs w:val="18"/>
                <w:color w:val="auto"/>
              </w:rPr>
            </w:pPr>
          </w:p>
        </w:tc>
        <w:tc>
          <w:tcPr>
            <w:tcW w:w="100" w:type="dxa"/>
            <w:vAlign w:val="bottom"/>
            <w:shd w:val="clear" w:color="auto" w:fill="CDDEE7"/>
          </w:tcPr>
          <w:p>
            <w:pPr>
              <w:spacing w:after="0"/>
              <w:rPr>
                <w:sz w:val="18"/>
                <w:szCs w:val="18"/>
                <w:color w:val="auto"/>
              </w:rPr>
            </w:pPr>
          </w:p>
        </w:tc>
        <w:tc>
          <w:tcPr>
            <w:tcW w:w="100" w:type="dxa"/>
            <w:vAlign w:val="bottom"/>
            <w:shd w:val="clear" w:color="auto" w:fill="CDDEE7"/>
          </w:tcPr>
          <w:p>
            <w:pPr>
              <w:spacing w:after="0"/>
              <w:rPr>
                <w:sz w:val="18"/>
                <w:szCs w:val="18"/>
                <w:color w:val="auto"/>
              </w:rPr>
            </w:pPr>
          </w:p>
        </w:tc>
        <w:tc>
          <w:tcPr>
            <w:tcW w:w="880" w:type="dxa"/>
            <w:vAlign w:val="bottom"/>
            <w:shd w:val="clear" w:color="auto" w:fill="CDDEE7"/>
          </w:tcPr>
          <w:p>
            <w:pPr>
              <w:jc w:val="right"/>
              <w:spacing w:after="0"/>
              <w:rPr>
                <w:sz w:val="20"/>
                <w:szCs w:val="20"/>
                <w:color w:val="auto"/>
              </w:rPr>
            </w:pPr>
            <w:r>
              <w:rPr>
                <w:rFonts w:ascii="Arial" w:cs="Arial" w:eastAsia="Arial" w:hAnsi="Arial"/>
                <w:sz w:val="18"/>
                <w:szCs w:val="18"/>
                <w:b w:val="1"/>
                <w:bCs w:val="1"/>
                <w:color w:val="auto"/>
                <w:w w:val="93"/>
              </w:rPr>
              <w:t>(1,948,206)</w:t>
            </w:r>
          </w:p>
        </w:tc>
        <w:tc>
          <w:tcPr>
            <w:tcW w:w="120" w:type="dxa"/>
            <w:vAlign w:val="bottom"/>
            <w:shd w:val="clear" w:color="auto" w:fill="CDDEE7"/>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shd w:val="clear" w:color="auto" w:fill="E0EBED"/>
          </w:tcPr>
          <w:p>
            <w:pPr>
              <w:spacing w:after="0"/>
              <w:rPr>
                <w:sz w:val="18"/>
                <w:szCs w:val="18"/>
                <w:color w:val="auto"/>
              </w:rPr>
            </w:pPr>
          </w:p>
        </w:tc>
        <w:tc>
          <w:tcPr>
            <w:tcW w:w="1000" w:type="dxa"/>
            <w:vAlign w:val="bottom"/>
            <w:shd w:val="clear" w:color="auto" w:fill="E0EBED"/>
          </w:tcPr>
          <w:p>
            <w:pPr>
              <w:jc w:val="right"/>
              <w:ind w:right="50"/>
              <w:spacing w:after="0"/>
              <w:rPr>
                <w:sz w:val="20"/>
                <w:szCs w:val="20"/>
                <w:color w:val="auto"/>
              </w:rPr>
            </w:pPr>
            <w:r>
              <w:rPr>
                <w:rFonts w:ascii="Arial" w:cs="Arial" w:eastAsia="Arial" w:hAnsi="Arial"/>
                <w:sz w:val="18"/>
                <w:szCs w:val="18"/>
                <w:color w:val="auto"/>
              </w:rPr>
              <w:t>(386,199)</w:t>
            </w:r>
          </w:p>
        </w:tc>
        <w:tc>
          <w:tcPr>
            <w:tcW w:w="200" w:type="dxa"/>
            <w:vAlign w:val="bottom"/>
          </w:tcPr>
          <w:p>
            <w:pPr>
              <w:spacing w:after="0"/>
              <w:rPr>
                <w:sz w:val="18"/>
                <w:szCs w:val="18"/>
                <w:color w:val="auto"/>
              </w:rPr>
            </w:pPr>
          </w:p>
        </w:tc>
        <w:tc>
          <w:tcPr>
            <w:tcW w:w="220" w:type="dxa"/>
            <w:vAlign w:val="bottom"/>
            <w:shd w:val="clear" w:color="auto" w:fill="E0EBED"/>
          </w:tcPr>
          <w:p>
            <w:pPr>
              <w:spacing w:after="0"/>
              <w:rPr>
                <w:sz w:val="18"/>
                <w:szCs w:val="18"/>
                <w:color w:val="auto"/>
              </w:rPr>
            </w:pPr>
          </w:p>
        </w:tc>
        <w:tc>
          <w:tcPr>
            <w:tcW w:w="840" w:type="dxa"/>
            <w:vAlign w:val="bottom"/>
            <w:shd w:val="clear" w:color="auto" w:fill="E0EBED"/>
          </w:tcPr>
          <w:p>
            <w:pPr>
              <w:jc w:val="right"/>
              <w:ind w:right="30"/>
              <w:spacing w:after="0"/>
              <w:rPr>
                <w:sz w:val="20"/>
                <w:szCs w:val="20"/>
                <w:color w:val="auto"/>
              </w:rPr>
            </w:pPr>
            <w:r>
              <w:rPr>
                <w:rFonts w:ascii="Arial" w:cs="Arial" w:eastAsia="Arial" w:hAnsi="Arial"/>
                <w:sz w:val="18"/>
                <w:szCs w:val="18"/>
                <w:color w:val="auto"/>
                <w:w w:val="90"/>
              </w:rPr>
              <w:t>(555,020)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6060" w:type="dxa"/>
            <w:vAlign w:val="bottom"/>
            <w:gridSpan w:val="2"/>
          </w:tcPr>
          <w:p>
            <w:pPr>
              <w:spacing w:after="0"/>
              <w:rPr>
                <w:sz w:val="20"/>
                <w:szCs w:val="20"/>
                <w:color w:val="auto"/>
              </w:rPr>
            </w:pPr>
            <w:r>
              <w:rPr>
                <w:rFonts w:ascii="Arial" w:cs="Arial" w:eastAsia="Arial" w:hAnsi="Arial"/>
                <w:sz w:val="19"/>
                <w:szCs w:val="19"/>
                <w:b w:val="1"/>
                <w:bCs w:val="1"/>
                <w:color w:val="auto"/>
              </w:rPr>
              <w:t>Cash Flows from Financing Activities:</w:t>
            </w:r>
          </w:p>
        </w:tc>
        <w:tc>
          <w:tcPr>
            <w:tcW w:w="1480" w:type="dxa"/>
            <w:vAlign w:val="bottom"/>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1000" w:type="dxa"/>
            <w:vAlign w:val="bottom"/>
            <w:gridSpan w:val="2"/>
            <w:vMerge w:val="restart"/>
            <w:shd w:val="clear" w:color="auto" w:fill="CDDEE7"/>
          </w:tcPr>
          <w:p>
            <w:pPr>
              <w:jc w:val="right"/>
              <w:ind w:right="120"/>
              <w:spacing w:after="0"/>
              <w:rPr>
                <w:sz w:val="20"/>
                <w:szCs w:val="20"/>
                <w:color w:val="auto"/>
              </w:rPr>
            </w:pPr>
            <w:r>
              <w:rPr>
                <w:rFonts w:ascii="Arial" w:cs="Arial" w:eastAsia="Arial" w:hAnsi="Arial"/>
                <w:sz w:val="18"/>
                <w:szCs w:val="18"/>
                <w:b w:val="1"/>
                <w:bCs w:val="1"/>
                <w:color w:val="auto"/>
              </w:rPr>
              <w:t>1,000,000</w:t>
            </w:r>
          </w:p>
        </w:tc>
        <w:tc>
          <w:tcPr>
            <w:tcW w:w="200" w:type="dxa"/>
            <w:vAlign w:val="bottom"/>
          </w:tcPr>
          <w:p>
            <w:pPr>
              <w:spacing w:after="0"/>
              <w:rPr>
                <w:sz w:val="24"/>
                <w:szCs w:val="24"/>
                <w:color w:val="auto"/>
              </w:rPr>
            </w:pPr>
          </w:p>
        </w:tc>
        <w:tc>
          <w:tcPr>
            <w:tcW w:w="220" w:type="dxa"/>
            <w:vAlign w:val="bottom"/>
            <w:shd w:val="clear" w:color="auto" w:fill="E0EBED"/>
          </w:tcPr>
          <w:p>
            <w:pPr>
              <w:spacing w:after="0"/>
              <w:rPr>
                <w:sz w:val="24"/>
                <w:szCs w:val="24"/>
                <w:color w:val="auto"/>
              </w:rPr>
            </w:pPr>
          </w:p>
        </w:tc>
        <w:tc>
          <w:tcPr>
            <w:tcW w:w="1000" w:type="dxa"/>
            <w:vAlign w:val="bottom"/>
            <w:shd w:val="clear" w:color="auto" w:fill="E0EBED"/>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shd w:val="clear" w:color="auto" w:fill="E0EBED"/>
          </w:tcPr>
          <w:p>
            <w:pPr>
              <w:spacing w:after="0"/>
              <w:rPr>
                <w:sz w:val="24"/>
                <w:szCs w:val="24"/>
                <w:color w:val="auto"/>
              </w:rPr>
            </w:pPr>
          </w:p>
        </w:tc>
        <w:tc>
          <w:tcPr>
            <w:tcW w:w="84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Borrowings of long-term debt</w:t>
            </w:r>
          </w:p>
        </w:tc>
        <w:tc>
          <w:tcPr>
            <w:tcW w:w="1480" w:type="dxa"/>
            <w:vAlign w:val="bottom"/>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0" w:type="dxa"/>
            <w:vAlign w:val="bottom"/>
            <w:gridSpan w:val="2"/>
            <w:vMerge w:val="continue"/>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1000" w:type="dxa"/>
            <w:vAlign w:val="bottom"/>
            <w:shd w:val="clear" w:color="auto" w:fill="E0EBED"/>
          </w:tcPr>
          <w:p>
            <w:pPr>
              <w:jc w:val="right"/>
              <w:ind w:right="50"/>
              <w:spacing w:after="0" w:line="202" w:lineRule="exact"/>
              <w:rPr>
                <w:sz w:val="20"/>
                <w:szCs w:val="20"/>
                <w:color w:val="auto"/>
              </w:rPr>
            </w:pPr>
            <w:r>
              <w:rPr>
                <w:rFonts w:ascii="Arial" w:cs="Arial" w:eastAsia="Arial" w:hAnsi="Arial"/>
                <w:sz w:val="18"/>
                <w:szCs w:val="18"/>
                <w:color w:val="auto"/>
              </w:rPr>
              <w:t>2,408,830</w:t>
            </w: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560,000</w:t>
            </w:r>
          </w:p>
        </w:tc>
        <w:tc>
          <w:tcPr>
            <w:tcW w:w="0" w:type="dxa"/>
            <w:vAlign w:val="bottom"/>
          </w:tcPr>
          <w:p>
            <w:pPr>
              <w:spacing w:after="0"/>
              <w:rPr>
                <w:sz w:val="1"/>
                <w:szCs w:val="1"/>
                <w:color w:val="auto"/>
              </w:rPr>
            </w:pPr>
          </w:p>
        </w:tc>
      </w:tr>
      <w:tr>
        <w:trPr>
          <w:trHeight w:val="181"/>
        </w:trPr>
        <w:tc>
          <w:tcPr>
            <w:tcW w:w="6060" w:type="dxa"/>
            <w:vAlign w:val="bottom"/>
            <w:gridSpan w:val="2"/>
          </w:tcPr>
          <w:p>
            <w:pPr>
              <w:spacing w:after="0" w:line="181" w:lineRule="exact"/>
              <w:rPr>
                <w:sz w:val="20"/>
                <w:szCs w:val="20"/>
                <w:color w:val="auto"/>
              </w:rPr>
            </w:pPr>
            <w:r>
              <w:rPr>
                <w:rFonts w:ascii="Arial" w:cs="Arial" w:eastAsia="Arial" w:hAnsi="Arial"/>
                <w:sz w:val="18"/>
                <w:szCs w:val="18"/>
                <w:color w:val="auto"/>
              </w:rPr>
              <w:t>Repayments of long-term debt</w:t>
            </w:r>
          </w:p>
        </w:tc>
        <w:tc>
          <w:tcPr>
            <w:tcW w:w="1480" w:type="dxa"/>
            <w:vAlign w:val="bottom"/>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880" w:type="dxa"/>
            <w:vAlign w:val="bottom"/>
            <w:shd w:val="clear" w:color="auto" w:fill="CDDEE7"/>
          </w:tcPr>
          <w:p>
            <w:pPr>
              <w:jc w:val="right"/>
              <w:spacing w:after="0" w:line="181" w:lineRule="exact"/>
              <w:rPr>
                <w:sz w:val="20"/>
                <w:szCs w:val="20"/>
                <w:color w:val="auto"/>
              </w:rPr>
            </w:pPr>
            <w:r>
              <w:rPr>
                <w:rFonts w:ascii="Arial" w:cs="Arial" w:eastAsia="Arial" w:hAnsi="Arial"/>
                <w:sz w:val="18"/>
                <w:szCs w:val="18"/>
                <w:b w:val="1"/>
                <w:bCs w:val="1"/>
                <w:color w:val="auto"/>
              </w:rPr>
              <w:t>(910,052)</w:t>
            </w:r>
          </w:p>
        </w:tc>
        <w:tc>
          <w:tcPr>
            <w:tcW w:w="120" w:type="dxa"/>
            <w:vAlign w:val="bottom"/>
            <w:shd w:val="clear" w:color="auto" w:fill="CDDEE7"/>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shd w:val="clear" w:color="auto" w:fill="E0EBED"/>
          </w:tcPr>
          <w:p>
            <w:pPr>
              <w:spacing w:after="0"/>
              <w:rPr>
                <w:sz w:val="15"/>
                <w:szCs w:val="15"/>
                <w:color w:val="auto"/>
              </w:rPr>
            </w:pPr>
          </w:p>
        </w:tc>
        <w:tc>
          <w:tcPr>
            <w:tcW w:w="1000" w:type="dxa"/>
            <w:vAlign w:val="bottom"/>
            <w:shd w:val="clear" w:color="auto" w:fill="E0EBED"/>
          </w:tcPr>
          <w:p>
            <w:pPr>
              <w:jc w:val="right"/>
              <w:ind w:right="50"/>
              <w:spacing w:after="0" w:line="181" w:lineRule="exact"/>
              <w:rPr>
                <w:sz w:val="20"/>
                <w:szCs w:val="20"/>
                <w:color w:val="auto"/>
              </w:rPr>
            </w:pPr>
            <w:r>
              <w:rPr>
                <w:rFonts w:ascii="Arial" w:cs="Arial" w:eastAsia="Arial" w:hAnsi="Arial"/>
                <w:sz w:val="18"/>
                <w:szCs w:val="18"/>
                <w:color w:val="auto"/>
                <w:w w:val="91"/>
                <w:shd w:val="clear" w:color="auto" w:fill="E0EBED"/>
              </w:rPr>
              <w:t>(1,065,048)</w:t>
            </w:r>
          </w:p>
        </w:tc>
        <w:tc>
          <w:tcPr>
            <w:tcW w:w="200" w:type="dxa"/>
            <w:vAlign w:val="bottom"/>
          </w:tcPr>
          <w:p>
            <w:pPr>
              <w:spacing w:after="0"/>
              <w:rPr>
                <w:sz w:val="15"/>
                <w:szCs w:val="15"/>
                <w:color w:val="auto"/>
              </w:rPr>
            </w:pPr>
          </w:p>
        </w:tc>
        <w:tc>
          <w:tcPr>
            <w:tcW w:w="220" w:type="dxa"/>
            <w:vAlign w:val="bottom"/>
            <w:shd w:val="clear" w:color="auto" w:fill="E0EBED"/>
          </w:tcPr>
          <w:p>
            <w:pPr>
              <w:spacing w:after="0"/>
              <w:rPr>
                <w:sz w:val="15"/>
                <w:szCs w:val="15"/>
                <w:color w:val="auto"/>
              </w:rPr>
            </w:pPr>
          </w:p>
        </w:tc>
        <w:tc>
          <w:tcPr>
            <w:tcW w:w="840" w:type="dxa"/>
            <w:vAlign w:val="bottom"/>
            <w:shd w:val="clear" w:color="auto" w:fill="E0EBED"/>
          </w:tcPr>
          <w:p>
            <w:pPr>
              <w:jc w:val="right"/>
              <w:ind w:right="30"/>
              <w:spacing w:after="0" w:line="181" w:lineRule="exact"/>
              <w:rPr>
                <w:sz w:val="20"/>
                <w:szCs w:val="20"/>
                <w:color w:val="auto"/>
              </w:rPr>
            </w:pPr>
            <w:r>
              <w:rPr>
                <w:rFonts w:ascii="Arial" w:cs="Arial" w:eastAsia="Arial" w:hAnsi="Arial"/>
                <w:sz w:val="18"/>
                <w:szCs w:val="18"/>
                <w:color w:val="auto"/>
                <w:w w:val="90"/>
                <w:shd w:val="clear" w:color="auto" w:fill="E0EBED"/>
              </w:rPr>
              <w:t>(449,306)</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Payments of deferred acquisition consideration</w:t>
            </w:r>
          </w:p>
        </w:tc>
        <w:tc>
          <w:tcPr>
            <w:tcW w:w="1480" w:type="dxa"/>
            <w:vAlign w:val="bottom"/>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8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(6,707)</w:t>
            </w:r>
          </w:p>
        </w:tc>
        <w:tc>
          <w:tcPr>
            <w:tcW w:w="120" w:type="dxa"/>
            <w:vAlign w:val="bottom"/>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1000" w:type="dxa"/>
            <w:vAlign w:val="bottom"/>
            <w:shd w:val="clear" w:color="auto" w:fill="E0EBED"/>
          </w:tcPr>
          <w:p>
            <w:pPr>
              <w:jc w:val="right"/>
              <w:ind w:right="50"/>
              <w:spacing w:after="0" w:line="202" w:lineRule="exact"/>
              <w:rPr>
                <w:sz w:val="20"/>
                <w:szCs w:val="20"/>
                <w:color w:val="auto"/>
              </w:rPr>
            </w:pPr>
            <w:r>
              <w:rPr>
                <w:rFonts w:ascii="Arial" w:cs="Arial" w:eastAsia="Arial" w:hAnsi="Arial"/>
                <w:sz w:val="18"/>
                <w:szCs w:val="18"/>
                <w:color w:val="auto"/>
              </w:rPr>
              <w:t>(2,774)</w:t>
            </w: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Debt issuance costs</w:t>
            </w:r>
          </w:p>
        </w:tc>
        <w:tc>
          <w:tcPr>
            <w:tcW w:w="1480" w:type="dxa"/>
            <w:vAlign w:val="bottom"/>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8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(3,892)</w:t>
            </w:r>
          </w:p>
        </w:tc>
        <w:tc>
          <w:tcPr>
            <w:tcW w:w="120" w:type="dxa"/>
            <w:vAlign w:val="bottom"/>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1000" w:type="dxa"/>
            <w:vAlign w:val="bottom"/>
            <w:shd w:val="clear" w:color="auto" w:fill="E0EBED"/>
          </w:tcPr>
          <w:p>
            <w:pPr>
              <w:jc w:val="right"/>
              <w:ind w:right="50"/>
              <w:spacing w:after="0" w:line="202" w:lineRule="exact"/>
              <w:rPr>
                <w:sz w:val="20"/>
                <w:szCs w:val="20"/>
                <w:color w:val="auto"/>
              </w:rPr>
            </w:pPr>
            <w:r>
              <w:rPr>
                <w:rFonts w:ascii="Arial" w:cs="Arial" w:eastAsia="Arial" w:hAnsi="Arial"/>
                <w:sz w:val="18"/>
                <w:szCs w:val="18"/>
                <w:color w:val="auto"/>
              </w:rPr>
              <w:t>(2,204)</w:t>
            </w: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Change in bank overdraft</w:t>
            </w:r>
          </w:p>
        </w:tc>
        <w:tc>
          <w:tcPr>
            <w:tcW w:w="1480" w:type="dxa"/>
            <w:vAlign w:val="bottom"/>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8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1000" w:type="dxa"/>
            <w:vAlign w:val="bottom"/>
            <w:shd w:val="clear" w:color="auto" w:fill="E0EBED"/>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(10,235)</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Payments on capital lease obligations</w:t>
            </w:r>
          </w:p>
        </w:tc>
        <w:tc>
          <w:tcPr>
            <w:tcW w:w="1480" w:type="dxa"/>
            <w:vAlign w:val="bottom"/>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8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(3,486)</w:t>
            </w:r>
          </w:p>
        </w:tc>
        <w:tc>
          <w:tcPr>
            <w:tcW w:w="120" w:type="dxa"/>
            <w:vAlign w:val="bottom"/>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1000" w:type="dxa"/>
            <w:vAlign w:val="bottom"/>
            <w:shd w:val="clear" w:color="auto" w:fill="E0EBED"/>
          </w:tcPr>
          <w:p>
            <w:pPr>
              <w:jc w:val="right"/>
              <w:ind w:right="50"/>
              <w:spacing w:after="0" w:line="202" w:lineRule="exact"/>
              <w:rPr>
                <w:sz w:val="20"/>
                <w:szCs w:val="20"/>
                <w:color w:val="auto"/>
              </w:rPr>
            </w:pPr>
            <w:r>
              <w:rPr>
                <w:rFonts w:ascii="Arial" w:cs="Arial" w:eastAsia="Arial" w:hAnsi="Arial"/>
                <w:sz w:val="18"/>
                <w:szCs w:val="18"/>
                <w:color w:val="auto"/>
              </w:rPr>
              <w:t>(3,543)</w:t>
            </w: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Dividends paid</w:t>
            </w:r>
          </w:p>
        </w:tc>
        <w:tc>
          <w:tcPr>
            <w:tcW w:w="1480" w:type="dxa"/>
            <w:vAlign w:val="bottom"/>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8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(116,436)</w:t>
            </w:r>
          </w:p>
        </w:tc>
        <w:tc>
          <w:tcPr>
            <w:tcW w:w="120" w:type="dxa"/>
            <w:vAlign w:val="bottom"/>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1000" w:type="dxa"/>
            <w:vAlign w:val="bottom"/>
            <w:shd w:val="clear" w:color="auto" w:fill="E0EBED"/>
          </w:tcPr>
          <w:p>
            <w:pPr>
              <w:jc w:val="right"/>
              <w:ind w:right="50"/>
              <w:spacing w:after="0" w:line="202" w:lineRule="exact"/>
              <w:rPr>
                <w:sz w:val="20"/>
                <w:szCs w:val="20"/>
                <w:color w:val="auto"/>
              </w:rPr>
            </w:pPr>
            <w:r>
              <w:rPr>
                <w:rFonts w:ascii="Arial" w:cs="Arial" w:eastAsia="Arial" w:hAnsi="Arial"/>
                <w:sz w:val="18"/>
                <w:szCs w:val="18"/>
                <w:color w:val="auto"/>
              </w:rPr>
              <w:t>(108,852)</w:t>
            </w: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w w:val="90"/>
              </w:rPr>
              <w:t>(105,036)</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Purchase of the noncontrolling interest in the existing joint venture</w:t>
            </w:r>
          </w:p>
        </w:tc>
        <w:tc>
          <w:tcPr>
            <w:tcW w:w="1480" w:type="dxa"/>
            <w:vAlign w:val="bottom"/>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8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(12,800)</w:t>
            </w:r>
          </w:p>
        </w:tc>
        <w:tc>
          <w:tcPr>
            <w:tcW w:w="120" w:type="dxa"/>
            <w:vAlign w:val="bottom"/>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1000" w:type="dxa"/>
            <w:vAlign w:val="bottom"/>
            <w:shd w:val="clear" w:color="auto" w:fill="E0EBED"/>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Distributions to owners of noncontrolling interest</w:t>
            </w:r>
          </w:p>
        </w:tc>
        <w:tc>
          <w:tcPr>
            <w:tcW w:w="1480" w:type="dxa"/>
            <w:vAlign w:val="bottom"/>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8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1000" w:type="dxa"/>
            <w:vAlign w:val="bottom"/>
            <w:shd w:val="clear" w:color="auto" w:fill="E0EBED"/>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Contributions by noncontrolling interest to joint venture</w:t>
            </w:r>
          </w:p>
        </w:tc>
        <w:tc>
          <w:tcPr>
            <w:tcW w:w="1480" w:type="dxa"/>
            <w:vAlign w:val="bottom"/>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8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1000" w:type="dxa"/>
            <w:vAlign w:val="bottom"/>
            <w:shd w:val="clear" w:color="auto" w:fill="E0EBED"/>
          </w:tcPr>
          <w:p>
            <w:pPr>
              <w:jc w:val="right"/>
              <w:ind w:right="50"/>
              <w:spacing w:after="0" w:line="202" w:lineRule="exact"/>
              <w:rPr>
                <w:sz w:val="20"/>
                <w:szCs w:val="20"/>
                <w:color w:val="auto"/>
              </w:rPr>
            </w:pPr>
            <w:r>
              <w:rPr>
                <w:rFonts w:ascii="Arial" w:cs="Arial" w:eastAsia="Arial" w:hAnsi="Arial"/>
                <w:sz w:val="18"/>
                <w:szCs w:val="18"/>
                <w:color w:val="auto"/>
              </w:rPr>
              <w:t>212</w:t>
            </w: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Repurchase of common stock</w:t>
            </w:r>
          </w:p>
        </w:tc>
        <w:tc>
          <w:tcPr>
            <w:tcW w:w="1480" w:type="dxa"/>
            <w:vAlign w:val="bottom"/>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8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(100,377)</w:t>
            </w:r>
          </w:p>
        </w:tc>
        <w:tc>
          <w:tcPr>
            <w:tcW w:w="120" w:type="dxa"/>
            <w:vAlign w:val="bottom"/>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1000" w:type="dxa"/>
            <w:vAlign w:val="bottom"/>
            <w:shd w:val="clear" w:color="auto" w:fill="E0EBED"/>
          </w:tcPr>
          <w:p>
            <w:pPr>
              <w:jc w:val="right"/>
              <w:ind w:right="50"/>
              <w:spacing w:after="0" w:line="202" w:lineRule="exact"/>
              <w:rPr>
                <w:sz w:val="20"/>
                <w:szCs w:val="20"/>
                <w:color w:val="auto"/>
              </w:rPr>
            </w:pPr>
            <w:r>
              <w:rPr>
                <w:rFonts w:ascii="Arial" w:cs="Arial" w:eastAsia="Arial" w:hAnsi="Arial"/>
                <w:sz w:val="18"/>
                <w:szCs w:val="18"/>
                <w:color w:val="auto"/>
              </w:rPr>
              <w:t>(99,999)</w:t>
            </w: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w w:val="90"/>
              </w:rPr>
              <w:t>(259,228)</w:t>
            </w:r>
          </w:p>
        </w:tc>
        <w:tc>
          <w:tcPr>
            <w:tcW w:w="0" w:type="dxa"/>
            <w:vAlign w:val="bottom"/>
          </w:tcPr>
          <w:p>
            <w:pPr>
              <w:spacing w:after="0"/>
              <w:rPr>
                <w:sz w:val="1"/>
                <w:szCs w:val="1"/>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1480" w:type="dxa"/>
            <w:vAlign w:val="bottom"/>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100" w:type="dxa"/>
            <w:vAlign w:val="bottom"/>
            <w:shd w:val="clear" w:color="auto" w:fill="CDDEE7"/>
          </w:tcPr>
          <w:p>
            <w:pPr>
              <w:spacing w:after="0"/>
              <w:rPr>
                <w:sz w:val="17"/>
                <w:szCs w:val="17"/>
                <w:color w:val="auto"/>
              </w:rPr>
            </w:pPr>
          </w:p>
        </w:tc>
        <w:tc>
          <w:tcPr>
            <w:tcW w:w="880" w:type="dxa"/>
            <w:vAlign w:val="bottom"/>
            <w:shd w:val="clear" w:color="auto" w:fill="CDDEE7"/>
          </w:tcPr>
          <w:p>
            <w:pPr>
              <w:jc w:val="right"/>
              <w:spacing w:after="0" w:line="202" w:lineRule="exact"/>
              <w:rPr>
                <w:sz w:val="20"/>
                <w:szCs w:val="20"/>
                <w:color w:val="auto"/>
              </w:rPr>
            </w:pPr>
            <w:r>
              <w:rPr>
                <w:rFonts w:ascii="Arial" w:cs="Arial" w:eastAsia="Arial" w:hAnsi="Arial"/>
                <w:sz w:val="18"/>
                <w:szCs w:val="18"/>
                <w:b w:val="1"/>
                <w:bCs w:val="1"/>
                <w:color w:val="auto"/>
              </w:rPr>
              <w:t>7,201</w:t>
            </w:r>
          </w:p>
        </w:tc>
        <w:tc>
          <w:tcPr>
            <w:tcW w:w="120" w:type="dxa"/>
            <w:vAlign w:val="bottom"/>
            <w:shd w:val="clear" w:color="auto" w:fill="CDDEE7"/>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1000" w:type="dxa"/>
            <w:vAlign w:val="bottom"/>
            <w:shd w:val="clear" w:color="auto" w:fill="E0EBED"/>
          </w:tcPr>
          <w:p>
            <w:pPr>
              <w:jc w:val="right"/>
              <w:ind w:right="50"/>
              <w:spacing w:after="0" w:line="202" w:lineRule="exact"/>
              <w:rPr>
                <w:sz w:val="20"/>
                <w:szCs w:val="20"/>
                <w:color w:val="auto"/>
              </w:rPr>
            </w:pPr>
            <w:r>
              <w:rPr>
                <w:rFonts w:ascii="Arial" w:cs="Arial" w:eastAsia="Arial" w:hAnsi="Arial"/>
                <w:sz w:val="18"/>
                <w:szCs w:val="18"/>
                <w:color w:val="auto"/>
              </w:rPr>
              <w:t>10,110</w:t>
            </w:r>
          </w:p>
        </w:tc>
        <w:tc>
          <w:tcPr>
            <w:tcW w:w="200" w:type="dxa"/>
            <w:vAlign w:val="bottom"/>
          </w:tcPr>
          <w:p>
            <w:pPr>
              <w:spacing w:after="0"/>
              <w:rPr>
                <w:sz w:val="17"/>
                <w:szCs w:val="17"/>
                <w:color w:val="auto"/>
              </w:rPr>
            </w:pPr>
          </w:p>
        </w:tc>
        <w:tc>
          <w:tcPr>
            <w:tcW w:w="220" w:type="dxa"/>
            <w:vAlign w:val="bottom"/>
            <w:shd w:val="clear" w:color="auto" w:fill="E0EBED"/>
          </w:tcPr>
          <w:p>
            <w:pPr>
              <w:spacing w:after="0"/>
              <w:rPr>
                <w:sz w:val="17"/>
                <w:szCs w:val="17"/>
                <w:color w:val="auto"/>
              </w:rPr>
            </w:pPr>
          </w:p>
        </w:tc>
        <w:tc>
          <w:tcPr>
            <w:tcW w:w="840" w:type="dxa"/>
            <w:vAlign w:val="bottom"/>
            <w:shd w:val="clear" w:color="auto" w:fill="E0EBED"/>
          </w:tcPr>
          <w:p>
            <w:pPr>
              <w:jc w:val="right"/>
              <w:ind w:right="30"/>
              <w:spacing w:after="0" w:line="202" w:lineRule="exact"/>
              <w:rPr>
                <w:sz w:val="20"/>
                <w:szCs w:val="20"/>
                <w:color w:val="auto"/>
              </w:rPr>
            </w:pPr>
            <w:r>
              <w:rPr>
                <w:rFonts w:ascii="Arial" w:cs="Arial" w:eastAsia="Arial" w:hAnsi="Arial"/>
                <w:sz w:val="18"/>
                <w:szCs w:val="18"/>
                <w:color w:val="auto"/>
              </w:rPr>
              <w:t>27,257</w:t>
            </w:r>
          </w:p>
        </w:tc>
        <w:tc>
          <w:tcPr>
            <w:tcW w:w="0" w:type="dxa"/>
            <w:vAlign w:val="bottom"/>
          </w:tcPr>
          <w:p>
            <w:pPr>
              <w:spacing w:after="0"/>
              <w:rPr>
                <w:sz w:val="1"/>
                <w:szCs w:val="1"/>
                <w:color w:val="auto"/>
              </w:rPr>
            </w:pPr>
          </w:p>
        </w:tc>
      </w:tr>
      <w:tr>
        <w:trPr>
          <w:trHeight w:val="225"/>
        </w:trPr>
        <w:tc>
          <w:tcPr>
            <w:tcW w:w="6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Shares withheld for employees’ income tax obligations</w:t>
            </w: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shd w:val="clear" w:color="auto" w:fill="CDDEE7"/>
          </w:tcPr>
          <w:p>
            <w:pPr>
              <w:spacing w:after="0"/>
              <w:rPr>
                <w:sz w:val="19"/>
                <w:szCs w:val="19"/>
                <w:color w:val="auto"/>
              </w:rPr>
            </w:pPr>
          </w:p>
        </w:tc>
        <w:tc>
          <w:tcPr>
            <w:tcW w:w="100" w:type="dxa"/>
            <w:vAlign w:val="bottom"/>
            <w:tcBorders>
              <w:bottom w:val="single" w:sz="8" w:color="auto"/>
            </w:tcBorders>
            <w:shd w:val="clear" w:color="auto" w:fill="CDDEE7"/>
          </w:tcPr>
          <w:p>
            <w:pPr>
              <w:spacing w:after="0"/>
              <w:rPr>
                <w:sz w:val="19"/>
                <w:szCs w:val="19"/>
                <w:color w:val="auto"/>
              </w:rPr>
            </w:pPr>
          </w:p>
        </w:tc>
        <w:tc>
          <w:tcPr>
            <w:tcW w:w="88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8"/>
                <w:szCs w:val="18"/>
                <w:b w:val="1"/>
                <w:bCs w:val="1"/>
                <w:color w:val="auto"/>
              </w:rPr>
              <w:t>(11,865)</w:t>
            </w:r>
          </w:p>
        </w:tc>
        <w:tc>
          <w:tcPr>
            <w:tcW w:w="120" w:type="dxa"/>
            <w:vAlign w:val="bottom"/>
            <w:tcBorders>
              <w:bottom w:val="single" w:sz="8" w:color="auto"/>
            </w:tcBorders>
            <w:shd w:val="clear" w:color="auto" w:fill="CDDEE7"/>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shd w:val="clear" w:color="auto" w:fill="E0EBED"/>
          </w:tcPr>
          <w:p>
            <w:pPr>
              <w:spacing w:after="0"/>
              <w:rPr>
                <w:sz w:val="19"/>
                <w:szCs w:val="19"/>
                <w:color w:val="auto"/>
              </w:rPr>
            </w:pPr>
          </w:p>
        </w:tc>
        <w:tc>
          <w:tcPr>
            <w:tcW w:w="1000" w:type="dxa"/>
            <w:vAlign w:val="bottom"/>
            <w:tcBorders>
              <w:bottom w:val="single" w:sz="8" w:color="auto"/>
            </w:tcBorders>
            <w:shd w:val="clear" w:color="auto" w:fill="E0EBED"/>
          </w:tcPr>
          <w:p>
            <w:pPr>
              <w:jc w:val="right"/>
              <w:ind w:right="50"/>
              <w:spacing w:after="0"/>
              <w:rPr>
                <w:sz w:val="20"/>
                <w:szCs w:val="20"/>
                <w:color w:val="auto"/>
              </w:rPr>
            </w:pPr>
            <w:r>
              <w:rPr>
                <w:rFonts w:ascii="Arial" w:cs="Arial" w:eastAsia="Arial" w:hAnsi="Arial"/>
                <w:sz w:val="18"/>
                <w:szCs w:val="18"/>
                <w:color w:val="auto"/>
              </w:rPr>
              <w:t>(11,805)</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shd w:val="clear" w:color="auto" w:fill="E0EBED"/>
          </w:tcPr>
          <w:p>
            <w:pPr>
              <w:spacing w:after="0"/>
              <w:rPr>
                <w:sz w:val="19"/>
                <w:szCs w:val="19"/>
                <w:color w:val="auto"/>
              </w:rPr>
            </w:pPr>
          </w:p>
        </w:tc>
        <w:tc>
          <w:tcPr>
            <w:tcW w:w="840" w:type="dxa"/>
            <w:vAlign w:val="bottom"/>
            <w:tcBorders>
              <w:bottom w:val="single" w:sz="8" w:color="auto"/>
            </w:tcBorders>
            <w:shd w:val="clear" w:color="auto" w:fill="E0EBED"/>
          </w:tcPr>
          <w:p>
            <w:pPr>
              <w:jc w:val="right"/>
              <w:ind w:right="30"/>
              <w:spacing w:after="0"/>
              <w:rPr>
                <w:sz w:val="20"/>
                <w:szCs w:val="20"/>
                <w:color w:val="auto"/>
              </w:rPr>
            </w:pPr>
            <w:r>
              <w:rPr>
                <w:rFonts w:ascii="Arial" w:cs="Arial" w:eastAsia="Arial" w:hAnsi="Arial"/>
                <w:sz w:val="18"/>
                <w:szCs w:val="18"/>
                <w:color w:val="auto"/>
              </w:rPr>
              <w:t>(9,723)</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auto"/>
            </w:tcBorders>
            <w:gridSpan w:val="2"/>
          </w:tcPr>
          <w:p>
            <w:pPr>
              <w:spacing w:after="0" w:line="210" w:lineRule="exact"/>
              <w:rPr>
                <w:sz w:val="20"/>
                <w:szCs w:val="20"/>
                <w:color w:val="auto"/>
              </w:rPr>
            </w:pPr>
            <w:r>
              <w:rPr>
                <w:rFonts w:ascii="Arial" w:cs="Arial" w:eastAsia="Arial" w:hAnsi="Arial"/>
                <w:sz w:val="19"/>
                <w:szCs w:val="19"/>
                <w:b w:val="1"/>
                <w:bCs w:val="1"/>
                <w:color w:val="auto"/>
              </w:rPr>
              <w:t>Net Cash (Used for) Provided by Financing Activities</w:t>
            </w: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8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8"/>
                <w:szCs w:val="18"/>
                <w:b w:val="1"/>
                <w:bCs w:val="1"/>
                <w:color w:val="auto"/>
              </w:rPr>
              <w:t>(158,414)</w:t>
            </w:r>
          </w:p>
        </w:tc>
        <w:tc>
          <w:tcPr>
            <w:tcW w:w="120" w:type="dxa"/>
            <w:vAlign w:val="bottom"/>
            <w:tcBorders>
              <w:bottom w:val="single" w:sz="8" w:color="auto"/>
            </w:tcBorders>
            <w:shd w:val="clear" w:color="auto" w:fill="CDDEE7"/>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1000" w:type="dxa"/>
            <w:vAlign w:val="bottom"/>
            <w:tcBorders>
              <w:bottom w:val="single" w:sz="8" w:color="auto"/>
            </w:tcBorders>
            <w:shd w:val="clear" w:color="auto" w:fill="E0EBED"/>
          </w:tcPr>
          <w:p>
            <w:pPr>
              <w:jc w:val="right"/>
              <w:ind w:right="50"/>
              <w:spacing w:after="0"/>
              <w:rPr>
                <w:sz w:val="20"/>
                <w:szCs w:val="20"/>
                <w:color w:val="auto"/>
              </w:rPr>
            </w:pPr>
            <w:r>
              <w:rPr>
                <w:rFonts w:ascii="Arial" w:cs="Arial" w:eastAsia="Arial" w:hAnsi="Arial"/>
                <w:sz w:val="18"/>
                <w:szCs w:val="18"/>
                <w:color w:val="auto"/>
              </w:rPr>
              <w:t>1,124,927</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840" w:type="dxa"/>
            <w:vAlign w:val="bottom"/>
            <w:tcBorders>
              <w:bottom w:val="single" w:sz="8" w:color="auto"/>
            </w:tcBorders>
            <w:shd w:val="clear" w:color="auto" w:fill="E0EBED"/>
          </w:tcPr>
          <w:p>
            <w:pPr>
              <w:jc w:val="right"/>
              <w:ind w:right="30"/>
              <w:spacing w:after="0"/>
              <w:rPr>
                <w:sz w:val="20"/>
                <w:szCs w:val="20"/>
                <w:color w:val="auto"/>
              </w:rPr>
            </w:pPr>
            <w:r>
              <w:rPr>
                <w:rFonts w:ascii="Arial" w:cs="Arial" w:eastAsia="Arial" w:hAnsi="Arial"/>
                <w:sz w:val="18"/>
                <w:szCs w:val="18"/>
                <w:color w:val="auto"/>
                <w:w w:val="90"/>
              </w:rPr>
              <w:t>(252,291)</w:t>
            </w:r>
          </w:p>
        </w:tc>
        <w:tc>
          <w:tcPr>
            <w:tcW w:w="0" w:type="dxa"/>
            <w:vAlign w:val="bottom"/>
          </w:tcPr>
          <w:p>
            <w:pPr>
              <w:spacing w:after="0"/>
              <w:rPr>
                <w:sz w:val="1"/>
                <w:szCs w:val="1"/>
                <w:color w:val="auto"/>
              </w:rPr>
            </w:pPr>
          </w:p>
        </w:tc>
      </w:tr>
      <w:tr>
        <w:trPr>
          <w:trHeight w:val="177"/>
        </w:trPr>
        <w:tc>
          <w:tcPr>
            <w:tcW w:w="6060" w:type="dxa"/>
            <w:vAlign w:val="bottom"/>
            <w:gridSpan w:val="2"/>
          </w:tcPr>
          <w:p>
            <w:pPr>
              <w:spacing w:after="0" w:line="176" w:lineRule="exact"/>
              <w:rPr>
                <w:sz w:val="20"/>
                <w:szCs w:val="20"/>
                <w:color w:val="auto"/>
              </w:rPr>
            </w:pPr>
            <w:r>
              <w:rPr>
                <w:rFonts w:ascii="Arial" w:cs="Arial" w:eastAsia="Arial" w:hAnsi="Arial"/>
                <w:sz w:val="18"/>
                <w:szCs w:val="18"/>
                <w:color w:val="auto"/>
              </w:rPr>
              <w:t>Net (Decrease) Increase in Cash and Cash Equivalents</w:t>
            </w:r>
          </w:p>
        </w:tc>
        <w:tc>
          <w:tcPr>
            <w:tcW w:w="1480" w:type="dxa"/>
            <w:vAlign w:val="bottom"/>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880" w:type="dxa"/>
            <w:vAlign w:val="bottom"/>
            <w:shd w:val="clear" w:color="auto" w:fill="CDDEE7"/>
          </w:tcPr>
          <w:p>
            <w:pPr>
              <w:jc w:val="right"/>
              <w:spacing w:after="0" w:line="176" w:lineRule="exact"/>
              <w:rPr>
                <w:sz w:val="20"/>
                <w:szCs w:val="20"/>
                <w:color w:val="auto"/>
              </w:rPr>
            </w:pPr>
            <w:r>
              <w:rPr>
                <w:rFonts w:ascii="Arial" w:cs="Arial" w:eastAsia="Arial" w:hAnsi="Arial"/>
                <w:sz w:val="18"/>
                <w:szCs w:val="18"/>
                <w:b w:val="1"/>
                <w:bCs w:val="1"/>
                <w:color w:val="auto"/>
                <w:w w:val="93"/>
              </w:rPr>
              <w:t>(1,401,472)</w:t>
            </w:r>
          </w:p>
        </w:tc>
        <w:tc>
          <w:tcPr>
            <w:tcW w:w="120" w:type="dxa"/>
            <w:vAlign w:val="bottom"/>
            <w:shd w:val="clear" w:color="auto" w:fill="CDDEE7"/>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shd w:val="clear" w:color="auto" w:fill="E0EBED"/>
          </w:tcPr>
          <w:p>
            <w:pPr>
              <w:spacing w:after="0"/>
              <w:rPr>
                <w:sz w:val="15"/>
                <w:szCs w:val="15"/>
                <w:color w:val="auto"/>
              </w:rPr>
            </w:pPr>
          </w:p>
        </w:tc>
        <w:tc>
          <w:tcPr>
            <w:tcW w:w="1000" w:type="dxa"/>
            <w:vAlign w:val="bottom"/>
            <w:shd w:val="clear" w:color="auto" w:fill="E0EBED"/>
          </w:tcPr>
          <w:p>
            <w:pPr>
              <w:jc w:val="right"/>
              <w:ind w:right="50"/>
              <w:spacing w:after="0" w:line="176" w:lineRule="exact"/>
              <w:rPr>
                <w:sz w:val="20"/>
                <w:szCs w:val="20"/>
                <w:color w:val="auto"/>
              </w:rPr>
            </w:pPr>
            <w:r>
              <w:rPr>
                <w:rFonts w:ascii="Arial" w:cs="Arial" w:eastAsia="Arial" w:hAnsi="Arial"/>
                <w:sz w:val="18"/>
                <w:szCs w:val="18"/>
                <w:color w:val="auto"/>
              </w:rPr>
              <w:t>1,396,326</w:t>
            </w:r>
          </w:p>
        </w:tc>
        <w:tc>
          <w:tcPr>
            <w:tcW w:w="200" w:type="dxa"/>
            <w:vAlign w:val="bottom"/>
          </w:tcPr>
          <w:p>
            <w:pPr>
              <w:spacing w:after="0"/>
              <w:rPr>
                <w:sz w:val="15"/>
                <w:szCs w:val="15"/>
                <w:color w:val="auto"/>
              </w:rPr>
            </w:pPr>
          </w:p>
        </w:tc>
        <w:tc>
          <w:tcPr>
            <w:tcW w:w="220" w:type="dxa"/>
            <w:vAlign w:val="bottom"/>
            <w:shd w:val="clear" w:color="auto" w:fill="E0EBED"/>
          </w:tcPr>
          <w:p>
            <w:pPr>
              <w:spacing w:after="0"/>
              <w:rPr>
                <w:sz w:val="15"/>
                <w:szCs w:val="15"/>
                <w:color w:val="auto"/>
              </w:rPr>
            </w:pPr>
          </w:p>
        </w:tc>
        <w:tc>
          <w:tcPr>
            <w:tcW w:w="840" w:type="dxa"/>
            <w:vAlign w:val="bottom"/>
            <w:shd w:val="clear" w:color="auto" w:fill="E0EBED"/>
          </w:tcPr>
          <w:p>
            <w:pPr>
              <w:jc w:val="right"/>
              <w:ind w:right="30"/>
              <w:spacing w:after="0" w:line="176" w:lineRule="exact"/>
              <w:rPr>
                <w:sz w:val="20"/>
                <w:szCs w:val="20"/>
                <w:color w:val="auto"/>
              </w:rPr>
            </w:pPr>
            <w:r>
              <w:rPr>
                <w:rFonts w:ascii="Arial" w:cs="Arial" w:eastAsia="Arial" w:hAnsi="Arial"/>
                <w:sz w:val="18"/>
                <w:szCs w:val="18"/>
                <w:color w:val="auto"/>
                <w:w w:val="90"/>
              </w:rPr>
              <w:t>(118,371)</w:t>
            </w:r>
          </w:p>
        </w:tc>
        <w:tc>
          <w:tcPr>
            <w:tcW w:w="0" w:type="dxa"/>
            <w:vAlign w:val="bottom"/>
          </w:tcPr>
          <w:p>
            <w:pPr>
              <w:spacing w:after="0"/>
              <w:rPr>
                <w:sz w:val="1"/>
                <w:szCs w:val="1"/>
                <w:color w:val="auto"/>
              </w:rPr>
            </w:pPr>
          </w:p>
        </w:tc>
      </w:tr>
      <w:tr>
        <w:trPr>
          <w:trHeight w:val="236"/>
        </w:trPr>
        <w:tc>
          <w:tcPr>
            <w:tcW w:w="6060" w:type="dxa"/>
            <w:vAlign w:val="bottom"/>
            <w:gridSpan w:val="2"/>
          </w:tcPr>
          <w:p>
            <w:pPr>
              <w:spacing w:after="0"/>
              <w:rPr>
                <w:sz w:val="20"/>
                <w:szCs w:val="20"/>
                <w:color w:val="auto"/>
              </w:rPr>
            </w:pPr>
            <w:r>
              <w:rPr>
                <w:rFonts w:ascii="Arial" w:cs="Arial" w:eastAsia="Arial" w:hAnsi="Arial"/>
                <w:sz w:val="19"/>
                <w:szCs w:val="19"/>
                <w:b w:val="1"/>
                <w:bCs w:val="1"/>
                <w:color w:val="auto"/>
              </w:rPr>
              <w:t>Cash and Cash Equivalents, beginning of year</w:t>
            </w:r>
          </w:p>
        </w:tc>
        <w:tc>
          <w:tcPr>
            <w:tcW w:w="1480" w:type="dxa"/>
            <w:vAlign w:val="bottom"/>
          </w:tcPr>
          <w:p>
            <w:pPr>
              <w:spacing w:after="0"/>
              <w:rPr>
                <w:sz w:val="20"/>
                <w:szCs w:val="20"/>
                <w:color w:val="auto"/>
              </w:rPr>
            </w:pPr>
          </w:p>
        </w:tc>
        <w:tc>
          <w:tcPr>
            <w:tcW w:w="100" w:type="dxa"/>
            <w:vAlign w:val="bottom"/>
            <w:shd w:val="clear" w:color="auto" w:fill="CDDEE7"/>
          </w:tcPr>
          <w:p>
            <w:pPr>
              <w:spacing w:after="0"/>
              <w:rPr>
                <w:sz w:val="20"/>
                <w:szCs w:val="20"/>
                <w:color w:val="auto"/>
              </w:rPr>
            </w:pPr>
          </w:p>
        </w:tc>
        <w:tc>
          <w:tcPr>
            <w:tcW w:w="100" w:type="dxa"/>
            <w:vAlign w:val="bottom"/>
            <w:shd w:val="clear" w:color="auto" w:fill="CDDEE7"/>
          </w:tcPr>
          <w:p>
            <w:pPr>
              <w:spacing w:after="0"/>
              <w:rPr>
                <w:sz w:val="20"/>
                <w:szCs w:val="20"/>
                <w:color w:val="auto"/>
              </w:rPr>
            </w:pPr>
          </w:p>
        </w:tc>
        <w:tc>
          <w:tcPr>
            <w:tcW w:w="880" w:type="dxa"/>
            <w:vAlign w:val="bottom"/>
            <w:shd w:val="clear" w:color="auto" w:fill="CDDEE7"/>
          </w:tcPr>
          <w:p>
            <w:pPr>
              <w:jc w:val="right"/>
              <w:spacing w:after="0"/>
              <w:rPr>
                <w:sz w:val="20"/>
                <w:szCs w:val="20"/>
                <w:color w:val="auto"/>
              </w:rPr>
            </w:pPr>
            <w:r>
              <w:rPr>
                <w:rFonts w:ascii="Arial" w:cs="Arial" w:eastAsia="Arial" w:hAnsi="Arial"/>
                <w:sz w:val="18"/>
                <w:szCs w:val="18"/>
                <w:b w:val="1"/>
                <w:bCs w:val="1"/>
                <w:color w:val="auto"/>
              </w:rPr>
              <w:t>1,446,364</w:t>
            </w:r>
          </w:p>
        </w:tc>
        <w:tc>
          <w:tcPr>
            <w:tcW w:w="120" w:type="dxa"/>
            <w:vAlign w:val="bottom"/>
            <w:shd w:val="clear" w:color="auto" w:fill="CDDEE7"/>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shd w:val="clear" w:color="auto" w:fill="E0EBED"/>
          </w:tcPr>
          <w:p>
            <w:pPr>
              <w:spacing w:after="0"/>
              <w:rPr>
                <w:sz w:val="20"/>
                <w:szCs w:val="20"/>
                <w:color w:val="auto"/>
              </w:rPr>
            </w:pPr>
          </w:p>
        </w:tc>
        <w:tc>
          <w:tcPr>
            <w:tcW w:w="1000" w:type="dxa"/>
            <w:vAlign w:val="bottom"/>
            <w:shd w:val="clear" w:color="auto" w:fill="E0EBED"/>
          </w:tcPr>
          <w:p>
            <w:pPr>
              <w:jc w:val="right"/>
              <w:ind w:right="50"/>
              <w:spacing w:after="0"/>
              <w:rPr>
                <w:sz w:val="20"/>
                <w:szCs w:val="20"/>
                <w:color w:val="auto"/>
              </w:rPr>
            </w:pPr>
            <w:r>
              <w:rPr>
                <w:rFonts w:ascii="Arial" w:cs="Arial" w:eastAsia="Arial" w:hAnsi="Arial"/>
                <w:sz w:val="18"/>
                <w:szCs w:val="18"/>
                <w:color w:val="auto"/>
              </w:rPr>
              <w:t>50,038</w:t>
            </w:r>
          </w:p>
        </w:tc>
        <w:tc>
          <w:tcPr>
            <w:tcW w:w="200" w:type="dxa"/>
            <w:vAlign w:val="bottom"/>
          </w:tcPr>
          <w:p>
            <w:pPr>
              <w:spacing w:after="0"/>
              <w:rPr>
                <w:sz w:val="20"/>
                <w:szCs w:val="20"/>
                <w:color w:val="auto"/>
              </w:rPr>
            </w:pPr>
          </w:p>
        </w:tc>
        <w:tc>
          <w:tcPr>
            <w:tcW w:w="220" w:type="dxa"/>
            <w:vAlign w:val="bottom"/>
            <w:shd w:val="clear" w:color="auto" w:fill="E0EBED"/>
          </w:tcPr>
          <w:p>
            <w:pPr>
              <w:spacing w:after="0"/>
              <w:rPr>
                <w:sz w:val="20"/>
                <w:szCs w:val="20"/>
                <w:color w:val="auto"/>
              </w:rPr>
            </w:pPr>
          </w:p>
        </w:tc>
        <w:tc>
          <w:tcPr>
            <w:tcW w:w="840" w:type="dxa"/>
            <w:vAlign w:val="bottom"/>
            <w:shd w:val="clear" w:color="auto" w:fill="E0EBED"/>
          </w:tcPr>
          <w:p>
            <w:pPr>
              <w:jc w:val="right"/>
              <w:ind w:right="30"/>
              <w:spacing w:after="0"/>
              <w:rPr>
                <w:sz w:val="20"/>
                <w:szCs w:val="20"/>
                <w:color w:val="auto"/>
              </w:rPr>
            </w:pPr>
            <w:r>
              <w:rPr>
                <w:rFonts w:ascii="Arial" w:cs="Arial" w:eastAsia="Arial" w:hAnsi="Arial"/>
                <w:sz w:val="18"/>
                <w:szCs w:val="18"/>
                <w:color w:val="auto"/>
              </w:rPr>
              <w:t>168,409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060" w:type="dxa"/>
            <w:vAlign w:val="bottom"/>
            <w:gridSpan w:val="2"/>
          </w:tcPr>
          <w:p>
            <w:pPr>
              <w:spacing w:after="0"/>
              <w:rPr>
                <w:sz w:val="20"/>
                <w:szCs w:val="20"/>
                <w:color w:val="auto"/>
              </w:rPr>
            </w:pPr>
            <w:r>
              <w:rPr>
                <w:rFonts w:ascii="Arial" w:cs="Arial" w:eastAsia="Arial" w:hAnsi="Arial"/>
                <w:sz w:val="19"/>
                <w:szCs w:val="19"/>
                <w:b w:val="1"/>
                <w:bCs w:val="1"/>
                <w:color w:val="auto"/>
              </w:rPr>
              <w:t>Cash and Cash Equivalents, end of year</w:t>
            </w:r>
          </w:p>
        </w:tc>
        <w:tc>
          <w:tcPr>
            <w:tcW w:w="1480" w:type="dxa"/>
            <w:vAlign w:val="bottom"/>
          </w:tcPr>
          <w:p>
            <w:pPr>
              <w:spacing w:after="0"/>
              <w:rPr>
                <w:sz w:val="24"/>
                <w:szCs w:val="24"/>
                <w:color w:val="auto"/>
              </w:rPr>
            </w:pPr>
          </w:p>
        </w:tc>
        <w:tc>
          <w:tcPr>
            <w:tcW w:w="200" w:type="dxa"/>
            <w:vAlign w:val="bottom"/>
            <w:gridSpan w:val="2"/>
            <w:shd w:val="clear" w:color="auto" w:fill="CDDEE7"/>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DDEE7"/>
          </w:tcPr>
          <w:p>
            <w:pPr>
              <w:jc w:val="right"/>
              <w:ind w:right="120"/>
              <w:spacing w:after="0"/>
              <w:rPr>
                <w:sz w:val="20"/>
                <w:szCs w:val="20"/>
                <w:color w:val="auto"/>
              </w:rPr>
            </w:pPr>
            <w:r>
              <w:rPr>
                <w:rFonts w:ascii="Arial" w:cs="Arial" w:eastAsia="Arial" w:hAnsi="Arial"/>
                <w:sz w:val="18"/>
                <w:szCs w:val="18"/>
                <w:b w:val="1"/>
                <w:bCs w:val="1"/>
                <w:color w:val="auto"/>
              </w:rPr>
              <w:t>44,892</w:t>
            </w:r>
          </w:p>
        </w:tc>
        <w:tc>
          <w:tcPr>
            <w:tcW w:w="200" w:type="dxa"/>
            <w:vAlign w:val="bottom"/>
          </w:tcPr>
          <w:p>
            <w:pPr>
              <w:spacing w:after="0"/>
              <w:rPr>
                <w:sz w:val="24"/>
                <w:szCs w:val="24"/>
                <w:color w:val="auto"/>
              </w:rPr>
            </w:pPr>
          </w:p>
        </w:tc>
        <w:tc>
          <w:tcPr>
            <w:tcW w:w="220" w:type="dxa"/>
            <w:vAlign w:val="bottom"/>
            <w:shd w:val="clear" w:color="auto" w:fill="E0EBED"/>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0EBED"/>
          </w:tcPr>
          <w:p>
            <w:pPr>
              <w:jc w:val="right"/>
              <w:ind w:right="50"/>
              <w:spacing w:after="0"/>
              <w:rPr>
                <w:sz w:val="20"/>
                <w:szCs w:val="20"/>
                <w:color w:val="auto"/>
              </w:rPr>
            </w:pPr>
            <w:r>
              <w:rPr>
                <w:rFonts w:ascii="Arial" w:cs="Arial" w:eastAsia="Arial" w:hAnsi="Arial"/>
                <w:sz w:val="18"/>
                <w:szCs w:val="18"/>
                <w:color w:val="auto"/>
              </w:rPr>
              <w:t>1,446,364</w:t>
            </w:r>
          </w:p>
        </w:tc>
        <w:tc>
          <w:tcPr>
            <w:tcW w:w="200" w:type="dxa"/>
            <w:vAlign w:val="bottom"/>
          </w:tcPr>
          <w:p>
            <w:pPr>
              <w:spacing w:after="0"/>
              <w:rPr>
                <w:sz w:val="24"/>
                <w:szCs w:val="24"/>
                <w:color w:val="auto"/>
              </w:rPr>
            </w:pPr>
          </w:p>
        </w:tc>
        <w:tc>
          <w:tcPr>
            <w:tcW w:w="220" w:type="dxa"/>
            <w:vAlign w:val="bottom"/>
            <w:shd w:val="clear" w:color="auto" w:fill="E0EBED"/>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0EBED"/>
          </w:tcPr>
          <w:p>
            <w:pPr>
              <w:jc w:val="right"/>
              <w:ind w:right="30"/>
              <w:spacing w:after="0"/>
              <w:rPr>
                <w:sz w:val="20"/>
                <w:szCs w:val="20"/>
                <w:color w:val="auto"/>
              </w:rPr>
            </w:pPr>
            <w:r>
              <w:rPr>
                <w:rFonts w:ascii="Arial" w:cs="Arial" w:eastAsia="Arial" w:hAnsi="Arial"/>
                <w:sz w:val="18"/>
                <w:szCs w:val="18"/>
                <w:color w:val="auto"/>
              </w:rPr>
              <w:t>50,038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37"/>
        </w:trPr>
        <w:tc>
          <w:tcPr>
            <w:tcW w:w="6060" w:type="dxa"/>
            <w:vAlign w:val="bottom"/>
            <w:gridSpan w:val="2"/>
          </w:tcPr>
          <w:p>
            <w:pPr>
              <w:spacing w:after="0"/>
              <w:rPr>
                <w:sz w:val="20"/>
                <w:szCs w:val="20"/>
                <w:color w:val="auto"/>
              </w:rPr>
            </w:pPr>
            <w:r>
              <w:rPr>
                <w:rFonts w:ascii="Arial" w:cs="Arial" w:eastAsia="Arial" w:hAnsi="Arial"/>
                <w:sz w:val="16"/>
                <w:szCs w:val="16"/>
                <w:color w:val="auto"/>
              </w:rPr>
              <w:t>The notes on pages 15 through 41 are an integral part of these financial statements.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040" w:type="dxa"/>
            <w:vAlign w:val="bottom"/>
          </w:tcPr>
          <w:p>
            <w:pPr>
              <w:ind w:left="4760"/>
              <w:spacing w:after="0"/>
              <w:rPr>
                <w:sz w:val="20"/>
                <w:szCs w:val="20"/>
                <w:color w:val="auto"/>
              </w:rPr>
            </w:pPr>
            <w:r>
              <w:rPr>
                <w:rFonts w:ascii="Arial" w:cs="Arial" w:eastAsia="Arial" w:hAnsi="Arial"/>
                <w:sz w:val="15"/>
                <w:szCs w:val="15"/>
                <w:b w:val="1"/>
                <w:bCs w:val="1"/>
                <w:color w:val="4D5358"/>
              </w:rPr>
              <w:t>Martin Marietta |</w:t>
            </w:r>
          </w:p>
        </w:tc>
        <w:tc>
          <w:tcPr>
            <w:tcW w:w="1680" w:type="dxa"/>
            <w:vAlign w:val="bottom"/>
            <w:gridSpan w:val="3"/>
          </w:tcPr>
          <w:p>
            <w:pPr>
              <w:jc w:val="right"/>
              <w:ind w:right="1010"/>
              <w:spacing w:after="0"/>
              <w:rPr>
                <w:sz w:val="20"/>
                <w:szCs w:val="20"/>
                <w:color w:val="auto"/>
              </w:rPr>
            </w:pPr>
            <w:r>
              <w:rPr>
                <w:rFonts w:ascii="Arial" w:cs="Arial" w:eastAsia="Arial" w:hAnsi="Arial"/>
                <w:sz w:val="15"/>
                <w:szCs w:val="15"/>
                <w:color w:val="0085CD"/>
              </w:rPr>
              <w:t>Page 13</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7"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4485005" cy="291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extLst>
                    </a:blip>
                    <a:srcRect/>
                    <a:stretch>
                      <a:fillRect/>
                    </a:stretch>
                  </pic:blipFill>
                  <pic:spPr bwMode="auto">
                    <a:xfrm>
                      <a:off x="0" y="0"/>
                      <a:ext cx="4485005" cy="291465"/>
                    </a:xfrm>
                    <a:prstGeom prst="rect">
                      <a:avLst/>
                    </a:prstGeom>
                    <a:noFill/>
                  </pic:spPr>
                </pic:pic>
              </a:graphicData>
            </a:graphic>
          </wp:anchor>
        </w:drawing>
        <w:t>CONSOLIDATED STATEMENTS OF TOTAL EQUITY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84"/>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64"/>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080" w:type="dxa"/>
            <w:vAlign w:val="bottom"/>
          </w:tcPr>
          <w:p>
            <w:pPr>
              <w:jc w:val="right"/>
              <w:ind w:right="344"/>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0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680" w:type="dxa"/>
            <w:vAlign w:val="bottom"/>
          </w:tcPr>
          <w:p>
            <w:pPr>
              <w:jc w:val="right"/>
              <w:ind w:right="204"/>
              <w:spacing w:after="0"/>
              <w:rPr>
                <w:sz w:val="20"/>
                <w:szCs w:val="20"/>
                <w:color w:val="auto"/>
              </w:rPr>
            </w:pPr>
            <w:r>
              <w:rPr>
                <w:rFonts w:ascii="Arial" w:cs="Arial" w:eastAsia="Arial" w:hAnsi="Arial"/>
                <w:sz w:val="14"/>
                <w:szCs w:val="14"/>
                <w:b w:val="1"/>
                <w:bCs w:val="1"/>
                <w:color w:val="auto"/>
              </w:rPr>
              <w:t>Non-</w:t>
            </w:r>
          </w:p>
        </w:tc>
        <w:tc>
          <w:tcPr>
            <w:tcW w:w="94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Common</w:t>
            </w:r>
          </w:p>
        </w:tc>
        <w:tc>
          <w:tcPr>
            <w:tcW w:w="8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Common</w:t>
            </w:r>
          </w:p>
        </w:tc>
        <w:tc>
          <w:tcPr>
            <w:tcW w:w="960" w:type="dxa"/>
            <w:vAlign w:val="bottom"/>
          </w:tcPr>
          <w:p>
            <w:pPr>
              <w:jc w:val="right"/>
              <w:ind w:right="184"/>
              <w:spacing w:after="0" w:line="149" w:lineRule="exact"/>
              <w:rPr>
                <w:sz w:val="20"/>
                <w:szCs w:val="20"/>
                <w:color w:val="auto"/>
              </w:rPr>
            </w:pPr>
            <w:r>
              <w:rPr>
                <w:rFonts w:ascii="Arial" w:cs="Arial" w:eastAsia="Arial" w:hAnsi="Arial"/>
                <w:sz w:val="14"/>
                <w:szCs w:val="14"/>
                <w:b w:val="1"/>
                <w:bCs w:val="1"/>
                <w:color w:val="auto"/>
              </w:rPr>
              <w:t>Paid-In</w:t>
            </w:r>
          </w:p>
        </w:tc>
        <w:tc>
          <w:tcPr>
            <w:tcW w:w="12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820" w:type="dxa"/>
            <w:vAlign w:val="bottom"/>
          </w:tcPr>
          <w:p>
            <w:pPr>
              <w:jc w:val="right"/>
              <w:ind w:right="124"/>
              <w:spacing w:after="0" w:line="149" w:lineRule="exact"/>
              <w:rPr>
                <w:sz w:val="20"/>
                <w:szCs w:val="20"/>
                <w:color w:val="auto"/>
              </w:rPr>
            </w:pPr>
            <w:r>
              <w:rPr>
                <w:rFonts w:ascii="Arial" w:cs="Arial" w:eastAsia="Arial" w:hAnsi="Arial"/>
                <w:sz w:val="14"/>
                <w:szCs w:val="14"/>
                <w:b w:val="1"/>
                <w:bCs w:val="1"/>
                <w:color w:val="auto"/>
              </w:rPr>
              <w:t>Retained</w:t>
            </w:r>
          </w:p>
        </w:tc>
        <w:tc>
          <w:tcPr>
            <w:tcW w:w="11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Shareholders’</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controlling</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60" w:type="dxa"/>
            <w:vAlign w:val="bottom"/>
            <w:gridSpan w:val="2"/>
          </w:tcPr>
          <w:p>
            <w:pPr>
              <w:spacing w:after="0"/>
              <w:rPr>
                <w:sz w:val="20"/>
                <w:szCs w:val="20"/>
                <w:color w:val="auto"/>
              </w:rPr>
            </w:pPr>
            <w:r>
              <w:rPr>
                <w:rFonts w:ascii="Arial" w:cs="Arial" w:eastAsia="Arial" w:hAnsi="Arial"/>
                <w:sz w:val="14"/>
                <w:szCs w:val="14"/>
                <w:color w:val="auto"/>
              </w:rPr>
              <w:t>(add 000, except per share data)</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6"/>
                <w:szCs w:val="16"/>
                <w:color w:val="auto"/>
              </w:rPr>
            </w:pPr>
          </w:p>
        </w:tc>
        <w:tc>
          <w:tcPr>
            <w:tcW w:w="640" w:type="dxa"/>
            <w:vAlign w:val="bottom"/>
          </w:tcPr>
          <w:p>
            <w:pPr>
              <w:jc w:val="right"/>
              <w:ind w:right="144"/>
              <w:spacing w:after="0"/>
              <w:rPr>
                <w:sz w:val="20"/>
                <w:szCs w:val="20"/>
                <w:color w:val="auto"/>
              </w:rPr>
            </w:pPr>
            <w:r>
              <w:rPr>
                <w:rFonts w:ascii="Arial" w:cs="Arial" w:eastAsia="Arial" w:hAnsi="Arial"/>
                <w:sz w:val="14"/>
                <w:szCs w:val="14"/>
                <w:b w:val="1"/>
                <w:bCs w:val="1"/>
                <w:color w:val="auto"/>
              </w:rPr>
              <w:t>Stock</w:t>
            </w:r>
          </w:p>
        </w:tc>
        <w:tc>
          <w:tcPr>
            <w:tcW w:w="960" w:type="dxa"/>
            <w:vAlign w:val="bottom"/>
          </w:tcPr>
          <w:p>
            <w:pPr>
              <w:jc w:val="right"/>
              <w:ind w:right="184"/>
              <w:spacing w:after="0"/>
              <w:rPr>
                <w:sz w:val="20"/>
                <w:szCs w:val="20"/>
                <w:color w:val="auto"/>
              </w:rPr>
            </w:pPr>
            <w:r>
              <w:rPr>
                <w:rFonts w:ascii="Arial" w:cs="Arial" w:eastAsia="Arial" w:hAnsi="Arial"/>
                <w:sz w:val="14"/>
                <w:szCs w:val="14"/>
                <w:b w:val="1"/>
                <w:bCs w:val="1"/>
                <w:color w:val="auto"/>
              </w:rPr>
              <w:t>Capital</w:t>
            </w: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 Earnings</w:t>
            </w:r>
          </w:p>
        </w:tc>
        <w:tc>
          <w:tcPr>
            <w:tcW w:w="140" w:type="dxa"/>
            <w:vAlign w:val="bottom"/>
          </w:tcPr>
          <w:p>
            <w:pPr>
              <w:spacing w:after="0"/>
              <w:rPr>
                <w:sz w:val="16"/>
                <w:szCs w:val="16"/>
                <w:color w:val="auto"/>
              </w:rPr>
            </w:pPr>
          </w:p>
        </w:tc>
        <w:tc>
          <w:tcPr>
            <w:tcW w:w="820" w:type="dxa"/>
            <w:vAlign w:val="bottom"/>
          </w:tcPr>
          <w:p>
            <w:pPr>
              <w:jc w:val="right"/>
              <w:ind w:right="124"/>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6"/>
                <w:szCs w:val="16"/>
                <w:color w:val="auto"/>
              </w:rPr>
            </w:pPr>
          </w:p>
        </w:tc>
        <w:tc>
          <w:tcPr>
            <w:tcW w:w="860" w:type="dxa"/>
            <w:vAlign w:val="bottom"/>
          </w:tcPr>
          <w:p>
            <w:pPr>
              <w:jc w:val="right"/>
              <w:ind w:right="264"/>
              <w:spacing w:after="0"/>
              <w:rPr>
                <w:sz w:val="20"/>
                <w:szCs w:val="20"/>
                <w:color w:val="auto"/>
              </w:rPr>
            </w:pPr>
            <w:r>
              <w:rPr>
                <w:rFonts w:ascii="Arial" w:cs="Arial" w:eastAsia="Arial" w:hAnsi="Arial"/>
                <w:sz w:val="14"/>
                <w:szCs w:val="14"/>
                <w:b w:val="1"/>
                <w:bCs w:val="1"/>
                <w:color w:val="auto"/>
              </w:rPr>
              <w:t>Equity</w:t>
            </w:r>
          </w:p>
        </w:tc>
        <w:tc>
          <w:tcPr>
            <w:tcW w:w="900" w:type="dxa"/>
            <w:vAlign w:val="bottom"/>
            <w:gridSpan w:val="2"/>
          </w:tcPr>
          <w:p>
            <w:pPr>
              <w:jc w:val="right"/>
              <w:ind w:right="84"/>
              <w:spacing w:after="0"/>
              <w:rPr>
                <w:sz w:val="20"/>
                <w:szCs w:val="20"/>
                <w:color w:val="auto"/>
              </w:rPr>
            </w:pPr>
            <w:r>
              <w:rPr>
                <w:rFonts w:ascii="Arial" w:cs="Arial" w:eastAsia="Arial" w:hAnsi="Arial"/>
                <w:sz w:val="14"/>
                <w:szCs w:val="14"/>
                <w:b w:val="1"/>
                <w:bCs w:val="1"/>
                <w:color w:val="auto"/>
              </w:rPr>
              <w:t>Interests</w:t>
            </w:r>
          </w:p>
        </w:tc>
        <w:tc>
          <w:tcPr>
            <w:tcW w:w="940" w:type="dxa"/>
            <w:vAlign w:val="bottom"/>
          </w:tcPr>
          <w:p>
            <w:pPr>
              <w:jc w:val="right"/>
              <w:ind w:right="18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Balance at December 31, 2015</w:t>
            </w:r>
          </w:p>
        </w:tc>
        <w:tc>
          <w:tcPr>
            <w:tcW w:w="840" w:type="dxa"/>
            <w:vAlign w:val="bottom"/>
            <w:tcBorders>
              <w:top w:val="single" w:sz="8" w:color="auto"/>
            </w:tcBorders>
            <w:shd w:val="clear" w:color="auto" w:fill="E0EBED"/>
          </w:tcPr>
          <w:p>
            <w:pPr>
              <w:jc w:val="right"/>
              <w:ind w:right="4"/>
              <w:spacing w:after="0" w:line="156" w:lineRule="exact"/>
              <w:rPr>
                <w:sz w:val="20"/>
                <w:szCs w:val="20"/>
                <w:color w:val="auto"/>
              </w:rPr>
            </w:pPr>
            <w:r>
              <w:rPr>
                <w:rFonts w:ascii="Arial" w:cs="Arial" w:eastAsia="Arial" w:hAnsi="Arial"/>
                <w:sz w:val="15"/>
                <w:szCs w:val="15"/>
                <w:color w:val="auto"/>
              </w:rPr>
              <w:t>64,479</w:t>
            </w:r>
          </w:p>
        </w:tc>
        <w:tc>
          <w:tcPr>
            <w:tcW w:w="180" w:type="dxa"/>
            <w:vAlign w:val="bottom"/>
            <w:tcBorders>
              <w:top w:val="single" w:sz="8" w:color="auto"/>
            </w:tcBorders>
            <w:shd w:val="clear" w:color="auto" w:fill="E0EBED"/>
          </w:tcPr>
          <w:p>
            <w:pPr>
              <w:ind w:left="80"/>
              <w:spacing w:after="0" w:line="156" w:lineRule="exact"/>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E0EBED"/>
          </w:tcPr>
          <w:p>
            <w:pPr>
              <w:jc w:val="right"/>
              <w:ind w:right="24"/>
              <w:spacing w:after="0" w:line="156" w:lineRule="exact"/>
              <w:rPr>
                <w:sz w:val="20"/>
                <w:szCs w:val="20"/>
                <w:color w:val="auto"/>
              </w:rPr>
            </w:pPr>
            <w:r>
              <w:rPr>
                <w:rFonts w:ascii="Arial" w:cs="Arial" w:eastAsia="Arial" w:hAnsi="Arial"/>
                <w:sz w:val="15"/>
                <w:szCs w:val="15"/>
                <w:color w:val="auto"/>
              </w:rPr>
              <w:t>643</w:t>
            </w:r>
          </w:p>
        </w:tc>
        <w:tc>
          <w:tcPr>
            <w:tcW w:w="960" w:type="dxa"/>
            <w:vAlign w:val="bottom"/>
            <w:tcBorders>
              <w:top w:val="single" w:sz="8" w:color="auto"/>
            </w:tcBorders>
            <w:shd w:val="clear" w:color="auto" w:fill="E0EBED"/>
          </w:tcPr>
          <w:p>
            <w:pPr>
              <w:jc w:val="right"/>
              <w:ind w:right="24"/>
              <w:spacing w:after="0" w:line="156" w:lineRule="exact"/>
              <w:rPr>
                <w:sz w:val="20"/>
                <w:szCs w:val="20"/>
                <w:color w:val="auto"/>
              </w:rPr>
            </w:pPr>
            <w:r>
              <w:rPr>
                <w:rFonts w:ascii="Arial" w:cs="Arial" w:eastAsia="Arial" w:hAnsi="Arial"/>
                <w:sz w:val="15"/>
                <w:szCs w:val="15"/>
                <w:color w:val="auto"/>
              </w:rPr>
              <w:t>$ 3,287,827</w:t>
            </w:r>
          </w:p>
        </w:tc>
        <w:tc>
          <w:tcPr>
            <w:tcW w:w="160" w:type="dxa"/>
            <w:vAlign w:val="bottom"/>
            <w:tcBorders>
              <w:top w:val="single" w:sz="8" w:color="auto"/>
            </w:tcBorders>
            <w:shd w:val="clear" w:color="auto" w:fill="E0EBED"/>
          </w:tcPr>
          <w:p>
            <w:pPr>
              <w:ind w:left="80"/>
              <w:spacing w:after="0" w:line="156"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E0EBED"/>
          </w:tcPr>
          <w:p>
            <w:pPr>
              <w:jc w:val="right"/>
              <w:ind w:right="4"/>
              <w:spacing w:after="0" w:line="156" w:lineRule="exact"/>
              <w:rPr>
                <w:sz w:val="20"/>
                <w:szCs w:val="20"/>
                <w:color w:val="auto"/>
              </w:rPr>
            </w:pPr>
            <w:r>
              <w:rPr>
                <w:rFonts w:ascii="Arial" w:cs="Arial" w:eastAsia="Arial" w:hAnsi="Arial"/>
                <w:sz w:val="15"/>
                <w:szCs w:val="15"/>
                <w:color w:val="auto"/>
              </w:rPr>
              <w:t>(105,622)</w:t>
            </w:r>
          </w:p>
        </w:tc>
        <w:tc>
          <w:tcPr>
            <w:tcW w:w="140" w:type="dxa"/>
            <w:vAlign w:val="bottom"/>
            <w:tcBorders>
              <w:top w:val="single" w:sz="8" w:color="auto"/>
            </w:tcBorders>
            <w:shd w:val="clear" w:color="auto" w:fill="E0EBED"/>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E0EBED"/>
          </w:tcPr>
          <w:p>
            <w:pPr>
              <w:jc w:val="right"/>
              <w:ind w:right="44"/>
              <w:spacing w:after="0" w:line="156" w:lineRule="exact"/>
              <w:rPr>
                <w:sz w:val="20"/>
                <w:szCs w:val="20"/>
                <w:color w:val="auto"/>
              </w:rPr>
            </w:pPr>
            <w:r>
              <w:rPr>
                <w:rFonts w:ascii="Arial" w:cs="Arial" w:eastAsia="Arial" w:hAnsi="Arial"/>
                <w:sz w:val="15"/>
                <w:szCs w:val="15"/>
                <w:color w:val="auto"/>
              </w:rPr>
              <w:t>874,436</w:t>
            </w:r>
          </w:p>
        </w:tc>
        <w:tc>
          <w:tcPr>
            <w:tcW w:w="240" w:type="dxa"/>
            <w:vAlign w:val="bottom"/>
            <w:tcBorders>
              <w:top w:val="single" w:sz="8" w:color="auto"/>
            </w:tcBorders>
            <w:shd w:val="clear" w:color="auto" w:fill="E0EBED"/>
          </w:tcPr>
          <w:p>
            <w:pPr>
              <w:ind w:left="60"/>
              <w:spacing w:after="0" w:line="156" w:lineRule="exact"/>
              <w:rPr>
                <w:sz w:val="20"/>
                <w:szCs w:val="20"/>
                <w:color w:val="auto"/>
              </w:rPr>
            </w:pPr>
            <w:r>
              <w:rPr>
                <w:rFonts w:ascii="Arial" w:cs="Arial" w:eastAsia="Arial" w:hAnsi="Arial"/>
                <w:sz w:val="15"/>
                <w:szCs w:val="15"/>
                <w:color w:val="auto"/>
              </w:rPr>
              <w:t>$</w:t>
            </w:r>
          </w:p>
        </w:tc>
        <w:tc>
          <w:tcPr>
            <w:tcW w:w="860" w:type="dxa"/>
            <w:vAlign w:val="bottom"/>
            <w:tcBorders>
              <w:top w:val="single" w:sz="8" w:color="auto"/>
            </w:tcBorders>
            <w:shd w:val="clear" w:color="auto" w:fill="E0EBED"/>
          </w:tcPr>
          <w:p>
            <w:pPr>
              <w:jc w:val="right"/>
              <w:spacing w:after="0" w:line="156" w:lineRule="exact"/>
              <w:rPr>
                <w:sz w:val="20"/>
                <w:szCs w:val="20"/>
                <w:color w:val="auto"/>
              </w:rPr>
            </w:pPr>
            <w:r>
              <w:rPr>
                <w:rFonts w:ascii="Arial" w:cs="Arial" w:eastAsia="Arial" w:hAnsi="Arial"/>
                <w:sz w:val="15"/>
                <w:szCs w:val="15"/>
                <w:color w:val="auto"/>
              </w:rPr>
              <w:t>4,057,284</w:t>
            </w:r>
          </w:p>
        </w:tc>
        <w:tc>
          <w:tcPr>
            <w:tcW w:w="220" w:type="dxa"/>
            <w:vAlign w:val="bottom"/>
            <w:tcBorders>
              <w:top w:val="single" w:sz="8" w:color="auto"/>
            </w:tcBorders>
            <w:shd w:val="clear" w:color="auto" w:fill="E0EBED"/>
          </w:tcPr>
          <w:p>
            <w:pPr>
              <w:ind w:left="80"/>
              <w:spacing w:after="0" w:line="156" w:lineRule="exact"/>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shd w:val="clear" w:color="auto" w:fill="E0EBED"/>
          </w:tcPr>
          <w:p>
            <w:pPr>
              <w:jc w:val="right"/>
              <w:ind w:right="4"/>
              <w:spacing w:after="0" w:line="156" w:lineRule="exact"/>
              <w:rPr>
                <w:sz w:val="20"/>
                <w:szCs w:val="20"/>
                <w:color w:val="auto"/>
              </w:rPr>
            </w:pPr>
            <w:r>
              <w:rPr>
                <w:rFonts w:ascii="Arial" w:cs="Arial" w:eastAsia="Arial" w:hAnsi="Arial"/>
                <w:sz w:val="15"/>
                <w:szCs w:val="15"/>
                <w:color w:val="auto"/>
              </w:rPr>
              <w:t>2,893</w:t>
            </w:r>
          </w:p>
        </w:tc>
        <w:tc>
          <w:tcPr>
            <w:tcW w:w="940" w:type="dxa"/>
            <w:vAlign w:val="bottom"/>
            <w:tcBorders>
              <w:top w:val="single" w:sz="8" w:color="auto"/>
            </w:tcBorders>
            <w:shd w:val="clear" w:color="auto" w:fill="E0EBED"/>
          </w:tcPr>
          <w:p>
            <w:pPr>
              <w:jc w:val="right"/>
              <w:ind w:right="24"/>
              <w:spacing w:after="0" w:line="156" w:lineRule="exact"/>
              <w:rPr>
                <w:sz w:val="20"/>
                <w:szCs w:val="20"/>
                <w:color w:val="auto"/>
              </w:rPr>
            </w:pPr>
            <w:r>
              <w:rPr>
                <w:rFonts w:ascii="Arial" w:cs="Arial" w:eastAsia="Arial" w:hAnsi="Arial"/>
                <w:sz w:val="15"/>
                <w:szCs w:val="15"/>
                <w:color w:val="auto"/>
              </w:rPr>
              <w:t>$ 4,060,177</w:t>
            </w:r>
          </w:p>
        </w:tc>
        <w:tc>
          <w:tcPr>
            <w:tcW w:w="0" w:type="dxa"/>
            <w:vAlign w:val="bottom"/>
          </w:tcPr>
          <w:p>
            <w:pPr>
              <w:spacing w:after="0"/>
              <w:rPr>
                <w:sz w:val="1"/>
                <w:szCs w:val="1"/>
                <w:color w:val="auto"/>
              </w:rPr>
            </w:pPr>
          </w:p>
        </w:tc>
      </w:tr>
      <w:tr>
        <w:trPr>
          <w:trHeight w:val="375"/>
        </w:trPr>
        <w:tc>
          <w:tcPr>
            <w:tcW w:w="3660" w:type="dxa"/>
            <w:vAlign w:val="bottom"/>
            <w:gridSpan w:val="2"/>
          </w:tcPr>
          <w:p>
            <w:pPr>
              <w:spacing w:after="0"/>
              <w:rPr>
                <w:sz w:val="20"/>
                <w:szCs w:val="20"/>
                <w:color w:val="auto"/>
              </w:rPr>
            </w:pPr>
            <w:r>
              <w:rPr>
                <w:rFonts w:ascii="Arial" w:cs="Arial" w:eastAsia="Arial" w:hAnsi="Arial"/>
                <w:sz w:val="15"/>
                <w:szCs w:val="15"/>
                <w:color w:val="auto"/>
              </w:rPr>
              <w:t>Consolidated net earnings</w:t>
            </w:r>
          </w:p>
        </w:tc>
        <w:tc>
          <w:tcPr>
            <w:tcW w:w="840" w:type="dxa"/>
            <w:vAlign w:val="bottom"/>
            <w:shd w:val="clear" w:color="auto" w:fill="E0EBED"/>
          </w:tcPr>
          <w:p>
            <w:pPr>
              <w:jc w:val="right"/>
              <w:ind w:right="4"/>
              <w:spacing w:after="0"/>
              <w:rPr>
                <w:sz w:val="20"/>
                <w:szCs w:val="20"/>
                <w:color w:val="auto"/>
              </w:rPr>
            </w:pPr>
            <w:r>
              <w:rPr>
                <w:rFonts w:ascii="Arial" w:cs="Arial" w:eastAsia="Arial" w:hAnsi="Arial"/>
                <w:sz w:val="15"/>
                <w:szCs w:val="15"/>
                <w:color w:val="auto"/>
              </w:rPr>
              <w:t>–</w:t>
            </w:r>
          </w:p>
        </w:tc>
        <w:tc>
          <w:tcPr>
            <w:tcW w:w="180" w:type="dxa"/>
            <w:vAlign w:val="bottom"/>
            <w:shd w:val="clear" w:color="auto" w:fill="E0EBED"/>
          </w:tcPr>
          <w:p>
            <w:pPr>
              <w:spacing w:after="0"/>
              <w:rPr>
                <w:sz w:val="24"/>
                <w:szCs w:val="24"/>
                <w:color w:val="auto"/>
              </w:rPr>
            </w:pPr>
          </w:p>
        </w:tc>
        <w:tc>
          <w:tcPr>
            <w:tcW w:w="640" w:type="dxa"/>
            <w:vAlign w:val="bottom"/>
            <w:shd w:val="clear" w:color="auto" w:fill="E0EBED"/>
          </w:tcPr>
          <w:p>
            <w:pPr>
              <w:jc w:val="right"/>
              <w:ind w:right="24"/>
              <w:spacing w:after="0"/>
              <w:rPr>
                <w:sz w:val="20"/>
                <w:szCs w:val="20"/>
                <w:color w:val="auto"/>
              </w:rPr>
            </w:pPr>
            <w:r>
              <w:rPr>
                <w:rFonts w:ascii="Arial" w:cs="Arial" w:eastAsia="Arial" w:hAnsi="Arial"/>
                <w:sz w:val="15"/>
                <w:szCs w:val="15"/>
                <w:color w:val="auto"/>
              </w:rPr>
              <w:t>–</w:t>
            </w:r>
          </w:p>
        </w:tc>
        <w:tc>
          <w:tcPr>
            <w:tcW w:w="960" w:type="dxa"/>
            <w:vAlign w:val="bottom"/>
            <w:shd w:val="clear" w:color="auto" w:fill="E0EBED"/>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E0EBED"/>
          </w:tcPr>
          <w:p>
            <w:pPr>
              <w:spacing w:after="0"/>
              <w:rPr>
                <w:sz w:val="24"/>
                <w:szCs w:val="24"/>
                <w:color w:val="auto"/>
              </w:rPr>
            </w:pPr>
          </w:p>
        </w:tc>
        <w:tc>
          <w:tcPr>
            <w:tcW w:w="1080" w:type="dxa"/>
            <w:vAlign w:val="bottom"/>
            <w:shd w:val="clear" w:color="auto" w:fill="E0EBED"/>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E0EBED"/>
          </w:tcPr>
          <w:p>
            <w:pPr>
              <w:spacing w:after="0"/>
              <w:rPr>
                <w:sz w:val="24"/>
                <w:szCs w:val="24"/>
                <w:color w:val="auto"/>
              </w:rPr>
            </w:pPr>
          </w:p>
        </w:tc>
        <w:tc>
          <w:tcPr>
            <w:tcW w:w="820" w:type="dxa"/>
            <w:vAlign w:val="bottom"/>
            <w:shd w:val="clear" w:color="auto" w:fill="E0EBED"/>
          </w:tcPr>
          <w:p>
            <w:pPr>
              <w:jc w:val="right"/>
              <w:ind w:right="44"/>
              <w:spacing w:after="0"/>
              <w:rPr>
                <w:sz w:val="20"/>
                <w:szCs w:val="20"/>
                <w:color w:val="auto"/>
              </w:rPr>
            </w:pPr>
            <w:r>
              <w:rPr>
                <w:rFonts w:ascii="Arial" w:cs="Arial" w:eastAsia="Arial" w:hAnsi="Arial"/>
                <w:sz w:val="15"/>
                <w:szCs w:val="15"/>
                <w:color w:val="auto"/>
              </w:rPr>
              <w:t>425,386</w:t>
            </w:r>
          </w:p>
        </w:tc>
        <w:tc>
          <w:tcPr>
            <w:tcW w:w="240" w:type="dxa"/>
            <w:vAlign w:val="bottom"/>
            <w:shd w:val="clear" w:color="auto" w:fill="E0EBED"/>
          </w:tcPr>
          <w:p>
            <w:pPr>
              <w:spacing w:after="0"/>
              <w:rPr>
                <w:sz w:val="24"/>
                <w:szCs w:val="24"/>
                <w:color w:val="auto"/>
              </w:rPr>
            </w:pPr>
          </w:p>
        </w:tc>
        <w:tc>
          <w:tcPr>
            <w:tcW w:w="860" w:type="dxa"/>
            <w:vAlign w:val="bottom"/>
            <w:shd w:val="clear" w:color="auto" w:fill="E0EBED"/>
          </w:tcPr>
          <w:p>
            <w:pPr>
              <w:jc w:val="right"/>
              <w:spacing w:after="0"/>
              <w:rPr>
                <w:sz w:val="20"/>
                <w:szCs w:val="20"/>
                <w:color w:val="auto"/>
              </w:rPr>
            </w:pPr>
            <w:r>
              <w:rPr>
                <w:rFonts w:ascii="Arial" w:cs="Arial" w:eastAsia="Arial" w:hAnsi="Arial"/>
                <w:sz w:val="15"/>
                <w:szCs w:val="15"/>
                <w:color w:val="auto"/>
              </w:rPr>
              <w:t>425,386</w:t>
            </w:r>
          </w:p>
        </w:tc>
        <w:tc>
          <w:tcPr>
            <w:tcW w:w="220" w:type="dxa"/>
            <w:vAlign w:val="bottom"/>
            <w:shd w:val="clear" w:color="auto" w:fill="E0EBED"/>
          </w:tcPr>
          <w:p>
            <w:pPr>
              <w:spacing w:after="0"/>
              <w:rPr>
                <w:sz w:val="24"/>
                <w:szCs w:val="24"/>
                <w:color w:val="auto"/>
              </w:rPr>
            </w:pPr>
          </w:p>
        </w:tc>
        <w:tc>
          <w:tcPr>
            <w:tcW w:w="680" w:type="dxa"/>
            <w:vAlign w:val="bottom"/>
            <w:shd w:val="clear" w:color="auto" w:fill="E0EBED"/>
          </w:tcPr>
          <w:p>
            <w:pPr>
              <w:jc w:val="right"/>
              <w:ind w:right="4"/>
              <w:spacing w:after="0"/>
              <w:rPr>
                <w:sz w:val="20"/>
                <w:szCs w:val="20"/>
                <w:color w:val="auto"/>
              </w:rPr>
            </w:pPr>
            <w:r>
              <w:rPr>
                <w:rFonts w:ascii="Arial" w:cs="Arial" w:eastAsia="Arial" w:hAnsi="Arial"/>
                <w:sz w:val="15"/>
                <w:szCs w:val="15"/>
                <w:color w:val="auto"/>
              </w:rPr>
              <w:t>58</w:t>
            </w:r>
          </w:p>
        </w:tc>
        <w:tc>
          <w:tcPr>
            <w:tcW w:w="940" w:type="dxa"/>
            <w:vAlign w:val="bottom"/>
            <w:shd w:val="clear" w:color="auto" w:fill="E0EBED"/>
          </w:tcPr>
          <w:p>
            <w:pPr>
              <w:jc w:val="right"/>
              <w:ind w:right="24"/>
              <w:spacing w:after="0"/>
              <w:rPr>
                <w:sz w:val="20"/>
                <w:szCs w:val="20"/>
                <w:color w:val="auto"/>
              </w:rPr>
            </w:pPr>
            <w:r>
              <w:rPr>
                <w:rFonts w:ascii="Arial" w:cs="Arial" w:eastAsia="Arial" w:hAnsi="Arial"/>
                <w:sz w:val="15"/>
                <w:szCs w:val="15"/>
                <w:color w:val="auto"/>
              </w:rPr>
              <w:t>425,444</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line="162" w:lineRule="exact"/>
              <w:rPr>
                <w:sz w:val="20"/>
                <w:szCs w:val="20"/>
                <w:color w:val="auto"/>
              </w:rPr>
            </w:pPr>
            <w:r>
              <w:rPr>
                <w:rFonts w:ascii="Arial" w:cs="Arial" w:eastAsia="Arial" w:hAnsi="Arial"/>
                <w:sz w:val="15"/>
                <w:szCs w:val="15"/>
                <w:color w:val="auto"/>
              </w:rPr>
              <w:t>Other comprehensive (loss) earnings</w:t>
            </w:r>
          </w:p>
        </w:tc>
        <w:tc>
          <w:tcPr>
            <w:tcW w:w="84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E0EBED"/>
          </w:tcPr>
          <w:p>
            <w:pPr>
              <w:spacing w:after="0"/>
              <w:rPr>
                <w:sz w:val="14"/>
                <w:szCs w:val="14"/>
                <w:color w:val="auto"/>
              </w:rPr>
            </w:pPr>
          </w:p>
        </w:tc>
        <w:tc>
          <w:tcPr>
            <w:tcW w:w="64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96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E0EBED"/>
          </w:tcPr>
          <w:p>
            <w:pPr>
              <w:spacing w:after="0"/>
              <w:rPr>
                <w:sz w:val="14"/>
                <w:szCs w:val="14"/>
                <w:color w:val="auto"/>
              </w:rPr>
            </w:pPr>
          </w:p>
        </w:tc>
        <w:tc>
          <w:tcPr>
            <w:tcW w:w="108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(25,065)</w:t>
            </w:r>
          </w:p>
        </w:tc>
        <w:tc>
          <w:tcPr>
            <w:tcW w:w="140" w:type="dxa"/>
            <w:vAlign w:val="bottom"/>
            <w:shd w:val="clear" w:color="auto" w:fill="E0EBED"/>
          </w:tcPr>
          <w:p>
            <w:pPr>
              <w:spacing w:after="0"/>
              <w:rPr>
                <w:sz w:val="14"/>
                <w:szCs w:val="14"/>
                <w:color w:val="auto"/>
              </w:rPr>
            </w:pPr>
          </w:p>
        </w:tc>
        <w:tc>
          <w:tcPr>
            <w:tcW w:w="820" w:type="dxa"/>
            <w:vAlign w:val="bottom"/>
            <w:shd w:val="clear" w:color="auto" w:fill="E0EBED"/>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E0EBED"/>
          </w:tcPr>
          <w:p>
            <w:pPr>
              <w:spacing w:after="0"/>
              <w:rPr>
                <w:sz w:val="14"/>
                <w:szCs w:val="14"/>
                <w:color w:val="auto"/>
              </w:rPr>
            </w:pPr>
          </w:p>
        </w:tc>
        <w:tc>
          <w:tcPr>
            <w:tcW w:w="860" w:type="dxa"/>
            <w:vAlign w:val="bottom"/>
            <w:shd w:val="clear" w:color="auto" w:fill="E0EBED"/>
          </w:tcPr>
          <w:p>
            <w:pPr>
              <w:jc w:val="right"/>
              <w:spacing w:after="0" w:line="162" w:lineRule="exact"/>
              <w:rPr>
                <w:sz w:val="20"/>
                <w:szCs w:val="20"/>
                <w:color w:val="auto"/>
              </w:rPr>
            </w:pPr>
            <w:r>
              <w:rPr>
                <w:rFonts w:ascii="Arial" w:cs="Arial" w:eastAsia="Arial" w:hAnsi="Arial"/>
                <w:sz w:val="15"/>
                <w:szCs w:val="15"/>
                <w:color w:val="auto"/>
              </w:rPr>
              <w:t>(25,065)</w:t>
            </w:r>
          </w:p>
        </w:tc>
        <w:tc>
          <w:tcPr>
            <w:tcW w:w="220" w:type="dxa"/>
            <w:vAlign w:val="bottom"/>
            <w:shd w:val="clear" w:color="auto" w:fill="E0EBED"/>
          </w:tcPr>
          <w:p>
            <w:pPr>
              <w:spacing w:after="0"/>
              <w:rPr>
                <w:sz w:val="14"/>
                <w:szCs w:val="14"/>
                <w:color w:val="auto"/>
              </w:rPr>
            </w:pPr>
          </w:p>
        </w:tc>
        <w:tc>
          <w:tcPr>
            <w:tcW w:w="68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61</w:t>
            </w:r>
          </w:p>
        </w:tc>
        <w:tc>
          <w:tcPr>
            <w:tcW w:w="94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(25,004)</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line="162" w:lineRule="exact"/>
              <w:rPr>
                <w:sz w:val="20"/>
                <w:szCs w:val="20"/>
                <w:color w:val="auto"/>
              </w:rPr>
            </w:pPr>
            <w:r>
              <w:rPr>
                <w:rFonts w:ascii="Arial" w:cs="Arial" w:eastAsia="Arial" w:hAnsi="Arial"/>
                <w:sz w:val="15"/>
                <w:szCs w:val="15"/>
                <w:color w:val="auto"/>
              </w:rPr>
              <w:t>Dividends declared ($1.64 per common share)</w:t>
            </w:r>
          </w:p>
        </w:tc>
        <w:tc>
          <w:tcPr>
            <w:tcW w:w="84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E0EBED"/>
          </w:tcPr>
          <w:p>
            <w:pPr>
              <w:spacing w:after="0"/>
              <w:rPr>
                <w:sz w:val="14"/>
                <w:szCs w:val="14"/>
                <w:color w:val="auto"/>
              </w:rPr>
            </w:pPr>
          </w:p>
        </w:tc>
        <w:tc>
          <w:tcPr>
            <w:tcW w:w="64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96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E0EBED"/>
          </w:tcPr>
          <w:p>
            <w:pPr>
              <w:spacing w:after="0"/>
              <w:rPr>
                <w:sz w:val="14"/>
                <w:szCs w:val="14"/>
                <w:color w:val="auto"/>
              </w:rPr>
            </w:pPr>
          </w:p>
        </w:tc>
        <w:tc>
          <w:tcPr>
            <w:tcW w:w="108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E0EBED"/>
          </w:tcPr>
          <w:p>
            <w:pPr>
              <w:spacing w:after="0"/>
              <w:rPr>
                <w:sz w:val="14"/>
                <w:szCs w:val="14"/>
                <w:color w:val="auto"/>
              </w:rPr>
            </w:pPr>
          </w:p>
        </w:tc>
        <w:tc>
          <w:tcPr>
            <w:tcW w:w="820" w:type="dxa"/>
            <w:vAlign w:val="bottom"/>
            <w:shd w:val="clear" w:color="auto" w:fill="E0EBED"/>
          </w:tcPr>
          <w:p>
            <w:pPr>
              <w:jc w:val="right"/>
              <w:spacing w:after="0" w:line="162" w:lineRule="exact"/>
              <w:rPr>
                <w:sz w:val="20"/>
                <w:szCs w:val="20"/>
                <w:color w:val="auto"/>
              </w:rPr>
            </w:pPr>
            <w:r>
              <w:rPr>
                <w:rFonts w:ascii="Arial" w:cs="Arial" w:eastAsia="Arial" w:hAnsi="Arial"/>
                <w:sz w:val="15"/>
                <w:szCs w:val="15"/>
                <w:color w:val="auto"/>
              </w:rPr>
              <w:t>(105,036)</w:t>
            </w:r>
          </w:p>
        </w:tc>
        <w:tc>
          <w:tcPr>
            <w:tcW w:w="240" w:type="dxa"/>
            <w:vAlign w:val="bottom"/>
            <w:shd w:val="clear" w:color="auto" w:fill="E0EBED"/>
          </w:tcPr>
          <w:p>
            <w:pPr>
              <w:spacing w:after="0"/>
              <w:rPr>
                <w:sz w:val="14"/>
                <w:szCs w:val="14"/>
                <w:color w:val="auto"/>
              </w:rPr>
            </w:pPr>
          </w:p>
        </w:tc>
        <w:tc>
          <w:tcPr>
            <w:tcW w:w="860" w:type="dxa"/>
            <w:vAlign w:val="bottom"/>
            <w:shd w:val="clear" w:color="auto" w:fill="E0EBED"/>
          </w:tcPr>
          <w:p>
            <w:pPr>
              <w:jc w:val="right"/>
              <w:spacing w:after="0" w:line="162" w:lineRule="exact"/>
              <w:rPr>
                <w:sz w:val="20"/>
                <w:szCs w:val="20"/>
                <w:color w:val="auto"/>
              </w:rPr>
            </w:pPr>
            <w:r>
              <w:rPr>
                <w:rFonts w:ascii="Arial" w:cs="Arial" w:eastAsia="Arial" w:hAnsi="Arial"/>
                <w:sz w:val="15"/>
                <w:szCs w:val="15"/>
                <w:color w:val="auto"/>
              </w:rPr>
              <w:t>(105,036)</w:t>
            </w:r>
          </w:p>
        </w:tc>
        <w:tc>
          <w:tcPr>
            <w:tcW w:w="220" w:type="dxa"/>
            <w:vAlign w:val="bottom"/>
            <w:shd w:val="clear" w:color="auto" w:fill="E0EBED"/>
          </w:tcPr>
          <w:p>
            <w:pPr>
              <w:spacing w:after="0"/>
              <w:rPr>
                <w:sz w:val="14"/>
                <w:szCs w:val="14"/>
                <w:color w:val="auto"/>
              </w:rPr>
            </w:pPr>
          </w:p>
        </w:tc>
        <w:tc>
          <w:tcPr>
            <w:tcW w:w="68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94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(105,036)</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line="162" w:lineRule="exact"/>
              <w:rPr>
                <w:sz w:val="20"/>
                <w:szCs w:val="20"/>
                <w:color w:val="auto"/>
              </w:rPr>
            </w:pPr>
            <w:r>
              <w:rPr>
                <w:rFonts w:ascii="Arial" w:cs="Arial" w:eastAsia="Arial" w:hAnsi="Arial"/>
                <w:sz w:val="15"/>
                <w:szCs w:val="15"/>
                <w:color w:val="auto"/>
              </w:rPr>
              <w:t>Issuances of common stock for stock award plans</w:t>
            </w:r>
          </w:p>
        </w:tc>
        <w:tc>
          <w:tcPr>
            <w:tcW w:w="84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285</w:t>
            </w:r>
          </w:p>
        </w:tc>
        <w:tc>
          <w:tcPr>
            <w:tcW w:w="180" w:type="dxa"/>
            <w:vAlign w:val="bottom"/>
            <w:shd w:val="clear" w:color="auto" w:fill="E0EBED"/>
          </w:tcPr>
          <w:p>
            <w:pPr>
              <w:spacing w:after="0"/>
              <w:rPr>
                <w:sz w:val="14"/>
                <w:szCs w:val="14"/>
                <w:color w:val="auto"/>
              </w:rPr>
            </w:pPr>
          </w:p>
        </w:tc>
        <w:tc>
          <w:tcPr>
            <w:tcW w:w="64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3</w:t>
            </w:r>
          </w:p>
        </w:tc>
        <w:tc>
          <w:tcPr>
            <w:tcW w:w="96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26,109</w:t>
            </w:r>
          </w:p>
        </w:tc>
        <w:tc>
          <w:tcPr>
            <w:tcW w:w="160" w:type="dxa"/>
            <w:vAlign w:val="bottom"/>
            <w:shd w:val="clear" w:color="auto" w:fill="E0EBED"/>
          </w:tcPr>
          <w:p>
            <w:pPr>
              <w:spacing w:after="0"/>
              <w:rPr>
                <w:sz w:val="14"/>
                <w:szCs w:val="14"/>
                <w:color w:val="auto"/>
              </w:rPr>
            </w:pPr>
          </w:p>
        </w:tc>
        <w:tc>
          <w:tcPr>
            <w:tcW w:w="108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E0EBED"/>
          </w:tcPr>
          <w:p>
            <w:pPr>
              <w:spacing w:after="0"/>
              <w:rPr>
                <w:sz w:val="14"/>
                <w:szCs w:val="14"/>
                <w:color w:val="auto"/>
              </w:rPr>
            </w:pPr>
          </w:p>
        </w:tc>
        <w:tc>
          <w:tcPr>
            <w:tcW w:w="820" w:type="dxa"/>
            <w:vAlign w:val="bottom"/>
            <w:shd w:val="clear" w:color="auto" w:fill="E0EBED"/>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E0EBED"/>
          </w:tcPr>
          <w:p>
            <w:pPr>
              <w:spacing w:after="0"/>
              <w:rPr>
                <w:sz w:val="14"/>
                <w:szCs w:val="14"/>
                <w:color w:val="auto"/>
              </w:rPr>
            </w:pPr>
          </w:p>
        </w:tc>
        <w:tc>
          <w:tcPr>
            <w:tcW w:w="860" w:type="dxa"/>
            <w:vAlign w:val="bottom"/>
            <w:shd w:val="clear" w:color="auto" w:fill="E0EBED"/>
          </w:tcPr>
          <w:p>
            <w:pPr>
              <w:jc w:val="right"/>
              <w:spacing w:after="0" w:line="162" w:lineRule="exact"/>
              <w:rPr>
                <w:sz w:val="20"/>
                <w:szCs w:val="20"/>
                <w:color w:val="auto"/>
              </w:rPr>
            </w:pPr>
            <w:r>
              <w:rPr>
                <w:rFonts w:ascii="Arial" w:cs="Arial" w:eastAsia="Arial" w:hAnsi="Arial"/>
                <w:sz w:val="15"/>
                <w:szCs w:val="15"/>
                <w:color w:val="auto"/>
              </w:rPr>
              <w:t>26,112</w:t>
            </w:r>
          </w:p>
        </w:tc>
        <w:tc>
          <w:tcPr>
            <w:tcW w:w="220" w:type="dxa"/>
            <w:vAlign w:val="bottom"/>
            <w:shd w:val="clear" w:color="auto" w:fill="E0EBED"/>
          </w:tcPr>
          <w:p>
            <w:pPr>
              <w:spacing w:after="0"/>
              <w:rPr>
                <w:sz w:val="14"/>
                <w:szCs w:val="14"/>
                <w:color w:val="auto"/>
              </w:rPr>
            </w:pPr>
          </w:p>
        </w:tc>
        <w:tc>
          <w:tcPr>
            <w:tcW w:w="68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94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26,112</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line="162" w:lineRule="exact"/>
              <w:rPr>
                <w:sz w:val="20"/>
                <w:szCs w:val="20"/>
                <w:color w:val="auto"/>
              </w:rPr>
            </w:pPr>
            <w:r>
              <w:rPr>
                <w:rFonts w:ascii="Arial" w:cs="Arial" w:eastAsia="Arial" w:hAnsi="Arial"/>
                <w:sz w:val="15"/>
                <w:szCs w:val="15"/>
                <w:color w:val="auto"/>
              </w:rPr>
              <w:t>Repurchases of common stock</w:t>
            </w:r>
          </w:p>
        </w:tc>
        <w:tc>
          <w:tcPr>
            <w:tcW w:w="84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(1,588)</w:t>
            </w:r>
          </w:p>
        </w:tc>
        <w:tc>
          <w:tcPr>
            <w:tcW w:w="180" w:type="dxa"/>
            <w:vAlign w:val="bottom"/>
            <w:shd w:val="clear" w:color="auto" w:fill="E0EBED"/>
          </w:tcPr>
          <w:p>
            <w:pPr>
              <w:spacing w:after="0"/>
              <w:rPr>
                <w:sz w:val="14"/>
                <w:szCs w:val="14"/>
                <w:color w:val="auto"/>
              </w:rPr>
            </w:pPr>
          </w:p>
        </w:tc>
        <w:tc>
          <w:tcPr>
            <w:tcW w:w="640" w:type="dxa"/>
            <w:vAlign w:val="bottom"/>
            <w:shd w:val="clear" w:color="auto" w:fill="E0EBED"/>
          </w:tcPr>
          <w:p>
            <w:pPr>
              <w:jc w:val="right"/>
              <w:spacing w:after="0" w:line="162" w:lineRule="exact"/>
              <w:rPr>
                <w:sz w:val="20"/>
                <w:szCs w:val="20"/>
                <w:color w:val="auto"/>
              </w:rPr>
            </w:pPr>
            <w:r>
              <w:rPr>
                <w:rFonts w:ascii="Arial" w:cs="Arial" w:eastAsia="Arial" w:hAnsi="Arial"/>
                <w:sz w:val="15"/>
                <w:szCs w:val="15"/>
                <w:color w:val="auto"/>
              </w:rPr>
              <w:t>(16)</w:t>
            </w:r>
          </w:p>
        </w:tc>
        <w:tc>
          <w:tcPr>
            <w:tcW w:w="96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E0EBED"/>
          </w:tcPr>
          <w:p>
            <w:pPr>
              <w:spacing w:after="0"/>
              <w:rPr>
                <w:sz w:val="14"/>
                <w:szCs w:val="14"/>
                <w:color w:val="auto"/>
              </w:rPr>
            </w:pPr>
          </w:p>
        </w:tc>
        <w:tc>
          <w:tcPr>
            <w:tcW w:w="108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E0EBED"/>
          </w:tcPr>
          <w:p>
            <w:pPr>
              <w:spacing w:after="0"/>
              <w:rPr>
                <w:sz w:val="14"/>
                <w:szCs w:val="14"/>
                <w:color w:val="auto"/>
              </w:rPr>
            </w:pPr>
          </w:p>
        </w:tc>
        <w:tc>
          <w:tcPr>
            <w:tcW w:w="820" w:type="dxa"/>
            <w:vAlign w:val="bottom"/>
            <w:shd w:val="clear" w:color="auto" w:fill="E0EBED"/>
          </w:tcPr>
          <w:p>
            <w:pPr>
              <w:jc w:val="right"/>
              <w:spacing w:after="0" w:line="162" w:lineRule="exact"/>
              <w:rPr>
                <w:sz w:val="20"/>
                <w:szCs w:val="20"/>
                <w:color w:val="auto"/>
              </w:rPr>
            </w:pPr>
            <w:r>
              <w:rPr>
                <w:rFonts w:ascii="Arial" w:cs="Arial" w:eastAsia="Arial" w:hAnsi="Arial"/>
                <w:sz w:val="15"/>
                <w:szCs w:val="15"/>
                <w:color w:val="auto"/>
              </w:rPr>
              <w:t>(259,212)</w:t>
            </w:r>
          </w:p>
        </w:tc>
        <w:tc>
          <w:tcPr>
            <w:tcW w:w="240" w:type="dxa"/>
            <w:vAlign w:val="bottom"/>
            <w:shd w:val="clear" w:color="auto" w:fill="E0EBED"/>
          </w:tcPr>
          <w:p>
            <w:pPr>
              <w:spacing w:after="0"/>
              <w:rPr>
                <w:sz w:val="14"/>
                <w:szCs w:val="14"/>
                <w:color w:val="auto"/>
              </w:rPr>
            </w:pPr>
          </w:p>
        </w:tc>
        <w:tc>
          <w:tcPr>
            <w:tcW w:w="860" w:type="dxa"/>
            <w:vAlign w:val="bottom"/>
            <w:shd w:val="clear" w:color="auto" w:fill="E0EBED"/>
          </w:tcPr>
          <w:p>
            <w:pPr>
              <w:jc w:val="right"/>
              <w:spacing w:after="0" w:line="162" w:lineRule="exact"/>
              <w:rPr>
                <w:sz w:val="20"/>
                <w:szCs w:val="20"/>
                <w:color w:val="auto"/>
              </w:rPr>
            </w:pPr>
            <w:r>
              <w:rPr>
                <w:rFonts w:ascii="Arial" w:cs="Arial" w:eastAsia="Arial" w:hAnsi="Arial"/>
                <w:sz w:val="15"/>
                <w:szCs w:val="15"/>
                <w:color w:val="auto"/>
              </w:rPr>
              <w:t>(259,228)</w:t>
            </w:r>
          </w:p>
        </w:tc>
        <w:tc>
          <w:tcPr>
            <w:tcW w:w="220" w:type="dxa"/>
            <w:vAlign w:val="bottom"/>
            <w:shd w:val="clear" w:color="auto" w:fill="E0EBED"/>
          </w:tcPr>
          <w:p>
            <w:pPr>
              <w:spacing w:after="0"/>
              <w:rPr>
                <w:sz w:val="14"/>
                <w:szCs w:val="14"/>
                <w:color w:val="auto"/>
              </w:rPr>
            </w:pPr>
          </w:p>
        </w:tc>
        <w:tc>
          <w:tcPr>
            <w:tcW w:w="68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94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(259,228)</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line="162" w:lineRule="exact"/>
              <w:rPr>
                <w:sz w:val="20"/>
                <w:szCs w:val="20"/>
                <w:color w:val="auto"/>
              </w:rPr>
            </w:pPr>
            <w:r>
              <w:rPr>
                <w:rFonts w:ascii="Arial" w:cs="Arial" w:eastAsia="Arial" w:hAnsi="Arial"/>
                <w:sz w:val="15"/>
                <w:szCs w:val="15"/>
                <w:color w:val="auto"/>
              </w:rPr>
              <w:t>Stock-based compensation expense</w:t>
            </w:r>
          </w:p>
        </w:tc>
        <w:tc>
          <w:tcPr>
            <w:tcW w:w="84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E0EBED"/>
          </w:tcPr>
          <w:p>
            <w:pPr>
              <w:spacing w:after="0"/>
              <w:rPr>
                <w:sz w:val="14"/>
                <w:szCs w:val="14"/>
                <w:color w:val="auto"/>
              </w:rPr>
            </w:pPr>
          </w:p>
        </w:tc>
        <w:tc>
          <w:tcPr>
            <w:tcW w:w="64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96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20,481</w:t>
            </w:r>
          </w:p>
        </w:tc>
        <w:tc>
          <w:tcPr>
            <w:tcW w:w="160" w:type="dxa"/>
            <w:vAlign w:val="bottom"/>
            <w:shd w:val="clear" w:color="auto" w:fill="E0EBED"/>
          </w:tcPr>
          <w:p>
            <w:pPr>
              <w:spacing w:after="0"/>
              <w:rPr>
                <w:sz w:val="14"/>
                <w:szCs w:val="14"/>
                <w:color w:val="auto"/>
              </w:rPr>
            </w:pPr>
          </w:p>
        </w:tc>
        <w:tc>
          <w:tcPr>
            <w:tcW w:w="108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E0EBED"/>
          </w:tcPr>
          <w:p>
            <w:pPr>
              <w:spacing w:after="0"/>
              <w:rPr>
                <w:sz w:val="14"/>
                <w:szCs w:val="14"/>
                <w:color w:val="auto"/>
              </w:rPr>
            </w:pPr>
          </w:p>
        </w:tc>
        <w:tc>
          <w:tcPr>
            <w:tcW w:w="820" w:type="dxa"/>
            <w:vAlign w:val="bottom"/>
            <w:shd w:val="clear" w:color="auto" w:fill="E0EBED"/>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E0EBED"/>
          </w:tcPr>
          <w:p>
            <w:pPr>
              <w:spacing w:after="0"/>
              <w:rPr>
                <w:sz w:val="14"/>
                <w:szCs w:val="14"/>
                <w:color w:val="auto"/>
              </w:rPr>
            </w:pPr>
          </w:p>
        </w:tc>
        <w:tc>
          <w:tcPr>
            <w:tcW w:w="860" w:type="dxa"/>
            <w:vAlign w:val="bottom"/>
            <w:shd w:val="clear" w:color="auto" w:fill="E0EBED"/>
          </w:tcPr>
          <w:p>
            <w:pPr>
              <w:jc w:val="right"/>
              <w:spacing w:after="0" w:line="162" w:lineRule="exact"/>
              <w:rPr>
                <w:sz w:val="20"/>
                <w:szCs w:val="20"/>
                <w:color w:val="auto"/>
              </w:rPr>
            </w:pPr>
            <w:r>
              <w:rPr>
                <w:rFonts w:ascii="Arial" w:cs="Arial" w:eastAsia="Arial" w:hAnsi="Arial"/>
                <w:sz w:val="15"/>
                <w:szCs w:val="15"/>
                <w:color w:val="auto"/>
              </w:rPr>
              <w:t>20,481</w:t>
            </w:r>
          </w:p>
        </w:tc>
        <w:tc>
          <w:tcPr>
            <w:tcW w:w="220" w:type="dxa"/>
            <w:vAlign w:val="bottom"/>
            <w:shd w:val="clear" w:color="auto" w:fill="E0EBED"/>
          </w:tcPr>
          <w:p>
            <w:pPr>
              <w:spacing w:after="0"/>
              <w:rPr>
                <w:sz w:val="14"/>
                <w:szCs w:val="14"/>
                <w:color w:val="auto"/>
              </w:rPr>
            </w:pPr>
          </w:p>
        </w:tc>
        <w:tc>
          <w:tcPr>
            <w:tcW w:w="68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94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20,481</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line="162" w:lineRule="exact"/>
              <w:rPr>
                <w:sz w:val="20"/>
                <w:szCs w:val="20"/>
                <w:color w:val="auto"/>
              </w:rPr>
            </w:pPr>
            <w:r>
              <w:rPr>
                <w:rFonts w:ascii="Arial" w:cs="Arial" w:eastAsia="Arial" w:hAnsi="Arial"/>
                <w:sz w:val="15"/>
                <w:szCs w:val="15"/>
                <w:color w:val="auto"/>
              </w:rPr>
              <w:t>Distributions to owners of noncontrolling interest</w:t>
            </w:r>
          </w:p>
        </w:tc>
        <w:tc>
          <w:tcPr>
            <w:tcW w:w="84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E0EBED"/>
          </w:tcPr>
          <w:p>
            <w:pPr>
              <w:spacing w:after="0"/>
              <w:rPr>
                <w:sz w:val="14"/>
                <w:szCs w:val="14"/>
                <w:color w:val="auto"/>
              </w:rPr>
            </w:pPr>
          </w:p>
        </w:tc>
        <w:tc>
          <w:tcPr>
            <w:tcW w:w="64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96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E0EBED"/>
          </w:tcPr>
          <w:p>
            <w:pPr>
              <w:spacing w:after="0"/>
              <w:rPr>
                <w:sz w:val="14"/>
                <w:szCs w:val="14"/>
                <w:color w:val="auto"/>
              </w:rPr>
            </w:pPr>
          </w:p>
        </w:tc>
        <w:tc>
          <w:tcPr>
            <w:tcW w:w="108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E0EBED"/>
          </w:tcPr>
          <w:p>
            <w:pPr>
              <w:spacing w:after="0"/>
              <w:rPr>
                <w:sz w:val="14"/>
                <w:szCs w:val="14"/>
                <w:color w:val="auto"/>
              </w:rPr>
            </w:pPr>
          </w:p>
        </w:tc>
        <w:tc>
          <w:tcPr>
            <w:tcW w:w="820" w:type="dxa"/>
            <w:vAlign w:val="bottom"/>
            <w:shd w:val="clear" w:color="auto" w:fill="E0EBED"/>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E0EBED"/>
          </w:tcPr>
          <w:p>
            <w:pPr>
              <w:spacing w:after="0"/>
              <w:rPr>
                <w:sz w:val="14"/>
                <w:szCs w:val="14"/>
                <w:color w:val="auto"/>
              </w:rPr>
            </w:pPr>
          </w:p>
        </w:tc>
        <w:tc>
          <w:tcPr>
            <w:tcW w:w="860" w:type="dxa"/>
            <w:vAlign w:val="bottom"/>
            <w:shd w:val="clear" w:color="auto" w:fill="E0EBED"/>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E0EBED"/>
          </w:tcPr>
          <w:p>
            <w:pPr>
              <w:spacing w:after="0"/>
              <w:rPr>
                <w:sz w:val="14"/>
                <w:szCs w:val="14"/>
                <w:color w:val="auto"/>
              </w:rPr>
            </w:pPr>
          </w:p>
        </w:tc>
        <w:tc>
          <w:tcPr>
            <w:tcW w:w="68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(400)</w:t>
            </w:r>
          </w:p>
        </w:tc>
        <w:tc>
          <w:tcPr>
            <w:tcW w:w="94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165"/>
        </w:trPr>
        <w:tc>
          <w:tcPr>
            <w:tcW w:w="3660" w:type="dxa"/>
            <w:vAlign w:val="bottom"/>
            <w:gridSpan w:val="2"/>
          </w:tcPr>
          <w:p>
            <w:pPr>
              <w:spacing w:after="0" w:line="166" w:lineRule="exact"/>
              <w:rPr>
                <w:sz w:val="20"/>
                <w:szCs w:val="20"/>
                <w:color w:val="auto"/>
              </w:rPr>
            </w:pPr>
            <w:r>
              <w:rPr>
                <w:rFonts w:ascii="Arial" w:cs="Arial" w:eastAsia="Arial" w:hAnsi="Arial"/>
                <w:sz w:val="15"/>
                <w:szCs w:val="15"/>
                <w:color w:val="auto"/>
              </w:rPr>
              <w:t>Contribution from owners of noncontrolling interest</w:t>
            </w:r>
          </w:p>
        </w:tc>
        <w:tc>
          <w:tcPr>
            <w:tcW w:w="840" w:type="dxa"/>
            <w:vAlign w:val="bottom"/>
            <w:shd w:val="clear" w:color="auto" w:fill="E0EBED"/>
          </w:tcPr>
          <w:p>
            <w:pPr>
              <w:jc w:val="right"/>
              <w:ind w:right="4"/>
              <w:spacing w:after="0" w:line="166" w:lineRule="exact"/>
              <w:rPr>
                <w:sz w:val="20"/>
                <w:szCs w:val="20"/>
                <w:color w:val="auto"/>
              </w:rPr>
            </w:pPr>
            <w:r>
              <w:rPr>
                <w:rFonts w:ascii="Arial" w:cs="Arial" w:eastAsia="Arial" w:hAnsi="Arial"/>
                <w:sz w:val="15"/>
                <w:szCs w:val="15"/>
                <w:color w:val="auto"/>
              </w:rPr>
              <w:t>–</w:t>
            </w:r>
          </w:p>
        </w:tc>
        <w:tc>
          <w:tcPr>
            <w:tcW w:w="180" w:type="dxa"/>
            <w:vAlign w:val="bottom"/>
            <w:shd w:val="clear" w:color="auto" w:fill="E0EBED"/>
          </w:tcPr>
          <w:p>
            <w:pPr>
              <w:spacing w:after="0"/>
              <w:rPr>
                <w:sz w:val="14"/>
                <w:szCs w:val="14"/>
                <w:color w:val="auto"/>
              </w:rPr>
            </w:pPr>
          </w:p>
        </w:tc>
        <w:tc>
          <w:tcPr>
            <w:tcW w:w="640" w:type="dxa"/>
            <w:vAlign w:val="bottom"/>
            <w:shd w:val="clear" w:color="auto" w:fill="E0EBED"/>
          </w:tcPr>
          <w:p>
            <w:pPr>
              <w:jc w:val="right"/>
              <w:ind w:right="24"/>
              <w:spacing w:after="0" w:line="166" w:lineRule="exact"/>
              <w:rPr>
                <w:sz w:val="20"/>
                <w:szCs w:val="20"/>
                <w:color w:val="auto"/>
              </w:rPr>
            </w:pPr>
            <w:r>
              <w:rPr>
                <w:rFonts w:ascii="Arial" w:cs="Arial" w:eastAsia="Arial" w:hAnsi="Arial"/>
                <w:sz w:val="15"/>
                <w:szCs w:val="15"/>
                <w:color w:val="auto"/>
              </w:rPr>
              <w:t>–</w:t>
            </w:r>
          </w:p>
        </w:tc>
        <w:tc>
          <w:tcPr>
            <w:tcW w:w="960" w:type="dxa"/>
            <w:vAlign w:val="bottom"/>
            <w:shd w:val="clear" w:color="auto" w:fill="E0EBED"/>
          </w:tcPr>
          <w:p>
            <w:pPr>
              <w:jc w:val="right"/>
              <w:ind w:right="24"/>
              <w:spacing w:after="0" w:line="166" w:lineRule="exact"/>
              <w:rPr>
                <w:sz w:val="20"/>
                <w:szCs w:val="20"/>
                <w:color w:val="auto"/>
              </w:rPr>
            </w:pPr>
            <w:r>
              <w:rPr>
                <w:rFonts w:ascii="Arial" w:cs="Arial" w:eastAsia="Arial" w:hAnsi="Arial"/>
                <w:sz w:val="15"/>
                <w:szCs w:val="15"/>
                <w:color w:val="auto"/>
              </w:rPr>
              <w:t>44</w:t>
            </w:r>
          </w:p>
        </w:tc>
        <w:tc>
          <w:tcPr>
            <w:tcW w:w="160" w:type="dxa"/>
            <w:vAlign w:val="bottom"/>
            <w:shd w:val="clear" w:color="auto" w:fill="E0EBED"/>
          </w:tcPr>
          <w:p>
            <w:pPr>
              <w:spacing w:after="0"/>
              <w:rPr>
                <w:sz w:val="14"/>
                <w:szCs w:val="14"/>
                <w:color w:val="auto"/>
              </w:rPr>
            </w:pPr>
          </w:p>
        </w:tc>
        <w:tc>
          <w:tcPr>
            <w:tcW w:w="1080" w:type="dxa"/>
            <w:vAlign w:val="bottom"/>
            <w:shd w:val="clear" w:color="auto" w:fill="E0EBED"/>
          </w:tcPr>
          <w:p>
            <w:pPr>
              <w:jc w:val="right"/>
              <w:ind w:right="4"/>
              <w:spacing w:after="0" w:line="166" w:lineRule="exact"/>
              <w:rPr>
                <w:sz w:val="20"/>
                <w:szCs w:val="20"/>
                <w:color w:val="auto"/>
              </w:rPr>
            </w:pPr>
            <w:r>
              <w:rPr>
                <w:rFonts w:ascii="Arial" w:cs="Arial" w:eastAsia="Arial" w:hAnsi="Arial"/>
                <w:sz w:val="15"/>
                <w:szCs w:val="15"/>
                <w:color w:val="auto"/>
              </w:rPr>
              <w:t>–</w:t>
            </w:r>
          </w:p>
        </w:tc>
        <w:tc>
          <w:tcPr>
            <w:tcW w:w="140" w:type="dxa"/>
            <w:vAlign w:val="bottom"/>
            <w:shd w:val="clear" w:color="auto" w:fill="E0EBED"/>
          </w:tcPr>
          <w:p>
            <w:pPr>
              <w:spacing w:after="0"/>
              <w:rPr>
                <w:sz w:val="14"/>
                <w:szCs w:val="14"/>
                <w:color w:val="auto"/>
              </w:rPr>
            </w:pPr>
          </w:p>
        </w:tc>
        <w:tc>
          <w:tcPr>
            <w:tcW w:w="820" w:type="dxa"/>
            <w:vAlign w:val="bottom"/>
            <w:shd w:val="clear" w:color="auto" w:fill="E0EBED"/>
          </w:tcPr>
          <w:p>
            <w:pPr>
              <w:jc w:val="right"/>
              <w:ind w:right="44"/>
              <w:spacing w:after="0" w:line="166" w:lineRule="exact"/>
              <w:rPr>
                <w:sz w:val="20"/>
                <w:szCs w:val="20"/>
                <w:color w:val="auto"/>
              </w:rPr>
            </w:pPr>
            <w:r>
              <w:rPr>
                <w:rFonts w:ascii="Arial" w:cs="Arial" w:eastAsia="Arial" w:hAnsi="Arial"/>
                <w:sz w:val="15"/>
                <w:szCs w:val="15"/>
                <w:color w:val="auto"/>
              </w:rPr>
              <w:t>–</w:t>
            </w:r>
          </w:p>
        </w:tc>
        <w:tc>
          <w:tcPr>
            <w:tcW w:w="240" w:type="dxa"/>
            <w:vAlign w:val="bottom"/>
            <w:shd w:val="clear" w:color="auto" w:fill="E0EBED"/>
          </w:tcPr>
          <w:p>
            <w:pPr>
              <w:spacing w:after="0"/>
              <w:rPr>
                <w:sz w:val="14"/>
                <w:szCs w:val="14"/>
                <w:color w:val="auto"/>
              </w:rPr>
            </w:pPr>
          </w:p>
        </w:tc>
        <w:tc>
          <w:tcPr>
            <w:tcW w:w="860" w:type="dxa"/>
            <w:vAlign w:val="bottom"/>
            <w:shd w:val="clear" w:color="auto" w:fill="E0EBED"/>
          </w:tcPr>
          <w:p>
            <w:pPr>
              <w:jc w:val="right"/>
              <w:spacing w:after="0" w:line="166" w:lineRule="exact"/>
              <w:rPr>
                <w:sz w:val="20"/>
                <w:szCs w:val="20"/>
                <w:color w:val="auto"/>
              </w:rPr>
            </w:pPr>
            <w:r>
              <w:rPr>
                <w:rFonts w:ascii="Arial" w:cs="Arial" w:eastAsia="Arial" w:hAnsi="Arial"/>
                <w:sz w:val="15"/>
                <w:szCs w:val="15"/>
                <w:color w:val="auto"/>
              </w:rPr>
              <w:t>44</w:t>
            </w:r>
          </w:p>
        </w:tc>
        <w:tc>
          <w:tcPr>
            <w:tcW w:w="220" w:type="dxa"/>
            <w:vAlign w:val="bottom"/>
            <w:shd w:val="clear" w:color="auto" w:fill="E0EBED"/>
          </w:tcPr>
          <w:p>
            <w:pPr>
              <w:spacing w:after="0"/>
              <w:rPr>
                <w:sz w:val="14"/>
                <w:szCs w:val="14"/>
                <w:color w:val="auto"/>
              </w:rPr>
            </w:pPr>
          </w:p>
        </w:tc>
        <w:tc>
          <w:tcPr>
            <w:tcW w:w="680" w:type="dxa"/>
            <w:vAlign w:val="bottom"/>
            <w:shd w:val="clear" w:color="auto" w:fill="E0EBED"/>
          </w:tcPr>
          <w:p>
            <w:pPr>
              <w:jc w:val="right"/>
              <w:ind w:right="4"/>
              <w:spacing w:after="0" w:line="166" w:lineRule="exact"/>
              <w:rPr>
                <w:sz w:val="20"/>
                <w:szCs w:val="20"/>
                <w:color w:val="auto"/>
              </w:rPr>
            </w:pPr>
            <w:r>
              <w:rPr>
                <w:rFonts w:ascii="Arial" w:cs="Arial" w:eastAsia="Arial" w:hAnsi="Arial"/>
                <w:sz w:val="15"/>
                <w:szCs w:val="15"/>
                <w:color w:val="auto"/>
              </w:rPr>
              <w:t>–</w:t>
            </w:r>
          </w:p>
        </w:tc>
        <w:tc>
          <w:tcPr>
            <w:tcW w:w="940" w:type="dxa"/>
            <w:vAlign w:val="bottom"/>
            <w:shd w:val="clear" w:color="auto" w:fill="E0EBED"/>
          </w:tcPr>
          <w:p>
            <w:pPr>
              <w:jc w:val="right"/>
              <w:ind w:right="24"/>
              <w:spacing w:after="0" w:line="166" w:lineRule="exact"/>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Balance at December 31, 2016</w:t>
            </w:r>
          </w:p>
        </w:tc>
        <w:tc>
          <w:tcPr>
            <w:tcW w:w="840" w:type="dxa"/>
            <w:vAlign w:val="bottom"/>
            <w:tcBorders>
              <w:top w:val="single" w:sz="8" w:color="auto"/>
            </w:tcBorders>
            <w:shd w:val="clear" w:color="auto" w:fill="E0EBED"/>
          </w:tcPr>
          <w:p>
            <w:pPr>
              <w:jc w:val="right"/>
              <w:ind w:right="4"/>
              <w:spacing w:after="0" w:line="156" w:lineRule="exact"/>
              <w:rPr>
                <w:sz w:val="20"/>
                <w:szCs w:val="20"/>
                <w:color w:val="auto"/>
              </w:rPr>
            </w:pPr>
            <w:r>
              <w:rPr>
                <w:rFonts w:ascii="Arial" w:cs="Arial" w:eastAsia="Arial" w:hAnsi="Arial"/>
                <w:sz w:val="15"/>
                <w:szCs w:val="15"/>
                <w:color w:val="auto"/>
              </w:rPr>
              <w:t>63,176</w:t>
            </w:r>
          </w:p>
        </w:tc>
        <w:tc>
          <w:tcPr>
            <w:tcW w:w="180" w:type="dxa"/>
            <w:vAlign w:val="bottom"/>
            <w:tcBorders>
              <w:top w:val="single" w:sz="8" w:color="auto"/>
            </w:tcBorders>
            <w:shd w:val="clear" w:color="auto" w:fill="E0EBED"/>
          </w:tcPr>
          <w:p>
            <w:pPr>
              <w:spacing w:after="0"/>
              <w:rPr>
                <w:sz w:val="13"/>
                <w:szCs w:val="13"/>
                <w:color w:val="auto"/>
              </w:rPr>
            </w:pPr>
          </w:p>
        </w:tc>
        <w:tc>
          <w:tcPr>
            <w:tcW w:w="640" w:type="dxa"/>
            <w:vAlign w:val="bottom"/>
            <w:tcBorders>
              <w:top w:val="single" w:sz="8" w:color="auto"/>
            </w:tcBorders>
            <w:shd w:val="clear" w:color="auto" w:fill="E0EBED"/>
          </w:tcPr>
          <w:p>
            <w:pPr>
              <w:jc w:val="right"/>
              <w:ind w:right="24"/>
              <w:spacing w:after="0" w:line="156" w:lineRule="exact"/>
              <w:rPr>
                <w:sz w:val="20"/>
                <w:szCs w:val="20"/>
                <w:color w:val="auto"/>
              </w:rPr>
            </w:pPr>
            <w:r>
              <w:rPr>
                <w:rFonts w:ascii="Arial" w:cs="Arial" w:eastAsia="Arial" w:hAnsi="Arial"/>
                <w:sz w:val="15"/>
                <w:szCs w:val="15"/>
                <w:color w:val="auto"/>
              </w:rPr>
              <w:t>630</w:t>
            </w:r>
          </w:p>
        </w:tc>
        <w:tc>
          <w:tcPr>
            <w:tcW w:w="960" w:type="dxa"/>
            <w:vAlign w:val="bottom"/>
            <w:tcBorders>
              <w:top w:val="single" w:sz="8" w:color="auto"/>
            </w:tcBorders>
            <w:shd w:val="clear" w:color="auto" w:fill="E0EBED"/>
          </w:tcPr>
          <w:p>
            <w:pPr>
              <w:jc w:val="right"/>
              <w:ind w:right="24"/>
              <w:spacing w:after="0" w:line="156" w:lineRule="exact"/>
              <w:rPr>
                <w:sz w:val="20"/>
                <w:szCs w:val="20"/>
                <w:color w:val="auto"/>
              </w:rPr>
            </w:pPr>
            <w:r>
              <w:rPr>
                <w:rFonts w:ascii="Arial" w:cs="Arial" w:eastAsia="Arial" w:hAnsi="Arial"/>
                <w:sz w:val="15"/>
                <w:szCs w:val="15"/>
                <w:color w:val="auto"/>
              </w:rPr>
              <w:t>3,334,461</w:t>
            </w:r>
          </w:p>
        </w:tc>
        <w:tc>
          <w:tcPr>
            <w:tcW w:w="160" w:type="dxa"/>
            <w:vAlign w:val="bottom"/>
            <w:tcBorders>
              <w:top w:val="single" w:sz="8" w:color="auto"/>
            </w:tcBorders>
            <w:shd w:val="clear" w:color="auto" w:fill="E0EBED"/>
          </w:tcPr>
          <w:p>
            <w:pPr>
              <w:spacing w:after="0"/>
              <w:rPr>
                <w:sz w:val="13"/>
                <w:szCs w:val="13"/>
                <w:color w:val="auto"/>
              </w:rPr>
            </w:pPr>
          </w:p>
        </w:tc>
        <w:tc>
          <w:tcPr>
            <w:tcW w:w="1080" w:type="dxa"/>
            <w:vAlign w:val="bottom"/>
            <w:tcBorders>
              <w:top w:val="single" w:sz="8" w:color="auto"/>
            </w:tcBorders>
            <w:shd w:val="clear" w:color="auto" w:fill="E0EBED"/>
          </w:tcPr>
          <w:p>
            <w:pPr>
              <w:jc w:val="right"/>
              <w:ind w:right="4"/>
              <w:spacing w:after="0" w:line="156" w:lineRule="exact"/>
              <w:rPr>
                <w:sz w:val="20"/>
                <w:szCs w:val="20"/>
                <w:color w:val="auto"/>
              </w:rPr>
            </w:pPr>
            <w:r>
              <w:rPr>
                <w:rFonts w:ascii="Arial" w:cs="Arial" w:eastAsia="Arial" w:hAnsi="Arial"/>
                <w:sz w:val="15"/>
                <w:szCs w:val="15"/>
                <w:color w:val="auto"/>
              </w:rPr>
              <w:t>(130,687)</w:t>
            </w:r>
          </w:p>
        </w:tc>
        <w:tc>
          <w:tcPr>
            <w:tcW w:w="140" w:type="dxa"/>
            <w:vAlign w:val="bottom"/>
            <w:tcBorders>
              <w:top w:val="single" w:sz="8" w:color="auto"/>
            </w:tcBorders>
            <w:shd w:val="clear" w:color="auto" w:fill="E0EBED"/>
          </w:tcPr>
          <w:p>
            <w:pPr>
              <w:spacing w:after="0"/>
              <w:rPr>
                <w:sz w:val="13"/>
                <w:szCs w:val="13"/>
                <w:color w:val="auto"/>
              </w:rPr>
            </w:pPr>
          </w:p>
        </w:tc>
        <w:tc>
          <w:tcPr>
            <w:tcW w:w="820" w:type="dxa"/>
            <w:vAlign w:val="bottom"/>
            <w:tcBorders>
              <w:top w:val="single" w:sz="8" w:color="auto"/>
            </w:tcBorders>
            <w:shd w:val="clear" w:color="auto" w:fill="E0EBED"/>
          </w:tcPr>
          <w:p>
            <w:pPr>
              <w:jc w:val="right"/>
              <w:ind w:right="44"/>
              <w:spacing w:after="0" w:line="156" w:lineRule="exact"/>
              <w:rPr>
                <w:sz w:val="20"/>
                <w:szCs w:val="20"/>
                <w:color w:val="auto"/>
              </w:rPr>
            </w:pPr>
            <w:r>
              <w:rPr>
                <w:rFonts w:ascii="Arial" w:cs="Arial" w:eastAsia="Arial" w:hAnsi="Arial"/>
                <w:sz w:val="15"/>
                <w:szCs w:val="15"/>
                <w:color w:val="auto"/>
              </w:rPr>
              <w:t>935,574</w:t>
            </w:r>
          </w:p>
        </w:tc>
        <w:tc>
          <w:tcPr>
            <w:tcW w:w="240" w:type="dxa"/>
            <w:vAlign w:val="bottom"/>
            <w:tcBorders>
              <w:top w:val="single" w:sz="8" w:color="auto"/>
            </w:tcBorders>
            <w:shd w:val="clear" w:color="auto" w:fill="E0EBED"/>
          </w:tcPr>
          <w:p>
            <w:pPr>
              <w:spacing w:after="0"/>
              <w:rPr>
                <w:sz w:val="13"/>
                <w:szCs w:val="13"/>
                <w:color w:val="auto"/>
              </w:rPr>
            </w:pPr>
          </w:p>
        </w:tc>
        <w:tc>
          <w:tcPr>
            <w:tcW w:w="860" w:type="dxa"/>
            <w:vAlign w:val="bottom"/>
            <w:tcBorders>
              <w:top w:val="single" w:sz="8" w:color="auto"/>
            </w:tcBorders>
            <w:shd w:val="clear" w:color="auto" w:fill="E0EBED"/>
          </w:tcPr>
          <w:p>
            <w:pPr>
              <w:jc w:val="right"/>
              <w:spacing w:after="0" w:line="156" w:lineRule="exact"/>
              <w:rPr>
                <w:sz w:val="20"/>
                <w:szCs w:val="20"/>
                <w:color w:val="auto"/>
              </w:rPr>
            </w:pPr>
            <w:r>
              <w:rPr>
                <w:rFonts w:ascii="Arial" w:cs="Arial" w:eastAsia="Arial" w:hAnsi="Arial"/>
                <w:sz w:val="15"/>
                <w:szCs w:val="15"/>
                <w:color w:val="auto"/>
              </w:rPr>
              <w:t>4,139,978</w:t>
            </w:r>
          </w:p>
        </w:tc>
        <w:tc>
          <w:tcPr>
            <w:tcW w:w="220" w:type="dxa"/>
            <w:vAlign w:val="bottom"/>
            <w:tcBorders>
              <w:top w:val="single" w:sz="8" w:color="auto"/>
            </w:tcBorders>
            <w:shd w:val="clear" w:color="auto" w:fill="E0EBED"/>
          </w:tcPr>
          <w:p>
            <w:pPr>
              <w:spacing w:after="0"/>
              <w:rPr>
                <w:sz w:val="13"/>
                <w:szCs w:val="13"/>
                <w:color w:val="auto"/>
              </w:rPr>
            </w:pPr>
          </w:p>
        </w:tc>
        <w:tc>
          <w:tcPr>
            <w:tcW w:w="680" w:type="dxa"/>
            <w:vAlign w:val="bottom"/>
            <w:tcBorders>
              <w:top w:val="single" w:sz="8" w:color="auto"/>
            </w:tcBorders>
            <w:shd w:val="clear" w:color="auto" w:fill="E0EBED"/>
          </w:tcPr>
          <w:p>
            <w:pPr>
              <w:jc w:val="right"/>
              <w:ind w:right="4"/>
              <w:spacing w:after="0" w:line="156" w:lineRule="exact"/>
              <w:rPr>
                <w:sz w:val="20"/>
                <w:szCs w:val="20"/>
                <w:color w:val="auto"/>
              </w:rPr>
            </w:pPr>
            <w:r>
              <w:rPr>
                <w:rFonts w:ascii="Arial" w:cs="Arial" w:eastAsia="Arial" w:hAnsi="Arial"/>
                <w:sz w:val="15"/>
                <w:szCs w:val="15"/>
                <w:color w:val="auto"/>
              </w:rPr>
              <w:t>2,612</w:t>
            </w:r>
          </w:p>
        </w:tc>
        <w:tc>
          <w:tcPr>
            <w:tcW w:w="940" w:type="dxa"/>
            <w:vAlign w:val="bottom"/>
            <w:tcBorders>
              <w:top w:val="single" w:sz="8" w:color="auto"/>
            </w:tcBorders>
            <w:shd w:val="clear" w:color="auto" w:fill="E0EBED"/>
          </w:tcPr>
          <w:p>
            <w:pPr>
              <w:jc w:val="right"/>
              <w:ind w:right="24"/>
              <w:spacing w:after="0" w:line="156" w:lineRule="exact"/>
              <w:rPr>
                <w:sz w:val="20"/>
                <w:szCs w:val="20"/>
                <w:color w:val="auto"/>
              </w:rPr>
            </w:pPr>
            <w:r>
              <w:rPr>
                <w:rFonts w:ascii="Arial" w:cs="Arial" w:eastAsia="Arial" w:hAnsi="Arial"/>
                <w:sz w:val="15"/>
                <w:szCs w:val="15"/>
                <w:color w:val="auto"/>
              </w:rPr>
              <w:t>4,142,590</w:t>
            </w:r>
          </w:p>
        </w:tc>
        <w:tc>
          <w:tcPr>
            <w:tcW w:w="0" w:type="dxa"/>
            <w:vAlign w:val="bottom"/>
          </w:tcPr>
          <w:p>
            <w:pPr>
              <w:spacing w:after="0"/>
              <w:rPr>
                <w:sz w:val="1"/>
                <w:szCs w:val="1"/>
                <w:color w:val="auto"/>
              </w:rPr>
            </w:pPr>
          </w:p>
        </w:tc>
      </w:tr>
      <w:tr>
        <w:trPr>
          <w:trHeight w:val="334"/>
        </w:trPr>
        <w:tc>
          <w:tcPr>
            <w:tcW w:w="3660" w:type="dxa"/>
            <w:vAlign w:val="bottom"/>
            <w:gridSpan w:val="2"/>
          </w:tcPr>
          <w:p>
            <w:pPr>
              <w:spacing w:after="0"/>
              <w:rPr>
                <w:sz w:val="20"/>
                <w:szCs w:val="20"/>
                <w:color w:val="auto"/>
              </w:rPr>
            </w:pPr>
            <w:r>
              <w:rPr>
                <w:rFonts w:ascii="Arial" w:cs="Arial" w:eastAsia="Arial" w:hAnsi="Arial"/>
                <w:sz w:val="15"/>
                <w:szCs w:val="15"/>
                <w:color w:val="auto"/>
              </w:rPr>
              <w:t>Consolidated net earnings</w:t>
            </w:r>
          </w:p>
        </w:tc>
        <w:tc>
          <w:tcPr>
            <w:tcW w:w="840" w:type="dxa"/>
            <w:vAlign w:val="bottom"/>
            <w:shd w:val="clear" w:color="auto" w:fill="E0EBED"/>
          </w:tcPr>
          <w:p>
            <w:pPr>
              <w:jc w:val="right"/>
              <w:ind w:right="4"/>
              <w:spacing w:after="0"/>
              <w:rPr>
                <w:sz w:val="20"/>
                <w:szCs w:val="20"/>
                <w:color w:val="auto"/>
              </w:rPr>
            </w:pPr>
            <w:r>
              <w:rPr>
                <w:rFonts w:ascii="Arial" w:cs="Arial" w:eastAsia="Arial" w:hAnsi="Arial"/>
                <w:sz w:val="15"/>
                <w:szCs w:val="15"/>
                <w:color w:val="auto"/>
              </w:rPr>
              <w:t>–</w:t>
            </w:r>
          </w:p>
        </w:tc>
        <w:tc>
          <w:tcPr>
            <w:tcW w:w="180" w:type="dxa"/>
            <w:vAlign w:val="bottom"/>
            <w:shd w:val="clear" w:color="auto" w:fill="E0EBED"/>
          </w:tcPr>
          <w:p>
            <w:pPr>
              <w:spacing w:after="0"/>
              <w:rPr>
                <w:sz w:val="24"/>
                <w:szCs w:val="24"/>
                <w:color w:val="auto"/>
              </w:rPr>
            </w:pPr>
          </w:p>
        </w:tc>
        <w:tc>
          <w:tcPr>
            <w:tcW w:w="640" w:type="dxa"/>
            <w:vAlign w:val="bottom"/>
            <w:shd w:val="clear" w:color="auto" w:fill="E0EBED"/>
          </w:tcPr>
          <w:p>
            <w:pPr>
              <w:jc w:val="right"/>
              <w:ind w:right="24"/>
              <w:spacing w:after="0"/>
              <w:rPr>
                <w:sz w:val="20"/>
                <w:szCs w:val="20"/>
                <w:color w:val="auto"/>
              </w:rPr>
            </w:pPr>
            <w:r>
              <w:rPr>
                <w:rFonts w:ascii="Arial" w:cs="Arial" w:eastAsia="Arial" w:hAnsi="Arial"/>
                <w:sz w:val="15"/>
                <w:szCs w:val="15"/>
                <w:color w:val="auto"/>
              </w:rPr>
              <w:t>–</w:t>
            </w:r>
          </w:p>
        </w:tc>
        <w:tc>
          <w:tcPr>
            <w:tcW w:w="960" w:type="dxa"/>
            <w:vAlign w:val="bottom"/>
            <w:shd w:val="clear" w:color="auto" w:fill="E0EBED"/>
          </w:tcPr>
          <w:p>
            <w:pPr>
              <w:jc w:val="right"/>
              <w:ind w:right="24"/>
              <w:spacing w:after="0"/>
              <w:rPr>
                <w:sz w:val="20"/>
                <w:szCs w:val="20"/>
                <w:color w:val="auto"/>
              </w:rPr>
            </w:pPr>
            <w:r>
              <w:rPr>
                <w:rFonts w:ascii="Arial" w:cs="Arial" w:eastAsia="Arial" w:hAnsi="Arial"/>
                <w:sz w:val="15"/>
                <w:szCs w:val="15"/>
                <w:color w:val="auto"/>
              </w:rPr>
              <w:t>–</w:t>
            </w:r>
          </w:p>
        </w:tc>
        <w:tc>
          <w:tcPr>
            <w:tcW w:w="160" w:type="dxa"/>
            <w:vAlign w:val="bottom"/>
            <w:shd w:val="clear" w:color="auto" w:fill="E0EBED"/>
          </w:tcPr>
          <w:p>
            <w:pPr>
              <w:spacing w:after="0"/>
              <w:rPr>
                <w:sz w:val="24"/>
                <w:szCs w:val="24"/>
                <w:color w:val="auto"/>
              </w:rPr>
            </w:pPr>
          </w:p>
        </w:tc>
        <w:tc>
          <w:tcPr>
            <w:tcW w:w="1080" w:type="dxa"/>
            <w:vAlign w:val="bottom"/>
            <w:shd w:val="clear" w:color="auto" w:fill="E0EBED"/>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shd w:val="clear" w:color="auto" w:fill="E0EBED"/>
          </w:tcPr>
          <w:p>
            <w:pPr>
              <w:spacing w:after="0"/>
              <w:rPr>
                <w:sz w:val="24"/>
                <w:szCs w:val="24"/>
                <w:color w:val="auto"/>
              </w:rPr>
            </w:pPr>
          </w:p>
        </w:tc>
        <w:tc>
          <w:tcPr>
            <w:tcW w:w="820" w:type="dxa"/>
            <w:vAlign w:val="bottom"/>
            <w:shd w:val="clear" w:color="auto" w:fill="E0EBED"/>
          </w:tcPr>
          <w:p>
            <w:pPr>
              <w:jc w:val="right"/>
              <w:ind w:right="44"/>
              <w:spacing w:after="0"/>
              <w:rPr>
                <w:sz w:val="20"/>
                <w:szCs w:val="20"/>
                <w:color w:val="auto"/>
              </w:rPr>
            </w:pPr>
            <w:r>
              <w:rPr>
                <w:rFonts w:ascii="Arial" w:cs="Arial" w:eastAsia="Arial" w:hAnsi="Arial"/>
                <w:sz w:val="15"/>
                <w:szCs w:val="15"/>
                <w:color w:val="auto"/>
              </w:rPr>
              <w:t>713,342</w:t>
            </w:r>
          </w:p>
        </w:tc>
        <w:tc>
          <w:tcPr>
            <w:tcW w:w="240" w:type="dxa"/>
            <w:vAlign w:val="bottom"/>
            <w:shd w:val="clear" w:color="auto" w:fill="E0EBED"/>
          </w:tcPr>
          <w:p>
            <w:pPr>
              <w:spacing w:after="0"/>
              <w:rPr>
                <w:sz w:val="24"/>
                <w:szCs w:val="24"/>
                <w:color w:val="auto"/>
              </w:rPr>
            </w:pPr>
          </w:p>
        </w:tc>
        <w:tc>
          <w:tcPr>
            <w:tcW w:w="860" w:type="dxa"/>
            <w:vAlign w:val="bottom"/>
            <w:shd w:val="clear" w:color="auto" w:fill="E0EBED"/>
          </w:tcPr>
          <w:p>
            <w:pPr>
              <w:jc w:val="right"/>
              <w:spacing w:after="0"/>
              <w:rPr>
                <w:sz w:val="20"/>
                <w:szCs w:val="20"/>
                <w:color w:val="auto"/>
              </w:rPr>
            </w:pPr>
            <w:r>
              <w:rPr>
                <w:rFonts w:ascii="Arial" w:cs="Arial" w:eastAsia="Arial" w:hAnsi="Arial"/>
                <w:sz w:val="15"/>
                <w:szCs w:val="15"/>
                <w:color w:val="auto"/>
              </w:rPr>
              <w:t>713,342</w:t>
            </w:r>
          </w:p>
        </w:tc>
        <w:tc>
          <w:tcPr>
            <w:tcW w:w="220" w:type="dxa"/>
            <w:vAlign w:val="bottom"/>
            <w:shd w:val="clear" w:color="auto" w:fill="E0EBED"/>
          </w:tcPr>
          <w:p>
            <w:pPr>
              <w:spacing w:after="0"/>
              <w:rPr>
                <w:sz w:val="24"/>
                <w:szCs w:val="24"/>
                <w:color w:val="auto"/>
              </w:rPr>
            </w:pPr>
          </w:p>
        </w:tc>
        <w:tc>
          <w:tcPr>
            <w:tcW w:w="680" w:type="dxa"/>
            <w:vAlign w:val="bottom"/>
            <w:shd w:val="clear" w:color="auto" w:fill="E0EBED"/>
          </w:tcPr>
          <w:p>
            <w:pPr>
              <w:jc w:val="right"/>
              <w:ind w:right="4"/>
              <w:spacing w:after="0"/>
              <w:rPr>
                <w:sz w:val="20"/>
                <w:szCs w:val="20"/>
                <w:color w:val="auto"/>
              </w:rPr>
            </w:pPr>
            <w:r>
              <w:rPr>
                <w:rFonts w:ascii="Arial" w:cs="Arial" w:eastAsia="Arial" w:hAnsi="Arial"/>
                <w:sz w:val="15"/>
                <w:szCs w:val="15"/>
                <w:color w:val="auto"/>
              </w:rPr>
              <w:t>43</w:t>
            </w:r>
          </w:p>
        </w:tc>
        <w:tc>
          <w:tcPr>
            <w:tcW w:w="940" w:type="dxa"/>
            <w:vAlign w:val="bottom"/>
            <w:shd w:val="clear" w:color="auto" w:fill="E0EBED"/>
          </w:tcPr>
          <w:p>
            <w:pPr>
              <w:jc w:val="right"/>
              <w:ind w:right="24"/>
              <w:spacing w:after="0"/>
              <w:rPr>
                <w:sz w:val="20"/>
                <w:szCs w:val="20"/>
                <w:color w:val="auto"/>
              </w:rPr>
            </w:pPr>
            <w:r>
              <w:rPr>
                <w:rFonts w:ascii="Arial" w:cs="Arial" w:eastAsia="Arial" w:hAnsi="Arial"/>
                <w:sz w:val="15"/>
                <w:szCs w:val="15"/>
                <w:color w:val="auto"/>
              </w:rPr>
              <w:t>713,385</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line="162" w:lineRule="exact"/>
              <w:rPr>
                <w:sz w:val="20"/>
                <w:szCs w:val="20"/>
                <w:color w:val="auto"/>
              </w:rPr>
            </w:pPr>
            <w:r>
              <w:rPr>
                <w:rFonts w:ascii="Arial" w:cs="Arial" w:eastAsia="Arial" w:hAnsi="Arial"/>
                <w:sz w:val="15"/>
                <w:szCs w:val="15"/>
                <w:color w:val="auto"/>
              </w:rPr>
              <w:t>Other comprehensive earnings</w:t>
            </w:r>
          </w:p>
        </w:tc>
        <w:tc>
          <w:tcPr>
            <w:tcW w:w="84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E0EBED"/>
          </w:tcPr>
          <w:p>
            <w:pPr>
              <w:spacing w:after="0"/>
              <w:rPr>
                <w:sz w:val="14"/>
                <w:szCs w:val="14"/>
                <w:color w:val="auto"/>
              </w:rPr>
            </w:pPr>
          </w:p>
        </w:tc>
        <w:tc>
          <w:tcPr>
            <w:tcW w:w="64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96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E0EBED"/>
          </w:tcPr>
          <w:p>
            <w:pPr>
              <w:spacing w:after="0"/>
              <w:rPr>
                <w:sz w:val="14"/>
                <w:szCs w:val="14"/>
                <w:color w:val="auto"/>
              </w:rPr>
            </w:pPr>
          </w:p>
        </w:tc>
        <w:tc>
          <w:tcPr>
            <w:tcW w:w="108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1,583</w:t>
            </w:r>
          </w:p>
        </w:tc>
        <w:tc>
          <w:tcPr>
            <w:tcW w:w="140" w:type="dxa"/>
            <w:vAlign w:val="bottom"/>
            <w:shd w:val="clear" w:color="auto" w:fill="E0EBED"/>
          </w:tcPr>
          <w:p>
            <w:pPr>
              <w:spacing w:after="0"/>
              <w:rPr>
                <w:sz w:val="14"/>
                <w:szCs w:val="14"/>
                <w:color w:val="auto"/>
              </w:rPr>
            </w:pPr>
          </w:p>
        </w:tc>
        <w:tc>
          <w:tcPr>
            <w:tcW w:w="820" w:type="dxa"/>
            <w:vAlign w:val="bottom"/>
            <w:shd w:val="clear" w:color="auto" w:fill="E0EBED"/>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E0EBED"/>
          </w:tcPr>
          <w:p>
            <w:pPr>
              <w:spacing w:after="0"/>
              <w:rPr>
                <w:sz w:val="14"/>
                <w:szCs w:val="14"/>
                <w:color w:val="auto"/>
              </w:rPr>
            </w:pPr>
          </w:p>
        </w:tc>
        <w:tc>
          <w:tcPr>
            <w:tcW w:w="860" w:type="dxa"/>
            <w:vAlign w:val="bottom"/>
            <w:shd w:val="clear" w:color="auto" w:fill="E0EBED"/>
          </w:tcPr>
          <w:p>
            <w:pPr>
              <w:jc w:val="right"/>
              <w:spacing w:after="0" w:line="162" w:lineRule="exact"/>
              <w:rPr>
                <w:sz w:val="20"/>
                <w:szCs w:val="20"/>
                <w:color w:val="auto"/>
              </w:rPr>
            </w:pPr>
            <w:r>
              <w:rPr>
                <w:rFonts w:ascii="Arial" w:cs="Arial" w:eastAsia="Arial" w:hAnsi="Arial"/>
                <w:sz w:val="15"/>
                <w:szCs w:val="15"/>
                <w:color w:val="auto"/>
              </w:rPr>
              <w:t>1,583</w:t>
            </w:r>
          </w:p>
        </w:tc>
        <w:tc>
          <w:tcPr>
            <w:tcW w:w="220" w:type="dxa"/>
            <w:vAlign w:val="bottom"/>
            <w:shd w:val="clear" w:color="auto" w:fill="E0EBED"/>
          </w:tcPr>
          <w:p>
            <w:pPr>
              <w:spacing w:after="0"/>
              <w:rPr>
                <w:sz w:val="14"/>
                <w:szCs w:val="14"/>
                <w:color w:val="auto"/>
              </w:rPr>
            </w:pPr>
          </w:p>
        </w:tc>
        <w:tc>
          <w:tcPr>
            <w:tcW w:w="68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10</w:t>
            </w:r>
          </w:p>
        </w:tc>
        <w:tc>
          <w:tcPr>
            <w:tcW w:w="94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1,593</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line="162" w:lineRule="exact"/>
              <w:rPr>
                <w:sz w:val="20"/>
                <w:szCs w:val="20"/>
                <w:color w:val="auto"/>
              </w:rPr>
            </w:pPr>
            <w:r>
              <w:rPr>
                <w:rFonts w:ascii="Arial" w:cs="Arial" w:eastAsia="Arial" w:hAnsi="Arial"/>
                <w:sz w:val="15"/>
                <w:szCs w:val="15"/>
                <w:color w:val="auto"/>
              </w:rPr>
              <w:t>Dividends declared ($1.72 per common share)</w:t>
            </w:r>
          </w:p>
        </w:tc>
        <w:tc>
          <w:tcPr>
            <w:tcW w:w="84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E0EBED"/>
          </w:tcPr>
          <w:p>
            <w:pPr>
              <w:spacing w:after="0"/>
              <w:rPr>
                <w:sz w:val="14"/>
                <w:szCs w:val="14"/>
                <w:color w:val="auto"/>
              </w:rPr>
            </w:pPr>
          </w:p>
        </w:tc>
        <w:tc>
          <w:tcPr>
            <w:tcW w:w="64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96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E0EBED"/>
          </w:tcPr>
          <w:p>
            <w:pPr>
              <w:spacing w:after="0"/>
              <w:rPr>
                <w:sz w:val="14"/>
                <w:szCs w:val="14"/>
                <w:color w:val="auto"/>
              </w:rPr>
            </w:pPr>
          </w:p>
        </w:tc>
        <w:tc>
          <w:tcPr>
            <w:tcW w:w="108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E0EBED"/>
          </w:tcPr>
          <w:p>
            <w:pPr>
              <w:spacing w:after="0"/>
              <w:rPr>
                <w:sz w:val="14"/>
                <w:szCs w:val="14"/>
                <w:color w:val="auto"/>
              </w:rPr>
            </w:pPr>
          </w:p>
        </w:tc>
        <w:tc>
          <w:tcPr>
            <w:tcW w:w="820" w:type="dxa"/>
            <w:vAlign w:val="bottom"/>
            <w:shd w:val="clear" w:color="auto" w:fill="E0EBED"/>
          </w:tcPr>
          <w:p>
            <w:pPr>
              <w:jc w:val="right"/>
              <w:spacing w:after="0" w:line="162" w:lineRule="exact"/>
              <w:rPr>
                <w:sz w:val="20"/>
                <w:szCs w:val="20"/>
                <w:color w:val="auto"/>
              </w:rPr>
            </w:pPr>
            <w:r>
              <w:rPr>
                <w:rFonts w:ascii="Arial" w:cs="Arial" w:eastAsia="Arial" w:hAnsi="Arial"/>
                <w:sz w:val="15"/>
                <w:szCs w:val="15"/>
                <w:color w:val="auto"/>
              </w:rPr>
              <w:t>(108,852)</w:t>
            </w:r>
          </w:p>
        </w:tc>
        <w:tc>
          <w:tcPr>
            <w:tcW w:w="240" w:type="dxa"/>
            <w:vAlign w:val="bottom"/>
            <w:shd w:val="clear" w:color="auto" w:fill="E0EBED"/>
          </w:tcPr>
          <w:p>
            <w:pPr>
              <w:spacing w:after="0"/>
              <w:rPr>
                <w:sz w:val="14"/>
                <w:szCs w:val="14"/>
                <w:color w:val="auto"/>
              </w:rPr>
            </w:pPr>
          </w:p>
        </w:tc>
        <w:tc>
          <w:tcPr>
            <w:tcW w:w="860" w:type="dxa"/>
            <w:vAlign w:val="bottom"/>
            <w:shd w:val="clear" w:color="auto" w:fill="E0EBED"/>
          </w:tcPr>
          <w:p>
            <w:pPr>
              <w:jc w:val="right"/>
              <w:spacing w:after="0" w:line="162" w:lineRule="exact"/>
              <w:rPr>
                <w:sz w:val="20"/>
                <w:szCs w:val="20"/>
                <w:color w:val="auto"/>
              </w:rPr>
            </w:pPr>
            <w:r>
              <w:rPr>
                <w:rFonts w:ascii="Arial" w:cs="Arial" w:eastAsia="Arial" w:hAnsi="Arial"/>
                <w:sz w:val="15"/>
                <w:szCs w:val="15"/>
                <w:color w:val="auto"/>
              </w:rPr>
              <w:t>(108,852)</w:t>
            </w:r>
          </w:p>
        </w:tc>
        <w:tc>
          <w:tcPr>
            <w:tcW w:w="220" w:type="dxa"/>
            <w:vAlign w:val="bottom"/>
            <w:shd w:val="clear" w:color="auto" w:fill="E0EBED"/>
          </w:tcPr>
          <w:p>
            <w:pPr>
              <w:spacing w:after="0"/>
              <w:rPr>
                <w:sz w:val="14"/>
                <w:szCs w:val="14"/>
                <w:color w:val="auto"/>
              </w:rPr>
            </w:pPr>
          </w:p>
        </w:tc>
        <w:tc>
          <w:tcPr>
            <w:tcW w:w="68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940" w:type="dxa"/>
            <w:vAlign w:val="bottom"/>
            <w:shd w:val="clear" w:color="auto" w:fill="E0EBED"/>
          </w:tcPr>
          <w:p>
            <w:pPr>
              <w:jc w:val="right"/>
              <w:spacing w:after="0" w:line="162" w:lineRule="exact"/>
              <w:rPr>
                <w:sz w:val="20"/>
                <w:szCs w:val="20"/>
                <w:color w:val="auto"/>
              </w:rPr>
            </w:pPr>
            <w:r>
              <w:rPr>
                <w:rFonts w:ascii="Arial" w:cs="Arial" w:eastAsia="Arial" w:hAnsi="Arial"/>
                <w:sz w:val="15"/>
                <w:szCs w:val="15"/>
                <w:color w:val="auto"/>
              </w:rPr>
              <w:t>(108,852)</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line="162" w:lineRule="exact"/>
              <w:rPr>
                <w:sz w:val="20"/>
                <w:szCs w:val="20"/>
                <w:color w:val="auto"/>
              </w:rPr>
            </w:pPr>
            <w:r>
              <w:rPr>
                <w:rFonts w:ascii="Arial" w:cs="Arial" w:eastAsia="Arial" w:hAnsi="Arial"/>
                <w:sz w:val="15"/>
                <w:szCs w:val="15"/>
                <w:color w:val="auto"/>
              </w:rPr>
              <w:t>Issuances of common stock for stock award plans</w:t>
            </w:r>
          </w:p>
        </w:tc>
        <w:tc>
          <w:tcPr>
            <w:tcW w:w="84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155</w:t>
            </w:r>
          </w:p>
        </w:tc>
        <w:tc>
          <w:tcPr>
            <w:tcW w:w="180" w:type="dxa"/>
            <w:vAlign w:val="bottom"/>
            <w:shd w:val="clear" w:color="auto" w:fill="E0EBED"/>
          </w:tcPr>
          <w:p>
            <w:pPr>
              <w:spacing w:after="0"/>
              <w:rPr>
                <w:sz w:val="14"/>
                <w:szCs w:val="14"/>
                <w:color w:val="auto"/>
              </w:rPr>
            </w:pPr>
          </w:p>
        </w:tc>
        <w:tc>
          <w:tcPr>
            <w:tcW w:w="64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2</w:t>
            </w:r>
          </w:p>
        </w:tc>
        <w:tc>
          <w:tcPr>
            <w:tcW w:w="96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14,891</w:t>
            </w:r>
          </w:p>
        </w:tc>
        <w:tc>
          <w:tcPr>
            <w:tcW w:w="160" w:type="dxa"/>
            <w:vAlign w:val="bottom"/>
            <w:shd w:val="clear" w:color="auto" w:fill="E0EBED"/>
          </w:tcPr>
          <w:p>
            <w:pPr>
              <w:spacing w:after="0"/>
              <w:rPr>
                <w:sz w:val="14"/>
                <w:szCs w:val="14"/>
                <w:color w:val="auto"/>
              </w:rPr>
            </w:pPr>
          </w:p>
        </w:tc>
        <w:tc>
          <w:tcPr>
            <w:tcW w:w="108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E0EBED"/>
          </w:tcPr>
          <w:p>
            <w:pPr>
              <w:spacing w:after="0"/>
              <w:rPr>
                <w:sz w:val="14"/>
                <w:szCs w:val="14"/>
                <w:color w:val="auto"/>
              </w:rPr>
            </w:pPr>
          </w:p>
        </w:tc>
        <w:tc>
          <w:tcPr>
            <w:tcW w:w="820" w:type="dxa"/>
            <w:vAlign w:val="bottom"/>
            <w:shd w:val="clear" w:color="auto" w:fill="E0EBED"/>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E0EBED"/>
          </w:tcPr>
          <w:p>
            <w:pPr>
              <w:spacing w:after="0"/>
              <w:rPr>
                <w:sz w:val="14"/>
                <w:szCs w:val="14"/>
                <w:color w:val="auto"/>
              </w:rPr>
            </w:pPr>
          </w:p>
        </w:tc>
        <w:tc>
          <w:tcPr>
            <w:tcW w:w="860" w:type="dxa"/>
            <w:vAlign w:val="bottom"/>
            <w:shd w:val="clear" w:color="auto" w:fill="E0EBED"/>
          </w:tcPr>
          <w:p>
            <w:pPr>
              <w:jc w:val="right"/>
              <w:spacing w:after="0" w:line="162" w:lineRule="exact"/>
              <w:rPr>
                <w:sz w:val="20"/>
                <w:szCs w:val="20"/>
                <w:color w:val="auto"/>
              </w:rPr>
            </w:pPr>
            <w:r>
              <w:rPr>
                <w:rFonts w:ascii="Arial" w:cs="Arial" w:eastAsia="Arial" w:hAnsi="Arial"/>
                <w:sz w:val="15"/>
                <w:szCs w:val="15"/>
                <w:color w:val="auto"/>
              </w:rPr>
              <w:t>14,893</w:t>
            </w:r>
          </w:p>
        </w:tc>
        <w:tc>
          <w:tcPr>
            <w:tcW w:w="220" w:type="dxa"/>
            <w:vAlign w:val="bottom"/>
            <w:shd w:val="clear" w:color="auto" w:fill="E0EBED"/>
          </w:tcPr>
          <w:p>
            <w:pPr>
              <w:spacing w:after="0"/>
              <w:rPr>
                <w:sz w:val="14"/>
                <w:szCs w:val="14"/>
                <w:color w:val="auto"/>
              </w:rPr>
            </w:pPr>
          </w:p>
        </w:tc>
        <w:tc>
          <w:tcPr>
            <w:tcW w:w="68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94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14,893</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line="162" w:lineRule="exact"/>
              <w:rPr>
                <w:sz w:val="20"/>
                <w:szCs w:val="20"/>
                <w:color w:val="auto"/>
              </w:rPr>
            </w:pPr>
            <w:r>
              <w:rPr>
                <w:rFonts w:ascii="Arial" w:cs="Arial" w:eastAsia="Arial" w:hAnsi="Arial"/>
                <w:sz w:val="15"/>
                <w:szCs w:val="15"/>
                <w:color w:val="auto"/>
              </w:rPr>
              <w:t>Shares withheld for employees’ income tax</w:t>
            </w:r>
          </w:p>
        </w:tc>
        <w:tc>
          <w:tcPr>
            <w:tcW w:w="840" w:type="dxa"/>
            <w:vAlign w:val="bottom"/>
            <w:shd w:val="clear" w:color="auto" w:fill="E0EBED"/>
          </w:tcPr>
          <w:p>
            <w:pPr>
              <w:spacing w:after="0"/>
              <w:rPr>
                <w:sz w:val="14"/>
                <w:szCs w:val="14"/>
                <w:color w:val="auto"/>
              </w:rPr>
            </w:pPr>
          </w:p>
        </w:tc>
        <w:tc>
          <w:tcPr>
            <w:tcW w:w="180" w:type="dxa"/>
            <w:vAlign w:val="bottom"/>
            <w:shd w:val="clear" w:color="auto" w:fill="E0EBED"/>
          </w:tcPr>
          <w:p>
            <w:pPr>
              <w:spacing w:after="0"/>
              <w:rPr>
                <w:sz w:val="14"/>
                <w:szCs w:val="14"/>
                <w:color w:val="auto"/>
              </w:rPr>
            </w:pPr>
          </w:p>
        </w:tc>
        <w:tc>
          <w:tcPr>
            <w:tcW w:w="640" w:type="dxa"/>
            <w:vAlign w:val="bottom"/>
            <w:shd w:val="clear" w:color="auto" w:fill="E0EBED"/>
          </w:tcPr>
          <w:p>
            <w:pPr>
              <w:spacing w:after="0"/>
              <w:rPr>
                <w:sz w:val="14"/>
                <w:szCs w:val="14"/>
                <w:color w:val="auto"/>
              </w:rPr>
            </w:pPr>
          </w:p>
        </w:tc>
        <w:tc>
          <w:tcPr>
            <w:tcW w:w="960" w:type="dxa"/>
            <w:vAlign w:val="bottom"/>
            <w:shd w:val="clear" w:color="auto" w:fill="E0EBED"/>
          </w:tcPr>
          <w:p>
            <w:pPr>
              <w:spacing w:after="0"/>
              <w:rPr>
                <w:sz w:val="14"/>
                <w:szCs w:val="14"/>
                <w:color w:val="auto"/>
              </w:rPr>
            </w:pPr>
          </w:p>
        </w:tc>
        <w:tc>
          <w:tcPr>
            <w:tcW w:w="160" w:type="dxa"/>
            <w:vAlign w:val="bottom"/>
            <w:shd w:val="clear" w:color="auto" w:fill="E0EBED"/>
          </w:tcPr>
          <w:p>
            <w:pPr>
              <w:spacing w:after="0"/>
              <w:rPr>
                <w:sz w:val="14"/>
                <w:szCs w:val="14"/>
                <w:color w:val="auto"/>
              </w:rPr>
            </w:pPr>
          </w:p>
        </w:tc>
        <w:tc>
          <w:tcPr>
            <w:tcW w:w="1080" w:type="dxa"/>
            <w:vAlign w:val="bottom"/>
            <w:shd w:val="clear" w:color="auto" w:fill="E0EBED"/>
          </w:tcPr>
          <w:p>
            <w:pPr>
              <w:spacing w:after="0"/>
              <w:rPr>
                <w:sz w:val="14"/>
                <w:szCs w:val="14"/>
                <w:color w:val="auto"/>
              </w:rPr>
            </w:pPr>
          </w:p>
        </w:tc>
        <w:tc>
          <w:tcPr>
            <w:tcW w:w="140" w:type="dxa"/>
            <w:vAlign w:val="bottom"/>
            <w:shd w:val="clear" w:color="auto" w:fill="E0EBED"/>
          </w:tcPr>
          <w:p>
            <w:pPr>
              <w:spacing w:after="0"/>
              <w:rPr>
                <w:sz w:val="14"/>
                <w:szCs w:val="14"/>
                <w:color w:val="auto"/>
              </w:rPr>
            </w:pPr>
          </w:p>
        </w:tc>
        <w:tc>
          <w:tcPr>
            <w:tcW w:w="820" w:type="dxa"/>
            <w:vAlign w:val="bottom"/>
            <w:shd w:val="clear" w:color="auto" w:fill="E0EBED"/>
          </w:tcPr>
          <w:p>
            <w:pPr>
              <w:spacing w:after="0"/>
              <w:rPr>
                <w:sz w:val="14"/>
                <w:szCs w:val="14"/>
                <w:color w:val="auto"/>
              </w:rPr>
            </w:pPr>
          </w:p>
        </w:tc>
        <w:tc>
          <w:tcPr>
            <w:tcW w:w="240" w:type="dxa"/>
            <w:vAlign w:val="bottom"/>
            <w:shd w:val="clear" w:color="auto" w:fill="E0EBED"/>
          </w:tcPr>
          <w:p>
            <w:pPr>
              <w:spacing w:after="0"/>
              <w:rPr>
                <w:sz w:val="14"/>
                <w:szCs w:val="14"/>
                <w:color w:val="auto"/>
              </w:rPr>
            </w:pPr>
          </w:p>
        </w:tc>
        <w:tc>
          <w:tcPr>
            <w:tcW w:w="860" w:type="dxa"/>
            <w:vAlign w:val="bottom"/>
            <w:shd w:val="clear" w:color="auto" w:fill="E0EBED"/>
          </w:tcPr>
          <w:p>
            <w:pPr>
              <w:spacing w:after="0"/>
              <w:rPr>
                <w:sz w:val="14"/>
                <w:szCs w:val="14"/>
                <w:color w:val="auto"/>
              </w:rPr>
            </w:pPr>
          </w:p>
        </w:tc>
        <w:tc>
          <w:tcPr>
            <w:tcW w:w="220" w:type="dxa"/>
            <w:vAlign w:val="bottom"/>
            <w:shd w:val="clear" w:color="auto" w:fill="E0EBED"/>
          </w:tcPr>
          <w:p>
            <w:pPr>
              <w:spacing w:after="0"/>
              <w:rPr>
                <w:sz w:val="14"/>
                <w:szCs w:val="14"/>
                <w:color w:val="auto"/>
              </w:rPr>
            </w:pPr>
          </w:p>
        </w:tc>
        <w:tc>
          <w:tcPr>
            <w:tcW w:w="680" w:type="dxa"/>
            <w:vAlign w:val="bottom"/>
            <w:shd w:val="clear" w:color="auto" w:fill="E0EBED"/>
          </w:tcPr>
          <w:p>
            <w:pPr>
              <w:spacing w:after="0"/>
              <w:rPr>
                <w:sz w:val="14"/>
                <w:szCs w:val="14"/>
                <w:color w:val="auto"/>
              </w:rPr>
            </w:pPr>
          </w:p>
        </w:tc>
        <w:tc>
          <w:tcPr>
            <w:tcW w:w="940" w:type="dxa"/>
            <w:vAlign w:val="bottom"/>
            <w:shd w:val="clear" w:color="auto" w:fill="E0EBE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Pr>
          <w:p>
            <w:pPr>
              <w:ind w:left="140"/>
              <w:spacing w:after="0" w:line="162" w:lineRule="exact"/>
              <w:rPr>
                <w:sz w:val="20"/>
                <w:szCs w:val="20"/>
                <w:color w:val="auto"/>
              </w:rPr>
            </w:pPr>
            <w:r>
              <w:rPr>
                <w:rFonts w:ascii="Arial" w:cs="Arial" w:eastAsia="Arial" w:hAnsi="Arial"/>
                <w:sz w:val="15"/>
                <w:szCs w:val="15"/>
                <w:color w:val="auto"/>
              </w:rPr>
              <w:t>obligations</w:t>
            </w:r>
          </w:p>
        </w:tc>
        <w:tc>
          <w:tcPr>
            <w:tcW w:w="84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E0EBED"/>
          </w:tcPr>
          <w:p>
            <w:pPr>
              <w:spacing w:after="0"/>
              <w:rPr>
                <w:sz w:val="14"/>
                <w:szCs w:val="14"/>
                <w:color w:val="auto"/>
              </w:rPr>
            </w:pPr>
          </w:p>
        </w:tc>
        <w:tc>
          <w:tcPr>
            <w:tcW w:w="64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960" w:type="dxa"/>
            <w:vAlign w:val="bottom"/>
            <w:shd w:val="clear" w:color="auto" w:fill="E0EBED"/>
          </w:tcPr>
          <w:p>
            <w:pPr>
              <w:jc w:val="right"/>
              <w:spacing w:after="0" w:line="162" w:lineRule="exact"/>
              <w:rPr>
                <w:sz w:val="20"/>
                <w:szCs w:val="20"/>
                <w:color w:val="auto"/>
              </w:rPr>
            </w:pPr>
            <w:r>
              <w:rPr>
                <w:rFonts w:ascii="Arial" w:cs="Arial" w:eastAsia="Arial" w:hAnsi="Arial"/>
                <w:sz w:val="15"/>
                <w:szCs w:val="15"/>
                <w:color w:val="auto"/>
              </w:rPr>
              <w:t>(11,805)</w:t>
            </w:r>
          </w:p>
        </w:tc>
        <w:tc>
          <w:tcPr>
            <w:tcW w:w="160" w:type="dxa"/>
            <w:vAlign w:val="bottom"/>
            <w:shd w:val="clear" w:color="auto" w:fill="E0EBED"/>
          </w:tcPr>
          <w:p>
            <w:pPr>
              <w:spacing w:after="0"/>
              <w:rPr>
                <w:sz w:val="14"/>
                <w:szCs w:val="14"/>
                <w:color w:val="auto"/>
              </w:rPr>
            </w:pPr>
          </w:p>
        </w:tc>
        <w:tc>
          <w:tcPr>
            <w:tcW w:w="108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E0EBED"/>
          </w:tcPr>
          <w:p>
            <w:pPr>
              <w:spacing w:after="0"/>
              <w:rPr>
                <w:sz w:val="14"/>
                <w:szCs w:val="14"/>
                <w:color w:val="auto"/>
              </w:rPr>
            </w:pPr>
          </w:p>
        </w:tc>
        <w:tc>
          <w:tcPr>
            <w:tcW w:w="820" w:type="dxa"/>
            <w:vAlign w:val="bottom"/>
            <w:shd w:val="clear" w:color="auto" w:fill="E0EBED"/>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E0EBED"/>
          </w:tcPr>
          <w:p>
            <w:pPr>
              <w:spacing w:after="0"/>
              <w:rPr>
                <w:sz w:val="14"/>
                <w:szCs w:val="14"/>
                <w:color w:val="auto"/>
              </w:rPr>
            </w:pPr>
          </w:p>
        </w:tc>
        <w:tc>
          <w:tcPr>
            <w:tcW w:w="860" w:type="dxa"/>
            <w:vAlign w:val="bottom"/>
            <w:shd w:val="clear" w:color="auto" w:fill="E0EBED"/>
          </w:tcPr>
          <w:p>
            <w:pPr>
              <w:jc w:val="right"/>
              <w:spacing w:after="0" w:line="162" w:lineRule="exact"/>
              <w:rPr>
                <w:sz w:val="20"/>
                <w:szCs w:val="20"/>
                <w:color w:val="auto"/>
              </w:rPr>
            </w:pPr>
            <w:r>
              <w:rPr>
                <w:rFonts w:ascii="Arial" w:cs="Arial" w:eastAsia="Arial" w:hAnsi="Arial"/>
                <w:sz w:val="15"/>
                <w:szCs w:val="15"/>
                <w:color w:val="auto"/>
              </w:rPr>
              <w:t>(11,805)</w:t>
            </w:r>
          </w:p>
        </w:tc>
        <w:tc>
          <w:tcPr>
            <w:tcW w:w="220" w:type="dxa"/>
            <w:vAlign w:val="bottom"/>
            <w:shd w:val="clear" w:color="auto" w:fill="E0EBED"/>
          </w:tcPr>
          <w:p>
            <w:pPr>
              <w:spacing w:after="0"/>
              <w:rPr>
                <w:sz w:val="14"/>
                <w:szCs w:val="14"/>
                <w:color w:val="auto"/>
              </w:rPr>
            </w:pPr>
          </w:p>
        </w:tc>
        <w:tc>
          <w:tcPr>
            <w:tcW w:w="68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940" w:type="dxa"/>
            <w:vAlign w:val="bottom"/>
            <w:shd w:val="clear" w:color="auto" w:fill="E0EBED"/>
          </w:tcPr>
          <w:p>
            <w:pPr>
              <w:jc w:val="right"/>
              <w:spacing w:after="0" w:line="162" w:lineRule="exact"/>
              <w:rPr>
                <w:sz w:val="20"/>
                <w:szCs w:val="20"/>
                <w:color w:val="auto"/>
              </w:rPr>
            </w:pPr>
            <w:r>
              <w:rPr>
                <w:rFonts w:ascii="Arial" w:cs="Arial" w:eastAsia="Arial" w:hAnsi="Arial"/>
                <w:sz w:val="15"/>
                <w:szCs w:val="15"/>
                <w:color w:val="auto"/>
              </w:rPr>
              <w:t>(11,805)</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line="162" w:lineRule="exact"/>
              <w:rPr>
                <w:sz w:val="20"/>
                <w:szCs w:val="20"/>
                <w:color w:val="auto"/>
              </w:rPr>
            </w:pPr>
            <w:r>
              <w:rPr>
                <w:rFonts w:ascii="Arial" w:cs="Arial" w:eastAsia="Arial" w:hAnsi="Arial"/>
                <w:sz w:val="15"/>
                <w:szCs w:val="15"/>
                <w:color w:val="auto"/>
              </w:rPr>
              <w:t>Repurchases of common stock</w:t>
            </w:r>
          </w:p>
        </w:tc>
        <w:tc>
          <w:tcPr>
            <w:tcW w:w="84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(458)</w:t>
            </w:r>
          </w:p>
        </w:tc>
        <w:tc>
          <w:tcPr>
            <w:tcW w:w="180" w:type="dxa"/>
            <w:vAlign w:val="bottom"/>
            <w:shd w:val="clear" w:color="auto" w:fill="E0EBED"/>
          </w:tcPr>
          <w:p>
            <w:pPr>
              <w:spacing w:after="0"/>
              <w:rPr>
                <w:sz w:val="14"/>
                <w:szCs w:val="14"/>
                <w:color w:val="auto"/>
              </w:rPr>
            </w:pPr>
          </w:p>
        </w:tc>
        <w:tc>
          <w:tcPr>
            <w:tcW w:w="640" w:type="dxa"/>
            <w:vAlign w:val="bottom"/>
            <w:shd w:val="clear" w:color="auto" w:fill="E0EBED"/>
          </w:tcPr>
          <w:p>
            <w:pPr>
              <w:jc w:val="right"/>
              <w:spacing w:after="0" w:line="162" w:lineRule="exact"/>
              <w:rPr>
                <w:sz w:val="20"/>
                <w:szCs w:val="20"/>
                <w:color w:val="auto"/>
              </w:rPr>
            </w:pPr>
            <w:r>
              <w:rPr>
                <w:rFonts w:ascii="Arial" w:cs="Arial" w:eastAsia="Arial" w:hAnsi="Arial"/>
                <w:sz w:val="15"/>
                <w:szCs w:val="15"/>
                <w:color w:val="auto"/>
              </w:rPr>
              <w:t>(4)</w:t>
            </w:r>
          </w:p>
        </w:tc>
        <w:tc>
          <w:tcPr>
            <w:tcW w:w="96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E0EBED"/>
          </w:tcPr>
          <w:p>
            <w:pPr>
              <w:spacing w:after="0"/>
              <w:rPr>
                <w:sz w:val="14"/>
                <w:szCs w:val="14"/>
                <w:color w:val="auto"/>
              </w:rPr>
            </w:pPr>
          </w:p>
        </w:tc>
        <w:tc>
          <w:tcPr>
            <w:tcW w:w="108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E0EBED"/>
          </w:tcPr>
          <w:p>
            <w:pPr>
              <w:spacing w:after="0"/>
              <w:rPr>
                <w:sz w:val="14"/>
                <w:szCs w:val="14"/>
                <w:color w:val="auto"/>
              </w:rPr>
            </w:pPr>
          </w:p>
        </w:tc>
        <w:tc>
          <w:tcPr>
            <w:tcW w:w="820" w:type="dxa"/>
            <w:vAlign w:val="bottom"/>
            <w:shd w:val="clear" w:color="auto" w:fill="E0EBED"/>
          </w:tcPr>
          <w:p>
            <w:pPr>
              <w:jc w:val="right"/>
              <w:spacing w:after="0" w:line="162" w:lineRule="exact"/>
              <w:rPr>
                <w:sz w:val="20"/>
                <w:szCs w:val="20"/>
                <w:color w:val="auto"/>
              </w:rPr>
            </w:pPr>
            <w:r>
              <w:rPr>
                <w:rFonts w:ascii="Arial" w:cs="Arial" w:eastAsia="Arial" w:hAnsi="Arial"/>
                <w:sz w:val="15"/>
                <w:szCs w:val="15"/>
                <w:color w:val="auto"/>
              </w:rPr>
              <w:t>(99,995)</w:t>
            </w:r>
          </w:p>
        </w:tc>
        <w:tc>
          <w:tcPr>
            <w:tcW w:w="240" w:type="dxa"/>
            <w:vAlign w:val="bottom"/>
            <w:shd w:val="clear" w:color="auto" w:fill="E0EBED"/>
          </w:tcPr>
          <w:p>
            <w:pPr>
              <w:spacing w:after="0"/>
              <w:rPr>
                <w:sz w:val="14"/>
                <w:szCs w:val="14"/>
                <w:color w:val="auto"/>
              </w:rPr>
            </w:pPr>
          </w:p>
        </w:tc>
        <w:tc>
          <w:tcPr>
            <w:tcW w:w="860" w:type="dxa"/>
            <w:vAlign w:val="bottom"/>
            <w:shd w:val="clear" w:color="auto" w:fill="E0EBED"/>
          </w:tcPr>
          <w:p>
            <w:pPr>
              <w:jc w:val="right"/>
              <w:spacing w:after="0" w:line="162" w:lineRule="exact"/>
              <w:rPr>
                <w:sz w:val="20"/>
                <w:szCs w:val="20"/>
                <w:color w:val="auto"/>
              </w:rPr>
            </w:pPr>
            <w:r>
              <w:rPr>
                <w:rFonts w:ascii="Arial" w:cs="Arial" w:eastAsia="Arial" w:hAnsi="Arial"/>
                <w:sz w:val="15"/>
                <w:szCs w:val="15"/>
                <w:color w:val="auto"/>
              </w:rPr>
              <w:t>(99,999)</w:t>
            </w:r>
          </w:p>
        </w:tc>
        <w:tc>
          <w:tcPr>
            <w:tcW w:w="220" w:type="dxa"/>
            <w:vAlign w:val="bottom"/>
            <w:shd w:val="clear" w:color="auto" w:fill="E0EBED"/>
          </w:tcPr>
          <w:p>
            <w:pPr>
              <w:spacing w:after="0"/>
              <w:rPr>
                <w:sz w:val="14"/>
                <w:szCs w:val="14"/>
                <w:color w:val="auto"/>
              </w:rPr>
            </w:pPr>
          </w:p>
        </w:tc>
        <w:tc>
          <w:tcPr>
            <w:tcW w:w="68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940" w:type="dxa"/>
            <w:vAlign w:val="bottom"/>
            <w:shd w:val="clear" w:color="auto" w:fill="E0EBED"/>
          </w:tcPr>
          <w:p>
            <w:pPr>
              <w:jc w:val="right"/>
              <w:spacing w:after="0" w:line="162" w:lineRule="exact"/>
              <w:rPr>
                <w:sz w:val="20"/>
                <w:szCs w:val="20"/>
                <w:color w:val="auto"/>
              </w:rPr>
            </w:pPr>
            <w:r>
              <w:rPr>
                <w:rFonts w:ascii="Arial" w:cs="Arial" w:eastAsia="Arial" w:hAnsi="Arial"/>
                <w:sz w:val="15"/>
                <w:szCs w:val="15"/>
                <w:color w:val="auto"/>
              </w:rPr>
              <w:t>(99,999)</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line="162" w:lineRule="exact"/>
              <w:rPr>
                <w:sz w:val="20"/>
                <w:szCs w:val="20"/>
                <w:color w:val="auto"/>
              </w:rPr>
            </w:pPr>
            <w:r>
              <w:rPr>
                <w:rFonts w:ascii="Arial" w:cs="Arial" w:eastAsia="Arial" w:hAnsi="Arial"/>
                <w:sz w:val="15"/>
                <w:szCs w:val="15"/>
                <w:color w:val="auto"/>
              </w:rPr>
              <w:t>Stock-based compensation expense</w:t>
            </w:r>
          </w:p>
        </w:tc>
        <w:tc>
          <w:tcPr>
            <w:tcW w:w="84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80" w:type="dxa"/>
            <w:vAlign w:val="bottom"/>
            <w:shd w:val="clear" w:color="auto" w:fill="E0EBED"/>
          </w:tcPr>
          <w:p>
            <w:pPr>
              <w:spacing w:after="0"/>
              <w:rPr>
                <w:sz w:val="14"/>
                <w:szCs w:val="14"/>
                <w:color w:val="auto"/>
              </w:rPr>
            </w:pPr>
          </w:p>
        </w:tc>
        <w:tc>
          <w:tcPr>
            <w:tcW w:w="64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96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30,460</w:t>
            </w:r>
          </w:p>
        </w:tc>
        <w:tc>
          <w:tcPr>
            <w:tcW w:w="160" w:type="dxa"/>
            <w:vAlign w:val="bottom"/>
            <w:shd w:val="clear" w:color="auto" w:fill="E0EBED"/>
          </w:tcPr>
          <w:p>
            <w:pPr>
              <w:spacing w:after="0"/>
              <w:rPr>
                <w:sz w:val="14"/>
                <w:szCs w:val="14"/>
                <w:color w:val="auto"/>
              </w:rPr>
            </w:pPr>
          </w:p>
        </w:tc>
        <w:tc>
          <w:tcPr>
            <w:tcW w:w="108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E0EBED"/>
          </w:tcPr>
          <w:p>
            <w:pPr>
              <w:spacing w:after="0"/>
              <w:rPr>
                <w:sz w:val="14"/>
                <w:szCs w:val="14"/>
                <w:color w:val="auto"/>
              </w:rPr>
            </w:pPr>
          </w:p>
        </w:tc>
        <w:tc>
          <w:tcPr>
            <w:tcW w:w="820" w:type="dxa"/>
            <w:vAlign w:val="bottom"/>
            <w:shd w:val="clear" w:color="auto" w:fill="E0EBED"/>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E0EBED"/>
          </w:tcPr>
          <w:p>
            <w:pPr>
              <w:spacing w:after="0"/>
              <w:rPr>
                <w:sz w:val="14"/>
                <w:szCs w:val="14"/>
                <w:color w:val="auto"/>
              </w:rPr>
            </w:pPr>
          </w:p>
        </w:tc>
        <w:tc>
          <w:tcPr>
            <w:tcW w:w="860" w:type="dxa"/>
            <w:vAlign w:val="bottom"/>
            <w:shd w:val="clear" w:color="auto" w:fill="E0EBED"/>
          </w:tcPr>
          <w:p>
            <w:pPr>
              <w:jc w:val="right"/>
              <w:spacing w:after="0" w:line="162" w:lineRule="exact"/>
              <w:rPr>
                <w:sz w:val="20"/>
                <w:szCs w:val="20"/>
                <w:color w:val="auto"/>
              </w:rPr>
            </w:pPr>
            <w:r>
              <w:rPr>
                <w:rFonts w:ascii="Arial" w:cs="Arial" w:eastAsia="Arial" w:hAnsi="Arial"/>
                <w:sz w:val="15"/>
                <w:szCs w:val="15"/>
                <w:color w:val="auto"/>
              </w:rPr>
              <w:t>30,460</w:t>
            </w:r>
          </w:p>
        </w:tc>
        <w:tc>
          <w:tcPr>
            <w:tcW w:w="220" w:type="dxa"/>
            <w:vAlign w:val="bottom"/>
            <w:shd w:val="clear" w:color="auto" w:fill="E0EBED"/>
          </w:tcPr>
          <w:p>
            <w:pPr>
              <w:spacing w:after="0"/>
              <w:rPr>
                <w:sz w:val="14"/>
                <w:szCs w:val="14"/>
                <w:color w:val="auto"/>
              </w:rPr>
            </w:pPr>
          </w:p>
        </w:tc>
        <w:tc>
          <w:tcPr>
            <w:tcW w:w="680" w:type="dxa"/>
            <w:vAlign w:val="bottom"/>
            <w:shd w:val="clear" w:color="auto" w:fill="E0EBED"/>
          </w:tcPr>
          <w:p>
            <w:pPr>
              <w:jc w:val="right"/>
              <w:ind w:right="4"/>
              <w:spacing w:after="0" w:line="162" w:lineRule="exact"/>
              <w:rPr>
                <w:sz w:val="20"/>
                <w:szCs w:val="20"/>
                <w:color w:val="auto"/>
              </w:rPr>
            </w:pPr>
            <w:r>
              <w:rPr>
                <w:rFonts w:ascii="Arial" w:cs="Arial" w:eastAsia="Arial" w:hAnsi="Arial"/>
                <w:sz w:val="15"/>
                <w:szCs w:val="15"/>
                <w:color w:val="auto"/>
              </w:rPr>
              <w:t>–</w:t>
            </w:r>
          </w:p>
        </w:tc>
        <w:tc>
          <w:tcPr>
            <w:tcW w:w="940" w:type="dxa"/>
            <w:vAlign w:val="bottom"/>
            <w:shd w:val="clear" w:color="auto" w:fill="E0EBED"/>
          </w:tcPr>
          <w:p>
            <w:pPr>
              <w:jc w:val="right"/>
              <w:ind w:right="24"/>
              <w:spacing w:after="0" w:line="162" w:lineRule="exact"/>
              <w:rPr>
                <w:sz w:val="20"/>
                <w:szCs w:val="20"/>
                <w:color w:val="auto"/>
              </w:rPr>
            </w:pPr>
            <w:r>
              <w:rPr>
                <w:rFonts w:ascii="Arial" w:cs="Arial" w:eastAsia="Arial" w:hAnsi="Arial"/>
                <w:sz w:val="15"/>
                <w:szCs w:val="15"/>
                <w:color w:val="auto"/>
              </w:rPr>
              <w:t>30,460</w:t>
            </w:r>
          </w:p>
        </w:tc>
        <w:tc>
          <w:tcPr>
            <w:tcW w:w="0" w:type="dxa"/>
            <w:vAlign w:val="bottom"/>
          </w:tcPr>
          <w:p>
            <w:pPr>
              <w:spacing w:after="0"/>
              <w:rPr>
                <w:sz w:val="1"/>
                <w:szCs w:val="1"/>
                <w:color w:val="auto"/>
              </w:rPr>
            </w:pPr>
          </w:p>
        </w:tc>
      </w:tr>
      <w:tr>
        <w:trPr>
          <w:trHeight w:val="165"/>
        </w:trPr>
        <w:tc>
          <w:tcPr>
            <w:tcW w:w="3660" w:type="dxa"/>
            <w:vAlign w:val="bottom"/>
            <w:gridSpan w:val="2"/>
          </w:tcPr>
          <w:p>
            <w:pPr>
              <w:spacing w:after="0" w:line="166" w:lineRule="exact"/>
              <w:rPr>
                <w:sz w:val="20"/>
                <w:szCs w:val="20"/>
                <w:color w:val="auto"/>
              </w:rPr>
            </w:pPr>
            <w:r>
              <w:rPr>
                <w:rFonts w:ascii="Arial" w:cs="Arial" w:eastAsia="Arial" w:hAnsi="Arial"/>
                <w:sz w:val="15"/>
                <w:szCs w:val="15"/>
                <w:color w:val="auto"/>
              </w:rPr>
              <w:t>Contribution from owners of noncontrolling interest</w:t>
            </w:r>
          </w:p>
        </w:tc>
        <w:tc>
          <w:tcPr>
            <w:tcW w:w="840" w:type="dxa"/>
            <w:vAlign w:val="bottom"/>
            <w:shd w:val="clear" w:color="auto" w:fill="E0EBED"/>
          </w:tcPr>
          <w:p>
            <w:pPr>
              <w:jc w:val="right"/>
              <w:ind w:right="4"/>
              <w:spacing w:after="0" w:line="166" w:lineRule="exact"/>
              <w:rPr>
                <w:sz w:val="20"/>
                <w:szCs w:val="20"/>
                <w:color w:val="auto"/>
              </w:rPr>
            </w:pPr>
            <w:r>
              <w:rPr>
                <w:rFonts w:ascii="Arial" w:cs="Arial" w:eastAsia="Arial" w:hAnsi="Arial"/>
                <w:sz w:val="15"/>
                <w:szCs w:val="15"/>
                <w:color w:val="auto"/>
              </w:rPr>
              <w:t>–</w:t>
            </w:r>
          </w:p>
        </w:tc>
        <w:tc>
          <w:tcPr>
            <w:tcW w:w="180" w:type="dxa"/>
            <w:vAlign w:val="bottom"/>
            <w:shd w:val="clear" w:color="auto" w:fill="E0EBED"/>
          </w:tcPr>
          <w:p>
            <w:pPr>
              <w:spacing w:after="0"/>
              <w:rPr>
                <w:sz w:val="14"/>
                <w:szCs w:val="14"/>
                <w:color w:val="auto"/>
              </w:rPr>
            </w:pPr>
          </w:p>
        </w:tc>
        <w:tc>
          <w:tcPr>
            <w:tcW w:w="640" w:type="dxa"/>
            <w:vAlign w:val="bottom"/>
            <w:shd w:val="clear" w:color="auto" w:fill="E0EBED"/>
          </w:tcPr>
          <w:p>
            <w:pPr>
              <w:jc w:val="right"/>
              <w:ind w:right="24"/>
              <w:spacing w:after="0" w:line="166" w:lineRule="exact"/>
              <w:rPr>
                <w:sz w:val="20"/>
                <w:szCs w:val="20"/>
                <w:color w:val="auto"/>
              </w:rPr>
            </w:pPr>
            <w:r>
              <w:rPr>
                <w:rFonts w:ascii="Arial" w:cs="Arial" w:eastAsia="Arial" w:hAnsi="Arial"/>
                <w:sz w:val="15"/>
                <w:szCs w:val="15"/>
                <w:color w:val="auto"/>
              </w:rPr>
              <w:t>–</w:t>
            </w:r>
          </w:p>
        </w:tc>
        <w:tc>
          <w:tcPr>
            <w:tcW w:w="960" w:type="dxa"/>
            <w:vAlign w:val="bottom"/>
            <w:shd w:val="clear" w:color="auto" w:fill="E0EBED"/>
          </w:tcPr>
          <w:p>
            <w:pPr>
              <w:jc w:val="right"/>
              <w:ind w:right="24"/>
              <w:spacing w:after="0" w:line="166" w:lineRule="exact"/>
              <w:rPr>
                <w:sz w:val="20"/>
                <w:szCs w:val="20"/>
                <w:color w:val="auto"/>
              </w:rPr>
            </w:pPr>
            <w:r>
              <w:rPr>
                <w:rFonts w:ascii="Arial" w:cs="Arial" w:eastAsia="Arial" w:hAnsi="Arial"/>
                <w:sz w:val="15"/>
                <w:szCs w:val="15"/>
                <w:color w:val="auto"/>
              </w:rPr>
              <w:t>–</w:t>
            </w:r>
          </w:p>
        </w:tc>
        <w:tc>
          <w:tcPr>
            <w:tcW w:w="160" w:type="dxa"/>
            <w:vAlign w:val="bottom"/>
            <w:shd w:val="clear" w:color="auto" w:fill="E0EBED"/>
          </w:tcPr>
          <w:p>
            <w:pPr>
              <w:spacing w:after="0"/>
              <w:rPr>
                <w:sz w:val="14"/>
                <w:szCs w:val="14"/>
                <w:color w:val="auto"/>
              </w:rPr>
            </w:pPr>
          </w:p>
        </w:tc>
        <w:tc>
          <w:tcPr>
            <w:tcW w:w="1080" w:type="dxa"/>
            <w:vAlign w:val="bottom"/>
            <w:shd w:val="clear" w:color="auto" w:fill="E0EBED"/>
          </w:tcPr>
          <w:p>
            <w:pPr>
              <w:jc w:val="right"/>
              <w:ind w:right="4"/>
              <w:spacing w:after="0" w:line="166" w:lineRule="exact"/>
              <w:rPr>
                <w:sz w:val="20"/>
                <w:szCs w:val="20"/>
                <w:color w:val="auto"/>
              </w:rPr>
            </w:pPr>
            <w:r>
              <w:rPr>
                <w:rFonts w:ascii="Arial" w:cs="Arial" w:eastAsia="Arial" w:hAnsi="Arial"/>
                <w:sz w:val="15"/>
                <w:szCs w:val="15"/>
                <w:color w:val="auto"/>
              </w:rPr>
              <w:t>–</w:t>
            </w:r>
          </w:p>
        </w:tc>
        <w:tc>
          <w:tcPr>
            <w:tcW w:w="140" w:type="dxa"/>
            <w:vAlign w:val="bottom"/>
            <w:shd w:val="clear" w:color="auto" w:fill="E0EBED"/>
          </w:tcPr>
          <w:p>
            <w:pPr>
              <w:spacing w:after="0"/>
              <w:rPr>
                <w:sz w:val="14"/>
                <w:szCs w:val="14"/>
                <w:color w:val="auto"/>
              </w:rPr>
            </w:pPr>
          </w:p>
        </w:tc>
        <w:tc>
          <w:tcPr>
            <w:tcW w:w="820" w:type="dxa"/>
            <w:vAlign w:val="bottom"/>
            <w:shd w:val="clear" w:color="auto" w:fill="E0EBED"/>
          </w:tcPr>
          <w:p>
            <w:pPr>
              <w:jc w:val="right"/>
              <w:ind w:right="44"/>
              <w:spacing w:after="0" w:line="166" w:lineRule="exact"/>
              <w:rPr>
                <w:sz w:val="20"/>
                <w:szCs w:val="20"/>
                <w:color w:val="auto"/>
              </w:rPr>
            </w:pPr>
            <w:r>
              <w:rPr>
                <w:rFonts w:ascii="Arial" w:cs="Arial" w:eastAsia="Arial" w:hAnsi="Arial"/>
                <w:sz w:val="15"/>
                <w:szCs w:val="15"/>
                <w:color w:val="auto"/>
              </w:rPr>
              <w:t>–</w:t>
            </w:r>
          </w:p>
        </w:tc>
        <w:tc>
          <w:tcPr>
            <w:tcW w:w="240" w:type="dxa"/>
            <w:vAlign w:val="bottom"/>
            <w:shd w:val="clear" w:color="auto" w:fill="E0EBED"/>
          </w:tcPr>
          <w:p>
            <w:pPr>
              <w:spacing w:after="0"/>
              <w:rPr>
                <w:sz w:val="14"/>
                <w:szCs w:val="14"/>
                <w:color w:val="auto"/>
              </w:rPr>
            </w:pPr>
          </w:p>
        </w:tc>
        <w:tc>
          <w:tcPr>
            <w:tcW w:w="860" w:type="dxa"/>
            <w:vAlign w:val="bottom"/>
            <w:shd w:val="clear" w:color="auto" w:fill="E0EBED"/>
          </w:tcPr>
          <w:p>
            <w:pPr>
              <w:jc w:val="right"/>
              <w:spacing w:after="0" w:line="166" w:lineRule="exact"/>
              <w:rPr>
                <w:sz w:val="20"/>
                <w:szCs w:val="20"/>
                <w:color w:val="auto"/>
              </w:rPr>
            </w:pPr>
            <w:r>
              <w:rPr>
                <w:rFonts w:ascii="Arial" w:cs="Arial" w:eastAsia="Arial" w:hAnsi="Arial"/>
                <w:sz w:val="15"/>
                <w:szCs w:val="15"/>
                <w:color w:val="auto"/>
              </w:rPr>
              <w:t>–</w:t>
            </w:r>
          </w:p>
        </w:tc>
        <w:tc>
          <w:tcPr>
            <w:tcW w:w="220" w:type="dxa"/>
            <w:vAlign w:val="bottom"/>
            <w:shd w:val="clear" w:color="auto" w:fill="E0EBED"/>
          </w:tcPr>
          <w:p>
            <w:pPr>
              <w:spacing w:after="0"/>
              <w:rPr>
                <w:sz w:val="14"/>
                <w:szCs w:val="14"/>
                <w:color w:val="auto"/>
              </w:rPr>
            </w:pPr>
          </w:p>
        </w:tc>
        <w:tc>
          <w:tcPr>
            <w:tcW w:w="680" w:type="dxa"/>
            <w:vAlign w:val="bottom"/>
            <w:shd w:val="clear" w:color="auto" w:fill="E0EBED"/>
          </w:tcPr>
          <w:p>
            <w:pPr>
              <w:jc w:val="right"/>
              <w:ind w:right="4"/>
              <w:spacing w:after="0" w:line="166" w:lineRule="exact"/>
              <w:rPr>
                <w:sz w:val="20"/>
                <w:szCs w:val="20"/>
                <w:color w:val="auto"/>
              </w:rPr>
            </w:pPr>
            <w:r>
              <w:rPr>
                <w:rFonts w:ascii="Arial" w:cs="Arial" w:eastAsia="Arial" w:hAnsi="Arial"/>
                <w:sz w:val="15"/>
                <w:szCs w:val="15"/>
                <w:color w:val="auto"/>
              </w:rPr>
              <w:t>212</w:t>
            </w:r>
          </w:p>
        </w:tc>
        <w:tc>
          <w:tcPr>
            <w:tcW w:w="940" w:type="dxa"/>
            <w:vAlign w:val="bottom"/>
            <w:shd w:val="clear" w:color="auto" w:fill="E0EBED"/>
          </w:tcPr>
          <w:p>
            <w:pPr>
              <w:jc w:val="right"/>
              <w:ind w:right="24"/>
              <w:spacing w:after="0" w:line="166" w:lineRule="exact"/>
              <w:rPr>
                <w:sz w:val="20"/>
                <w:szCs w:val="20"/>
                <w:color w:val="auto"/>
              </w:rPr>
            </w:pPr>
            <w:r>
              <w:rPr>
                <w:rFonts w:ascii="Arial" w:cs="Arial" w:eastAsia="Arial" w:hAnsi="Arial"/>
                <w:sz w:val="15"/>
                <w:szCs w:val="15"/>
                <w:color w:val="auto"/>
              </w:rPr>
              <w:t>212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tcBorders>
              <w:top w:val="single" w:sz="8" w:color="auto"/>
            </w:tcBorders>
          </w:tcPr>
          <w:p>
            <w:pPr>
              <w:spacing w:after="0" w:line="156" w:lineRule="exact"/>
              <w:rPr>
                <w:sz w:val="20"/>
                <w:szCs w:val="20"/>
                <w:color w:val="auto"/>
              </w:rPr>
            </w:pPr>
            <w:r>
              <w:rPr>
                <w:rFonts w:ascii="Arial" w:cs="Arial" w:eastAsia="Arial" w:hAnsi="Arial"/>
                <w:sz w:val="15"/>
                <w:szCs w:val="15"/>
                <w:color w:val="auto"/>
              </w:rPr>
              <w:t>Balance at December 31, 2017</w:t>
            </w:r>
          </w:p>
        </w:tc>
        <w:tc>
          <w:tcPr>
            <w:tcW w:w="840" w:type="dxa"/>
            <w:vAlign w:val="bottom"/>
            <w:tcBorders>
              <w:top w:val="single" w:sz="8" w:color="auto"/>
            </w:tcBorders>
            <w:shd w:val="clear" w:color="auto" w:fill="CDDEE7"/>
          </w:tcPr>
          <w:p>
            <w:pPr>
              <w:jc w:val="right"/>
              <w:ind w:right="4"/>
              <w:spacing w:after="0" w:line="156" w:lineRule="exact"/>
              <w:rPr>
                <w:sz w:val="20"/>
                <w:szCs w:val="20"/>
                <w:color w:val="auto"/>
              </w:rPr>
            </w:pPr>
            <w:r>
              <w:rPr>
                <w:rFonts w:ascii="Arial" w:cs="Arial" w:eastAsia="Arial" w:hAnsi="Arial"/>
                <w:sz w:val="15"/>
                <w:szCs w:val="15"/>
                <w:color w:val="auto"/>
              </w:rPr>
              <w:t>62,873</w:t>
            </w:r>
          </w:p>
        </w:tc>
        <w:tc>
          <w:tcPr>
            <w:tcW w:w="180" w:type="dxa"/>
            <w:vAlign w:val="bottom"/>
            <w:tcBorders>
              <w:top w:val="single" w:sz="8" w:color="auto"/>
            </w:tcBorders>
            <w:shd w:val="clear" w:color="auto" w:fill="CDDEE7"/>
          </w:tcPr>
          <w:p>
            <w:pPr>
              <w:spacing w:after="0"/>
              <w:rPr>
                <w:sz w:val="13"/>
                <w:szCs w:val="13"/>
                <w:color w:val="auto"/>
              </w:rPr>
            </w:pPr>
          </w:p>
        </w:tc>
        <w:tc>
          <w:tcPr>
            <w:tcW w:w="640" w:type="dxa"/>
            <w:vAlign w:val="bottom"/>
            <w:tcBorders>
              <w:top w:val="single" w:sz="8" w:color="auto"/>
            </w:tcBorders>
            <w:shd w:val="clear" w:color="auto" w:fill="CDDEE7"/>
          </w:tcPr>
          <w:p>
            <w:pPr>
              <w:jc w:val="right"/>
              <w:ind w:right="24"/>
              <w:spacing w:after="0" w:line="156" w:lineRule="exact"/>
              <w:rPr>
                <w:sz w:val="20"/>
                <w:szCs w:val="20"/>
                <w:color w:val="auto"/>
              </w:rPr>
            </w:pPr>
            <w:r>
              <w:rPr>
                <w:rFonts w:ascii="Arial" w:cs="Arial" w:eastAsia="Arial" w:hAnsi="Arial"/>
                <w:sz w:val="15"/>
                <w:szCs w:val="15"/>
                <w:color w:val="auto"/>
              </w:rPr>
              <w:t>628</w:t>
            </w:r>
          </w:p>
        </w:tc>
        <w:tc>
          <w:tcPr>
            <w:tcW w:w="960" w:type="dxa"/>
            <w:vAlign w:val="bottom"/>
            <w:tcBorders>
              <w:top w:val="single" w:sz="8" w:color="auto"/>
            </w:tcBorders>
            <w:shd w:val="clear" w:color="auto" w:fill="CDDEE7"/>
          </w:tcPr>
          <w:p>
            <w:pPr>
              <w:jc w:val="right"/>
              <w:ind w:right="24"/>
              <w:spacing w:after="0" w:line="156" w:lineRule="exact"/>
              <w:rPr>
                <w:sz w:val="20"/>
                <w:szCs w:val="20"/>
                <w:color w:val="auto"/>
              </w:rPr>
            </w:pPr>
            <w:r>
              <w:rPr>
                <w:rFonts w:ascii="Arial" w:cs="Arial" w:eastAsia="Arial" w:hAnsi="Arial"/>
                <w:sz w:val="15"/>
                <w:szCs w:val="15"/>
                <w:color w:val="auto"/>
              </w:rPr>
              <w:t>3,368,007</w:t>
            </w:r>
          </w:p>
        </w:tc>
        <w:tc>
          <w:tcPr>
            <w:tcW w:w="160" w:type="dxa"/>
            <w:vAlign w:val="bottom"/>
            <w:tcBorders>
              <w:top w:val="single" w:sz="8" w:color="auto"/>
            </w:tcBorders>
            <w:shd w:val="clear" w:color="auto" w:fill="CDDEE7"/>
          </w:tcPr>
          <w:p>
            <w:pPr>
              <w:spacing w:after="0"/>
              <w:rPr>
                <w:sz w:val="13"/>
                <w:szCs w:val="13"/>
                <w:color w:val="auto"/>
              </w:rPr>
            </w:pPr>
          </w:p>
        </w:tc>
        <w:tc>
          <w:tcPr>
            <w:tcW w:w="1080" w:type="dxa"/>
            <w:vAlign w:val="bottom"/>
            <w:tcBorders>
              <w:top w:val="single" w:sz="8" w:color="auto"/>
            </w:tcBorders>
            <w:shd w:val="clear" w:color="auto" w:fill="CDDEE7"/>
          </w:tcPr>
          <w:p>
            <w:pPr>
              <w:jc w:val="right"/>
              <w:ind w:right="4"/>
              <w:spacing w:after="0" w:line="156" w:lineRule="exact"/>
              <w:rPr>
                <w:sz w:val="20"/>
                <w:szCs w:val="20"/>
                <w:color w:val="auto"/>
              </w:rPr>
            </w:pPr>
            <w:r>
              <w:rPr>
                <w:rFonts w:ascii="Arial" w:cs="Arial" w:eastAsia="Arial" w:hAnsi="Arial"/>
                <w:sz w:val="15"/>
                <w:szCs w:val="15"/>
                <w:color w:val="auto"/>
              </w:rPr>
              <w:t>(129,104)</w:t>
            </w:r>
          </w:p>
        </w:tc>
        <w:tc>
          <w:tcPr>
            <w:tcW w:w="140" w:type="dxa"/>
            <w:vAlign w:val="bottom"/>
            <w:tcBorders>
              <w:top w:val="single" w:sz="8" w:color="auto"/>
            </w:tcBorders>
            <w:shd w:val="clear" w:color="auto" w:fill="CDDEE7"/>
          </w:tcPr>
          <w:p>
            <w:pPr>
              <w:spacing w:after="0"/>
              <w:rPr>
                <w:sz w:val="13"/>
                <w:szCs w:val="13"/>
                <w:color w:val="auto"/>
              </w:rPr>
            </w:pPr>
          </w:p>
        </w:tc>
        <w:tc>
          <w:tcPr>
            <w:tcW w:w="820" w:type="dxa"/>
            <w:vAlign w:val="bottom"/>
            <w:tcBorders>
              <w:top w:val="single" w:sz="8" w:color="auto"/>
            </w:tcBorders>
            <w:shd w:val="clear" w:color="auto" w:fill="CDDEE7"/>
          </w:tcPr>
          <w:p>
            <w:pPr>
              <w:jc w:val="right"/>
              <w:ind w:right="44"/>
              <w:spacing w:after="0" w:line="156" w:lineRule="exact"/>
              <w:rPr>
                <w:sz w:val="20"/>
                <w:szCs w:val="20"/>
                <w:color w:val="auto"/>
              </w:rPr>
            </w:pPr>
            <w:r>
              <w:rPr>
                <w:rFonts w:ascii="Arial" w:cs="Arial" w:eastAsia="Arial" w:hAnsi="Arial"/>
                <w:sz w:val="15"/>
                <w:szCs w:val="15"/>
                <w:color w:val="auto"/>
              </w:rPr>
              <w:t>1,440,069</w:t>
            </w:r>
          </w:p>
        </w:tc>
        <w:tc>
          <w:tcPr>
            <w:tcW w:w="240" w:type="dxa"/>
            <w:vAlign w:val="bottom"/>
            <w:tcBorders>
              <w:top w:val="single" w:sz="8" w:color="auto"/>
            </w:tcBorders>
            <w:shd w:val="clear" w:color="auto" w:fill="CDDEE7"/>
          </w:tcPr>
          <w:p>
            <w:pPr>
              <w:spacing w:after="0"/>
              <w:rPr>
                <w:sz w:val="13"/>
                <w:szCs w:val="13"/>
                <w:color w:val="auto"/>
              </w:rPr>
            </w:pPr>
          </w:p>
        </w:tc>
        <w:tc>
          <w:tcPr>
            <w:tcW w:w="860" w:type="dxa"/>
            <w:vAlign w:val="bottom"/>
            <w:tcBorders>
              <w:top w:val="single" w:sz="8" w:color="auto"/>
            </w:tcBorders>
            <w:shd w:val="clear" w:color="auto" w:fill="CDDEE7"/>
          </w:tcPr>
          <w:p>
            <w:pPr>
              <w:jc w:val="right"/>
              <w:spacing w:after="0" w:line="156" w:lineRule="exact"/>
              <w:rPr>
                <w:sz w:val="20"/>
                <w:szCs w:val="20"/>
                <w:color w:val="auto"/>
              </w:rPr>
            </w:pPr>
            <w:r>
              <w:rPr>
                <w:rFonts w:ascii="Arial" w:cs="Arial" w:eastAsia="Arial" w:hAnsi="Arial"/>
                <w:sz w:val="15"/>
                <w:szCs w:val="15"/>
                <w:color w:val="auto"/>
              </w:rPr>
              <w:t>4,679,600</w:t>
            </w:r>
          </w:p>
        </w:tc>
        <w:tc>
          <w:tcPr>
            <w:tcW w:w="220" w:type="dxa"/>
            <w:vAlign w:val="bottom"/>
            <w:tcBorders>
              <w:top w:val="single" w:sz="8" w:color="auto"/>
            </w:tcBorders>
            <w:shd w:val="clear" w:color="auto" w:fill="CDDEE7"/>
          </w:tcPr>
          <w:p>
            <w:pPr>
              <w:spacing w:after="0"/>
              <w:rPr>
                <w:sz w:val="13"/>
                <w:szCs w:val="13"/>
                <w:color w:val="auto"/>
              </w:rPr>
            </w:pPr>
          </w:p>
        </w:tc>
        <w:tc>
          <w:tcPr>
            <w:tcW w:w="680" w:type="dxa"/>
            <w:vAlign w:val="bottom"/>
            <w:tcBorders>
              <w:top w:val="single" w:sz="8" w:color="auto"/>
            </w:tcBorders>
            <w:shd w:val="clear" w:color="auto" w:fill="CDDEE7"/>
          </w:tcPr>
          <w:p>
            <w:pPr>
              <w:jc w:val="right"/>
              <w:ind w:right="4"/>
              <w:spacing w:after="0" w:line="156" w:lineRule="exact"/>
              <w:rPr>
                <w:sz w:val="20"/>
                <w:szCs w:val="20"/>
                <w:color w:val="auto"/>
              </w:rPr>
            </w:pPr>
            <w:r>
              <w:rPr>
                <w:rFonts w:ascii="Arial" w:cs="Arial" w:eastAsia="Arial" w:hAnsi="Arial"/>
                <w:sz w:val="15"/>
                <w:szCs w:val="15"/>
                <w:color w:val="auto"/>
              </w:rPr>
              <w:t>2,877</w:t>
            </w:r>
          </w:p>
        </w:tc>
        <w:tc>
          <w:tcPr>
            <w:tcW w:w="940" w:type="dxa"/>
            <w:vAlign w:val="bottom"/>
            <w:tcBorders>
              <w:top w:val="single" w:sz="8" w:color="auto"/>
            </w:tcBorders>
            <w:shd w:val="clear" w:color="auto" w:fill="CDDEE7"/>
          </w:tcPr>
          <w:p>
            <w:pPr>
              <w:jc w:val="right"/>
              <w:ind w:right="24"/>
              <w:spacing w:after="0" w:line="156" w:lineRule="exact"/>
              <w:rPr>
                <w:sz w:val="20"/>
                <w:szCs w:val="20"/>
                <w:color w:val="auto"/>
              </w:rPr>
            </w:pPr>
            <w:r>
              <w:rPr>
                <w:rFonts w:ascii="Arial" w:cs="Arial" w:eastAsia="Arial" w:hAnsi="Arial"/>
                <w:sz w:val="15"/>
                <w:szCs w:val="15"/>
                <w:color w:val="auto"/>
              </w:rPr>
              <w:t>4,682,477</w:t>
            </w:r>
          </w:p>
        </w:tc>
        <w:tc>
          <w:tcPr>
            <w:tcW w:w="0" w:type="dxa"/>
            <w:vAlign w:val="bottom"/>
          </w:tcPr>
          <w:p>
            <w:pPr>
              <w:spacing w:after="0"/>
              <w:rPr>
                <w:sz w:val="1"/>
                <w:szCs w:val="1"/>
                <w:color w:val="auto"/>
              </w:rPr>
            </w:pPr>
          </w:p>
        </w:tc>
      </w:tr>
      <w:tr>
        <w:trPr>
          <w:trHeight w:val="357"/>
        </w:trPr>
        <w:tc>
          <w:tcPr>
            <w:tcW w:w="3660" w:type="dxa"/>
            <w:vAlign w:val="bottom"/>
            <w:gridSpan w:val="2"/>
          </w:tcPr>
          <w:p>
            <w:pPr>
              <w:spacing w:after="0"/>
              <w:rPr>
                <w:sz w:val="20"/>
                <w:szCs w:val="20"/>
                <w:color w:val="auto"/>
              </w:rPr>
            </w:pPr>
            <w:r>
              <w:rPr>
                <w:rFonts w:ascii="Arial" w:cs="Arial" w:eastAsia="Arial" w:hAnsi="Arial"/>
                <w:sz w:val="15"/>
                <w:szCs w:val="15"/>
                <w:b w:val="1"/>
                <w:bCs w:val="1"/>
                <w:color w:val="auto"/>
              </w:rPr>
              <w:t>Consolidated net earnings</w:t>
            </w:r>
          </w:p>
        </w:tc>
        <w:tc>
          <w:tcPr>
            <w:tcW w:w="840" w:type="dxa"/>
            <w:vAlign w:val="bottom"/>
            <w:shd w:val="clear" w:color="auto" w:fill="CDDEE7"/>
          </w:tcPr>
          <w:p>
            <w:pPr>
              <w:jc w:val="right"/>
              <w:ind w:right="4"/>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DDEE7"/>
          </w:tcPr>
          <w:p>
            <w:pPr>
              <w:spacing w:after="0"/>
              <w:rPr>
                <w:sz w:val="24"/>
                <w:szCs w:val="24"/>
                <w:color w:val="auto"/>
              </w:rPr>
            </w:pPr>
          </w:p>
        </w:tc>
        <w:tc>
          <w:tcPr>
            <w:tcW w:w="640" w:type="dxa"/>
            <w:vAlign w:val="bottom"/>
            <w:shd w:val="clear" w:color="auto" w:fill="CDDEE7"/>
          </w:tcPr>
          <w:p>
            <w:pPr>
              <w:jc w:val="right"/>
              <w:ind w:right="24"/>
              <w:spacing w:after="0"/>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CDDEE7"/>
          </w:tcPr>
          <w:p>
            <w:pPr>
              <w:jc w:val="right"/>
              <w:ind w:right="24"/>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DDEE7"/>
          </w:tcPr>
          <w:p>
            <w:pPr>
              <w:spacing w:after="0"/>
              <w:rPr>
                <w:sz w:val="24"/>
                <w:szCs w:val="24"/>
                <w:color w:val="auto"/>
              </w:rPr>
            </w:pPr>
          </w:p>
        </w:tc>
        <w:tc>
          <w:tcPr>
            <w:tcW w:w="1080" w:type="dxa"/>
            <w:vAlign w:val="bottom"/>
            <w:shd w:val="clear" w:color="auto" w:fill="CDDEE7"/>
          </w:tcPr>
          <w:p>
            <w:pPr>
              <w:jc w:val="right"/>
              <w:ind w:right="4"/>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DDEE7"/>
          </w:tcPr>
          <w:p>
            <w:pPr>
              <w:spacing w:after="0"/>
              <w:rPr>
                <w:sz w:val="24"/>
                <w:szCs w:val="24"/>
                <w:color w:val="auto"/>
              </w:rPr>
            </w:pPr>
          </w:p>
        </w:tc>
        <w:tc>
          <w:tcPr>
            <w:tcW w:w="820" w:type="dxa"/>
            <w:vAlign w:val="bottom"/>
            <w:shd w:val="clear" w:color="auto" w:fill="CDDEE7"/>
          </w:tcPr>
          <w:p>
            <w:pPr>
              <w:jc w:val="right"/>
              <w:ind w:right="44"/>
              <w:spacing w:after="0"/>
              <w:rPr>
                <w:sz w:val="20"/>
                <w:szCs w:val="20"/>
                <w:color w:val="auto"/>
              </w:rPr>
            </w:pPr>
            <w:r>
              <w:rPr>
                <w:rFonts w:ascii="Arial" w:cs="Arial" w:eastAsia="Arial" w:hAnsi="Arial"/>
                <w:sz w:val="15"/>
                <w:szCs w:val="15"/>
                <w:b w:val="1"/>
                <w:bCs w:val="1"/>
                <w:color w:val="auto"/>
              </w:rPr>
              <w:t>469,998</w:t>
            </w:r>
          </w:p>
        </w:tc>
        <w:tc>
          <w:tcPr>
            <w:tcW w:w="240" w:type="dxa"/>
            <w:vAlign w:val="bottom"/>
            <w:shd w:val="clear" w:color="auto" w:fill="CDDEE7"/>
          </w:tcPr>
          <w:p>
            <w:pPr>
              <w:spacing w:after="0"/>
              <w:rPr>
                <w:sz w:val="24"/>
                <w:szCs w:val="24"/>
                <w:color w:val="auto"/>
              </w:rPr>
            </w:pPr>
          </w:p>
        </w:tc>
        <w:tc>
          <w:tcPr>
            <w:tcW w:w="860" w:type="dxa"/>
            <w:vAlign w:val="bottom"/>
            <w:shd w:val="clear" w:color="auto" w:fill="CDDEE7"/>
          </w:tcPr>
          <w:p>
            <w:pPr>
              <w:jc w:val="right"/>
              <w:spacing w:after="0"/>
              <w:rPr>
                <w:sz w:val="20"/>
                <w:szCs w:val="20"/>
                <w:color w:val="auto"/>
              </w:rPr>
            </w:pPr>
            <w:r>
              <w:rPr>
                <w:rFonts w:ascii="Arial" w:cs="Arial" w:eastAsia="Arial" w:hAnsi="Arial"/>
                <w:sz w:val="15"/>
                <w:szCs w:val="15"/>
                <w:b w:val="1"/>
                <w:bCs w:val="1"/>
                <w:color w:val="auto"/>
              </w:rPr>
              <w:t>469,998</w:t>
            </w:r>
          </w:p>
        </w:tc>
        <w:tc>
          <w:tcPr>
            <w:tcW w:w="220" w:type="dxa"/>
            <w:vAlign w:val="bottom"/>
            <w:shd w:val="clear" w:color="auto" w:fill="CDDEE7"/>
          </w:tcPr>
          <w:p>
            <w:pPr>
              <w:spacing w:after="0"/>
              <w:rPr>
                <w:sz w:val="24"/>
                <w:szCs w:val="24"/>
                <w:color w:val="auto"/>
              </w:rPr>
            </w:pPr>
          </w:p>
        </w:tc>
        <w:tc>
          <w:tcPr>
            <w:tcW w:w="680" w:type="dxa"/>
            <w:vAlign w:val="bottom"/>
            <w:shd w:val="clear" w:color="auto" w:fill="CDDEE7"/>
          </w:tcPr>
          <w:p>
            <w:pPr>
              <w:jc w:val="right"/>
              <w:ind w:right="4"/>
              <w:spacing w:after="0"/>
              <w:rPr>
                <w:sz w:val="20"/>
                <w:szCs w:val="20"/>
                <w:color w:val="auto"/>
              </w:rPr>
            </w:pPr>
            <w:r>
              <w:rPr>
                <w:rFonts w:ascii="Arial" w:cs="Arial" w:eastAsia="Arial" w:hAnsi="Arial"/>
                <w:sz w:val="15"/>
                <w:szCs w:val="15"/>
                <w:b w:val="1"/>
                <w:bCs w:val="1"/>
                <w:color w:val="auto"/>
              </w:rPr>
              <w:t>378</w:t>
            </w:r>
          </w:p>
        </w:tc>
        <w:tc>
          <w:tcPr>
            <w:tcW w:w="940" w:type="dxa"/>
            <w:vAlign w:val="bottom"/>
            <w:shd w:val="clear" w:color="auto" w:fill="CDDEE7"/>
          </w:tcPr>
          <w:p>
            <w:pPr>
              <w:jc w:val="right"/>
              <w:ind w:right="24"/>
              <w:spacing w:after="0"/>
              <w:rPr>
                <w:sz w:val="20"/>
                <w:szCs w:val="20"/>
                <w:color w:val="auto"/>
              </w:rPr>
            </w:pPr>
            <w:r>
              <w:rPr>
                <w:rFonts w:ascii="Arial" w:cs="Arial" w:eastAsia="Arial" w:hAnsi="Arial"/>
                <w:sz w:val="15"/>
                <w:szCs w:val="15"/>
                <w:b w:val="1"/>
                <w:bCs w:val="1"/>
                <w:color w:val="auto"/>
              </w:rPr>
              <w:t>470,376</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Other comprehensive (loss) earnings</w:t>
            </w:r>
          </w:p>
        </w:tc>
        <w:tc>
          <w:tcPr>
            <w:tcW w:w="840" w:type="dxa"/>
            <w:vAlign w:val="bottom"/>
            <w:shd w:val="clear" w:color="auto" w:fill="CDDEE7"/>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DDEE7"/>
          </w:tcPr>
          <w:p>
            <w:pPr>
              <w:spacing w:after="0"/>
              <w:rPr>
                <w:sz w:val="14"/>
                <w:szCs w:val="14"/>
                <w:color w:val="auto"/>
              </w:rPr>
            </w:pPr>
          </w:p>
        </w:tc>
        <w:tc>
          <w:tcPr>
            <w:tcW w:w="640" w:type="dxa"/>
            <w:vAlign w:val="bottom"/>
            <w:shd w:val="clear" w:color="auto" w:fill="CDDEE7"/>
          </w:tcPr>
          <w:p>
            <w:pPr>
              <w:jc w:val="right"/>
              <w:ind w:right="24"/>
              <w:spacing w:after="0" w:line="162" w:lineRule="exact"/>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CDDEE7"/>
          </w:tcPr>
          <w:p>
            <w:pPr>
              <w:jc w:val="right"/>
              <w:ind w:right="24"/>
              <w:spacing w:after="0" w:line="162" w:lineRule="exact"/>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DDEE7"/>
          </w:tcPr>
          <w:p>
            <w:pPr>
              <w:spacing w:after="0"/>
              <w:rPr>
                <w:sz w:val="14"/>
                <w:szCs w:val="14"/>
                <w:color w:val="auto"/>
              </w:rPr>
            </w:pPr>
          </w:p>
        </w:tc>
        <w:tc>
          <w:tcPr>
            <w:tcW w:w="1080" w:type="dxa"/>
            <w:vAlign w:val="bottom"/>
            <w:shd w:val="clear" w:color="auto" w:fill="CDDEE7"/>
          </w:tcPr>
          <w:p>
            <w:pPr>
              <w:jc w:val="right"/>
              <w:ind w:right="4"/>
              <w:spacing w:after="0" w:line="162" w:lineRule="exact"/>
              <w:rPr>
                <w:sz w:val="20"/>
                <w:szCs w:val="20"/>
                <w:color w:val="auto"/>
              </w:rPr>
            </w:pPr>
            <w:r>
              <w:rPr>
                <w:rFonts w:ascii="Arial" w:cs="Arial" w:eastAsia="Arial" w:hAnsi="Arial"/>
                <w:sz w:val="15"/>
                <w:szCs w:val="15"/>
                <w:b w:val="1"/>
                <w:bCs w:val="1"/>
                <w:color w:val="auto"/>
              </w:rPr>
              <w:t>(14,475)</w:t>
            </w:r>
          </w:p>
        </w:tc>
        <w:tc>
          <w:tcPr>
            <w:tcW w:w="140" w:type="dxa"/>
            <w:vAlign w:val="bottom"/>
            <w:shd w:val="clear" w:color="auto" w:fill="CDDEE7"/>
          </w:tcPr>
          <w:p>
            <w:pPr>
              <w:spacing w:after="0"/>
              <w:rPr>
                <w:sz w:val="14"/>
                <w:szCs w:val="14"/>
                <w:color w:val="auto"/>
              </w:rPr>
            </w:pPr>
          </w:p>
        </w:tc>
        <w:tc>
          <w:tcPr>
            <w:tcW w:w="820" w:type="dxa"/>
            <w:vAlign w:val="bottom"/>
            <w:shd w:val="clear" w:color="auto" w:fill="CDDEE7"/>
          </w:tcPr>
          <w:p>
            <w:pPr>
              <w:jc w:val="right"/>
              <w:ind w:right="44"/>
              <w:spacing w:after="0" w:line="162" w:lineRule="exact"/>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DDEE7"/>
          </w:tcPr>
          <w:p>
            <w:pPr>
              <w:spacing w:after="0"/>
              <w:rPr>
                <w:sz w:val="14"/>
                <w:szCs w:val="14"/>
                <w:color w:val="auto"/>
              </w:rPr>
            </w:pPr>
          </w:p>
        </w:tc>
        <w:tc>
          <w:tcPr>
            <w:tcW w:w="860" w:type="dxa"/>
            <w:vAlign w:val="bottom"/>
            <w:shd w:val="clear" w:color="auto" w:fill="CDDEE7"/>
          </w:tcPr>
          <w:p>
            <w:pPr>
              <w:jc w:val="right"/>
              <w:spacing w:after="0" w:line="162" w:lineRule="exact"/>
              <w:rPr>
                <w:sz w:val="20"/>
                <w:szCs w:val="20"/>
                <w:color w:val="auto"/>
              </w:rPr>
            </w:pPr>
            <w:r>
              <w:rPr>
                <w:rFonts w:ascii="Arial" w:cs="Arial" w:eastAsia="Arial" w:hAnsi="Arial"/>
                <w:sz w:val="15"/>
                <w:szCs w:val="15"/>
                <w:b w:val="1"/>
                <w:bCs w:val="1"/>
                <w:color w:val="auto"/>
              </w:rPr>
              <w:t>(14,475)</w:t>
            </w:r>
          </w:p>
        </w:tc>
        <w:tc>
          <w:tcPr>
            <w:tcW w:w="220" w:type="dxa"/>
            <w:vAlign w:val="bottom"/>
            <w:shd w:val="clear" w:color="auto" w:fill="CDDEE7"/>
          </w:tcPr>
          <w:p>
            <w:pPr>
              <w:spacing w:after="0"/>
              <w:rPr>
                <w:sz w:val="14"/>
                <w:szCs w:val="14"/>
                <w:color w:val="auto"/>
              </w:rPr>
            </w:pPr>
          </w:p>
        </w:tc>
        <w:tc>
          <w:tcPr>
            <w:tcW w:w="680" w:type="dxa"/>
            <w:vAlign w:val="bottom"/>
            <w:shd w:val="clear" w:color="auto" w:fill="CDDEE7"/>
          </w:tcPr>
          <w:p>
            <w:pPr>
              <w:jc w:val="right"/>
              <w:ind w:right="4"/>
              <w:spacing w:after="0" w:line="162" w:lineRule="exact"/>
              <w:rPr>
                <w:sz w:val="20"/>
                <w:szCs w:val="20"/>
                <w:color w:val="auto"/>
              </w:rPr>
            </w:pPr>
            <w:r>
              <w:rPr>
                <w:rFonts w:ascii="Arial" w:cs="Arial" w:eastAsia="Arial" w:hAnsi="Arial"/>
                <w:sz w:val="15"/>
                <w:szCs w:val="15"/>
                <w:b w:val="1"/>
                <w:bCs w:val="1"/>
                <w:color w:val="auto"/>
              </w:rPr>
              <w:t>13</w:t>
            </w:r>
          </w:p>
        </w:tc>
        <w:tc>
          <w:tcPr>
            <w:tcW w:w="940" w:type="dxa"/>
            <w:vAlign w:val="bottom"/>
            <w:shd w:val="clear" w:color="auto" w:fill="CDDEE7"/>
          </w:tcPr>
          <w:p>
            <w:pPr>
              <w:jc w:val="right"/>
              <w:spacing w:after="0" w:line="162" w:lineRule="exact"/>
              <w:rPr>
                <w:sz w:val="20"/>
                <w:szCs w:val="20"/>
                <w:color w:val="auto"/>
              </w:rPr>
            </w:pPr>
            <w:r>
              <w:rPr>
                <w:rFonts w:ascii="Arial" w:cs="Arial" w:eastAsia="Arial" w:hAnsi="Arial"/>
                <w:sz w:val="15"/>
                <w:szCs w:val="15"/>
                <w:b w:val="1"/>
                <w:bCs w:val="1"/>
                <w:color w:val="auto"/>
              </w:rPr>
              <w:t>(14,462)</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Dividends declared ($1.84 per common share)</w:t>
            </w:r>
          </w:p>
        </w:tc>
        <w:tc>
          <w:tcPr>
            <w:tcW w:w="840" w:type="dxa"/>
            <w:vAlign w:val="bottom"/>
            <w:shd w:val="clear" w:color="auto" w:fill="CDDEE7"/>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DDEE7"/>
          </w:tcPr>
          <w:p>
            <w:pPr>
              <w:spacing w:after="0"/>
              <w:rPr>
                <w:sz w:val="14"/>
                <w:szCs w:val="14"/>
                <w:color w:val="auto"/>
              </w:rPr>
            </w:pPr>
          </w:p>
        </w:tc>
        <w:tc>
          <w:tcPr>
            <w:tcW w:w="640" w:type="dxa"/>
            <w:vAlign w:val="bottom"/>
            <w:shd w:val="clear" w:color="auto" w:fill="CDDEE7"/>
          </w:tcPr>
          <w:p>
            <w:pPr>
              <w:jc w:val="right"/>
              <w:ind w:right="24"/>
              <w:spacing w:after="0" w:line="162" w:lineRule="exact"/>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CDDEE7"/>
          </w:tcPr>
          <w:p>
            <w:pPr>
              <w:jc w:val="right"/>
              <w:ind w:right="24"/>
              <w:spacing w:after="0" w:line="162" w:lineRule="exact"/>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DDEE7"/>
          </w:tcPr>
          <w:p>
            <w:pPr>
              <w:spacing w:after="0"/>
              <w:rPr>
                <w:sz w:val="14"/>
                <w:szCs w:val="14"/>
                <w:color w:val="auto"/>
              </w:rPr>
            </w:pPr>
          </w:p>
        </w:tc>
        <w:tc>
          <w:tcPr>
            <w:tcW w:w="1080" w:type="dxa"/>
            <w:vAlign w:val="bottom"/>
            <w:shd w:val="clear" w:color="auto" w:fill="CDDEE7"/>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DDEE7"/>
          </w:tcPr>
          <w:p>
            <w:pPr>
              <w:spacing w:after="0"/>
              <w:rPr>
                <w:sz w:val="14"/>
                <w:szCs w:val="14"/>
                <w:color w:val="auto"/>
              </w:rPr>
            </w:pPr>
          </w:p>
        </w:tc>
        <w:tc>
          <w:tcPr>
            <w:tcW w:w="820" w:type="dxa"/>
            <w:vAlign w:val="bottom"/>
            <w:shd w:val="clear" w:color="auto" w:fill="CDDEE7"/>
          </w:tcPr>
          <w:p>
            <w:pPr>
              <w:jc w:val="right"/>
              <w:spacing w:after="0" w:line="162" w:lineRule="exact"/>
              <w:rPr>
                <w:sz w:val="20"/>
                <w:szCs w:val="20"/>
                <w:color w:val="auto"/>
              </w:rPr>
            </w:pPr>
            <w:r>
              <w:rPr>
                <w:rFonts w:ascii="Arial" w:cs="Arial" w:eastAsia="Arial" w:hAnsi="Arial"/>
                <w:sz w:val="15"/>
                <w:szCs w:val="15"/>
                <w:b w:val="1"/>
                <w:bCs w:val="1"/>
                <w:color w:val="auto"/>
              </w:rPr>
              <w:t>(116,436)</w:t>
            </w:r>
          </w:p>
        </w:tc>
        <w:tc>
          <w:tcPr>
            <w:tcW w:w="240" w:type="dxa"/>
            <w:vAlign w:val="bottom"/>
            <w:shd w:val="clear" w:color="auto" w:fill="CDDEE7"/>
          </w:tcPr>
          <w:p>
            <w:pPr>
              <w:spacing w:after="0"/>
              <w:rPr>
                <w:sz w:val="14"/>
                <w:szCs w:val="14"/>
                <w:color w:val="auto"/>
              </w:rPr>
            </w:pPr>
          </w:p>
        </w:tc>
        <w:tc>
          <w:tcPr>
            <w:tcW w:w="860" w:type="dxa"/>
            <w:vAlign w:val="bottom"/>
            <w:shd w:val="clear" w:color="auto" w:fill="CDDEE7"/>
          </w:tcPr>
          <w:p>
            <w:pPr>
              <w:jc w:val="right"/>
              <w:spacing w:after="0" w:line="162" w:lineRule="exact"/>
              <w:rPr>
                <w:sz w:val="20"/>
                <w:szCs w:val="20"/>
                <w:color w:val="auto"/>
              </w:rPr>
            </w:pPr>
            <w:r>
              <w:rPr>
                <w:rFonts w:ascii="Arial" w:cs="Arial" w:eastAsia="Arial" w:hAnsi="Arial"/>
                <w:sz w:val="15"/>
                <w:szCs w:val="15"/>
                <w:b w:val="1"/>
                <w:bCs w:val="1"/>
                <w:color w:val="auto"/>
              </w:rPr>
              <w:t>(116,436)</w:t>
            </w:r>
          </w:p>
        </w:tc>
        <w:tc>
          <w:tcPr>
            <w:tcW w:w="220" w:type="dxa"/>
            <w:vAlign w:val="bottom"/>
            <w:shd w:val="clear" w:color="auto" w:fill="CDDEE7"/>
          </w:tcPr>
          <w:p>
            <w:pPr>
              <w:spacing w:after="0"/>
              <w:rPr>
                <w:sz w:val="14"/>
                <w:szCs w:val="14"/>
                <w:color w:val="auto"/>
              </w:rPr>
            </w:pPr>
          </w:p>
        </w:tc>
        <w:tc>
          <w:tcPr>
            <w:tcW w:w="680" w:type="dxa"/>
            <w:vAlign w:val="bottom"/>
            <w:shd w:val="clear" w:color="auto" w:fill="CDDEE7"/>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DDEE7"/>
          </w:tcPr>
          <w:p>
            <w:pPr>
              <w:jc w:val="right"/>
              <w:spacing w:after="0" w:line="162" w:lineRule="exact"/>
              <w:rPr>
                <w:sz w:val="20"/>
                <w:szCs w:val="20"/>
                <w:color w:val="auto"/>
              </w:rPr>
            </w:pPr>
            <w:r>
              <w:rPr>
                <w:rFonts w:ascii="Arial" w:cs="Arial" w:eastAsia="Arial" w:hAnsi="Arial"/>
                <w:sz w:val="15"/>
                <w:szCs w:val="15"/>
                <w:b w:val="1"/>
                <w:bCs w:val="1"/>
                <w:color w:val="auto"/>
              </w:rPr>
              <w:t>(116,436)</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Issuances of common stock for stock award</w:t>
            </w:r>
          </w:p>
        </w:tc>
        <w:tc>
          <w:tcPr>
            <w:tcW w:w="840" w:type="dxa"/>
            <w:vAlign w:val="bottom"/>
            <w:shd w:val="clear" w:color="auto" w:fill="CDDEE7"/>
          </w:tcPr>
          <w:p>
            <w:pPr>
              <w:spacing w:after="0"/>
              <w:rPr>
                <w:sz w:val="14"/>
                <w:szCs w:val="14"/>
                <w:color w:val="auto"/>
              </w:rPr>
            </w:pPr>
          </w:p>
        </w:tc>
        <w:tc>
          <w:tcPr>
            <w:tcW w:w="180" w:type="dxa"/>
            <w:vAlign w:val="bottom"/>
            <w:shd w:val="clear" w:color="auto" w:fill="CDDEE7"/>
          </w:tcPr>
          <w:p>
            <w:pPr>
              <w:spacing w:after="0"/>
              <w:rPr>
                <w:sz w:val="14"/>
                <w:szCs w:val="14"/>
                <w:color w:val="auto"/>
              </w:rPr>
            </w:pPr>
          </w:p>
        </w:tc>
        <w:tc>
          <w:tcPr>
            <w:tcW w:w="640" w:type="dxa"/>
            <w:vAlign w:val="bottom"/>
            <w:shd w:val="clear" w:color="auto" w:fill="CDDEE7"/>
          </w:tcPr>
          <w:p>
            <w:pPr>
              <w:spacing w:after="0"/>
              <w:rPr>
                <w:sz w:val="14"/>
                <w:szCs w:val="14"/>
                <w:color w:val="auto"/>
              </w:rPr>
            </w:pPr>
          </w:p>
        </w:tc>
        <w:tc>
          <w:tcPr>
            <w:tcW w:w="960" w:type="dxa"/>
            <w:vAlign w:val="bottom"/>
            <w:shd w:val="clear" w:color="auto" w:fill="CDDEE7"/>
          </w:tcPr>
          <w:p>
            <w:pPr>
              <w:spacing w:after="0"/>
              <w:rPr>
                <w:sz w:val="14"/>
                <w:szCs w:val="14"/>
                <w:color w:val="auto"/>
              </w:rPr>
            </w:pPr>
          </w:p>
        </w:tc>
        <w:tc>
          <w:tcPr>
            <w:tcW w:w="160" w:type="dxa"/>
            <w:vAlign w:val="bottom"/>
            <w:shd w:val="clear" w:color="auto" w:fill="CDDEE7"/>
          </w:tcPr>
          <w:p>
            <w:pPr>
              <w:spacing w:after="0"/>
              <w:rPr>
                <w:sz w:val="14"/>
                <w:szCs w:val="14"/>
                <w:color w:val="auto"/>
              </w:rPr>
            </w:pPr>
          </w:p>
        </w:tc>
        <w:tc>
          <w:tcPr>
            <w:tcW w:w="1080" w:type="dxa"/>
            <w:vAlign w:val="bottom"/>
            <w:shd w:val="clear" w:color="auto" w:fill="CDDEE7"/>
          </w:tcPr>
          <w:p>
            <w:pPr>
              <w:spacing w:after="0"/>
              <w:rPr>
                <w:sz w:val="14"/>
                <w:szCs w:val="14"/>
                <w:color w:val="auto"/>
              </w:rPr>
            </w:pPr>
          </w:p>
        </w:tc>
        <w:tc>
          <w:tcPr>
            <w:tcW w:w="140" w:type="dxa"/>
            <w:vAlign w:val="bottom"/>
            <w:shd w:val="clear" w:color="auto" w:fill="CDDEE7"/>
          </w:tcPr>
          <w:p>
            <w:pPr>
              <w:spacing w:after="0"/>
              <w:rPr>
                <w:sz w:val="14"/>
                <w:szCs w:val="14"/>
                <w:color w:val="auto"/>
              </w:rPr>
            </w:pPr>
          </w:p>
        </w:tc>
        <w:tc>
          <w:tcPr>
            <w:tcW w:w="820" w:type="dxa"/>
            <w:vAlign w:val="bottom"/>
            <w:shd w:val="clear" w:color="auto" w:fill="CDDEE7"/>
          </w:tcPr>
          <w:p>
            <w:pPr>
              <w:spacing w:after="0"/>
              <w:rPr>
                <w:sz w:val="14"/>
                <w:szCs w:val="14"/>
                <w:color w:val="auto"/>
              </w:rPr>
            </w:pPr>
          </w:p>
        </w:tc>
        <w:tc>
          <w:tcPr>
            <w:tcW w:w="240" w:type="dxa"/>
            <w:vAlign w:val="bottom"/>
            <w:shd w:val="clear" w:color="auto" w:fill="CDDEE7"/>
          </w:tcPr>
          <w:p>
            <w:pPr>
              <w:spacing w:after="0"/>
              <w:rPr>
                <w:sz w:val="14"/>
                <w:szCs w:val="14"/>
                <w:color w:val="auto"/>
              </w:rPr>
            </w:pPr>
          </w:p>
        </w:tc>
        <w:tc>
          <w:tcPr>
            <w:tcW w:w="860" w:type="dxa"/>
            <w:vAlign w:val="bottom"/>
            <w:shd w:val="clear" w:color="auto" w:fill="CDDEE7"/>
          </w:tcPr>
          <w:p>
            <w:pPr>
              <w:spacing w:after="0"/>
              <w:rPr>
                <w:sz w:val="14"/>
                <w:szCs w:val="14"/>
                <w:color w:val="auto"/>
              </w:rPr>
            </w:pPr>
          </w:p>
        </w:tc>
        <w:tc>
          <w:tcPr>
            <w:tcW w:w="220" w:type="dxa"/>
            <w:vAlign w:val="bottom"/>
            <w:shd w:val="clear" w:color="auto" w:fill="CDDEE7"/>
          </w:tcPr>
          <w:p>
            <w:pPr>
              <w:spacing w:after="0"/>
              <w:rPr>
                <w:sz w:val="14"/>
                <w:szCs w:val="14"/>
                <w:color w:val="auto"/>
              </w:rPr>
            </w:pPr>
          </w:p>
        </w:tc>
        <w:tc>
          <w:tcPr>
            <w:tcW w:w="680" w:type="dxa"/>
            <w:vAlign w:val="bottom"/>
            <w:shd w:val="clear" w:color="auto" w:fill="CDDEE7"/>
          </w:tcPr>
          <w:p>
            <w:pPr>
              <w:spacing w:after="0"/>
              <w:rPr>
                <w:sz w:val="14"/>
                <w:szCs w:val="14"/>
                <w:color w:val="auto"/>
              </w:rPr>
            </w:pPr>
          </w:p>
        </w:tc>
        <w:tc>
          <w:tcPr>
            <w:tcW w:w="940" w:type="dxa"/>
            <w:vAlign w:val="bottom"/>
            <w:shd w:val="clear" w:color="auto" w:fill="CDDEE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Pr>
          <w:p>
            <w:pPr>
              <w:ind w:left="140"/>
              <w:spacing w:after="0" w:line="162" w:lineRule="exact"/>
              <w:rPr>
                <w:sz w:val="20"/>
                <w:szCs w:val="20"/>
                <w:color w:val="auto"/>
              </w:rPr>
            </w:pPr>
            <w:r>
              <w:rPr>
                <w:rFonts w:ascii="Arial" w:cs="Arial" w:eastAsia="Arial" w:hAnsi="Arial"/>
                <w:sz w:val="15"/>
                <w:szCs w:val="15"/>
                <w:b w:val="1"/>
                <w:bCs w:val="1"/>
                <w:color w:val="auto"/>
              </w:rPr>
              <w:t>plans</w:t>
            </w:r>
          </w:p>
        </w:tc>
        <w:tc>
          <w:tcPr>
            <w:tcW w:w="840" w:type="dxa"/>
            <w:vAlign w:val="bottom"/>
            <w:shd w:val="clear" w:color="auto" w:fill="CDDEE7"/>
          </w:tcPr>
          <w:p>
            <w:pPr>
              <w:jc w:val="right"/>
              <w:ind w:right="4"/>
              <w:spacing w:after="0" w:line="162" w:lineRule="exact"/>
              <w:rPr>
                <w:sz w:val="20"/>
                <w:szCs w:val="20"/>
                <w:color w:val="auto"/>
              </w:rPr>
            </w:pPr>
            <w:r>
              <w:rPr>
                <w:rFonts w:ascii="Arial" w:cs="Arial" w:eastAsia="Arial" w:hAnsi="Arial"/>
                <w:sz w:val="15"/>
                <w:szCs w:val="15"/>
                <w:b w:val="1"/>
                <w:bCs w:val="1"/>
                <w:color w:val="auto"/>
              </w:rPr>
              <w:t>163</w:t>
            </w:r>
          </w:p>
        </w:tc>
        <w:tc>
          <w:tcPr>
            <w:tcW w:w="180" w:type="dxa"/>
            <w:vAlign w:val="bottom"/>
            <w:shd w:val="clear" w:color="auto" w:fill="CDDEE7"/>
          </w:tcPr>
          <w:p>
            <w:pPr>
              <w:spacing w:after="0"/>
              <w:rPr>
                <w:sz w:val="14"/>
                <w:szCs w:val="14"/>
                <w:color w:val="auto"/>
              </w:rPr>
            </w:pPr>
          </w:p>
        </w:tc>
        <w:tc>
          <w:tcPr>
            <w:tcW w:w="640" w:type="dxa"/>
            <w:vAlign w:val="bottom"/>
            <w:shd w:val="clear" w:color="auto" w:fill="CDDEE7"/>
          </w:tcPr>
          <w:p>
            <w:pPr>
              <w:jc w:val="right"/>
              <w:ind w:right="24"/>
              <w:spacing w:after="0" w:line="162" w:lineRule="exact"/>
              <w:rPr>
                <w:sz w:val="20"/>
                <w:szCs w:val="20"/>
                <w:color w:val="auto"/>
              </w:rPr>
            </w:pPr>
            <w:r>
              <w:rPr>
                <w:rFonts w:ascii="Arial" w:cs="Arial" w:eastAsia="Arial" w:hAnsi="Arial"/>
                <w:sz w:val="15"/>
                <w:szCs w:val="15"/>
                <w:b w:val="1"/>
                <w:bCs w:val="1"/>
                <w:color w:val="auto"/>
              </w:rPr>
              <w:t>1</w:t>
            </w:r>
          </w:p>
        </w:tc>
        <w:tc>
          <w:tcPr>
            <w:tcW w:w="960" w:type="dxa"/>
            <w:vAlign w:val="bottom"/>
            <w:shd w:val="clear" w:color="auto" w:fill="CDDEE7"/>
          </w:tcPr>
          <w:p>
            <w:pPr>
              <w:jc w:val="right"/>
              <w:ind w:right="24"/>
              <w:spacing w:after="0" w:line="162" w:lineRule="exact"/>
              <w:rPr>
                <w:sz w:val="20"/>
                <w:szCs w:val="20"/>
                <w:color w:val="auto"/>
              </w:rPr>
            </w:pPr>
            <w:r>
              <w:rPr>
                <w:rFonts w:ascii="Arial" w:cs="Arial" w:eastAsia="Arial" w:hAnsi="Arial"/>
                <w:sz w:val="15"/>
                <w:szCs w:val="15"/>
                <w:b w:val="1"/>
                <w:bCs w:val="1"/>
                <w:color w:val="auto"/>
              </w:rPr>
              <w:t>14,244</w:t>
            </w:r>
          </w:p>
        </w:tc>
        <w:tc>
          <w:tcPr>
            <w:tcW w:w="160" w:type="dxa"/>
            <w:vAlign w:val="bottom"/>
            <w:shd w:val="clear" w:color="auto" w:fill="CDDEE7"/>
          </w:tcPr>
          <w:p>
            <w:pPr>
              <w:spacing w:after="0"/>
              <w:rPr>
                <w:sz w:val="14"/>
                <w:szCs w:val="14"/>
                <w:color w:val="auto"/>
              </w:rPr>
            </w:pPr>
          </w:p>
        </w:tc>
        <w:tc>
          <w:tcPr>
            <w:tcW w:w="1080" w:type="dxa"/>
            <w:vAlign w:val="bottom"/>
            <w:shd w:val="clear" w:color="auto" w:fill="CDDEE7"/>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DDEE7"/>
          </w:tcPr>
          <w:p>
            <w:pPr>
              <w:spacing w:after="0"/>
              <w:rPr>
                <w:sz w:val="14"/>
                <w:szCs w:val="14"/>
                <w:color w:val="auto"/>
              </w:rPr>
            </w:pPr>
          </w:p>
        </w:tc>
        <w:tc>
          <w:tcPr>
            <w:tcW w:w="820" w:type="dxa"/>
            <w:vAlign w:val="bottom"/>
            <w:shd w:val="clear" w:color="auto" w:fill="CDDEE7"/>
          </w:tcPr>
          <w:p>
            <w:pPr>
              <w:jc w:val="right"/>
              <w:ind w:right="44"/>
              <w:spacing w:after="0" w:line="162" w:lineRule="exact"/>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DDEE7"/>
          </w:tcPr>
          <w:p>
            <w:pPr>
              <w:spacing w:after="0"/>
              <w:rPr>
                <w:sz w:val="14"/>
                <w:szCs w:val="14"/>
                <w:color w:val="auto"/>
              </w:rPr>
            </w:pPr>
          </w:p>
        </w:tc>
        <w:tc>
          <w:tcPr>
            <w:tcW w:w="860" w:type="dxa"/>
            <w:vAlign w:val="bottom"/>
            <w:shd w:val="clear" w:color="auto" w:fill="CDDEE7"/>
          </w:tcPr>
          <w:p>
            <w:pPr>
              <w:jc w:val="right"/>
              <w:spacing w:after="0" w:line="162" w:lineRule="exact"/>
              <w:rPr>
                <w:sz w:val="20"/>
                <w:szCs w:val="20"/>
                <w:color w:val="auto"/>
              </w:rPr>
            </w:pPr>
            <w:r>
              <w:rPr>
                <w:rFonts w:ascii="Arial" w:cs="Arial" w:eastAsia="Arial" w:hAnsi="Arial"/>
                <w:sz w:val="15"/>
                <w:szCs w:val="15"/>
                <w:b w:val="1"/>
                <w:bCs w:val="1"/>
                <w:color w:val="auto"/>
              </w:rPr>
              <w:t>14,245</w:t>
            </w:r>
          </w:p>
        </w:tc>
        <w:tc>
          <w:tcPr>
            <w:tcW w:w="220" w:type="dxa"/>
            <w:vAlign w:val="bottom"/>
            <w:shd w:val="clear" w:color="auto" w:fill="CDDEE7"/>
          </w:tcPr>
          <w:p>
            <w:pPr>
              <w:spacing w:after="0"/>
              <w:rPr>
                <w:sz w:val="14"/>
                <w:szCs w:val="14"/>
                <w:color w:val="auto"/>
              </w:rPr>
            </w:pPr>
          </w:p>
        </w:tc>
        <w:tc>
          <w:tcPr>
            <w:tcW w:w="680" w:type="dxa"/>
            <w:vAlign w:val="bottom"/>
            <w:shd w:val="clear" w:color="auto" w:fill="CDDEE7"/>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DDEE7"/>
          </w:tcPr>
          <w:p>
            <w:pPr>
              <w:jc w:val="right"/>
              <w:ind w:right="24"/>
              <w:spacing w:after="0" w:line="162" w:lineRule="exact"/>
              <w:rPr>
                <w:sz w:val="20"/>
                <w:szCs w:val="20"/>
                <w:color w:val="auto"/>
              </w:rPr>
            </w:pPr>
            <w:r>
              <w:rPr>
                <w:rFonts w:ascii="Arial" w:cs="Arial" w:eastAsia="Arial" w:hAnsi="Arial"/>
                <w:sz w:val="15"/>
                <w:szCs w:val="15"/>
                <w:b w:val="1"/>
                <w:bCs w:val="1"/>
                <w:color w:val="auto"/>
              </w:rPr>
              <w:t>14,245</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Shares withheld for employees’ income tax</w:t>
            </w:r>
          </w:p>
        </w:tc>
        <w:tc>
          <w:tcPr>
            <w:tcW w:w="840" w:type="dxa"/>
            <w:vAlign w:val="bottom"/>
            <w:shd w:val="clear" w:color="auto" w:fill="CDDEE7"/>
          </w:tcPr>
          <w:p>
            <w:pPr>
              <w:spacing w:after="0"/>
              <w:rPr>
                <w:sz w:val="14"/>
                <w:szCs w:val="14"/>
                <w:color w:val="auto"/>
              </w:rPr>
            </w:pPr>
          </w:p>
        </w:tc>
        <w:tc>
          <w:tcPr>
            <w:tcW w:w="180" w:type="dxa"/>
            <w:vAlign w:val="bottom"/>
            <w:shd w:val="clear" w:color="auto" w:fill="CDDEE7"/>
          </w:tcPr>
          <w:p>
            <w:pPr>
              <w:spacing w:after="0"/>
              <w:rPr>
                <w:sz w:val="14"/>
                <w:szCs w:val="14"/>
                <w:color w:val="auto"/>
              </w:rPr>
            </w:pPr>
          </w:p>
        </w:tc>
        <w:tc>
          <w:tcPr>
            <w:tcW w:w="640" w:type="dxa"/>
            <w:vAlign w:val="bottom"/>
            <w:shd w:val="clear" w:color="auto" w:fill="CDDEE7"/>
          </w:tcPr>
          <w:p>
            <w:pPr>
              <w:spacing w:after="0"/>
              <w:rPr>
                <w:sz w:val="14"/>
                <w:szCs w:val="14"/>
                <w:color w:val="auto"/>
              </w:rPr>
            </w:pPr>
          </w:p>
        </w:tc>
        <w:tc>
          <w:tcPr>
            <w:tcW w:w="960" w:type="dxa"/>
            <w:vAlign w:val="bottom"/>
            <w:shd w:val="clear" w:color="auto" w:fill="CDDEE7"/>
          </w:tcPr>
          <w:p>
            <w:pPr>
              <w:spacing w:after="0"/>
              <w:rPr>
                <w:sz w:val="14"/>
                <w:szCs w:val="14"/>
                <w:color w:val="auto"/>
              </w:rPr>
            </w:pPr>
          </w:p>
        </w:tc>
        <w:tc>
          <w:tcPr>
            <w:tcW w:w="160" w:type="dxa"/>
            <w:vAlign w:val="bottom"/>
            <w:shd w:val="clear" w:color="auto" w:fill="CDDEE7"/>
          </w:tcPr>
          <w:p>
            <w:pPr>
              <w:spacing w:after="0"/>
              <w:rPr>
                <w:sz w:val="14"/>
                <w:szCs w:val="14"/>
                <w:color w:val="auto"/>
              </w:rPr>
            </w:pPr>
          </w:p>
        </w:tc>
        <w:tc>
          <w:tcPr>
            <w:tcW w:w="1080" w:type="dxa"/>
            <w:vAlign w:val="bottom"/>
            <w:shd w:val="clear" w:color="auto" w:fill="CDDEE7"/>
          </w:tcPr>
          <w:p>
            <w:pPr>
              <w:spacing w:after="0"/>
              <w:rPr>
                <w:sz w:val="14"/>
                <w:szCs w:val="14"/>
                <w:color w:val="auto"/>
              </w:rPr>
            </w:pPr>
          </w:p>
        </w:tc>
        <w:tc>
          <w:tcPr>
            <w:tcW w:w="140" w:type="dxa"/>
            <w:vAlign w:val="bottom"/>
            <w:shd w:val="clear" w:color="auto" w:fill="CDDEE7"/>
          </w:tcPr>
          <w:p>
            <w:pPr>
              <w:spacing w:after="0"/>
              <w:rPr>
                <w:sz w:val="14"/>
                <w:szCs w:val="14"/>
                <w:color w:val="auto"/>
              </w:rPr>
            </w:pPr>
          </w:p>
        </w:tc>
        <w:tc>
          <w:tcPr>
            <w:tcW w:w="820" w:type="dxa"/>
            <w:vAlign w:val="bottom"/>
            <w:shd w:val="clear" w:color="auto" w:fill="CDDEE7"/>
          </w:tcPr>
          <w:p>
            <w:pPr>
              <w:spacing w:after="0"/>
              <w:rPr>
                <w:sz w:val="14"/>
                <w:szCs w:val="14"/>
                <w:color w:val="auto"/>
              </w:rPr>
            </w:pPr>
          </w:p>
        </w:tc>
        <w:tc>
          <w:tcPr>
            <w:tcW w:w="240" w:type="dxa"/>
            <w:vAlign w:val="bottom"/>
            <w:shd w:val="clear" w:color="auto" w:fill="CDDEE7"/>
          </w:tcPr>
          <w:p>
            <w:pPr>
              <w:spacing w:after="0"/>
              <w:rPr>
                <w:sz w:val="14"/>
                <w:szCs w:val="14"/>
                <w:color w:val="auto"/>
              </w:rPr>
            </w:pPr>
          </w:p>
        </w:tc>
        <w:tc>
          <w:tcPr>
            <w:tcW w:w="860" w:type="dxa"/>
            <w:vAlign w:val="bottom"/>
            <w:shd w:val="clear" w:color="auto" w:fill="CDDEE7"/>
          </w:tcPr>
          <w:p>
            <w:pPr>
              <w:spacing w:after="0"/>
              <w:rPr>
                <w:sz w:val="14"/>
                <w:szCs w:val="14"/>
                <w:color w:val="auto"/>
              </w:rPr>
            </w:pPr>
          </w:p>
        </w:tc>
        <w:tc>
          <w:tcPr>
            <w:tcW w:w="220" w:type="dxa"/>
            <w:vAlign w:val="bottom"/>
            <w:shd w:val="clear" w:color="auto" w:fill="CDDEE7"/>
          </w:tcPr>
          <w:p>
            <w:pPr>
              <w:spacing w:after="0"/>
              <w:rPr>
                <w:sz w:val="14"/>
                <w:szCs w:val="14"/>
                <w:color w:val="auto"/>
              </w:rPr>
            </w:pPr>
          </w:p>
        </w:tc>
        <w:tc>
          <w:tcPr>
            <w:tcW w:w="680" w:type="dxa"/>
            <w:vAlign w:val="bottom"/>
            <w:shd w:val="clear" w:color="auto" w:fill="CDDEE7"/>
          </w:tcPr>
          <w:p>
            <w:pPr>
              <w:spacing w:after="0"/>
              <w:rPr>
                <w:sz w:val="14"/>
                <w:szCs w:val="14"/>
                <w:color w:val="auto"/>
              </w:rPr>
            </w:pPr>
          </w:p>
        </w:tc>
        <w:tc>
          <w:tcPr>
            <w:tcW w:w="940" w:type="dxa"/>
            <w:vAlign w:val="bottom"/>
            <w:shd w:val="clear" w:color="auto" w:fill="CDDEE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Pr>
          <w:p>
            <w:pPr>
              <w:ind w:left="140"/>
              <w:spacing w:after="0" w:line="162" w:lineRule="exact"/>
              <w:rPr>
                <w:sz w:val="20"/>
                <w:szCs w:val="20"/>
                <w:color w:val="auto"/>
              </w:rPr>
            </w:pPr>
            <w:r>
              <w:rPr>
                <w:rFonts w:ascii="Arial" w:cs="Arial" w:eastAsia="Arial" w:hAnsi="Arial"/>
                <w:sz w:val="15"/>
                <w:szCs w:val="15"/>
                <w:b w:val="1"/>
                <w:bCs w:val="1"/>
                <w:color w:val="auto"/>
              </w:rPr>
              <w:t>obligations</w:t>
            </w:r>
          </w:p>
        </w:tc>
        <w:tc>
          <w:tcPr>
            <w:tcW w:w="840" w:type="dxa"/>
            <w:vAlign w:val="bottom"/>
            <w:shd w:val="clear" w:color="auto" w:fill="CDDEE7"/>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DDEE7"/>
          </w:tcPr>
          <w:p>
            <w:pPr>
              <w:spacing w:after="0"/>
              <w:rPr>
                <w:sz w:val="14"/>
                <w:szCs w:val="14"/>
                <w:color w:val="auto"/>
              </w:rPr>
            </w:pPr>
          </w:p>
        </w:tc>
        <w:tc>
          <w:tcPr>
            <w:tcW w:w="640" w:type="dxa"/>
            <w:vAlign w:val="bottom"/>
            <w:shd w:val="clear" w:color="auto" w:fill="CDDEE7"/>
          </w:tcPr>
          <w:p>
            <w:pPr>
              <w:jc w:val="right"/>
              <w:ind w:right="24"/>
              <w:spacing w:after="0" w:line="162" w:lineRule="exact"/>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CDDEE7"/>
          </w:tcPr>
          <w:p>
            <w:pPr>
              <w:jc w:val="right"/>
              <w:spacing w:after="0" w:line="162" w:lineRule="exact"/>
              <w:rPr>
                <w:sz w:val="20"/>
                <w:szCs w:val="20"/>
                <w:color w:val="auto"/>
              </w:rPr>
            </w:pPr>
            <w:r>
              <w:rPr>
                <w:rFonts w:ascii="Arial" w:cs="Arial" w:eastAsia="Arial" w:hAnsi="Arial"/>
                <w:sz w:val="15"/>
                <w:szCs w:val="15"/>
                <w:b w:val="1"/>
                <w:bCs w:val="1"/>
                <w:color w:val="auto"/>
              </w:rPr>
              <w:t>(11,865)</w:t>
            </w:r>
          </w:p>
        </w:tc>
        <w:tc>
          <w:tcPr>
            <w:tcW w:w="160" w:type="dxa"/>
            <w:vAlign w:val="bottom"/>
            <w:shd w:val="clear" w:color="auto" w:fill="CDDEE7"/>
          </w:tcPr>
          <w:p>
            <w:pPr>
              <w:spacing w:after="0"/>
              <w:rPr>
                <w:sz w:val="14"/>
                <w:szCs w:val="14"/>
                <w:color w:val="auto"/>
              </w:rPr>
            </w:pPr>
          </w:p>
        </w:tc>
        <w:tc>
          <w:tcPr>
            <w:tcW w:w="1080" w:type="dxa"/>
            <w:vAlign w:val="bottom"/>
            <w:shd w:val="clear" w:color="auto" w:fill="CDDEE7"/>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DDEE7"/>
          </w:tcPr>
          <w:p>
            <w:pPr>
              <w:spacing w:after="0"/>
              <w:rPr>
                <w:sz w:val="14"/>
                <w:szCs w:val="14"/>
                <w:color w:val="auto"/>
              </w:rPr>
            </w:pPr>
          </w:p>
        </w:tc>
        <w:tc>
          <w:tcPr>
            <w:tcW w:w="820" w:type="dxa"/>
            <w:vAlign w:val="bottom"/>
            <w:shd w:val="clear" w:color="auto" w:fill="CDDEE7"/>
          </w:tcPr>
          <w:p>
            <w:pPr>
              <w:jc w:val="right"/>
              <w:ind w:right="44"/>
              <w:spacing w:after="0" w:line="162" w:lineRule="exact"/>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DDEE7"/>
          </w:tcPr>
          <w:p>
            <w:pPr>
              <w:spacing w:after="0"/>
              <w:rPr>
                <w:sz w:val="14"/>
                <w:szCs w:val="14"/>
                <w:color w:val="auto"/>
              </w:rPr>
            </w:pPr>
          </w:p>
        </w:tc>
        <w:tc>
          <w:tcPr>
            <w:tcW w:w="860" w:type="dxa"/>
            <w:vAlign w:val="bottom"/>
            <w:shd w:val="clear" w:color="auto" w:fill="CDDEE7"/>
          </w:tcPr>
          <w:p>
            <w:pPr>
              <w:jc w:val="right"/>
              <w:spacing w:after="0" w:line="162" w:lineRule="exact"/>
              <w:rPr>
                <w:sz w:val="20"/>
                <w:szCs w:val="20"/>
                <w:color w:val="auto"/>
              </w:rPr>
            </w:pPr>
            <w:r>
              <w:rPr>
                <w:rFonts w:ascii="Arial" w:cs="Arial" w:eastAsia="Arial" w:hAnsi="Arial"/>
                <w:sz w:val="15"/>
                <w:szCs w:val="15"/>
                <w:b w:val="1"/>
                <w:bCs w:val="1"/>
                <w:color w:val="auto"/>
              </w:rPr>
              <w:t>(11,865)</w:t>
            </w:r>
          </w:p>
        </w:tc>
        <w:tc>
          <w:tcPr>
            <w:tcW w:w="220" w:type="dxa"/>
            <w:vAlign w:val="bottom"/>
            <w:shd w:val="clear" w:color="auto" w:fill="CDDEE7"/>
          </w:tcPr>
          <w:p>
            <w:pPr>
              <w:spacing w:after="0"/>
              <w:rPr>
                <w:sz w:val="14"/>
                <w:szCs w:val="14"/>
                <w:color w:val="auto"/>
              </w:rPr>
            </w:pPr>
          </w:p>
        </w:tc>
        <w:tc>
          <w:tcPr>
            <w:tcW w:w="680" w:type="dxa"/>
            <w:vAlign w:val="bottom"/>
            <w:shd w:val="clear" w:color="auto" w:fill="CDDEE7"/>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DDEE7"/>
          </w:tcPr>
          <w:p>
            <w:pPr>
              <w:jc w:val="right"/>
              <w:spacing w:after="0" w:line="162" w:lineRule="exact"/>
              <w:rPr>
                <w:sz w:val="20"/>
                <w:szCs w:val="20"/>
                <w:color w:val="auto"/>
              </w:rPr>
            </w:pPr>
            <w:r>
              <w:rPr>
                <w:rFonts w:ascii="Arial" w:cs="Arial" w:eastAsia="Arial" w:hAnsi="Arial"/>
                <w:sz w:val="15"/>
                <w:szCs w:val="15"/>
                <w:b w:val="1"/>
                <w:bCs w:val="1"/>
                <w:color w:val="auto"/>
              </w:rPr>
              <w:t>(11,865)</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Repurchases of common stock</w:t>
            </w:r>
          </w:p>
        </w:tc>
        <w:tc>
          <w:tcPr>
            <w:tcW w:w="840" w:type="dxa"/>
            <w:vAlign w:val="bottom"/>
            <w:shd w:val="clear" w:color="auto" w:fill="CDDEE7"/>
          </w:tcPr>
          <w:p>
            <w:pPr>
              <w:jc w:val="right"/>
              <w:ind w:right="4"/>
              <w:spacing w:after="0" w:line="162" w:lineRule="exact"/>
              <w:rPr>
                <w:sz w:val="20"/>
                <w:szCs w:val="20"/>
                <w:color w:val="auto"/>
              </w:rPr>
            </w:pPr>
            <w:r>
              <w:rPr>
                <w:rFonts w:ascii="Arial" w:cs="Arial" w:eastAsia="Arial" w:hAnsi="Arial"/>
                <w:sz w:val="15"/>
                <w:szCs w:val="15"/>
                <w:b w:val="1"/>
                <w:bCs w:val="1"/>
                <w:color w:val="auto"/>
              </w:rPr>
              <w:t>(521)</w:t>
            </w:r>
          </w:p>
        </w:tc>
        <w:tc>
          <w:tcPr>
            <w:tcW w:w="180" w:type="dxa"/>
            <w:vAlign w:val="bottom"/>
            <w:shd w:val="clear" w:color="auto" w:fill="CDDEE7"/>
          </w:tcPr>
          <w:p>
            <w:pPr>
              <w:spacing w:after="0"/>
              <w:rPr>
                <w:sz w:val="14"/>
                <w:szCs w:val="14"/>
                <w:color w:val="auto"/>
              </w:rPr>
            </w:pPr>
          </w:p>
        </w:tc>
        <w:tc>
          <w:tcPr>
            <w:tcW w:w="640" w:type="dxa"/>
            <w:vAlign w:val="bottom"/>
            <w:shd w:val="clear" w:color="auto" w:fill="CDDEE7"/>
          </w:tcPr>
          <w:p>
            <w:pPr>
              <w:jc w:val="right"/>
              <w:ind w:right="24"/>
              <w:spacing w:after="0" w:line="162" w:lineRule="exact"/>
              <w:rPr>
                <w:sz w:val="20"/>
                <w:szCs w:val="20"/>
                <w:color w:val="auto"/>
              </w:rPr>
            </w:pPr>
            <w:r>
              <w:rPr>
                <w:rFonts w:ascii="Arial" w:cs="Arial" w:eastAsia="Arial" w:hAnsi="Arial"/>
                <w:sz w:val="15"/>
                <w:szCs w:val="15"/>
                <w:b w:val="1"/>
                <w:bCs w:val="1"/>
                <w:color w:val="auto"/>
              </w:rPr>
              <w:t>(5)</w:t>
            </w:r>
          </w:p>
        </w:tc>
        <w:tc>
          <w:tcPr>
            <w:tcW w:w="960" w:type="dxa"/>
            <w:vAlign w:val="bottom"/>
            <w:shd w:val="clear" w:color="auto" w:fill="CDDEE7"/>
          </w:tcPr>
          <w:p>
            <w:pPr>
              <w:jc w:val="right"/>
              <w:ind w:right="24"/>
              <w:spacing w:after="0" w:line="162" w:lineRule="exact"/>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DDEE7"/>
          </w:tcPr>
          <w:p>
            <w:pPr>
              <w:spacing w:after="0"/>
              <w:rPr>
                <w:sz w:val="14"/>
                <w:szCs w:val="14"/>
                <w:color w:val="auto"/>
              </w:rPr>
            </w:pPr>
          </w:p>
        </w:tc>
        <w:tc>
          <w:tcPr>
            <w:tcW w:w="1080" w:type="dxa"/>
            <w:vAlign w:val="bottom"/>
            <w:shd w:val="clear" w:color="auto" w:fill="CDDEE7"/>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DDEE7"/>
          </w:tcPr>
          <w:p>
            <w:pPr>
              <w:spacing w:after="0"/>
              <w:rPr>
                <w:sz w:val="14"/>
                <w:szCs w:val="14"/>
                <w:color w:val="auto"/>
              </w:rPr>
            </w:pPr>
          </w:p>
        </w:tc>
        <w:tc>
          <w:tcPr>
            <w:tcW w:w="820" w:type="dxa"/>
            <w:vAlign w:val="bottom"/>
            <w:shd w:val="clear" w:color="auto" w:fill="CDDEE7"/>
          </w:tcPr>
          <w:p>
            <w:pPr>
              <w:jc w:val="right"/>
              <w:spacing w:after="0" w:line="162" w:lineRule="exact"/>
              <w:rPr>
                <w:sz w:val="20"/>
                <w:szCs w:val="20"/>
                <w:color w:val="auto"/>
              </w:rPr>
            </w:pPr>
            <w:r>
              <w:rPr>
                <w:rFonts w:ascii="Arial" w:cs="Arial" w:eastAsia="Arial" w:hAnsi="Arial"/>
                <w:sz w:val="15"/>
                <w:szCs w:val="15"/>
                <w:b w:val="1"/>
                <w:bCs w:val="1"/>
                <w:color w:val="auto"/>
              </w:rPr>
              <w:t>(100,372)</w:t>
            </w:r>
          </w:p>
        </w:tc>
        <w:tc>
          <w:tcPr>
            <w:tcW w:w="240" w:type="dxa"/>
            <w:vAlign w:val="bottom"/>
            <w:shd w:val="clear" w:color="auto" w:fill="CDDEE7"/>
          </w:tcPr>
          <w:p>
            <w:pPr>
              <w:spacing w:after="0"/>
              <w:rPr>
                <w:sz w:val="14"/>
                <w:szCs w:val="14"/>
                <w:color w:val="auto"/>
              </w:rPr>
            </w:pPr>
          </w:p>
        </w:tc>
        <w:tc>
          <w:tcPr>
            <w:tcW w:w="860" w:type="dxa"/>
            <w:vAlign w:val="bottom"/>
            <w:shd w:val="clear" w:color="auto" w:fill="CDDEE7"/>
          </w:tcPr>
          <w:p>
            <w:pPr>
              <w:jc w:val="right"/>
              <w:spacing w:after="0" w:line="162" w:lineRule="exact"/>
              <w:rPr>
                <w:sz w:val="20"/>
                <w:szCs w:val="20"/>
                <w:color w:val="auto"/>
              </w:rPr>
            </w:pPr>
            <w:r>
              <w:rPr>
                <w:rFonts w:ascii="Arial" w:cs="Arial" w:eastAsia="Arial" w:hAnsi="Arial"/>
                <w:sz w:val="15"/>
                <w:szCs w:val="15"/>
                <w:b w:val="1"/>
                <w:bCs w:val="1"/>
                <w:color w:val="auto"/>
              </w:rPr>
              <w:t>(100,377)</w:t>
            </w:r>
          </w:p>
        </w:tc>
        <w:tc>
          <w:tcPr>
            <w:tcW w:w="220" w:type="dxa"/>
            <w:vAlign w:val="bottom"/>
            <w:shd w:val="clear" w:color="auto" w:fill="CDDEE7"/>
          </w:tcPr>
          <w:p>
            <w:pPr>
              <w:spacing w:after="0"/>
              <w:rPr>
                <w:sz w:val="14"/>
                <w:szCs w:val="14"/>
                <w:color w:val="auto"/>
              </w:rPr>
            </w:pPr>
          </w:p>
        </w:tc>
        <w:tc>
          <w:tcPr>
            <w:tcW w:w="680" w:type="dxa"/>
            <w:vAlign w:val="bottom"/>
            <w:shd w:val="clear" w:color="auto" w:fill="CDDEE7"/>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DDEE7"/>
          </w:tcPr>
          <w:p>
            <w:pPr>
              <w:jc w:val="right"/>
              <w:spacing w:after="0" w:line="162" w:lineRule="exact"/>
              <w:rPr>
                <w:sz w:val="20"/>
                <w:szCs w:val="20"/>
                <w:color w:val="auto"/>
              </w:rPr>
            </w:pPr>
            <w:r>
              <w:rPr>
                <w:rFonts w:ascii="Arial" w:cs="Arial" w:eastAsia="Arial" w:hAnsi="Arial"/>
                <w:sz w:val="15"/>
                <w:szCs w:val="15"/>
                <w:b w:val="1"/>
                <w:bCs w:val="1"/>
                <w:color w:val="auto"/>
              </w:rPr>
              <w:t>(100,377)</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Stock-based compensation expense</w:t>
            </w:r>
          </w:p>
        </w:tc>
        <w:tc>
          <w:tcPr>
            <w:tcW w:w="840" w:type="dxa"/>
            <w:vAlign w:val="bottom"/>
            <w:shd w:val="clear" w:color="auto" w:fill="CDDEE7"/>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DDEE7"/>
          </w:tcPr>
          <w:p>
            <w:pPr>
              <w:spacing w:after="0"/>
              <w:rPr>
                <w:sz w:val="14"/>
                <w:szCs w:val="14"/>
                <w:color w:val="auto"/>
              </w:rPr>
            </w:pPr>
          </w:p>
        </w:tc>
        <w:tc>
          <w:tcPr>
            <w:tcW w:w="640" w:type="dxa"/>
            <w:vAlign w:val="bottom"/>
            <w:shd w:val="clear" w:color="auto" w:fill="CDDEE7"/>
          </w:tcPr>
          <w:p>
            <w:pPr>
              <w:jc w:val="right"/>
              <w:ind w:right="24"/>
              <w:spacing w:after="0" w:line="162" w:lineRule="exact"/>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CDDEE7"/>
          </w:tcPr>
          <w:p>
            <w:pPr>
              <w:jc w:val="right"/>
              <w:ind w:right="24"/>
              <w:spacing w:after="0" w:line="162" w:lineRule="exact"/>
              <w:rPr>
                <w:sz w:val="20"/>
                <w:szCs w:val="20"/>
                <w:color w:val="auto"/>
              </w:rPr>
            </w:pPr>
            <w:r>
              <w:rPr>
                <w:rFonts w:ascii="Arial" w:cs="Arial" w:eastAsia="Arial" w:hAnsi="Arial"/>
                <w:sz w:val="15"/>
                <w:szCs w:val="15"/>
                <w:b w:val="1"/>
                <w:bCs w:val="1"/>
                <w:color w:val="auto"/>
              </w:rPr>
              <w:t>29,253</w:t>
            </w:r>
          </w:p>
        </w:tc>
        <w:tc>
          <w:tcPr>
            <w:tcW w:w="160" w:type="dxa"/>
            <w:vAlign w:val="bottom"/>
            <w:shd w:val="clear" w:color="auto" w:fill="CDDEE7"/>
          </w:tcPr>
          <w:p>
            <w:pPr>
              <w:spacing w:after="0"/>
              <w:rPr>
                <w:sz w:val="14"/>
                <w:szCs w:val="14"/>
                <w:color w:val="auto"/>
              </w:rPr>
            </w:pPr>
          </w:p>
        </w:tc>
        <w:tc>
          <w:tcPr>
            <w:tcW w:w="1080" w:type="dxa"/>
            <w:vAlign w:val="bottom"/>
            <w:shd w:val="clear" w:color="auto" w:fill="CDDEE7"/>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DDEE7"/>
          </w:tcPr>
          <w:p>
            <w:pPr>
              <w:spacing w:after="0"/>
              <w:rPr>
                <w:sz w:val="14"/>
                <w:szCs w:val="14"/>
                <w:color w:val="auto"/>
              </w:rPr>
            </w:pPr>
          </w:p>
        </w:tc>
        <w:tc>
          <w:tcPr>
            <w:tcW w:w="820" w:type="dxa"/>
            <w:vAlign w:val="bottom"/>
            <w:shd w:val="clear" w:color="auto" w:fill="CDDEE7"/>
          </w:tcPr>
          <w:p>
            <w:pPr>
              <w:jc w:val="right"/>
              <w:ind w:right="44"/>
              <w:spacing w:after="0" w:line="162" w:lineRule="exact"/>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DDEE7"/>
          </w:tcPr>
          <w:p>
            <w:pPr>
              <w:spacing w:after="0"/>
              <w:rPr>
                <w:sz w:val="14"/>
                <w:szCs w:val="14"/>
                <w:color w:val="auto"/>
              </w:rPr>
            </w:pPr>
          </w:p>
        </w:tc>
        <w:tc>
          <w:tcPr>
            <w:tcW w:w="860" w:type="dxa"/>
            <w:vAlign w:val="bottom"/>
            <w:shd w:val="clear" w:color="auto" w:fill="CDDEE7"/>
          </w:tcPr>
          <w:p>
            <w:pPr>
              <w:jc w:val="right"/>
              <w:spacing w:after="0" w:line="162" w:lineRule="exact"/>
              <w:rPr>
                <w:sz w:val="20"/>
                <w:szCs w:val="20"/>
                <w:color w:val="auto"/>
              </w:rPr>
            </w:pPr>
            <w:r>
              <w:rPr>
                <w:rFonts w:ascii="Arial" w:cs="Arial" w:eastAsia="Arial" w:hAnsi="Arial"/>
                <w:sz w:val="15"/>
                <w:szCs w:val="15"/>
                <w:b w:val="1"/>
                <w:bCs w:val="1"/>
                <w:color w:val="auto"/>
              </w:rPr>
              <w:t>29,253</w:t>
            </w:r>
          </w:p>
        </w:tc>
        <w:tc>
          <w:tcPr>
            <w:tcW w:w="220" w:type="dxa"/>
            <w:vAlign w:val="bottom"/>
            <w:shd w:val="clear" w:color="auto" w:fill="CDDEE7"/>
          </w:tcPr>
          <w:p>
            <w:pPr>
              <w:spacing w:after="0"/>
              <w:rPr>
                <w:sz w:val="14"/>
                <w:szCs w:val="14"/>
                <w:color w:val="auto"/>
              </w:rPr>
            </w:pPr>
          </w:p>
        </w:tc>
        <w:tc>
          <w:tcPr>
            <w:tcW w:w="680" w:type="dxa"/>
            <w:vAlign w:val="bottom"/>
            <w:shd w:val="clear" w:color="auto" w:fill="CDDEE7"/>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DDEE7"/>
          </w:tcPr>
          <w:p>
            <w:pPr>
              <w:jc w:val="right"/>
              <w:ind w:right="24"/>
              <w:spacing w:after="0" w:line="162" w:lineRule="exact"/>
              <w:rPr>
                <w:sz w:val="20"/>
                <w:szCs w:val="20"/>
                <w:color w:val="auto"/>
              </w:rPr>
            </w:pPr>
            <w:r>
              <w:rPr>
                <w:rFonts w:ascii="Arial" w:cs="Arial" w:eastAsia="Arial" w:hAnsi="Arial"/>
                <w:sz w:val="15"/>
                <w:szCs w:val="15"/>
                <w:b w:val="1"/>
                <w:bCs w:val="1"/>
                <w:color w:val="auto"/>
              </w:rPr>
              <w:t>29,253</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Noncontrolling interest acquired in business</w:t>
            </w:r>
          </w:p>
        </w:tc>
        <w:tc>
          <w:tcPr>
            <w:tcW w:w="840" w:type="dxa"/>
            <w:vAlign w:val="bottom"/>
            <w:shd w:val="clear" w:color="auto" w:fill="CDDEE7"/>
          </w:tcPr>
          <w:p>
            <w:pPr>
              <w:spacing w:after="0"/>
              <w:rPr>
                <w:sz w:val="14"/>
                <w:szCs w:val="14"/>
                <w:color w:val="auto"/>
              </w:rPr>
            </w:pPr>
          </w:p>
        </w:tc>
        <w:tc>
          <w:tcPr>
            <w:tcW w:w="180" w:type="dxa"/>
            <w:vAlign w:val="bottom"/>
            <w:shd w:val="clear" w:color="auto" w:fill="CDDEE7"/>
          </w:tcPr>
          <w:p>
            <w:pPr>
              <w:spacing w:after="0"/>
              <w:rPr>
                <w:sz w:val="14"/>
                <w:szCs w:val="14"/>
                <w:color w:val="auto"/>
              </w:rPr>
            </w:pPr>
          </w:p>
        </w:tc>
        <w:tc>
          <w:tcPr>
            <w:tcW w:w="640" w:type="dxa"/>
            <w:vAlign w:val="bottom"/>
            <w:shd w:val="clear" w:color="auto" w:fill="CDDEE7"/>
          </w:tcPr>
          <w:p>
            <w:pPr>
              <w:spacing w:after="0"/>
              <w:rPr>
                <w:sz w:val="14"/>
                <w:szCs w:val="14"/>
                <w:color w:val="auto"/>
              </w:rPr>
            </w:pPr>
          </w:p>
        </w:tc>
        <w:tc>
          <w:tcPr>
            <w:tcW w:w="960" w:type="dxa"/>
            <w:vAlign w:val="bottom"/>
            <w:shd w:val="clear" w:color="auto" w:fill="CDDEE7"/>
          </w:tcPr>
          <w:p>
            <w:pPr>
              <w:spacing w:after="0"/>
              <w:rPr>
                <w:sz w:val="14"/>
                <w:szCs w:val="14"/>
                <w:color w:val="auto"/>
              </w:rPr>
            </w:pPr>
          </w:p>
        </w:tc>
        <w:tc>
          <w:tcPr>
            <w:tcW w:w="160" w:type="dxa"/>
            <w:vAlign w:val="bottom"/>
            <w:shd w:val="clear" w:color="auto" w:fill="CDDEE7"/>
          </w:tcPr>
          <w:p>
            <w:pPr>
              <w:spacing w:after="0"/>
              <w:rPr>
                <w:sz w:val="14"/>
                <w:szCs w:val="14"/>
                <w:color w:val="auto"/>
              </w:rPr>
            </w:pPr>
          </w:p>
        </w:tc>
        <w:tc>
          <w:tcPr>
            <w:tcW w:w="1080" w:type="dxa"/>
            <w:vAlign w:val="bottom"/>
            <w:shd w:val="clear" w:color="auto" w:fill="CDDEE7"/>
          </w:tcPr>
          <w:p>
            <w:pPr>
              <w:spacing w:after="0"/>
              <w:rPr>
                <w:sz w:val="14"/>
                <w:szCs w:val="14"/>
                <w:color w:val="auto"/>
              </w:rPr>
            </w:pPr>
          </w:p>
        </w:tc>
        <w:tc>
          <w:tcPr>
            <w:tcW w:w="140" w:type="dxa"/>
            <w:vAlign w:val="bottom"/>
            <w:shd w:val="clear" w:color="auto" w:fill="CDDEE7"/>
          </w:tcPr>
          <w:p>
            <w:pPr>
              <w:spacing w:after="0"/>
              <w:rPr>
                <w:sz w:val="14"/>
                <w:szCs w:val="14"/>
                <w:color w:val="auto"/>
              </w:rPr>
            </w:pPr>
          </w:p>
        </w:tc>
        <w:tc>
          <w:tcPr>
            <w:tcW w:w="820" w:type="dxa"/>
            <w:vAlign w:val="bottom"/>
            <w:shd w:val="clear" w:color="auto" w:fill="CDDEE7"/>
          </w:tcPr>
          <w:p>
            <w:pPr>
              <w:spacing w:after="0"/>
              <w:rPr>
                <w:sz w:val="14"/>
                <w:szCs w:val="14"/>
                <w:color w:val="auto"/>
              </w:rPr>
            </w:pPr>
          </w:p>
        </w:tc>
        <w:tc>
          <w:tcPr>
            <w:tcW w:w="240" w:type="dxa"/>
            <w:vAlign w:val="bottom"/>
            <w:shd w:val="clear" w:color="auto" w:fill="CDDEE7"/>
          </w:tcPr>
          <w:p>
            <w:pPr>
              <w:spacing w:after="0"/>
              <w:rPr>
                <w:sz w:val="14"/>
                <w:szCs w:val="14"/>
                <w:color w:val="auto"/>
              </w:rPr>
            </w:pPr>
          </w:p>
        </w:tc>
        <w:tc>
          <w:tcPr>
            <w:tcW w:w="860" w:type="dxa"/>
            <w:vAlign w:val="bottom"/>
            <w:shd w:val="clear" w:color="auto" w:fill="CDDEE7"/>
          </w:tcPr>
          <w:p>
            <w:pPr>
              <w:spacing w:after="0"/>
              <w:rPr>
                <w:sz w:val="14"/>
                <w:szCs w:val="14"/>
                <w:color w:val="auto"/>
              </w:rPr>
            </w:pPr>
          </w:p>
        </w:tc>
        <w:tc>
          <w:tcPr>
            <w:tcW w:w="220" w:type="dxa"/>
            <w:vAlign w:val="bottom"/>
            <w:shd w:val="clear" w:color="auto" w:fill="CDDEE7"/>
          </w:tcPr>
          <w:p>
            <w:pPr>
              <w:spacing w:after="0"/>
              <w:rPr>
                <w:sz w:val="14"/>
                <w:szCs w:val="14"/>
                <w:color w:val="auto"/>
              </w:rPr>
            </w:pPr>
          </w:p>
        </w:tc>
        <w:tc>
          <w:tcPr>
            <w:tcW w:w="680" w:type="dxa"/>
            <w:vAlign w:val="bottom"/>
            <w:shd w:val="clear" w:color="auto" w:fill="CDDEE7"/>
          </w:tcPr>
          <w:p>
            <w:pPr>
              <w:spacing w:after="0"/>
              <w:rPr>
                <w:sz w:val="14"/>
                <w:szCs w:val="14"/>
                <w:color w:val="auto"/>
              </w:rPr>
            </w:pPr>
          </w:p>
        </w:tc>
        <w:tc>
          <w:tcPr>
            <w:tcW w:w="940" w:type="dxa"/>
            <w:vAlign w:val="bottom"/>
            <w:shd w:val="clear" w:color="auto" w:fill="CDDEE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Pr>
          <w:p>
            <w:pPr>
              <w:ind w:left="140"/>
              <w:spacing w:after="0" w:line="162" w:lineRule="exact"/>
              <w:rPr>
                <w:sz w:val="20"/>
                <w:szCs w:val="20"/>
                <w:color w:val="auto"/>
              </w:rPr>
            </w:pPr>
            <w:r>
              <w:rPr>
                <w:rFonts w:ascii="Arial" w:cs="Arial" w:eastAsia="Arial" w:hAnsi="Arial"/>
                <w:sz w:val="15"/>
                <w:szCs w:val="15"/>
                <w:b w:val="1"/>
                <w:bCs w:val="1"/>
                <w:color w:val="auto"/>
              </w:rPr>
              <w:t>combination</w:t>
            </w:r>
          </w:p>
        </w:tc>
        <w:tc>
          <w:tcPr>
            <w:tcW w:w="840" w:type="dxa"/>
            <w:vAlign w:val="bottom"/>
            <w:shd w:val="clear" w:color="auto" w:fill="CDDEE7"/>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DDEE7"/>
          </w:tcPr>
          <w:p>
            <w:pPr>
              <w:spacing w:after="0"/>
              <w:rPr>
                <w:sz w:val="14"/>
                <w:szCs w:val="14"/>
                <w:color w:val="auto"/>
              </w:rPr>
            </w:pPr>
          </w:p>
        </w:tc>
        <w:tc>
          <w:tcPr>
            <w:tcW w:w="640" w:type="dxa"/>
            <w:vAlign w:val="bottom"/>
            <w:shd w:val="clear" w:color="auto" w:fill="CDDEE7"/>
          </w:tcPr>
          <w:p>
            <w:pPr>
              <w:jc w:val="right"/>
              <w:ind w:right="24"/>
              <w:spacing w:after="0" w:line="162" w:lineRule="exact"/>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CDDEE7"/>
          </w:tcPr>
          <w:p>
            <w:pPr>
              <w:jc w:val="right"/>
              <w:ind w:right="24"/>
              <w:spacing w:after="0" w:line="162" w:lineRule="exact"/>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DDEE7"/>
          </w:tcPr>
          <w:p>
            <w:pPr>
              <w:spacing w:after="0"/>
              <w:rPr>
                <w:sz w:val="14"/>
                <w:szCs w:val="14"/>
                <w:color w:val="auto"/>
              </w:rPr>
            </w:pPr>
          </w:p>
        </w:tc>
        <w:tc>
          <w:tcPr>
            <w:tcW w:w="1080" w:type="dxa"/>
            <w:vAlign w:val="bottom"/>
            <w:shd w:val="clear" w:color="auto" w:fill="CDDEE7"/>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DDEE7"/>
          </w:tcPr>
          <w:p>
            <w:pPr>
              <w:spacing w:after="0"/>
              <w:rPr>
                <w:sz w:val="14"/>
                <w:szCs w:val="14"/>
                <w:color w:val="auto"/>
              </w:rPr>
            </w:pPr>
          </w:p>
        </w:tc>
        <w:tc>
          <w:tcPr>
            <w:tcW w:w="820" w:type="dxa"/>
            <w:vAlign w:val="bottom"/>
            <w:shd w:val="clear" w:color="auto" w:fill="CDDEE7"/>
          </w:tcPr>
          <w:p>
            <w:pPr>
              <w:jc w:val="right"/>
              <w:ind w:right="44"/>
              <w:spacing w:after="0" w:line="162" w:lineRule="exact"/>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DDEE7"/>
          </w:tcPr>
          <w:p>
            <w:pPr>
              <w:spacing w:after="0"/>
              <w:rPr>
                <w:sz w:val="14"/>
                <w:szCs w:val="14"/>
                <w:color w:val="auto"/>
              </w:rPr>
            </w:pPr>
          </w:p>
        </w:tc>
        <w:tc>
          <w:tcPr>
            <w:tcW w:w="860" w:type="dxa"/>
            <w:vAlign w:val="bottom"/>
            <w:shd w:val="clear" w:color="auto" w:fill="CDDEE7"/>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DDEE7"/>
          </w:tcPr>
          <w:p>
            <w:pPr>
              <w:spacing w:after="0"/>
              <w:rPr>
                <w:sz w:val="14"/>
                <w:szCs w:val="14"/>
                <w:color w:val="auto"/>
              </w:rPr>
            </w:pPr>
          </w:p>
        </w:tc>
        <w:tc>
          <w:tcPr>
            <w:tcW w:w="680" w:type="dxa"/>
            <w:vAlign w:val="bottom"/>
            <w:shd w:val="clear" w:color="auto" w:fill="CDDEE7"/>
          </w:tcPr>
          <w:p>
            <w:pPr>
              <w:jc w:val="right"/>
              <w:ind w:right="4"/>
              <w:spacing w:after="0" w:line="162" w:lineRule="exact"/>
              <w:rPr>
                <w:sz w:val="20"/>
                <w:szCs w:val="20"/>
                <w:color w:val="auto"/>
              </w:rPr>
            </w:pPr>
            <w:r>
              <w:rPr>
                <w:rFonts w:ascii="Arial" w:cs="Arial" w:eastAsia="Arial" w:hAnsi="Arial"/>
                <w:sz w:val="15"/>
                <w:szCs w:val="15"/>
                <w:b w:val="1"/>
                <w:bCs w:val="1"/>
                <w:color w:val="auto"/>
              </w:rPr>
              <w:t>9,001</w:t>
            </w:r>
          </w:p>
        </w:tc>
        <w:tc>
          <w:tcPr>
            <w:tcW w:w="940" w:type="dxa"/>
            <w:vAlign w:val="bottom"/>
            <w:shd w:val="clear" w:color="auto" w:fill="CDDEE7"/>
          </w:tcPr>
          <w:p>
            <w:pPr>
              <w:jc w:val="right"/>
              <w:ind w:right="24"/>
              <w:spacing w:after="0" w:line="162" w:lineRule="exact"/>
              <w:rPr>
                <w:sz w:val="20"/>
                <w:szCs w:val="20"/>
                <w:color w:val="auto"/>
              </w:rPr>
            </w:pPr>
            <w:r>
              <w:rPr>
                <w:rFonts w:ascii="Arial" w:cs="Arial" w:eastAsia="Arial" w:hAnsi="Arial"/>
                <w:sz w:val="15"/>
                <w:szCs w:val="15"/>
                <w:b w:val="1"/>
                <w:bCs w:val="1"/>
                <w:color w:val="auto"/>
              </w:rPr>
              <w:t>9,001</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Purchase of the noncontrolling interest in the</w:t>
            </w:r>
          </w:p>
        </w:tc>
        <w:tc>
          <w:tcPr>
            <w:tcW w:w="840" w:type="dxa"/>
            <w:vAlign w:val="bottom"/>
            <w:shd w:val="clear" w:color="auto" w:fill="CDDEE7"/>
          </w:tcPr>
          <w:p>
            <w:pPr>
              <w:spacing w:after="0"/>
              <w:rPr>
                <w:sz w:val="14"/>
                <w:szCs w:val="14"/>
                <w:color w:val="auto"/>
              </w:rPr>
            </w:pPr>
          </w:p>
        </w:tc>
        <w:tc>
          <w:tcPr>
            <w:tcW w:w="180" w:type="dxa"/>
            <w:vAlign w:val="bottom"/>
            <w:shd w:val="clear" w:color="auto" w:fill="CDDEE7"/>
          </w:tcPr>
          <w:p>
            <w:pPr>
              <w:spacing w:after="0"/>
              <w:rPr>
                <w:sz w:val="14"/>
                <w:szCs w:val="14"/>
                <w:color w:val="auto"/>
              </w:rPr>
            </w:pPr>
          </w:p>
        </w:tc>
        <w:tc>
          <w:tcPr>
            <w:tcW w:w="640" w:type="dxa"/>
            <w:vAlign w:val="bottom"/>
            <w:shd w:val="clear" w:color="auto" w:fill="CDDEE7"/>
          </w:tcPr>
          <w:p>
            <w:pPr>
              <w:spacing w:after="0"/>
              <w:rPr>
                <w:sz w:val="14"/>
                <w:szCs w:val="14"/>
                <w:color w:val="auto"/>
              </w:rPr>
            </w:pPr>
          </w:p>
        </w:tc>
        <w:tc>
          <w:tcPr>
            <w:tcW w:w="960" w:type="dxa"/>
            <w:vAlign w:val="bottom"/>
            <w:shd w:val="clear" w:color="auto" w:fill="CDDEE7"/>
          </w:tcPr>
          <w:p>
            <w:pPr>
              <w:spacing w:after="0"/>
              <w:rPr>
                <w:sz w:val="14"/>
                <w:szCs w:val="14"/>
                <w:color w:val="auto"/>
              </w:rPr>
            </w:pPr>
          </w:p>
        </w:tc>
        <w:tc>
          <w:tcPr>
            <w:tcW w:w="160" w:type="dxa"/>
            <w:vAlign w:val="bottom"/>
            <w:shd w:val="clear" w:color="auto" w:fill="CDDEE7"/>
          </w:tcPr>
          <w:p>
            <w:pPr>
              <w:spacing w:after="0"/>
              <w:rPr>
                <w:sz w:val="14"/>
                <w:szCs w:val="14"/>
                <w:color w:val="auto"/>
              </w:rPr>
            </w:pPr>
          </w:p>
        </w:tc>
        <w:tc>
          <w:tcPr>
            <w:tcW w:w="1080" w:type="dxa"/>
            <w:vAlign w:val="bottom"/>
            <w:shd w:val="clear" w:color="auto" w:fill="CDDEE7"/>
          </w:tcPr>
          <w:p>
            <w:pPr>
              <w:spacing w:after="0"/>
              <w:rPr>
                <w:sz w:val="14"/>
                <w:szCs w:val="14"/>
                <w:color w:val="auto"/>
              </w:rPr>
            </w:pPr>
          </w:p>
        </w:tc>
        <w:tc>
          <w:tcPr>
            <w:tcW w:w="140" w:type="dxa"/>
            <w:vAlign w:val="bottom"/>
            <w:shd w:val="clear" w:color="auto" w:fill="CDDEE7"/>
          </w:tcPr>
          <w:p>
            <w:pPr>
              <w:spacing w:after="0"/>
              <w:rPr>
                <w:sz w:val="14"/>
                <w:szCs w:val="14"/>
                <w:color w:val="auto"/>
              </w:rPr>
            </w:pPr>
          </w:p>
        </w:tc>
        <w:tc>
          <w:tcPr>
            <w:tcW w:w="820" w:type="dxa"/>
            <w:vAlign w:val="bottom"/>
            <w:shd w:val="clear" w:color="auto" w:fill="CDDEE7"/>
          </w:tcPr>
          <w:p>
            <w:pPr>
              <w:spacing w:after="0"/>
              <w:rPr>
                <w:sz w:val="14"/>
                <w:szCs w:val="14"/>
                <w:color w:val="auto"/>
              </w:rPr>
            </w:pPr>
          </w:p>
        </w:tc>
        <w:tc>
          <w:tcPr>
            <w:tcW w:w="240" w:type="dxa"/>
            <w:vAlign w:val="bottom"/>
            <w:shd w:val="clear" w:color="auto" w:fill="CDDEE7"/>
          </w:tcPr>
          <w:p>
            <w:pPr>
              <w:spacing w:after="0"/>
              <w:rPr>
                <w:sz w:val="14"/>
                <w:szCs w:val="14"/>
                <w:color w:val="auto"/>
              </w:rPr>
            </w:pPr>
          </w:p>
        </w:tc>
        <w:tc>
          <w:tcPr>
            <w:tcW w:w="860" w:type="dxa"/>
            <w:vAlign w:val="bottom"/>
            <w:shd w:val="clear" w:color="auto" w:fill="CDDEE7"/>
          </w:tcPr>
          <w:p>
            <w:pPr>
              <w:spacing w:after="0"/>
              <w:rPr>
                <w:sz w:val="14"/>
                <w:szCs w:val="14"/>
                <w:color w:val="auto"/>
              </w:rPr>
            </w:pPr>
          </w:p>
        </w:tc>
        <w:tc>
          <w:tcPr>
            <w:tcW w:w="220" w:type="dxa"/>
            <w:vAlign w:val="bottom"/>
            <w:shd w:val="clear" w:color="auto" w:fill="CDDEE7"/>
          </w:tcPr>
          <w:p>
            <w:pPr>
              <w:spacing w:after="0"/>
              <w:rPr>
                <w:sz w:val="14"/>
                <w:szCs w:val="14"/>
                <w:color w:val="auto"/>
              </w:rPr>
            </w:pPr>
          </w:p>
        </w:tc>
        <w:tc>
          <w:tcPr>
            <w:tcW w:w="680" w:type="dxa"/>
            <w:vAlign w:val="bottom"/>
            <w:shd w:val="clear" w:color="auto" w:fill="CDDEE7"/>
          </w:tcPr>
          <w:p>
            <w:pPr>
              <w:spacing w:after="0"/>
              <w:rPr>
                <w:sz w:val="14"/>
                <w:szCs w:val="14"/>
                <w:color w:val="auto"/>
              </w:rPr>
            </w:pPr>
          </w:p>
        </w:tc>
        <w:tc>
          <w:tcPr>
            <w:tcW w:w="940" w:type="dxa"/>
            <w:vAlign w:val="bottom"/>
            <w:shd w:val="clear" w:color="auto" w:fill="CDDEE7"/>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existing joint venture</w:t>
            </w:r>
          </w:p>
        </w:tc>
        <w:tc>
          <w:tcPr>
            <w:tcW w:w="840" w:type="dxa"/>
            <w:vAlign w:val="bottom"/>
            <w:tcBorders>
              <w:bottom w:val="single" w:sz="8" w:color="auto"/>
            </w:tcBorders>
            <w:shd w:val="clear" w:color="auto" w:fill="CDDEE7"/>
          </w:tcPr>
          <w:p>
            <w:pPr>
              <w:jc w:val="right"/>
              <w:ind w:right="4"/>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auto"/>
            </w:tcBorders>
            <w:shd w:val="clear" w:color="auto" w:fill="CDDEE7"/>
          </w:tcPr>
          <w:p>
            <w:pPr>
              <w:spacing w:after="0"/>
              <w:rPr>
                <w:sz w:val="15"/>
                <w:szCs w:val="15"/>
                <w:color w:val="auto"/>
              </w:rPr>
            </w:pPr>
          </w:p>
        </w:tc>
        <w:tc>
          <w:tcPr>
            <w:tcW w:w="640" w:type="dxa"/>
            <w:vAlign w:val="bottom"/>
            <w:tcBorders>
              <w:bottom w:val="single" w:sz="8" w:color="auto"/>
            </w:tcBorders>
            <w:shd w:val="clear" w:color="auto" w:fill="CDDEE7"/>
          </w:tcPr>
          <w:p>
            <w:pPr>
              <w:jc w:val="right"/>
              <w:ind w:right="24"/>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5"/>
                <w:szCs w:val="15"/>
                <w:b w:val="1"/>
                <w:bCs w:val="1"/>
                <w:color w:val="auto"/>
              </w:rPr>
              <w:t>(3,580)</w:t>
            </w:r>
          </w:p>
        </w:tc>
        <w:tc>
          <w:tcPr>
            <w:tcW w:w="160" w:type="dxa"/>
            <w:vAlign w:val="bottom"/>
            <w:tcBorders>
              <w:bottom w:val="single" w:sz="8" w:color="auto"/>
            </w:tcBorders>
            <w:shd w:val="clear" w:color="auto" w:fill="CDDEE7"/>
          </w:tcPr>
          <w:p>
            <w:pPr>
              <w:spacing w:after="0"/>
              <w:rPr>
                <w:sz w:val="15"/>
                <w:szCs w:val="15"/>
                <w:color w:val="auto"/>
              </w:rPr>
            </w:pPr>
          </w:p>
        </w:tc>
        <w:tc>
          <w:tcPr>
            <w:tcW w:w="1080" w:type="dxa"/>
            <w:vAlign w:val="bottom"/>
            <w:tcBorders>
              <w:bottom w:val="single" w:sz="8" w:color="auto"/>
            </w:tcBorders>
            <w:shd w:val="clear" w:color="auto" w:fill="CDDEE7"/>
          </w:tcPr>
          <w:p>
            <w:pPr>
              <w:jc w:val="right"/>
              <w:ind w:right="4"/>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auto"/>
            </w:tcBorders>
            <w:shd w:val="clear" w:color="auto" w:fill="CDDEE7"/>
          </w:tcPr>
          <w:p>
            <w:pPr>
              <w:spacing w:after="0"/>
              <w:rPr>
                <w:sz w:val="15"/>
                <w:szCs w:val="15"/>
                <w:color w:val="auto"/>
              </w:rPr>
            </w:pPr>
          </w:p>
        </w:tc>
        <w:tc>
          <w:tcPr>
            <w:tcW w:w="820" w:type="dxa"/>
            <w:vAlign w:val="bottom"/>
            <w:tcBorders>
              <w:bottom w:val="single" w:sz="8" w:color="auto"/>
            </w:tcBorders>
            <w:shd w:val="clear" w:color="auto" w:fill="CDDEE7"/>
          </w:tcPr>
          <w:p>
            <w:pPr>
              <w:jc w:val="right"/>
              <w:ind w:right="44"/>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auto"/>
            </w:tcBorders>
            <w:shd w:val="clear" w:color="auto" w:fill="CDDEE7"/>
          </w:tcPr>
          <w:p>
            <w:pPr>
              <w:spacing w:after="0"/>
              <w:rPr>
                <w:sz w:val="15"/>
                <w:szCs w:val="15"/>
                <w:color w:val="auto"/>
              </w:rPr>
            </w:pPr>
          </w:p>
        </w:tc>
        <w:tc>
          <w:tcPr>
            <w:tcW w:w="86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5"/>
                <w:szCs w:val="15"/>
                <w:b w:val="1"/>
                <w:bCs w:val="1"/>
                <w:color w:val="auto"/>
              </w:rPr>
              <w:t>(3,580)</w:t>
            </w:r>
          </w:p>
        </w:tc>
        <w:tc>
          <w:tcPr>
            <w:tcW w:w="220" w:type="dxa"/>
            <w:vAlign w:val="bottom"/>
            <w:tcBorders>
              <w:bottom w:val="single" w:sz="8" w:color="auto"/>
            </w:tcBorders>
            <w:shd w:val="clear" w:color="auto" w:fill="CDDEE7"/>
          </w:tcPr>
          <w:p>
            <w:pPr>
              <w:spacing w:after="0"/>
              <w:rPr>
                <w:sz w:val="15"/>
                <w:szCs w:val="15"/>
                <w:color w:val="auto"/>
              </w:rPr>
            </w:pPr>
          </w:p>
        </w:tc>
        <w:tc>
          <w:tcPr>
            <w:tcW w:w="680" w:type="dxa"/>
            <w:vAlign w:val="bottom"/>
            <w:tcBorders>
              <w:bottom w:val="single" w:sz="8" w:color="auto"/>
            </w:tcBorders>
            <w:shd w:val="clear" w:color="auto" w:fill="CDDEE7"/>
          </w:tcPr>
          <w:p>
            <w:pPr>
              <w:jc w:val="right"/>
              <w:ind w:right="4"/>
              <w:spacing w:after="0"/>
              <w:rPr>
                <w:sz w:val="20"/>
                <w:szCs w:val="20"/>
                <w:color w:val="auto"/>
              </w:rPr>
            </w:pPr>
            <w:r>
              <w:rPr>
                <w:rFonts w:ascii="Arial" w:cs="Arial" w:eastAsia="Arial" w:hAnsi="Arial"/>
                <w:sz w:val="15"/>
                <w:szCs w:val="15"/>
                <w:b w:val="1"/>
                <w:bCs w:val="1"/>
                <w:color w:val="auto"/>
              </w:rPr>
              <w:t>(9,220)</w:t>
            </w:r>
          </w:p>
        </w:tc>
        <w:tc>
          <w:tcPr>
            <w:tcW w:w="94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5"/>
                <w:szCs w:val="15"/>
                <w:b w:val="1"/>
                <w:bCs w:val="1"/>
                <w:color w:val="auto"/>
              </w:rPr>
              <w:t>(12,800)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4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b w:val="1"/>
                <w:bCs w:val="1"/>
                <w:color w:val="auto"/>
              </w:rPr>
              <w:t>Balance at December 31, 2018</w:t>
            </w:r>
          </w:p>
        </w:tc>
        <w:tc>
          <w:tcPr>
            <w:tcW w:w="840" w:type="dxa"/>
            <w:vAlign w:val="bottom"/>
            <w:tcBorders>
              <w:bottom w:val="single" w:sz="8" w:color="auto"/>
            </w:tcBorders>
            <w:shd w:val="clear" w:color="auto" w:fill="CDDEE7"/>
          </w:tcPr>
          <w:p>
            <w:pPr>
              <w:jc w:val="right"/>
              <w:ind w:right="4"/>
              <w:spacing w:after="0" w:line="156" w:lineRule="exact"/>
              <w:rPr>
                <w:sz w:val="20"/>
                <w:szCs w:val="20"/>
                <w:color w:val="auto"/>
              </w:rPr>
            </w:pPr>
            <w:r>
              <w:rPr>
                <w:rFonts w:ascii="Arial" w:cs="Arial" w:eastAsia="Arial" w:hAnsi="Arial"/>
                <w:sz w:val="15"/>
                <w:szCs w:val="15"/>
                <w:b w:val="1"/>
                <w:bCs w:val="1"/>
                <w:color w:val="auto"/>
              </w:rPr>
              <w:t>62,515</w:t>
            </w:r>
          </w:p>
        </w:tc>
        <w:tc>
          <w:tcPr>
            <w:tcW w:w="180" w:type="dxa"/>
            <w:vAlign w:val="bottom"/>
            <w:tcBorders>
              <w:bottom w:val="single" w:sz="8" w:color="auto"/>
            </w:tcBorders>
            <w:shd w:val="clear" w:color="auto" w:fill="CDDEE7"/>
          </w:tcPr>
          <w:p>
            <w:pPr>
              <w:ind w:left="80"/>
              <w:spacing w:after="0" w:line="156" w:lineRule="exact"/>
              <w:rPr>
                <w:sz w:val="20"/>
                <w:szCs w:val="20"/>
                <w:color w:val="auto"/>
              </w:rPr>
            </w:pPr>
            <w:r>
              <w:rPr>
                <w:rFonts w:ascii="Arial" w:cs="Arial" w:eastAsia="Arial" w:hAnsi="Arial"/>
                <w:sz w:val="15"/>
                <w:szCs w:val="15"/>
                <w:b w:val="1"/>
                <w:bCs w:val="1"/>
                <w:color w:val="auto"/>
                <w:w w:val="95"/>
              </w:rPr>
              <w:t>$</w:t>
            </w:r>
          </w:p>
        </w:tc>
        <w:tc>
          <w:tcPr>
            <w:tcW w:w="640" w:type="dxa"/>
            <w:vAlign w:val="bottom"/>
            <w:tcBorders>
              <w:bottom w:val="single" w:sz="8" w:color="auto"/>
            </w:tcBorders>
            <w:shd w:val="clear" w:color="auto" w:fill="CDDEE7"/>
          </w:tcPr>
          <w:p>
            <w:pPr>
              <w:jc w:val="right"/>
              <w:ind w:right="24"/>
              <w:spacing w:after="0" w:line="156" w:lineRule="exact"/>
              <w:rPr>
                <w:sz w:val="20"/>
                <w:szCs w:val="20"/>
                <w:color w:val="auto"/>
              </w:rPr>
            </w:pPr>
            <w:r>
              <w:rPr>
                <w:rFonts w:ascii="Arial" w:cs="Arial" w:eastAsia="Arial" w:hAnsi="Arial"/>
                <w:sz w:val="15"/>
                <w:szCs w:val="15"/>
                <w:b w:val="1"/>
                <w:bCs w:val="1"/>
                <w:color w:val="auto"/>
              </w:rPr>
              <w:t>624</w:t>
            </w:r>
          </w:p>
        </w:tc>
        <w:tc>
          <w:tcPr>
            <w:tcW w:w="960" w:type="dxa"/>
            <w:vAlign w:val="bottom"/>
            <w:tcBorders>
              <w:bottom w:val="single" w:sz="8" w:color="auto"/>
            </w:tcBorders>
            <w:shd w:val="clear" w:color="auto" w:fill="CDDEE7"/>
          </w:tcPr>
          <w:p>
            <w:pPr>
              <w:jc w:val="right"/>
              <w:ind w:right="24"/>
              <w:spacing w:after="0" w:line="156" w:lineRule="exact"/>
              <w:rPr>
                <w:sz w:val="20"/>
                <w:szCs w:val="20"/>
                <w:color w:val="auto"/>
              </w:rPr>
            </w:pPr>
            <w:r>
              <w:rPr>
                <w:rFonts w:ascii="Arial" w:cs="Arial" w:eastAsia="Arial" w:hAnsi="Arial"/>
                <w:sz w:val="15"/>
                <w:szCs w:val="15"/>
                <w:b w:val="1"/>
                <w:bCs w:val="1"/>
                <w:color w:val="auto"/>
              </w:rPr>
              <w:t>$ 3,396,059</w:t>
            </w:r>
          </w:p>
        </w:tc>
        <w:tc>
          <w:tcPr>
            <w:tcW w:w="160" w:type="dxa"/>
            <w:vAlign w:val="bottom"/>
            <w:tcBorders>
              <w:bottom w:val="single" w:sz="8" w:color="auto"/>
            </w:tcBorders>
            <w:shd w:val="clear" w:color="auto" w:fill="CDDEE7"/>
          </w:tcPr>
          <w:p>
            <w:pPr>
              <w:ind w:left="80"/>
              <w:spacing w:after="0" w:line="156" w:lineRule="exact"/>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DDEE7"/>
          </w:tcPr>
          <w:p>
            <w:pPr>
              <w:jc w:val="right"/>
              <w:ind w:right="4"/>
              <w:spacing w:after="0" w:line="156" w:lineRule="exact"/>
              <w:rPr>
                <w:sz w:val="20"/>
                <w:szCs w:val="20"/>
                <w:color w:val="auto"/>
              </w:rPr>
            </w:pPr>
            <w:r>
              <w:rPr>
                <w:rFonts w:ascii="Arial" w:cs="Arial" w:eastAsia="Arial" w:hAnsi="Arial"/>
                <w:sz w:val="15"/>
                <w:szCs w:val="15"/>
                <w:b w:val="1"/>
                <w:bCs w:val="1"/>
                <w:color w:val="auto"/>
              </w:rPr>
              <w:t>(143,579)</w:t>
            </w:r>
          </w:p>
        </w:tc>
        <w:tc>
          <w:tcPr>
            <w:tcW w:w="140" w:type="dxa"/>
            <w:vAlign w:val="bottom"/>
            <w:tcBorders>
              <w:bottom w:val="single" w:sz="8" w:color="auto"/>
            </w:tcBorders>
            <w:shd w:val="clear" w:color="auto" w:fill="CDDEE7"/>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shd w:val="clear" w:color="auto" w:fill="CDDEE7"/>
          </w:tcPr>
          <w:p>
            <w:pPr>
              <w:jc w:val="right"/>
              <w:ind w:right="44"/>
              <w:spacing w:after="0" w:line="156" w:lineRule="exact"/>
              <w:rPr>
                <w:sz w:val="20"/>
                <w:szCs w:val="20"/>
                <w:color w:val="auto"/>
              </w:rPr>
            </w:pPr>
            <w:r>
              <w:rPr>
                <w:rFonts w:ascii="Arial" w:cs="Arial" w:eastAsia="Arial" w:hAnsi="Arial"/>
                <w:sz w:val="15"/>
                <w:szCs w:val="15"/>
                <w:b w:val="1"/>
                <w:bCs w:val="1"/>
                <w:color w:val="auto"/>
              </w:rPr>
              <w:t>1,693,259</w:t>
            </w:r>
          </w:p>
        </w:tc>
        <w:tc>
          <w:tcPr>
            <w:tcW w:w="240" w:type="dxa"/>
            <w:vAlign w:val="bottom"/>
            <w:tcBorders>
              <w:bottom w:val="single" w:sz="8" w:color="auto"/>
            </w:tcBorders>
            <w:shd w:val="clear" w:color="auto" w:fill="CDDEE7"/>
          </w:tcPr>
          <w:p>
            <w:pPr>
              <w:ind w:left="60"/>
              <w:spacing w:after="0" w:line="156" w:lineRule="exact"/>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shd w:val="clear" w:color="auto" w:fill="CDDEE7"/>
          </w:tcPr>
          <w:p>
            <w:pPr>
              <w:jc w:val="right"/>
              <w:spacing w:after="0" w:line="156" w:lineRule="exact"/>
              <w:rPr>
                <w:sz w:val="20"/>
                <w:szCs w:val="20"/>
                <w:color w:val="auto"/>
              </w:rPr>
            </w:pPr>
            <w:r>
              <w:rPr>
                <w:rFonts w:ascii="Arial" w:cs="Arial" w:eastAsia="Arial" w:hAnsi="Arial"/>
                <w:sz w:val="15"/>
                <w:szCs w:val="15"/>
                <w:b w:val="1"/>
                <w:bCs w:val="1"/>
                <w:color w:val="auto"/>
              </w:rPr>
              <w:t>4,946,363</w:t>
            </w:r>
          </w:p>
        </w:tc>
        <w:tc>
          <w:tcPr>
            <w:tcW w:w="220" w:type="dxa"/>
            <w:vAlign w:val="bottom"/>
            <w:tcBorders>
              <w:bottom w:val="single" w:sz="8" w:color="auto"/>
            </w:tcBorders>
            <w:shd w:val="clear" w:color="auto" w:fill="CDDEE7"/>
          </w:tcPr>
          <w:p>
            <w:pPr>
              <w:ind w:left="80"/>
              <w:spacing w:after="0" w:line="156" w:lineRule="exact"/>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shd w:val="clear" w:color="auto" w:fill="CDDEE7"/>
          </w:tcPr>
          <w:p>
            <w:pPr>
              <w:jc w:val="right"/>
              <w:ind w:right="4"/>
              <w:spacing w:after="0" w:line="156" w:lineRule="exact"/>
              <w:rPr>
                <w:sz w:val="20"/>
                <w:szCs w:val="20"/>
                <w:color w:val="auto"/>
              </w:rPr>
            </w:pPr>
            <w:r>
              <w:rPr>
                <w:rFonts w:ascii="Arial" w:cs="Arial" w:eastAsia="Arial" w:hAnsi="Arial"/>
                <w:sz w:val="15"/>
                <w:szCs w:val="15"/>
                <w:b w:val="1"/>
                <w:bCs w:val="1"/>
                <w:color w:val="auto"/>
              </w:rPr>
              <w:t>3,049</w:t>
            </w:r>
          </w:p>
        </w:tc>
        <w:tc>
          <w:tcPr>
            <w:tcW w:w="940" w:type="dxa"/>
            <w:vAlign w:val="bottom"/>
            <w:tcBorders>
              <w:bottom w:val="single" w:sz="8" w:color="auto"/>
            </w:tcBorders>
            <w:shd w:val="clear" w:color="auto" w:fill="CDDEE7"/>
          </w:tcPr>
          <w:p>
            <w:pPr>
              <w:jc w:val="right"/>
              <w:ind w:right="24"/>
              <w:spacing w:after="0" w:line="156" w:lineRule="exact"/>
              <w:rPr>
                <w:sz w:val="20"/>
                <w:szCs w:val="20"/>
                <w:color w:val="auto"/>
              </w:rPr>
            </w:pPr>
            <w:r>
              <w:rPr>
                <w:rFonts w:ascii="Arial" w:cs="Arial" w:eastAsia="Arial" w:hAnsi="Arial"/>
                <w:sz w:val="15"/>
                <w:szCs w:val="15"/>
                <w:b w:val="1"/>
                <w:bCs w:val="1"/>
                <w:color w:val="auto"/>
              </w:rPr>
              <w:t>$ 4,949,412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 notes on pages 15 through 41 are an integral part of these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14</w:t>
      </w:r>
    </w:p>
    <w:p>
      <w:pPr>
        <w:sectPr>
          <w:pgSz w:w="11900" w:h="16838" w:orient="portrait"/>
          <w:cols w:equalWidth="0" w:num="1">
            <w:col w:w="11420"/>
          </w:cols>
          <w:pgMar w:left="240" w:top="387"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FINANCIAL STATEMENTS</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Note A: Accounting Policies</w:t>
      </w:r>
    </w:p>
    <w:p>
      <w:pPr>
        <w:spacing w:after="0" w:line="1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b w:val="1"/>
          <w:bCs w:val="1"/>
          <w:i w:val="1"/>
          <w:iCs w:val="1"/>
          <w:color w:val="49B28F"/>
        </w:rPr>
        <w:t xml:space="preserve">Organization. </w:t>
      </w:r>
      <w:r>
        <w:rPr>
          <w:rFonts w:ascii="Arial" w:cs="Arial" w:eastAsia="Arial" w:hAnsi="Arial"/>
          <w:sz w:val="17"/>
          <w:szCs w:val="17"/>
          <w:color w:val="000000"/>
        </w:rPr>
        <w:t>Martin Marietta (the “Company”) is a natural resource-based building materials company. The Company supplies aggregates (crushed stone, sand and gravel) through its network of more than 300 quarries, mines and distribution yards to its customers in 31 states, Canada, the Bahamas and the Caribbean Islands. In the western United States, Martin Marietta also provides cement and downstream products, namely, ready mixed concrete, asphalt and paving services, in markets where the Company also has a leading aggregates position. Specifically, the Company has two cement plants and four cement distribution facilities in Texas, and 140 ready mixed concrete plants and nine asphalt plants in Texas, Colorado, Louisiana and Arkansas. Paving services are exclusively in Colorado.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 As of December 31, 2018, the Building Materials business contains the following reportable segments: Mid-America Group, Southeast Group and West Group. The Mid-America Group operates in Indiana, Iowa, northern Kansas, Kentucky, Maryland, Minnesota, Missouri, eastern Nebraska, North Carolina, Ohio, Pennsylvania, South Carolina, Virginia, Washington and West Virginia. The Southeast Group has operations in Alabama, Florida, Georgia, Tennessee, Nova Scotia and the Bahamas. The West Group operates in Arkansas, Colorado, southern Kansas, Louisiana, western Nebraska, Nevada, Oklahoma, Texas, Utah and Wyoming. In addition to these operations, the Company sells to customers in New York, Delaware, New Mexico and Mississippi. The following states accounted for 72% of the Building Materials business’ 2018 total revenues: Texas, Colorado, North Carolina, Georgia and Iowa.</w:t>
      </w:r>
    </w:p>
    <w:p>
      <w:pPr>
        <w:spacing w:after="0" w:line="22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Company also operates a Magnesia Specialties business, which produces magnesia-based chemical products used in industrial, agricultural and environmental applications, and dolomitic lime sold primarily to customers in the steel and mining industries. Magnesia Specialties’ production facilities are located in Ohio and Michigan, and products are shipped to customers worldwide.</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b w:val="1"/>
          <w:bCs w:val="1"/>
          <w:i w:val="1"/>
          <w:iCs w:val="1"/>
          <w:color w:val="49B28F"/>
        </w:rPr>
        <w:t xml:space="preserve">Use of Estimates. </w:t>
      </w:r>
      <w:r>
        <w:rPr>
          <w:rFonts w:ascii="Arial" w:cs="Arial" w:eastAsia="Arial" w:hAnsi="Arial"/>
          <w:sz w:val="17"/>
          <w:szCs w:val="17"/>
          <w:color w:val="000000"/>
        </w:rPr>
        <w:t>The preparation of the Company’s consolidated</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financial statements in conformity with accounting principles generally accepted in the United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(U.S. GAAP) requires management to make certain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and assumptions used in the calculation of income tax expense (benefit), retirement and other postemployment benefits, stock-based compensation, the allocation of the purchase price to the fair values of assets acquired and liabilities assumed as part of business combinations and revenue recognition for service contracts. These estimates and assumptions are based on management’s judgment. Management evaluates estimates and assumptions on an ongoing basis using historical experience and other factors, including the current economic environment, and adjusts such estimates and assumptions when facts and circumstances dictate. Changes in credit, equity and energy markets and changes in construction activity increase the uncertainty inherent in certain estimates and assumptions. As future events and their effects cannot be determined with precision, actual results could differ significantly from estimates. Changes in estimates, including those resulting from continuing changes in the economic environment, are reflected in the consolidated financial statements for the period in which the change in estimate occurs.</w:t>
      </w:r>
    </w:p>
    <w:p>
      <w:pPr>
        <w:spacing w:after="0" w:line="19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i w:val="1"/>
          <w:iCs w:val="1"/>
          <w:color w:val="49B28F"/>
        </w:rPr>
        <w:t xml:space="preserve">Basis of Consolidation. </w:t>
      </w:r>
      <w:r>
        <w:rPr>
          <w:rFonts w:ascii="Arial" w:cs="Arial" w:eastAsia="Arial" w:hAnsi="Arial"/>
          <w:sz w:val="17"/>
          <w:szCs w:val="17"/>
          <w:color w:val="000000"/>
        </w:rPr>
        <w:t>The consolidated financial statements include</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the accounts of the Company and its wholly-owned and majority-owned subsidiaries. Partially-owned affiliates are either consolidated or accounted for at cost or as equity investments, depending on the level of ownership interest or the Company’s ability to exercise control over the affiliates’ operations. Intercompany balances and transactions between subsidiaries have been eliminated in consolidation.</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i w:val="1"/>
          <w:iCs w:val="1"/>
          <w:color w:val="49B28F"/>
        </w:rPr>
        <w:t xml:space="preserve">Revenue Recognition. </w:t>
      </w:r>
      <w:r>
        <w:rPr>
          <w:rFonts w:ascii="Arial" w:cs="Arial" w:eastAsia="Arial" w:hAnsi="Arial"/>
          <w:sz w:val="17"/>
          <w:szCs w:val="17"/>
          <w:color w:val="000000"/>
        </w:rPr>
        <w:t>Total revenues include sales of materials and</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services provided to customers, net of discounts or allowances, if any, and include freight and delivery costs billed to customers. Revenues for product sales are recognized when control of the promised good is transferred to unaffiliated customers, typically when finished products are shipped. Revenues derived from the paving business are recognized using the percentage-of-completion method under the cost-to-cost approach. Under the cost-to-cost approach, recognized contract revenue is determined by multiplying the total estimated contract revenue by the estimated</w:t>
      </w:r>
    </w:p>
    <w:p>
      <w:pPr>
        <w:spacing w:after="0" w:line="414"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15</w:t>
      </w:r>
    </w:p>
    <w:p>
      <w:pPr>
        <w:sectPr>
          <w:pgSz w:w="11900" w:h="16838" w:orient="portrait"/>
          <w:cols w:equalWidth="0" w:num="1">
            <w:col w:w="11420"/>
          </w:cols>
          <w:pgMar w:left="240" w:top="265" w:right="239" w:bottom="1440" w:gutter="0" w:footer="0" w:header="0"/>
          <w:type w:val="continuous"/>
        </w:sectPr>
      </w:pPr>
    </w:p>
    <w:bookmarkStart w:id="54" w:name="page55"/>
    <w:bookmarkEnd w:id="54"/>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rPr>
          <w:sz w:val="20"/>
          <w:szCs w:val="20"/>
          <w:color w:val="auto"/>
        </w:rPr>
      </w:pPr>
      <w:r>
        <w:rPr>
          <w:rFonts w:ascii="Arial" w:cs="Arial" w:eastAsia="Arial" w:hAnsi="Arial"/>
          <w:sz w:val="17"/>
          <w:szCs w:val="17"/>
          <w:color w:val="auto"/>
        </w:rPr>
        <w:t>percentage of completion. Contract costs are recognized as incurred. The percentage of completion is determined on a contract-by-contract basis using project costs incurred to date as a percentage of total estimated project costs. The Company believes the cost-to-cost approach is appropriate, as the use of asphalt in a paving contract is relatively consistent with the performance of the related paving services. Paving contracts, notably with governmental entities, may contain performance bonuses based on quality specifications. Given the uncertainty of meeting the criteria until the performance obligation is completed, performance bonuses are recognized as revenues when and if determined to be achieved. Performance bonuses were not material to the Company’s consolidated results of operations for the years ended December 31, 2018, 2017 and 2016. Freight revenues reflect delivery arranged by the Company using a third party on behalf of the customer and are recognized consistently with the timing of the product revenues.</w:t>
      </w:r>
    </w:p>
    <w:p>
      <w:pPr>
        <w:spacing w:after="0" w:line="289" w:lineRule="exact"/>
        <w:rPr>
          <w:sz w:val="20"/>
          <w:szCs w:val="20"/>
          <w:color w:val="auto"/>
        </w:rPr>
      </w:pPr>
    </w:p>
    <w:p>
      <w:pPr>
        <w:jc w:val="both"/>
        <w:spacing w:after="0" w:line="244" w:lineRule="auto"/>
        <w:rPr>
          <w:sz w:val="20"/>
          <w:szCs w:val="20"/>
          <w:color w:val="auto"/>
        </w:rPr>
      </w:pPr>
      <w:r>
        <w:rPr>
          <w:rFonts w:ascii="Arial" w:cs="Arial" w:eastAsia="Arial" w:hAnsi="Arial"/>
          <w:sz w:val="17"/>
          <w:szCs w:val="17"/>
          <w:b w:val="1"/>
          <w:bCs w:val="1"/>
          <w:i w:val="1"/>
          <w:iCs w:val="1"/>
          <w:color w:val="49B28F"/>
        </w:rPr>
        <w:t xml:space="preserve">Freight and Delivery Costs. </w:t>
      </w:r>
      <w:r>
        <w:rPr>
          <w:rFonts w:ascii="Arial" w:cs="Arial" w:eastAsia="Arial" w:hAnsi="Arial"/>
          <w:sz w:val="17"/>
          <w:szCs w:val="17"/>
          <w:color w:val="000000"/>
        </w:rPr>
        <w:t>Freight and delivery costs represent pass-through transportation costs incurred and paid by the Company to third-party carriers to deliver products to customers. These costs are then billed to the customers.</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i w:val="1"/>
          <w:iCs w:val="1"/>
          <w:color w:val="49B28F"/>
        </w:rPr>
        <w:t xml:space="preserve">Cash and Cash Equivalents. </w:t>
      </w:r>
      <w:r>
        <w:rPr>
          <w:rFonts w:ascii="Arial" w:cs="Arial" w:eastAsia="Arial" w:hAnsi="Arial"/>
          <w:sz w:val="17"/>
          <w:szCs w:val="17"/>
          <w:color w:val="000000"/>
        </w:rPr>
        <w:t>Cash equivalents are comprised of</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highly-liquid instruments with original maturities of three months or less from the date of purchase. The Company manages its cash and cash equivalents to ensure short-term operating cash needs are met and excess funds are managed efficiently. When operating cash is not sufficient to meet current needs, the Company borrows money under its credit facilities. The Company utilizes excess cash to either pay down credit facility borrowings or invest in money market funds, money market demand deposit accounts or offshore time deposit accounts. Money market demand deposits and offshore time deposit accounts are exposed to bank solvency risk.</w:t>
      </w:r>
    </w:p>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i w:val="1"/>
          <w:iCs w:val="1"/>
          <w:color w:val="49B28F"/>
        </w:rPr>
        <w:t xml:space="preserve">Accounts Receivable. </w:t>
      </w:r>
      <w:r>
        <w:rPr>
          <w:rFonts w:ascii="Arial" w:cs="Arial" w:eastAsia="Arial" w:hAnsi="Arial"/>
          <w:sz w:val="17"/>
          <w:szCs w:val="17"/>
          <w:color w:val="000000"/>
        </w:rPr>
        <w:t>Accounts receivable are stated at cost. The</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Company does not typically charge interest on customer accounts receivable. The Company records an allowance for doubtful accounts, which includes a provision for probable losses based on historical write offs and a specific reserve for accounts deemed at risk. The Company writes off accounts receivable as bad debt expense when it becomes probable, based upon customer facts and circumstances, that such amounts will not be collected.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i w:val="1"/>
          <w:iCs w:val="1"/>
          <w:color w:val="49B28F"/>
        </w:rPr>
        <w:t xml:space="preserve">Inventories Valuation. </w:t>
      </w:r>
      <w:r>
        <w:rPr>
          <w:rFonts w:ascii="Arial" w:cs="Arial" w:eastAsia="Arial" w:hAnsi="Arial"/>
          <w:sz w:val="17"/>
          <w:szCs w:val="17"/>
          <w:color w:val="000000"/>
        </w:rPr>
        <w:t>Inventories are stated at the lower of cost or net</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realizable value. Costs for finished products and in process inventories are determined by the first-in, first-out method. Carrying value for expendable parts and supplies are determined by the weighted-average cost method. The Company records an allowance for finished product inventories based on an analysis of inventory on hand in excess of historical sales for a twelve-month or five-year average period and future demand. The Company also establishes an allowance for expendable parts over five years old and supplies over one year old.</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Post-production stripping costs, which represent costs of removing overburden and waste materials to access mineral deposits, are a component of inventory production costs and recognized as incurred.</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49B28F"/>
        </w:rPr>
        <w:t xml:space="preserve">Property, Plant and Equipment. </w:t>
      </w:r>
      <w:r>
        <w:rPr>
          <w:rFonts w:ascii="Arial" w:cs="Arial" w:eastAsia="Arial" w:hAnsi="Arial"/>
          <w:sz w:val="17"/>
          <w:szCs w:val="17"/>
          <w:color w:val="000000"/>
        </w:rPr>
        <w:t>Property, plant and equipment are</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stated at cost.</w:t>
      </w:r>
    </w:p>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estimated service lives for property, plant and equipment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gridSpan w:val="2"/>
          </w:tcPr>
          <w:p>
            <w:pPr>
              <w:spacing w:after="0"/>
              <w:rPr>
                <w:sz w:val="20"/>
                <w:szCs w:val="20"/>
                <w:color w:val="auto"/>
              </w:rPr>
            </w:pPr>
            <w:r>
              <w:rPr>
                <w:rFonts w:ascii="Arial" w:cs="Arial" w:eastAsia="Arial" w:hAnsi="Arial"/>
                <w:sz w:val="17"/>
                <w:szCs w:val="17"/>
                <w:b w:val="1"/>
                <w:bCs w:val="1"/>
                <w:color w:val="auto"/>
              </w:rPr>
              <w:t>Class of Assets</w:t>
            </w:r>
          </w:p>
        </w:tc>
        <w:tc>
          <w:tcPr>
            <w:tcW w:w="190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rPr>
              <w:t>Range of Service Lives</w:t>
            </w:r>
          </w:p>
        </w:tc>
      </w:tr>
      <w:tr>
        <w:trPr>
          <w:trHeight w:val="152"/>
        </w:trPr>
        <w:tc>
          <w:tcPr>
            <w:tcW w:w="1300" w:type="dxa"/>
            <w:vAlign w:val="bottom"/>
            <w:tcBorders>
              <w:top w:val="single" w:sz="8" w:color="auto"/>
            </w:tcBorders>
          </w:tcPr>
          <w:p>
            <w:pPr>
              <w:spacing w:after="0" w:line="152" w:lineRule="exact"/>
              <w:rPr>
                <w:sz w:val="20"/>
                <w:szCs w:val="20"/>
                <w:color w:val="auto"/>
              </w:rPr>
            </w:pPr>
            <w:r>
              <w:rPr>
                <w:rFonts w:ascii="Arial" w:cs="Arial" w:eastAsia="Arial" w:hAnsi="Arial"/>
                <w:sz w:val="15"/>
                <w:szCs w:val="15"/>
                <w:color w:val="auto"/>
              </w:rPr>
              <w:t>Buildings</w:t>
            </w:r>
          </w:p>
        </w:tc>
        <w:tc>
          <w:tcPr>
            <w:tcW w:w="2100" w:type="dxa"/>
            <w:vAlign w:val="bottom"/>
          </w:tcPr>
          <w:p>
            <w:pPr>
              <w:spacing w:after="0"/>
              <w:rPr>
                <w:sz w:val="13"/>
                <w:szCs w:val="13"/>
                <w:color w:val="auto"/>
              </w:rPr>
            </w:pPr>
          </w:p>
        </w:tc>
        <w:tc>
          <w:tcPr>
            <w:tcW w:w="1880" w:type="dxa"/>
            <w:vAlign w:val="bottom"/>
            <w:tcBorders>
              <w:top w:val="single" w:sz="8" w:color="auto"/>
            </w:tcBorders>
          </w:tcPr>
          <w:p>
            <w:pPr>
              <w:jc w:val="center"/>
              <w:spacing w:after="0" w:line="152" w:lineRule="exact"/>
              <w:rPr>
                <w:sz w:val="20"/>
                <w:szCs w:val="20"/>
                <w:color w:val="auto"/>
              </w:rPr>
            </w:pPr>
            <w:r>
              <w:rPr>
                <w:rFonts w:ascii="Arial" w:cs="Arial" w:eastAsia="Arial" w:hAnsi="Arial"/>
                <w:sz w:val="15"/>
                <w:szCs w:val="15"/>
                <w:color w:val="auto"/>
              </w:rPr>
              <w:t>5 to 20 years</w:t>
            </w:r>
          </w:p>
        </w:tc>
        <w:tc>
          <w:tcPr>
            <w:tcW w:w="20" w:type="dxa"/>
            <w:vAlign w:val="bottom"/>
          </w:tcPr>
          <w:p>
            <w:pPr>
              <w:spacing w:after="0"/>
              <w:rPr>
                <w:sz w:val="13"/>
                <w:szCs w:val="13"/>
                <w:color w:val="auto"/>
              </w:rPr>
            </w:pPr>
          </w:p>
        </w:tc>
      </w:tr>
      <w:tr>
        <w:trPr>
          <w:trHeight w:val="162"/>
        </w:trPr>
        <w:tc>
          <w:tcPr>
            <w:tcW w:w="3400" w:type="dxa"/>
            <w:vAlign w:val="bottom"/>
            <w:gridSpan w:val="2"/>
          </w:tcPr>
          <w:p>
            <w:pPr>
              <w:spacing w:after="0" w:line="162" w:lineRule="exact"/>
              <w:rPr>
                <w:sz w:val="20"/>
                <w:szCs w:val="20"/>
                <w:color w:val="auto"/>
              </w:rPr>
            </w:pPr>
            <w:r>
              <w:rPr>
                <w:rFonts w:ascii="Arial" w:cs="Arial" w:eastAsia="Arial" w:hAnsi="Arial"/>
                <w:sz w:val="15"/>
                <w:szCs w:val="15"/>
                <w:color w:val="auto"/>
              </w:rPr>
              <w:t>Machinery &amp; Equipment</w:t>
            </w:r>
          </w:p>
        </w:tc>
        <w:tc>
          <w:tcPr>
            <w:tcW w:w="1900" w:type="dxa"/>
            <w:vAlign w:val="bottom"/>
            <w:gridSpan w:val="2"/>
          </w:tcPr>
          <w:p>
            <w:pPr>
              <w:jc w:val="center"/>
              <w:ind w:right="20"/>
              <w:spacing w:after="0" w:line="162" w:lineRule="exact"/>
              <w:rPr>
                <w:sz w:val="20"/>
                <w:szCs w:val="20"/>
                <w:color w:val="auto"/>
              </w:rPr>
            </w:pPr>
            <w:r>
              <w:rPr>
                <w:rFonts w:ascii="Arial" w:cs="Arial" w:eastAsia="Arial" w:hAnsi="Arial"/>
                <w:sz w:val="15"/>
                <w:szCs w:val="15"/>
                <w:color w:val="auto"/>
              </w:rPr>
              <w:t>2 to 20 years</w:t>
            </w:r>
          </w:p>
        </w:tc>
      </w:tr>
      <w:tr>
        <w:trPr>
          <w:trHeight w:val="184"/>
        </w:trPr>
        <w:tc>
          <w:tcPr>
            <w:tcW w:w="3400" w:type="dxa"/>
            <w:vAlign w:val="bottom"/>
            <w:gridSpan w:val="2"/>
          </w:tcPr>
          <w:p>
            <w:pPr>
              <w:spacing w:after="0"/>
              <w:rPr>
                <w:sz w:val="20"/>
                <w:szCs w:val="20"/>
                <w:color w:val="auto"/>
              </w:rPr>
            </w:pPr>
            <w:r>
              <w:rPr>
                <w:rFonts w:ascii="Arial" w:cs="Arial" w:eastAsia="Arial" w:hAnsi="Arial"/>
                <w:sz w:val="15"/>
                <w:szCs w:val="15"/>
                <w:color w:val="auto"/>
              </w:rPr>
              <w:t>Land Improvements</w:t>
            </w:r>
          </w:p>
        </w:tc>
        <w:tc>
          <w:tcPr>
            <w:tcW w:w="1900" w:type="dxa"/>
            <w:vAlign w:val="bottom"/>
            <w:gridSpan w:val="2"/>
          </w:tcPr>
          <w:p>
            <w:pPr>
              <w:jc w:val="center"/>
              <w:ind w:right="20"/>
              <w:spacing w:after="0"/>
              <w:rPr>
                <w:sz w:val="20"/>
                <w:szCs w:val="20"/>
                <w:color w:val="auto"/>
              </w:rPr>
            </w:pPr>
            <w:r>
              <w:rPr>
                <w:rFonts w:ascii="Arial" w:cs="Arial" w:eastAsia="Arial" w:hAnsi="Arial"/>
                <w:sz w:val="15"/>
                <w:szCs w:val="15"/>
                <w:color w:val="auto"/>
              </w:rPr>
              <w:t>5 to 60 years</w:t>
            </w:r>
          </w:p>
        </w:tc>
      </w:tr>
    </w:tbl>
    <w:p>
      <w:pPr>
        <w:spacing w:after="0" w:line="19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Company begins capitalizing quarry development costs at a point when reserves are determined to be proven or probable, economically mineable and when demand supports investment in the market. Capitalization of these costs ceases when production commences. Capitalized quarry development costs are classified as land improvements and depreciated over the life of the reserves.</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Company reviews relevant facts and circumstances to determine whether to capitalize or expense pre-production stripping costs when additional pits are developed at an existing quarry. If the additional pit operates in a separate and distinct area of the quarry, these costs are capitalized as quarry development costs and depreciated over the life of the uncovered reserves. Additionally, a separate asset retirement obligation is created for additional pits when the liability is incurred. Once a pit enters the production phase, all post-production stripping costs are charged to inventory production costs as incurred.</w:t>
      </w:r>
    </w:p>
    <w:p>
      <w:pPr>
        <w:spacing w:after="0" w:line="202"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Mineral reserves and mineral interests acquired in connection with a business combination are valued using an income approach over the life of the reserves.</w:t>
      </w:r>
    </w:p>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6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16</w:t>
      </w:r>
    </w:p>
    <w:p>
      <w:pPr>
        <w:sectPr>
          <w:pgSz w:w="11900" w:h="16838" w:orient="portrait"/>
          <w:cols w:equalWidth="0" w:num="1">
            <w:col w:w="11420"/>
          </w:cols>
          <w:pgMar w:left="240" w:top="265" w:right="239" w:bottom="1440" w:gutter="0" w:footer="0" w:header="0"/>
          <w:type w:val="continuous"/>
        </w:sectPr>
      </w:pPr>
    </w:p>
    <w:bookmarkStart w:id="55" w:name="page56"/>
    <w:bookmarkEnd w:id="55"/>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Depreciation is computed based on estimated service lives, principally using the straight-line method. Depletion of mineral reserves is calculated based on proven and probable reserves using the units-of-production method on a quarry-by-quarry basis.</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Property, plant and equipment are reviewed for impairment whenever facts and circumstances indicate that the carrying amount of an asset group may not be recoverable. An impairment loss is recognized if expected future undiscounted cash flows over the estimated remaining service life of the related asset are less than the asset’s carrying value.</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b w:val="1"/>
          <w:bCs w:val="1"/>
          <w:i w:val="1"/>
          <w:iCs w:val="1"/>
          <w:color w:val="49B28F"/>
        </w:rPr>
        <w:t xml:space="preserve">Repair and Maintenance Costs. </w:t>
      </w:r>
      <w:r>
        <w:rPr>
          <w:rFonts w:ascii="Arial" w:cs="Arial" w:eastAsia="Arial" w:hAnsi="Arial"/>
          <w:sz w:val="17"/>
          <w:szCs w:val="17"/>
          <w:color w:val="000000"/>
        </w:rPr>
        <w:t>Repair and maintenance costs that do</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not substantially extend the life of the Company’s plant and equipment are expensed as incurred.</w:t>
      </w:r>
    </w:p>
    <w:p>
      <w:pPr>
        <w:spacing w:after="0" w:line="17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i w:val="1"/>
          <w:iCs w:val="1"/>
          <w:color w:val="49B28F"/>
        </w:rPr>
        <w:t xml:space="preserve">Goodwill and Intangible Assets. </w:t>
      </w:r>
      <w:r>
        <w:rPr>
          <w:rFonts w:ascii="Arial" w:cs="Arial" w:eastAsia="Arial" w:hAnsi="Arial"/>
          <w:sz w:val="17"/>
          <w:szCs w:val="17"/>
          <w:color w:val="000000"/>
        </w:rPr>
        <w:t>Goodwill represents the excess</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purchase price paid for acquired businesses over the estimated fair value of identifiable assets and liabilities. Other intangibles represent amounts assigned principally to contractual agreements and are amortized ratably over periods based on related contractual terms. If an other intangible asset is deemed to have an indefinite life, it is not amortized.</w:t>
      </w:r>
    </w:p>
    <w:p>
      <w:pPr>
        <w:spacing w:after="0" w:line="20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Company’s reporting units, which represent the level at which goodwill is tested for impairment, are based on the operating segments of the Building Materials business. Goodwill is assigned to the respective reporting unit(s) based on the location of acquisitions at the time of consummation. Goodwill is tested for impairment by comparing the reporting unit’s fair value to its carrying value, which represents Step 1 of a two-step approach. However, prior to Step 1, the Company may perform an optional qualitative assessment and evaluate macroeconomic conditions, industry and market conditions, cost factors, overall financial performance and other business or reporting unit-specific events. If the Company concludes it is more-likely-than-not (i.e., a likelihood of more than 50%) that a reporting unit’s fair value is higher than its carrying value, the Company does not perform any further goodwill impairment testing for that reporting unit. Otherwise, the Company proceeds to Step 1 of its goodwill impairment analysis. The Company may bypass the qualitative assessment for any reporting unit in any period and proceed directly with the quantitative calculation in Step 1. If the reporting unit’s fair value exceeds its carrying value, no further calculation is necessary. A reporting unit with a carrying value in excess of its fair value constitutes a Step 1 failure and will lead to an impairment charge.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carrying values of goodwill and other indefinite-lived intangible assets are reviewed annually, as of October 1, for impairment. An interim review is performed between annual tests if facts and circumstances indicate potential impairment. The carrying value of other amortizable intangibles is reviewed if facts and circumstances indicate potential impairment. If a review indicates the carrying value is impaired, a charge is recorded.</w:t>
      </w:r>
    </w:p>
    <w:p>
      <w:pPr>
        <w:spacing w:after="0" w:line="18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b w:val="1"/>
          <w:bCs w:val="1"/>
          <w:i w:val="1"/>
          <w:iCs w:val="1"/>
          <w:color w:val="49B28F"/>
        </w:rPr>
        <w:t xml:space="preserve">Retirement Plans and Postretirement Benefits. </w:t>
      </w:r>
      <w:r>
        <w:rPr>
          <w:rFonts w:ascii="Arial" w:cs="Arial" w:eastAsia="Arial" w:hAnsi="Arial"/>
          <w:sz w:val="17"/>
          <w:szCs w:val="17"/>
          <w:color w:val="000000"/>
        </w:rPr>
        <w:t>The Company</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sponsors defined benefit retirement plans and also provides other postretirement benefits. The Company recognizes the funded status, defined as the difference between the fair value of plan assets and the benefit obligation, of its pension plans and other postretirement benefits as an asset or liability on the consolidated balance sheets. Actuarial gains or losses that arise during the year are not recognized as net periodic benefit cost in the same year, but rather are recognized as a component of accumulated other comprehensive earnings or loss. Those amounts are amortized over the participants’ average remaining service period and recognized as a component of net periodic benefit cost. The amount amortized is determined using a corridor approach and represents the excess over 10% of the greater of the projected benefit obligation or pension plan assets.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b w:val="1"/>
          <w:bCs w:val="1"/>
          <w:i w:val="1"/>
          <w:iCs w:val="1"/>
          <w:color w:val="49B28F"/>
        </w:rPr>
        <w:t xml:space="preserve">Stock-Based Compensation. </w:t>
      </w:r>
      <w:r>
        <w:rPr>
          <w:rFonts w:ascii="Arial" w:cs="Arial" w:eastAsia="Arial" w:hAnsi="Arial"/>
          <w:sz w:val="17"/>
          <w:szCs w:val="17"/>
          <w:color w:val="000000"/>
        </w:rPr>
        <w:t>The Company has stock-based</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compensation plans for employees and its Board of Directors. The Company recognizes all forms of stock-based awards that vest as compensation expense. The compensation expense is the fair value of the awards at the measurement date and is recognized over the requisite service period.</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fair value of restricted stock awards, incentive compensation stock awards and Board of Directors’ fees paid in the form of common stock are based on the closing price of the Company’s common stock on the awards’ respective grant dates. The fair value of performance stock awards is determined by a Monte Carlo simulation methodology.</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 2018, 2017 and 2016, the Company did not issue any stock options. For stock options issued prior to 2016, the Company used the accelerated expense recognition method. The accelerated recognition method requires stock options that vest ratably to be divided into tranches. The expense for each tranche is allocated to its particular vesting period.</w:t>
      </w:r>
    </w:p>
    <w:p>
      <w:pPr>
        <w:spacing w:after="0" w:line="938"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17</w:t>
      </w:r>
    </w:p>
    <w:p>
      <w:pPr>
        <w:sectPr>
          <w:pgSz w:w="11900" w:h="16838" w:orient="portrait"/>
          <w:cols w:equalWidth="0" w:num="1">
            <w:col w:w="11420"/>
          </w:cols>
          <w:pgMar w:left="240" w:top="265" w:right="239" w:bottom="1440" w:gutter="0" w:footer="0" w:header="0"/>
          <w:type w:val="continuous"/>
        </w:sectPr>
      </w:pPr>
    </w:p>
    <w:bookmarkStart w:id="56" w:name="page57"/>
    <w:bookmarkEnd w:id="56"/>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i w:val="1"/>
          <w:iCs w:val="1"/>
          <w:color w:val="49B28F"/>
        </w:rPr>
        <w:t xml:space="preserve">Environmental Matters. </w:t>
      </w:r>
      <w:r>
        <w:rPr>
          <w:rFonts w:ascii="Arial" w:cs="Arial" w:eastAsia="Arial" w:hAnsi="Arial"/>
          <w:sz w:val="17"/>
          <w:szCs w:val="17"/>
          <w:color w:val="000000"/>
        </w:rPr>
        <w:t>The Company records a liability for an asset</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retirement obligation at fair value in the period in which it is incurred. The asset retirement obligation is recorded at the acquisition date of a long-lived tangible asset if the fair value can be reasonably estimated. A corresponding amount is capitalized as part of the asset’s carrying amount. The fair value is affected by management’s assumptions regarding the scope of the work required, inflation rates and quarry closure dates.</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Further, the Company records an accrual for other environmental remediation liabilities in the period in which it is probable that a liability has been incurred and the appropriate amounts can be estimated reasonably. Such accruals are adjusted as further information develops or circumstances change. Generally, these costs are not discounted to their present value or offset for potential insurance or other claims or potential gains from future alternative uses for a site.</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i w:val="1"/>
          <w:iCs w:val="1"/>
          <w:color w:val="49B28F"/>
        </w:rPr>
        <w:t xml:space="preserve">Income Taxes. </w:t>
      </w:r>
      <w:r>
        <w:rPr>
          <w:rFonts w:ascii="Arial" w:cs="Arial" w:eastAsia="Arial" w:hAnsi="Arial"/>
          <w:sz w:val="17"/>
          <w:szCs w:val="17"/>
          <w:color w:val="000000"/>
        </w:rPr>
        <w:t>Deferred income taxes, net, on the consolidated</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balance sheets reflect the net tax effects of temporary differences between the carrying amounts of assets and liabilities for financial reporting purposes and the amounts used for income tax purposes, net of valuation allowances. The effect on deferred income tax assets and liabilities attributable to changes in enacted tax rates are charged or credited to income tax expense or benefit in the period of enactment.</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i w:val="1"/>
          <w:iCs w:val="1"/>
          <w:color w:val="49B28F"/>
        </w:rPr>
        <w:t xml:space="preserve">Uncertain Tax Positions. </w:t>
      </w:r>
      <w:r>
        <w:rPr>
          <w:rFonts w:ascii="Arial" w:cs="Arial" w:eastAsia="Arial" w:hAnsi="Arial"/>
          <w:sz w:val="17"/>
          <w:szCs w:val="17"/>
          <w:color w:val="000000"/>
        </w:rPr>
        <w:t>The Company recognizes a tax benefit when</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it is more-likely-than-not, based on the technical merits, that a tax position would be sustained upon examination by a taxing authority. The amount to be recognized is measured as the largest amount of tax benefit that is greater than 50% likely of being realized upon ultimate settlement with a taxing authority that has full knowledge of all relevant information. The Company’s unrecognized tax benefits are recorded in other liabilities on the consolidated balance sheets or as an offset to the deferred tax asset for tax carryforwards where available.</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Company records interest accrued in relation to unrecognized tax benefits as income tax expense. Penalties, if incurred, are recorded as operating expenses in the consolidated statements of earnings.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b w:val="1"/>
          <w:bCs w:val="1"/>
          <w:i w:val="1"/>
          <w:iCs w:val="1"/>
          <w:color w:val="49B28F"/>
        </w:rPr>
        <w:t xml:space="preserve">Sales Taxes. </w:t>
      </w:r>
      <w:r>
        <w:rPr>
          <w:rFonts w:ascii="Arial" w:cs="Arial" w:eastAsia="Arial" w:hAnsi="Arial"/>
          <w:sz w:val="17"/>
          <w:szCs w:val="17"/>
          <w:color w:val="000000"/>
        </w:rPr>
        <w:t>Sales taxes collected from customers are recorded as</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liabilities until remitted to taxing authorities and therefore are not reflected in the consolidated statements of earnings.</w:t>
      </w:r>
    </w:p>
    <w:p>
      <w:pPr>
        <w:spacing w:after="0" w:line="172"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b w:val="1"/>
          <w:bCs w:val="1"/>
          <w:i w:val="1"/>
          <w:iCs w:val="1"/>
          <w:color w:val="49B28F"/>
        </w:rPr>
        <w:t xml:space="preserve">Start-Up Costs. </w:t>
      </w:r>
      <w:r>
        <w:rPr>
          <w:rFonts w:ascii="Arial" w:cs="Arial" w:eastAsia="Arial" w:hAnsi="Arial"/>
          <w:sz w:val="17"/>
          <w:szCs w:val="17"/>
          <w:color w:val="000000"/>
        </w:rPr>
        <w:t>Noncapital start-up costs for new facilities and products</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are charged to operations as incurred.</w:t>
      </w:r>
    </w:p>
    <w:p>
      <w:pPr>
        <w:spacing w:after="0" w:line="15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b w:val="1"/>
          <w:bCs w:val="1"/>
          <w:i w:val="1"/>
          <w:iCs w:val="1"/>
          <w:color w:val="49B28F"/>
        </w:rPr>
        <w:t xml:space="preserve">Warranties. </w:t>
      </w:r>
      <w:r>
        <w:rPr>
          <w:rFonts w:ascii="Arial" w:cs="Arial" w:eastAsia="Arial" w:hAnsi="Arial"/>
          <w:sz w:val="17"/>
          <w:szCs w:val="17"/>
          <w:color w:val="000000"/>
        </w:rPr>
        <w:t>The Company’s construction contracts usually contain</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warranty provisions covering defects in materials, design or workmanship that generally run from nine months to one year after project completion. Due to the nature of its projects, including contract owner inspections of the work both during construction and prior to acceptance, the Company has not experienced material warranty costs for these short-term warranties and therefore does not believe an accrual for these costs is necessary. The ready mixed concrete product line carries a longer warranty period, for which the Company has accrued an estimate of warranty cost based on experience with the type of work and any known risks relative to the projects. These costs were not material to the Company’s consolidated results of operations for the years ended December 31, 2018, 2017 and 2016.</w:t>
      </w:r>
    </w:p>
    <w:p>
      <w:pPr>
        <w:spacing w:after="0" w:line="18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i w:val="1"/>
          <w:iCs w:val="1"/>
          <w:color w:val="49B28F"/>
        </w:rPr>
        <w:t xml:space="preserve">Consolidated Comprehensive Earnings and Accumulated Other Comprehensive Loss. </w:t>
      </w:r>
      <w:r>
        <w:rPr>
          <w:rFonts w:ascii="Arial" w:cs="Arial" w:eastAsia="Arial" w:hAnsi="Arial"/>
          <w:sz w:val="17"/>
          <w:szCs w:val="17"/>
          <w:color w:val="000000"/>
        </w:rPr>
        <w:t>Consolidated comprehensive earnings for the</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Company consist of consolidated net earnings, adjustments for the funded status of pension and postretirement benefit plans, foreign currency translation adjustments and the amortization of the value of terminated forward starting interest rate swap agreements into interest expense, and are presented in the Company’s consolidated statements of comprehensive earnings.</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Accumulated other comprehensive loss consists of unrecognized gains and losses related to the funded status of the pension and postretirement benefit plans, foreign currency translation and the unamortized value of terminated forward starting interest rate swap agreements, and is presented on the Company’s consolidated balance sheets.</w:t>
      </w:r>
    </w:p>
    <w:p>
      <w:pPr>
        <w:spacing w:after="0" w:line="769"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6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18</w:t>
      </w:r>
    </w:p>
    <w:p>
      <w:pPr>
        <w:sectPr>
          <w:pgSz w:w="11900" w:h="16838" w:orient="portrait"/>
          <w:cols w:equalWidth="0" w:num="1">
            <w:col w:w="11420"/>
          </w:cols>
          <w:pgMar w:left="240" w:top="265" w:right="2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changes in accumulated other comprehensive loss and related cumulative noncurrent deferred tax assets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center"/>
              <w:ind w:right="228"/>
              <w:spacing w:after="0"/>
              <w:rPr>
                <w:sz w:val="20"/>
                <w:szCs w:val="20"/>
                <w:color w:val="auto"/>
              </w:rPr>
            </w:pPr>
            <w:r>
              <w:rPr>
                <w:rFonts w:ascii="Arial" w:cs="Arial" w:eastAsia="Arial" w:hAnsi="Arial"/>
                <w:sz w:val="14"/>
                <w:szCs w:val="14"/>
                <w:b w:val="1"/>
                <w:bCs w:val="1"/>
                <w:color w:val="auto"/>
              </w:rPr>
              <w:t>Unamortized</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center"/>
              <w:ind w:right="228"/>
              <w:spacing w:after="0"/>
              <w:rPr>
                <w:sz w:val="20"/>
                <w:szCs w:val="20"/>
                <w:color w:val="auto"/>
              </w:rPr>
            </w:pPr>
            <w:r>
              <w:rPr>
                <w:rFonts w:ascii="Arial" w:cs="Arial" w:eastAsia="Arial" w:hAnsi="Arial"/>
                <w:sz w:val="14"/>
                <w:szCs w:val="14"/>
                <w:b w:val="1"/>
                <w:bCs w:val="1"/>
                <w:color w:val="auto"/>
              </w:rPr>
              <w:t>Value of</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center"/>
              <w:ind w:right="228"/>
              <w:spacing w:after="0"/>
              <w:rPr>
                <w:sz w:val="20"/>
                <w:szCs w:val="20"/>
                <w:color w:val="auto"/>
              </w:rPr>
            </w:pPr>
            <w:r>
              <w:rPr>
                <w:rFonts w:ascii="Arial" w:cs="Arial" w:eastAsia="Arial" w:hAnsi="Arial"/>
                <w:sz w:val="14"/>
                <w:szCs w:val="14"/>
                <w:b w:val="1"/>
                <w:bCs w:val="1"/>
                <w:color w:val="auto"/>
              </w:rPr>
              <w:t>Terminated</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56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rPr>
              <w:t>Pension and</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center"/>
              <w:ind w:right="228"/>
              <w:spacing w:after="0"/>
              <w:rPr>
                <w:sz w:val="20"/>
                <w:szCs w:val="20"/>
                <w:color w:val="auto"/>
              </w:rPr>
            </w:pPr>
            <w:r>
              <w:rPr>
                <w:rFonts w:ascii="Arial" w:cs="Arial" w:eastAsia="Arial" w:hAnsi="Arial"/>
                <w:sz w:val="14"/>
                <w:szCs w:val="14"/>
                <w:b w:val="1"/>
                <w:bCs w:val="1"/>
                <w:color w:val="auto"/>
              </w:rPr>
              <w:t>Forward</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56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rPr>
              <w:t>Postretirement</w:t>
            </w:r>
          </w:p>
        </w:tc>
        <w:tc>
          <w:tcPr>
            <w:tcW w:w="2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Foreign</w:t>
            </w:r>
          </w:p>
        </w:tc>
        <w:tc>
          <w:tcPr>
            <w:tcW w:w="1680" w:type="dxa"/>
            <w:vAlign w:val="bottom"/>
            <w:gridSpan w:val="2"/>
          </w:tcPr>
          <w:p>
            <w:pPr>
              <w:jc w:val="center"/>
              <w:ind w:left="67"/>
              <w:spacing w:after="0"/>
              <w:rPr>
                <w:sz w:val="20"/>
                <w:szCs w:val="20"/>
                <w:color w:val="auto"/>
              </w:rPr>
            </w:pPr>
            <w:r>
              <w:rPr>
                <w:rFonts w:ascii="Arial" w:cs="Arial" w:eastAsia="Arial" w:hAnsi="Arial"/>
                <w:sz w:val="14"/>
                <w:szCs w:val="14"/>
                <w:b w:val="1"/>
                <w:bCs w:val="1"/>
                <w:color w:val="auto"/>
              </w:rPr>
              <w:t>Starting Interest</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000" w:type="dxa"/>
            <w:vAlign w:val="bottom"/>
            <w:vMerge w:val="restart"/>
          </w:tcPr>
          <w:p>
            <w:pPr>
              <w:spacing w:after="0"/>
              <w:rPr>
                <w:sz w:val="20"/>
                <w:szCs w:val="20"/>
                <w:color w:val="auto"/>
              </w:rPr>
            </w:pPr>
            <w:r>
              <w:rPr>
                <w:rFonts w:ascii="Arial" w:cs="Arial" w:eastAsia="Arial" w:hAnsi="Arial"/>
                <w:sz w:val="14"/>
                <w:szCs w:val="14"/>
                <w:i w:val="1"/>
                <w:iCs w:val="1"/>
                <w:color w:val="auto"/>
              </w:rPr>
              <w:t>years ended December 31</w:t>
            </w:r>
          </w:p>
        </w:tc>
        <w:tc>
          <w:tcPr>
            <w:tcW w:w="156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rPr>
              <w:t>Benefit Plans</w:t>
            </w:r>
          </w:p>
        </w:tc>
        <w:tc>
          <w:tcPr>
            <w:tcW w:w="28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Currency</w:t>
            </w:r>
          </w:p>
        </w:tc>
        <w:tc>
          <w:tcPr>
            <w:tcW w:w="460" w:type="dxa"/>
            <w:vAlign w:val="bottom"/>
          </w:tcPr>
          <w:p>
            <w:pPr>
              <w:spacing w:after="0"/>
              <w:rPr>
                <w:sz w:val="16"/>
                <w:szCs w:val="16"/>
                <w:color w:val="auto"/>
              </w:rPr>
            </w:pPr>
          </w:p>
        </w:tc>
        <w:tc>
          <w:tcPr>
            <w:tcW w:w="1220" w:type="dxa"/>
            <w:vAlign w:val="bottom"/>
          </w:tcPr>
          <w:p>
            <w:pPr>
              <w:jc w:val="center"/>
              <w:ind w:right="228"/>
              <w:spacing w:after="0"/>
              <w:rPr>
                <w:sz w:val="20"/>
                <w:szCs w:val="20"/>
                <w:color w:val="auto"/>
              </w:rPr>
            </w:pPr>
            <w:r>
              <w:rPr>
                <w:rFonts w:ascii="Arial" w:cs="Arial" w:eastAsia="Arial" w:hAnsi="Arial"/>
                <w:sz w:val="14"/>
                <w:szCs w:val="14"/>
                <w:b w:val="1"/>
                <w:bCs w:val="1"/>
                <w:color w:val="auto"/>
              </w:rPr>
              <w:t>Rate Swap</w:t>
            </w:r>
          </w:p>
        </w:tc>
        <w:tc>
          <w:tcPr>
            <w:tcW w:w="3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6000" w:type="dxa"/>
            <w:vAlign w:val="bottom"/>
            <w:vMerge w:val="continue"/>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3"/>
        </w:trPr>
        <w:tc>
          <w:tcPr>
            <w:tcW w:w="600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Arial" w:cs="Arial" w:eastAsia="Arial" w:hAnsi="Arial"/>
                <w:sz w:val="15"/>
                <w:szCs w:val="15"/>
                <w:b w:val="1"/>
                <w:bCs w:val="1"/>
                <w:color w:val="0085CD"/>
              </w:rPr>
              <w:t>2018</w:t>
            </w:r>
          </w:p>
        </w:tc>
        <w:tc>
          <w:tcPr>
            <w:tcW w:w="1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rPr>
                <w:sz w:val="20"/>
                <w:szCs w:val="20"/>
                <w:color w:val="auto"/>
              </w:rPr>
            </w:pPr>
            <w:r>
              <w:rPr>
                <w:rFonts w:ascii="Arial" w:cs="Arial" w:eastAsia="Arial" w:hAnsi="Arial"/>
                <w:sz w:val="14"/>
                <w:szCs w:val="14"/>
                <w:color w:val="auto"/>
              </w:rPr>
              <w:t>(add 000)</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0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loss at beginning of period</w:t>
            </w: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(128,802)</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(280)</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(129,104)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00" w:type="dxa"/>
            <w:vAlign w:val="bottom"/>
          </w:tcPr>
          <w:p>
            <w:pPr>
              <w:spacing w:after="0"/>
              <w:rPr>
                <w:sz w:val="20"/>
                <w:szCs w:val="20"/>
                <w:color w:val="auto"/>
              </w:rPr>
            </w:pPr>
            <w:r>
              <w:rPr>
                <w:rFonts w:ascii="Arial" w:cs="Arial" w:eastAsia="Arial" w:hAnsi="Arial"/>
                <w:sz w:val="14"/>
                <w:szCs w:val="14"/>
                <w:color w:val="auto"/>
              </w:rPr>
              <w:t>Other comprehensive loss before reclassifications, net of tax</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b w:val="1"/>
                <w:bCs w:val="1"/>
                <w:color w:val="auto"/>
              </w:rPr>
              <w:t>(22,890)</w:t>
            </w:r>
          </w:p>
        </w:tc>
        <w:tc>
          <w:tcPr>
            <w:tcW w:w="2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(2,052)</w:t>
            </w:r>
          </w:p>
        </w:tc>
        <w:tc>
          <w:tcPr>
            <w:tcW w:w="46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(24,942)</w:t>
            </w: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Amounts reclassified from accumulated other comprehensive loss, net of tax</w:t>
            </w: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10,187</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280</w:t>
            </w:r>
          </w:p>
        </w:tc>
        <w:tc>
          <w:tcPr>
            <w:tcW w:w="3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10,467</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00" w:type="dxa"/>
            <w:vAlign w:val="bottom"/>
          </w:tcPr>
          <w:p>
            <w:pPr>
              <w:spacing w:after="0"/>
              <w:rPr>
                <w:sz w:val="20"/>
                <w:szCs w:val="20"/>
                <w:color w:val="auto"/>
              </w:rPr>
            </w:pPr>
            <w:r>
              <w:rPr>
                <w:rFonts w:ascii="Arial" w:cs="Arial" w:eastAsia="Arial" w:hAnsi="Arial"/>
                <w:sz w:val="14"/>
                <w:szCs w:val="14"/>
                <w:color w:val="auto"/>
              </w:rPr>
              <w:t>Other comprehensive (loss) earnings, net of tax</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b w:val="1"/>
                <w:bCs w:val="1"/>
                <w:color w:val="auto"/>
              </w:rPr>
              <w:t>(12,703)</w:t>
            </w:r>
          </w:p>
        </w:tc>
        <w:tc>
          <w:tcPr>
            <w:tcW w:w="2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(2,052)</w:t>
            </w:r>
          </w:p>
        </w:tc>
        <w:tc>
          <w:tcPr>
            <w:tcW w:w="46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Arial" w:cs="Arial" w:eastAsia="Arial" w:hAnsi="Arial"/>
                <w:sz w:val="14"/>
                <w:szCs w:val="14"/>
                <w:b w:val="1"/>
                <w:bCs w:val="1"/>
                <w:color w:val="auto"/>
              </w:rPr>
              <w:t>280</w:t>
            </w:r>
          </w:p>
        </w:tc>
        <w:tc>
          <w:tcPr>
            <w:tcW w:w="3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(14,475)</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loss at end of period</w:t>
            </w: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(141,505)</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(2,074)</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(143,579)</w:t>
            </w:r>
          </w:p>
        </w:tc>
        <w:tc>
          <w:tcPr>
            <w:tcW w:w="0" w:type="dxa"/>
            <w:vAlign w:val="bottom"/>
          </w:tcPr>
          <w:p>
            <w:pPr>
              <w:spacing w:after="0"/>
              <w:rPr>
                <w:sz w:val="1"/>
                <w:szCs w:val="1"/>
                <w:color w:val="auto"/>
              </w:rPr>
            </w:pPr>
          </w:p>
        </w:tc>
      </w:tr>
      <w:tr>
        <w:trPr>
          <w:trHeight w:val="372"/>
        </w:trPr>
        <w:tc>
          <w:tcPr>
            <w:tcW w:w="6000" w:type="dxa"/>
            <w:vAlign w:val="bottom"/>
          </w:tcPr>
          <w:p>
            <w:pPr>
              <w:spacing w:after="0"/>
              <w:rPr>
                <w:sz w:val="20"/>
                <w:szCs w:val="20"/>
                <w:color w:val="auto"/>
              </w:rPr>
            </w:pPr>
            <w:r>
              <w:rPr>
                <w:rFonts w:ascii="Arial" w:cs="Arial" w:eastAsia="Arial" w:hAnsi="Arial"/>
                <w:sz w:val="14"/>
                <w:szCs w:val="14"/>
                <w:color w:val="auto"/>
              </w:rPr>
              <w:t>Cumulative noncurrent deferred tax assets at end of period</w:t>
            </w:r>
          </w:p>
        </w:tc>
        <w:tc>
          <w:tcPr>
            <w:tcW w:w="42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84,207</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84,207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2017</w:t>
            </w: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60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loss at beginning of period</w:t>
            </w: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(128,373)</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(1,162)</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(1,152)</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(130,687)</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00" w:type="dxa"/>
            <w:vAlign w:val="bottom"/>
          </w:tcPr>
          <w:p>
            <w:pPr>
              <w:spacing w:after="0"/>
              <w:rPr>
                <w:sz w:val="20"/>
                <w:szCs w:val="20"/>
                <w:color w:val="auto"/>
              </w:rPr>
            </w:pPr>
            <w:r>
              <w:rPr>
                <w:rFonts w:ascii="Arial" w:cs="Arial" w:eastAsia="Arial" w:hAnsi="Arial"/>
                <w:sz w:val="14"/>
                <w:szCs w:val="14"/>
                <w:color w:val="auto"/>
              </w:rPr>
              <w:t>Other comprehensive (loss) earnings before reclassifications, net of tax</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(8,062)</w:t>
            </w:r>
          </w:p>
        </w:tc>
        <w:tc>
          <w:tcPr>
            <w:tcW w:w="2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1,140</w:t>
            </w:r>
          </w:p>
        </w:tc>
        <w:tc>
          <w:tcPr>
            <w:tcW w:w="46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(6,922)</w:t>
            </w: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Amounts reclassified from accumulated other comprehensive loss, net of tax</w:t>
            </w:r>
          </w:p>
        </w:tc>
        <w:tc>
          <w:tcPr>
            <w:tcW w:w="4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7,633</w:t>
            </w:r>
          </w:p>
        </w:tc>
        <w:tc>
          <w:tcPr>
            <w:tcW w:w="2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872</w:t>
            </w:r>
          </w:p>
        </w:tc>
        <w:tc>
          <w:tcPr>
            <w:tcW w:w="3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rPr>
                <w:sz w:val="20"/>
                <w:szCs w:val="20"/>
                <w:color w:val="auto"/>
              </w:rPr>
            </w:pPr>
            <w:r>
              <w:rPr>
                <w:rFonts w:ascii="Arial" w:cs="Arial" w:eastAsia="Arial" w:hAnsi="Arial"/>
                <w:sz w:val="14"/>
                <w:szCs w:val="14"/>
                <w:color w:val="auto"/>
              </w:rPr>
              <w:t>Other comprehensive (loss) earnings, net of tax</w:t>
            </w:r>
          </w:p>
        </w:tc>
        <w:tc>
          <w:tcPr>
            <w:tcW w:w="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(429)</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1,140</w:t>
            </w: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872</w:t>
            </w: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loss at end of period</w:t>
            </w: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(128,802)</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(280)</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(129,104)</w:t>
            </w:r>
          </w:p>
        </w:tc>
        <w:tc>
          <w:tcPr>
            <w:tcW w:w="0" w:type="dxa"/>
            <w:vAlign w:val="bottom"/>
          </w:tcPr>
          <w:p>
            <w:pPr>
              <w:spacing w:after="0"/>
              <w:rPr>
                <w:sz w:val="1"/>
                <w:szCs w:val="1"/>
                <w:color w:val="auto"/>
              </w:rPr>
            </w:pPr>
          </w:p>
        </w:tc>
      </w:tr>
      <w:tr>
        <w:trPr>
          <w:trHeight w:val="372"/>
        </w:trPr>
        <w:tc>
          <w:tcPr>
            <w:tcW w:w="6000" w:type="dxa"/>
            <w:vAlign w:val="bottom"/>
          </w:tcPr>
          <w:p>
            <w:pPr>
              <w:spacing w:after="0"/>
              <w:rPr>
                <w:sz w:val="20"/>
                <w:szCs w:val="20"/>
                <w:color w:val="auto"/>
              </w:rPr>
            </w:pPr>
            <w:r>
              <w:rPr>
                <w:rFonts w:ascii="Arial" w:cs="Arial" w:eastAsia="Arial" w:hAnsi="Arial"/>
                <w:sz w:val="14"/>
                <w:szCs w:val="14"/>
                <w:color w:val="auto"/>
              </w:rPr>
              <w:t>Cumulative noncurrent deferred tax assets at end of period</w:t>
            </w:r>
          </w:p>
        </w:tc>
        <w:tc>
          <w:tcPr>
            <w:tcW w:w="42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79,938</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178</w:t>
            </w:r>
          </w:p>
        </w:tc>
        <w:tc>
          <w:tcPr>
            <w:tcW w:w="3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80,116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2016</w:t>
            </w: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60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loss at beginning of period</w:t>
            </w: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(103,380)</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(264)</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(1,978)</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(105,622)</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00" w:type="dxa"/>
            <w:vAlign w:val="bottom"/>
          </w:tcPr>
          <w:p>
            <w:pPr>
              <w:spacing w:after="0"/>
              <w:rPr>
                <w:sz w:val="20"/>
                <w:szCs w:val="20"/>
                <w:color w:val="auto"/>
              </w:rPr>
            </w:pPr>
            <w:r>
              <w:rPr>
                <w:rFonts w:ascii="Arial" w:cs="Arial" w:eastAsia="Arial" w:hAnsi="Arial"/>
                <w:sz w:val="14"/>
                <w:szCs w:val="14"/>
                <w:color w:val="auto"/>
              </w:rPr>
              <w:t>Other comprehensive loss before reclassifications, net of tax</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(31,678)</w:t>
            </w:r>
          </w:p>
        </w:tc>
        <w:tc>
          <w:tcPr>
            <w:tcW w:w="2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(898)</w:t>
            </w:r>
          </w:p>
        </w:tc>
        <w:tc>
          <w:tcPr>
            <w:tcW w:w="46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(32,576)</w:t>
            </w: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Amounts reclassified from accumulated other comprehensive loss, net of tax</w:t>
            </w:r>
          </w:p>
        </w:tc>
        <w:tc>
          <w:tcPr>
            <w:tcW w:w="4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6,685</w:t>
            </w:r>
          </w:p>
        </w:tc>
        <w:tc>
          <w:tcPr>
            <w:tcW w:w="2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826</w:t>
            </w:r>
          </w:p>
        </w:tc>
        <w:tc>
          <w:tcPr>
            <w:tcW w:w="3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00" w:type="dxa"/>
            <w:vAlign w:val="bottom"/>
          </w:tcPr>
          <w:p>
            <w:pPr>
              <w:spacing w:after="0"/>
              <w:rPr>
                <w:sz w:val="20"/>
                <w:szCs w:val="20"/>
                <w:color w:val="auto"/>
              </w:rPr>
            </w:pPr>
            <w:r>
              <w:rPr>
                <w:rFonts w:ascii="Arial" w:cs="Arial" w:eastAsia="Arial" w:hAnsi="Arial"/>
                <w:sz w:val="14"/>
                <w:szCs w:val="14"/>
                <w:color w:val="auto"/>
              </w:rPr>
              <w:t>Other comprehensive (loss) earnings, net of tax</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(24,993)</w:t>
            </w:r>
          </w:p>
        </w:tc>
        <w:tc>
          <w:tcPr>
            <w:tcW w:w="2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(898)</w:t>
            </w:r>
          </w:p>
        </w:tc>
        <w:tc>
          <w:tcPr>
            <w:tcW w:w="46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826</w:t>
            </w:r>
          </w:p>
        </w:tc>
        <w:tc>
          <w:tcPr>
            <w:tcW w:w="3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(25,065)</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00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loss at end of period</w:t>
            </w: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(128,373)</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(1,162)</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(1,152)</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(130,687)</w:t>
            </w:r>
          </w:p>
        </w:tc>
        <w:tc>
          <w:tcPr>
            <w:tcW w:w="0" w:type="dxa"/>
            <w:vAlign w:val="bottom"/>
          </w:tcPr>
          <w:p>
            <w:pPr>
              <w:spacing w:after="0"/>
              <w:rPr>
                <w:sz w:val="1"/>
                <w:szCs w:val="1"/>
                <w:color w:val="auto"/>
              </w:rPr>
            </w:pPr>
          </w:p>
        </w:tc>
      </w:tr>
      <w:tr>
        <w:trPr>
          <w:trHeight w:val="372"/>
        </w:trPr>
        <w:tc>
          <w:tcPr>
            <w:tcW w:w="6000" w:type="dxa"/>
            <w:vAlign w:val="bottom"/>
          </w:tcPr>
          <w:p>
            <w:pPr>
              <w:spacing w:after="0"/>
              <w:rPr>
                <w:sz w:val="20"/>
                <w:szCs w:val="20"/>
                <w:color w:val="auto"/>
              </w:rPr>
            </w:pPr>
            <w:r>
              <w:rPr>
                <w:rFonts w:ascii="Arial" w:cs="Arial" w:eastAsia="Arial" w:hAnsi="Arial"/>
                <w:sz w:val="14"/>
                <w:szCs w:val="14"/>
                <w:color w:val="auto"/>
              </w:rPr>
              <w:t>Cumulative noncurrent deferred tax assets at end of period</w:t>
            </w:r>
          </w:p>
        </w:tc>
        <w:tc>
          <w:tcPr>
            <w:tcW w:w="42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82,044</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749</w:t>
            </w:r>
          </w:p>
        </w:tc>
        <w:tc>
          <w:tcPr>
            <w:tcW w:w="3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82,793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Reclassifications out of accumulated other comprehensive loss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6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60" w:type="dxa"/>
            <w:vAlign w:val="bottom"/>
          </w:tcPr>
          <w:p>
            <w:pPr>
              <w:ind w:left="2380"/>
              <w:spacing w:after="0"/>
              <w:rPr>
                <w:sz w:val="20"/>
                <w:szCs w:val="20"/>
                <w:color w:val="auto"/>
              </w:rPr>
            </w:pPr>
            <w:r>
              <w:rPr>
                <w:rFonts w:ascii="Arial" w:cs="Arial" w:eastAsia="Arial" w:hAnsi="Arial"/>
                <w:sz w:val="14"/>
                <w:szCs w:val="14"/>
                <w:b w:val="1"/>
                <w:bCs w:val="1"/>
                <w:color w:val="auto"/>
              </w:rPr>
              <w:t>Affected line items in the</w:t>
            </w:r>
          </w:p>
        </w:tc>
        <w:tc>
          <w:tcPr>
            <w:tcW w:w="0" w:type="dxa"/>
            <w:vAlign w:val="bottom"/>
          </w:tcPr>
          <w:p>
            <w:pPr>
              <w:spacing w:after="0"/>
              <w:rPr>
                <w:sz w:val="1"/>
                <w:szCs w:val="1"/>
                <w:color w:val="auto"/>
              </w:rPr>
            </w:pPr>
          </w:p>
        </w:tc>
      </w:tr>
      <w:tr>
        <w:trPr>
          <w:trHeight w:val="176"/>
        </w:trPr>
        <w:tc>
          <w:tcPr>
            <w:tcW w:w="2860" w:type="dxa"/>
            <w:vAlign w:val="bottom"/>
            <w:vMerge w:val="restart"/>
          </w:tcPr>
          <w:p>
            <w:pPr>
              <w:spacing w:after="0"/>
              <w:rPr>
                <w:sz w:val="20"/>
                <w:szCs w:val="20"/>
                <w:color w:val="auto"/>
              </w:rPr>
            </w:pPr>
            <w:r>
              <w:rPr>
                <w:rFonts w:ascii="Arial" w:cs="Arial" w:eastAsia="Arial" w:hAnsi="Arial"/>
                <w:sz w:val="14"/>
                <w:szCs w:val="14"/>
                <w:color w:val="auto"/>
              </w:rPr>
              <w:t>(add 000)</w:t>
            </w:r>
          </w:p>
        </w:tc>
        <w:tc>
          <w:tcPr>
            <w:tcW w:w="320" w:type="dxa"/>
            <w:vAlign w:val="bottom"/>
          </w:tcPr>
          <w:p>
            <w:pPr>
              <w:spacing w:after="0"/>
              <w:rPr>
                <w:sz w:val="15"/>
                <w:szCs w:val="15"/>
                <w:color w:val="auto"/>
              </w:rPr>
            </w:pPr>
          </w:p>
        </w:tc>
        <w:tc>
          <w:tcPr>
            <w:tcW w:w="5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0085CD"/>
              </w:rPr>
              <w:t>2018</w:t>
            </w:r>
          </w:p>
        </w:tc>
        <w:tc>
          <w:tcPr>
            <w:tcW w:w="160" w:type="dxa"/>
            <w:vAlign w:val="bottom"/>
          </w:tcPr>
          <w:p>
            <w:pPr>
              <w:spacing w:after="0"/>
              <w:rPr>
                <w:sz w:val="15"/>
                <w:szCs w:val="15"/>
                <w:color w:val="auto"/>
              </w:rPr>
            </w:pPr>
          </w:p>
        </w:tc>
        <w:tc>
          <w:tcPr>
            <w:tcW w:w="560" w:type="dxa"/>
            <w:vAlign w:val="bottom"/>
            <w:vMerge w:val="restart"/>
          </w:tcPr>
          <w:p>
            <w:pPr>
              <w:jc w:val="right"/>
              <w:ind w:right="88"/>
              <w:spacing w:after="0"/>
              <w:rPr>
                <w:sz w:val="20"/>
                <w:szCs w:val="20"/>
                <w:color w:val="auto"/>
              </w:rPr>
            </w:pPr>
            <w:r>
              <w:rPr>
                <w:rFonts w:ascii="Arial" w:cs="Arial" w:eastAsia="Arial" w:hAnsi="Arial"/>
                <w:sz w:val="14"/>
                <w:szCs w:val="14"/>
                <w:color w:val="auto"/>
              </w:rPr>
              <w:t>2017</w:t>
            </w:r>
          </w:p>
        </w:tc>
        <w:tc>
          <w:tcPr>
            <w:tcW w:w="160" w:type="dxa"/>
            <w:vAlign w:val="bottom"/>
          </w:tcPr>
          <w:p>
            <w:pPr>
              <w:spacing w:after="0"/>
              <w:rPr>
                <w:sz w:val="15"/>
                <w:szCs w:val="15"/>
                <w:color w:val="auto"/>
              </w:rPr>
            </w:pPr>
          </w:p>
        </w:tc>
        <w:tc>
          <w:tcPr>
            <w:tcW w:w="540" w:type="dxa"/>
            <w:vAlign w:val="bottom"/>
            <w:vMerge w:val="restart"/>
          </w:tcPr>
          <w:p>
            <w:pPr>
              <w:jc w:val="right"/>
              <w:ind w:right="48"/>
              <w:spacing w:after="0"/>
              <w:rPr>
                <w:sz w:val="20"/>
                <w:szCs w:val="20"/>
                <w:color w:val="auto"/>
              </w:rPr>
            </w:pPr>
            <w:r>
              <w:rPr>
                <w:rFonts w:ascii="Arial" w:cs="Arial" w:eastAsia="Arial" w:hAnsi="Arial"/>
                <w:sz w:val="14"/>
                <w:szCs w:val="14"/>
                <w:color w:val="auto"/>
              </w:rPr>
              <w:t>2016</w:t>
            </w:r>
          </w:p>
        </w:tc>
        <w:tc>
          <w:tcPr>
            <w:tcW w:w="6260" w:type="dxa"/>
            <w:vAlign w:val="bottom"/>
          </w:tcPr>
          <w:p>
            <w:pPr>
              <w:ind w:left="2000"/>
              <w:spacing w:after="0"/>
              <w:rPr>
                <w:sz w:val="20"/>
                <w:szCs w:val="20"/>
                <w:color w:val="auto"/>
              </w:rPr>
            </w:pPr>
            <w:r>
              <w:rPr>
                <w:rFonts w:ascii="Arial" w:cs="Arial" w:eastAsia="Arial" w:hAnsi="Arial"/>
                <w:sz w:val="14"/>
                <w:szCs w:val="14"/>
                <w:b w:val="1"/>
                <w:bCs w:val="1"/>
                <w:color w:val="auto"/>
              </w:rPr>
              <w:t>consolidated statements of earnings</w:t>
            </w: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vMerge w:val="continue"/>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Pension and postretirement benefit plans</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300"/>
              <w:spacing w:after="0"/>
              <w:rPr>
                <w:sz w:val="20"/>
                <w:szCs w:val="20"/>
                <w:color w:val="auto"/>
              </w:rPr>
            </w:pPr>
            <w:r>
              <w:rPr>
                <w:rFonts w:ascii="Arial" w:cs="Arial" w:eastAsia="Arial" w:hAnsi="Arial"/>
                <w:sz w:val="14"/>
                <w:szCs w:val="14"/>
                <w:color w:val="auto"/>
              </w:rPr>
              <w:t>Special plan termination benefit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764</w:t>
            </w:r>
          </w:p>
        </w:tc>
        <w:tc>
          <w:tcPr>
            <w:tcW w:w="6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Settlement charge</w:t>
            </w: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2,936</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6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300"/>
              <w:spacing w:after="0"/>
              <w:rPr>
                <w:sz w:val="20"/>
                <w:szCs w:val="20"/>
                <w:color w:val="auto"/>
              </w:rPr>
            </w:pPr>
            <w:r>
              <w:rPr>
                <w:rFonts w:ascii="Arial" w:cs="Arial" w:eastAsia="Arial" w:hAnsi="Arial"/>
                <w:sz w:val="14"/>
                <w:szCs w:val="14"/>
                <w:color w:val="auto"/>
              </w:rPr>
              <w:t>Amortization of:</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Prior service credit</w:t>
            </w: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(1,971)</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w:t>
            </w:r>
          </w:p>
        </w:tc>
        <w:tc>
          <w:tcPr>
            <w:tcW w:w="6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Actuarial loss</w:t>
            </w: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7"/>
              </w:rPr>
              <w:t>12,619</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13,774</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11,575</w:t>
            </w:r>
          </w:p>
        </w:tc>
        <w:tc>
          <w:tcPr>
            <w:tcW w:w="6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7"/>
              </w:rPr>
              <w:t>13,584</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7"/>
              </w:rPr>
              <w:t>12,365</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10,845</w:t>
            </w:r>
          </w:p>
        </w:tc>
        <w:tc>
          <w:tcPr>
            <w:tcW w:w="6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nonoperating income, net</w:t>
            </w:r>
          </w:p>
        </w:tc>
        <w:tc>
          <w:tcPr>
            <w:tcW w:w="0" w:type="dxa"/>
            <w:vAlign w:val="bottom"/>
          </w:tcPr>
          <w:p>
            <w:pPr>
              <w:spacing w:after="0"/>
              <w:rPr>
                <w:sz w:val="1"/>
                <w:szCs w:val="1"/>
                <w:color w:val="auto"/>
              </w:rPr>
            </w:pPr>
          </w:p>
        </w:tc>
      </w:tr>
      <w:tr>
        <w:trPr>
          <w:trHeight w:val="162"/>
        </w:trPr>
        <w:tc>
          <w:tcPr>
            <w:tcW w:w="28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Tax effect</w:t>
            </w: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(3,397)</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(4,732)</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(4,160)</w:t>
            </w:r>
          </w:p>
        </w:tc>
        <w:tc>
          <w:tcPr>
            <w:tcW w:w="62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Income tax expense (benefit)</w:t>
            </w:r>
          </w:p>
        </w:tc>
        <w:tc>
          <w:tcPr>
            <w:tcW w:w="0" w:type="dxa"/>
            <w:vAlign w:val="bottom"/>
          </w:tcPr>
          <w:p>
            <w:pPr>
              <w:spacing w:after="0"/>
              <w:rPr>
                <w:sz w:val="1"/>
                <w:szCs w:val="1"/>
                <w:color w:val="auto"/>
              </w:rPr>
            </w:pPr>
          </w:p>
        </w:tc>
      </w:tr>
      <w:tr>
        <w:trPr>
          <w:trHeight w:val="163"/>
        </w:trPr>
        <w:tc>
          <w:tcPr>
            <w:tcW w:w="28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w w:val="97"/>
              </w:rPr>
              <w:t>10,187</w:t>
            </w:r>
          </w:p>
        </w:tc>
        <w:tc>
          <w:tcPr>
            <w:tcW w:w="1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7,633</w:t>
            </w:r>
          </w:p>
        </w:tc>
        <w:tc>
          <w:tcPr>
            <w:tcW w:w="1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6,685</w:t>
            </w:r>
          </w:p>
        </w:tc>
        <w:tc>
          <w:tcPr>
            <w:tcW w:w="62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77"/>
        </w:trPr>
        <w:tc>
          <w:tcPr>
            <w:tcW w:w="2860" w:type="dxa"/>
            <w:vAlign w:val="bottom"/>
          </w:tcPr>
          <w:p>
            <w:pPr>
              <w:spacing w:after="0"/>
              <w:rPr>
                <w:sz w:val="20"/>
                <w:szCs w:val="20"/>
                <w:color w:val="auto"/>
              </w:rPr>
            </w:pPr>
            <w:r>
              <w:rPr>
                <w:rFonts w:ascii="Arial" w:cs="Arial" w:eastAsia="Arial" w:hAnsi="Arial"/>
                <w:sz w:val="14"/>
                <w:szCs w:val="14"/>
                <w:color w:val="auto"/>
              </w:rPr>
              <w:t>Unamortized value of terminated forward</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860" w:type="dxa"/>
            <w:vAlign w:val="bottom"/>
          </w:tcPr>
          <w:p>
            <w:pPr>
              <w:ind w:left="160"/>
              <w:spacing w:after="0" w:line="157" w:lineRule="exact"/>
              <w:rPr>
                <w:sz w:val="20"/>
                <w:szCs w:val="20"/>
                <w:color w:val="auto"/>
              </w:rPr>
            </w:pPr>
            <w:r>
              <w:rPr>
                <w:rFonts w:ascii="Arial" w:cs="Arial" w:eastAsia="Arial" w:hAnsi="Arial"/>
                <w:sz w:val="14"/>
                <w:szCs w:val="14"/>
                <w:color w:val="auto"/>
              </w:rPr>
              <w:t>starting interest rate swap</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Additional interest expense</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1,367</w:t>
            </w:r>
          </w:p>
        </w:tc>
        <w:tc>
          <w:tcPr>
            <w:tcW w:w="6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162"/>
        </w:trPr>
        <w:tc>
          <w:tcPr>
            <w:tcW w:w="28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Tax effect</w:t>
            </w: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(178)</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w:t>
            </w:r>
          </w:p>
        </w:tc>
        <w:tc>
          <w:tcPr>
            <w:tcW w:w="62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Income tax expense (benefit)</w:t>
            </w:r>
          </w:p>
        </w:tc>
        <w:tc>
          <w:tcPr>
            <w:tcW w:w="0" w:type="dxa"/>
            <w:vAlign w:val="bottom"/>
          </w:tcPr>
          <w:p>
            <w:pPr>
              <w:spacing w:after="0"/>
              <w:rPr>
                <w:sz w:val="1"/>
                <w:szCs w:val="1"/>
                <w:color w:val="auto"/>
              </w:rPr>
            </w:pPr>
          </w:p>
        </w:tc>
      </w:tr>
      <w:tr>
        <w:trPr>
          <w:trHeight w:val="163"/>
        </w:trPr>
        <w:tc>
          <w:tcPr>
            <w:tcW w:w="28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280</w:t>
            </w:r>
          </w:p>
        </w:tc>
        <w:tc>
          <w:tcPr>
            <w:tcW w:w="1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872</w:t>
            </w:r>
          </w:p>
        </w:tc>
        <w:tc>
          <w:tcPr>
            <w:tcW w:w="1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826</w:t>
            </w:r>
          </w:p>
        </w:tc>
        <w:tc>
          <w:tcPr>
            <w:tcW w:w="62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19</w:t>
      </w:r>
    </w:p>
    <w:p>
      <w:pPr>
        <w:sectPr>
          <w:pgSz w:w="11900" w:h="16838" w:orient="portrait"/>
          <w:cols w:equalWidth="0" w:num="1">
            <w:col w:w="11420"/>
          </w:cols>
          <w:pgMar w:left="240" w:top="265"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i w:val="1"/>
          <w:iCs w:val="1"/>
          <w:color w:val="49B28F"/>
        </w:rPr>
        <w:t xml:space="preserve">Earnings Per Common Share. </w:t>
      </w:r>
      <w:r>
        <w:rPr>
          <w:rFonts w:ascii="Arial" w:cs="Arial" w:eastAsia="Arial" w:hAnsi="Arial"/>
          <w:sz w:val="17"/>
          <w:szCs w:val="17"/>
          <w:color w:val="000000"/>
        </w:rPr>
        <w:t>The Company computes earnings per</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share (EPS) pursuant to the two-class method. The two-class method determines EPS for each class of common stock and participating securities according to dividends or dividend equivalents and their respective participation rights in undistributed earnings. The Company pays nonforfeitable dividend equivalents during the vesting period on its restricted stock awards and incentive stock awards made prior to 2016, which results in these being considered participating securities.</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numerator for basic and diluted earnings per common share is net earnings attributable to Martin Marietta, reduced by dividends and undistributed earnings attributable to the Company’s unvested restricted stock awards and incentive stock awards issued prior to 2016.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issued to employees and nonemployee members of the Company’s Board of Directors under certain stock-based compensation arrangements if the conversion is dilutive.</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following table reconciles the numerator and denominator for basic and diluted earnings per common share: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40" w:type="dxa"/>
            <w:vAlign w:val="bottom"/>
          </w:tcPr>
          <w:p>
            <w:pPr>
              <w:ind w:left="20"/>
              <w:spacing w:after="0"/>
              <w:rPr>
                <w:sz w:val="20"/>
                <w:szCs w:val="20"/>
                <w:color w:val="auto"/>
              </w:rPr>
            </w:pPr>
            <w:r>
              <w:rPr>
                <w:rFonts w:ascii="Arial" w:cs="Arial" w:eastAsia="Arial" w:hAnsi="Arial"/>
                <w:sz w:val="14"/>
                <w:szCs w:val="14"/>
                <w:i w:val="1"/>
                <w:iCs w:val="1"/>
                <w:color w:val="auto"/>
              </w:rPr>
              <w:t>years ended December 31</w:t>
            </w: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0085CD"/>
              </w:rPr>
              <w:t>2018</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840" w:type="dxa"/>
            <w:vAlign w:val="bottom"/>
          </w:tcPr>
          <w:p>
            <w:pPr>
              <w:ind w:left="20"/>
              <w:spacing w:after="0" w:line="157" w:lineRule="exact"/>
              <w:rPr>
                <w:sz w:val="20"/>
                <w:szCs w:val="20"/>
                <w:color w:val="auto"/>
              </w:rPr>
            </w:pPr>
            <w:r>
              <w:rPr>
                <w:rFonts w:ascii="Arial" w:cs="Arial" w:eastAsia="Arial" w:hAnsi="Arial"/>
                <w:sz w:val="14"/>
                <w:szCs w:val="14"/>
                <w:color w:val="auto"/>
              </w:rPr>
              <w:t>(add 000)</w:t>
            </w:r>
          </w:p>
        </w:tc>
        <w:tc>
          <w:tcPr>
            <w:tcW w:w="940" w:type="dxa"/>
            <w:vAlign w:val="bottom"/>
            <w:vMerge w:val="continue"/>
          </w:tcPr>
          <w:p>
            <w:pPr>
              <w:spacing w:after="0"/>
              <w:rPr>
                <w:sz w:val="14"/>
                <w:szCs w:val="14"/>
                <w:color w:val="auto"/>
              </w:rPr>
            </w:pPr>
          </w:p>
        </w:tc>
        <w:tc>
          <w:tcPr>
            <w:tcW w:w="900" w:type="dxa"/>
            <w:vAlign w:val="bottom"/>
          </w:tcPr>
          <w:p>
            <w:pPr>
              <w:jc w:val="right"/>
              <w:ind w:right="68"/>
              <w:spacing w:after="0" w:line="157" w:lineRule="exact"/>
              <w:rPr>
                <w:sz w:val="20"/>
                <w:szCs w:val="20"/>
                <w:color w:val="auto"/>
              </w:rPr>
            </w:pPr>
            <w:r>
              <w:rPr>
                <w:rFonts w:ascii="Arial" w:cs="Arial" w:eastAsia="Arial" w:hAnsi="Arial"/>
                <w:sz w:val="14"/>
                <w:szCs w:val="14"/>
                <w:color w:val="auto"/>
              </w:rPr>
              <w:t>2017</w:t>
            </w:r>
          </w:p>
        </w:tc>
        <w:tc>
          <w:tcPr>
            <w:tcW w:w="8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167"/>
        </w:trPr>
        <w:tc>
          <w:tcPr>
            <w:tcW w:w="2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earnings attributable to Martin</w:t>
            </w:r>
          </w:p>
        </w:tc>
        <w:tc>
          <w:tcPr>
            <w:tcW w:w="9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$ 469,998</w:t>
            </w:r>
          </w:p>
        </w:tc>
        <w:tc>
          <w:tcPr>
            <w:tcW w:w="9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Marietta</w:t>
            </w:r>
          </w:p>
        </w:tc>
        <w:tc>
          <w:tcPr>
            <w:tcW w:w="940" w:type="dxa"/>
            <w:vAlign w:val="bottom"/>
            <w:vMerge w:val="continue"/>
            <w:shd w:val="clear" w:color="auto" w:fill="CCEEFF"/>
          </w:tcPr>
          <w:p>
            <w:pPr>
              <w:spacing w:after="0"/>
              <w:rPr>
                <w:sz w:val="13"/>
                <w:szCs w:val="13"/>
                <w:color w:val="auto"/>
              </w:rPr>
            </w:pPr>
          </w:p>
        </w:tc>
        <w:tc>
          <w:tcPr>
            <w:tcW w:w="90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$713,342</w:t>
            </w:r>
          </w:p>
        </w:tc>
        <w:tc>
          <w:tcPr>
            <w:tcW w:w="8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$425,386</w:t>
            </w:r>
          </w:p>
        </w:tc>
        <w:tc>
          <w:tcPr>
            <w:tcW w:w="0" w:type="dxa"/>
            <w:vAlign w:val="bottom"/>
          </w:tcPr>
          <w:p>
            <w:pPr>
              <w:spacing w:after="0"/>
              <w:rPr>
                <w:sz w:val="1"/>
                <w:szCs w:val="1"/>
                <w:color w:val="auto"/>
              </w:rPr>
            </w:pPr>
          </w:p>
        </w:tc>
      </w:tr>
      <w:tr>
        <w:trPr>
          <w:trHeight w:val="167"/>
        </w:trPr>
        <w:tc>
          <w:tcPr>
            <w:tcW w:w="2840" w:type="dxa"/>
            <w:vAlign w:val="bottom"/>
          </w:tcPr>
          <w:p>
            <w:pPr>
              <w:ind w:left="20"/>
              <w:spacing w:after="0"/>
              <w:rPr>
                <w:sz w:val="20"/>
                <w:szCs w:val="20"/>
                <w:color w:val="auto"/>
              </w:rPr>
            </w:pPr>
            <w:r>
              <w:rPr>
                <w:rFonts w:ascii="Arial" w:cs="Arial" w:eastAsia="Arial" w:hAnsi="Arial"/>
                <w:sz w:val="14"/>
                <w:szCs w:val="14"/>
                <w:color w:val="auto"/>
              </w:rPr>
              <w:t>Less: Distributed and undistributed</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40" w:type="dxa"/>
            <w:vAlign w:val="bottom"/>
          </w:tcPr>
          <w:p>
            <w:pPr>
              <w:ind w:left="160"/>
              <w:spacing w:after="0"/>
              <w:rPr>
                <w:sz w:val="20"/>
                <w:szCs w:val="20"/>
                <w:color w:val="auto"/>
              </w:rPr>
            </w:pPr>
            <w:r>
              <w:rPr>
                <w:rFonts w:ascii="Arial" w:cs="Arial" w:eastAsia="Arial" w:hAnsi="Arial"/>
                <w:sz w:val="14"/>
                <w:szCs w:val="14"/>
                <w:color w:val="auto"/>
              </w:rPr>
              <w:t>earnings attributable to unvested</w:t>
            </w: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806</w:t>
            </w: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40" w:type="dxa"/>
            <w:vAlign w:val="bottom"/>
            <w:tcBorders>
              <w:bottom w:val="single" w:sz="8" w:color="auto"/>
            </w:tcBorders>
          </w:tcPr>
          <w:p>
            <w:pPr>
              <w:ind w:left="160"/>
              <w:spacing w:after="0" w:line="157" w:lineRule="exact"/>
              <w:rPr>
                <w:sz w:val="20"/>
                <w:szCs w:val="20"/>
                <w:color w:val="auto"/>
              </w:rPr>
            </w:pPr>
            <w:r>
              <w:rPr>
                <w:rFonts w:ascii="Arial" w:cs="Arial" w:eastAsia="Arial" w:hAnsi="Arial"/>
                <w:sz w:val="14"/>
                <w:szCs w:val="14"/>
                <w:color w:val="auto"/>
              </w:rPr>
              <w:t>participating securities</w:t>
            </w:r>
          </w:p>
        </w:tc>
        <w:tc>
          <w:tcPr>
            <w:tcW w:w="94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2,029</w:t>
            </w:r>
          </w:p>
        </w:tc>
        <w:tc>
          <w:tcPr>
            <w:tcW w:w="800" w:type="dxa"/>
            <w:vAlign w:val="bottom"/>
            <w:tcBorders>
              <w:bottom w:val="single" w:sz="8" w:color="auto"/>
            </w:tcBorders>
            <w:gridSpan w:val="2"/>
          </w:tcPr>
          <w:p>
            <w:pPr>
              <w:jc w:val="right"/>
              <w:ind w:right="40"/>
              <w:spacing w:after="0" w:line="157" w:lineRule="exact"/>
              <w:rPr>
                <w:sz w:val="20"/>
                <w:szCs w:val="20"/>
                <w:color w:val="auto"/>
              </w:rPr>
            </w:pPr>
            <w:r>
              <w:rPr>
                <w:rFonts w:ascii="Arial" w:cs="Arial" w:eastAsia="Arial" w:hAnsi="Arial"/>
                <w:sz w:val="14"/>
                <w:szCs w:val="14"/>
                <w:color w:val="auto"/>
              </w:rPr>
              <w:t>1,775</w:t>
            </w:r>
          </w:p>
        </w:tc>
        <w:tc>
          <w:tcPr>
            <w:tcW w:w="0" w:type="dxa"/>
            <w:vAlign w:val="bottom"/>
          </w:tcPr>
          <w:p>
            <w:pPr>
              <w:spacing w:after="0"/>
              <w:rPr>
                <w:sz w:val="1"/>
                <w:szCs w:val="1"/>
                <w:color w:val="auto"/>
              </w:rPr>
            </w:pPr>
          </w:p>
        </w:tc>
      </w:tr>
      <w:tr>
        <w:trPr>
          <w:trHeight w:val="160"/>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and diluted net earnings attributable</w:t>
            </w:r>
          </w:p>
        </w:tc>
        <w:tc>
          <w:tcPr>
            <w:tcW w:w="9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 common shareholders attributable to</w:t>
            </w:r>
          </w:p>
        </w:tc>
        <w:tc>
          <w:tcPr>
            <w:tcW w:w="9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$ 469,192</w:t>
            </w:r>
          </w:p>
        </w:tc>
        <w:tc>
          <w:tcPr>
            <w:tcW w:w="9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40" w:type="dxa"/>
            <w:vAlign w:val="bottom"/>
            <w:tcBorders>
              <w:bottom w:val="single" w:sz="8" w:color="auto"/>
            </w:tcBorders>
            <w:shd w:val="clear" w:color="auto" w:fill="CCEEFF"/>
          </w:tcPr>
          <w:p>
            <w:pPr>
              <w:ind w:left="160"/>
              <w:spacing w:after="0" w:line="157" w:lineRule="exact"/>
              <w:rPr>
                <w:sz w:val="20"/>
                <w:szCs w:val="20"/>
                <w:color w:val="auto"/>
              </w:rPr>
            </w:pPr>
            <w:r>
              <w:rPr>
                <w:rFonts w:ascii="Arial" w:cs="Arial" w:eastAsia="Arial" w:hAnsi="Arial"/>
                <w:sz w:val="14"/>
                <w:szCs w:val="14"/>
                <w:color w:val="auto"/>
              </w:rPr>
              <w:t>Martin Marietta</w:t>
            </w: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$711,313</w:t>
            </w:r>
          </w:p>
        </w:tc>
        <w:tc>
          <w:tcPr>
            <w:tcW w:w="800" w:type="dxa"/>
            <w:vAlign w:val="bottom"/>
            <w:tcBorders>
              <w:bottom w:val="single" w:sz="8" w:color="auto"/>
            </w:tcBorders>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$423,611</w:t>
            </w:r>
          </w:p>
        </w:tc>
        <w:tc>
          <w:tcPr>
            <w:tcW w:w="0" w:type="dxa"/>
            <w:vAlign w:val="bottom"/>
          </w:tcPr>
          <w:p>
            <w:pPr>
              <w:spacing w:after="0"/>
              <w:rPr>
                <w:sz w:val="1"/>
                <w:szCs w:val="1"/>
                <w:color w:val="auto"/>
              </w:rPr>
            </w:pPr>
          </w:p>
        </w:tc>
      </w:tr>
      <w:tr>
        <w:trPr>
          <w:trHeight w:val="221"/>
        </w:trPr>
        <w:tc>
          <w:tcPr>
            <w:tcW w:w="2840" w:type="dxa"/>
            <w:vAlign w:val="bottom"/>
          </w:tcPr>
          <w:p>
            <w:pPr>
              <w:ind w:left="20"/>
              <w:spacing w:after="0"/>
              <w:rPr>
                <w:sz w:val="20"/>
                <w:szCs w:val="20"/>
                <w:color w:val="auto"/>
              </w:rPr>
            </w:pPr>
            <w:r>
              <w:rPr>
                <w:rFonts w:ascii="Arial" w:cs="Arial" w:eastAsia="Arial" w:hAnsi="Arial"/>
                <w:sz w:val="14"/>
                <w:szCs w:val="14"/>
                <w:color w:val="auto"/>
              </w:rPr>
              <w:t>Basic weighted-average common shares</w:t>
            </w: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62,895</w:t>
            </w: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840" w:type="dxa"/>
            <w:vAlign w:val="bottom"/>
          </w:tcPr>
          <w:p>
            <w:pPr>
              <w:ind w:left="160"/>
              <w:spacing w:after="0" w:line="157" w:lineRule="exact"/>
              <w:rPr>
                <w:sz w:val="20"/>
                <w:szCs w:val="20"/>
                <w:color w:val="auto"/>
              </w:rPr>
            </w:pPr>
            <w:r>
              <w:rPr>
                <w:rFonts w:ascii="Arial" w:cs="Arial" w:eastAsia="Arial" w:hAnsi="Arial"/>
                <w:sz w:val="14"/>
                <w:szCs w:val="14"/>
                <w:color w:val="auto"/>
              </w:rPr>
              <w:t>outstanding</w:t>
            </w:r>
          </w:p>
        </w:tc>
        <w:tc>
          <w:tcPr>
            <w:tcW w:w="940" w:type="dxa"/>
            <w:vAlign w:val="bottom"/>
            <w:vMerge w:val="continue"/>
          </w:tcPr>
          <w:p>
            <w:pPr>
              <w:spacing w:after="0"/>
              <w:rPr>
                <w:sz w:val="13"/>
                <w:szCs w:val="13"/>
                <w:color w:val="auto"/>
              </w:rPr>
            </w:pPr>
          </w:p>
        </w:tc>
        <w:tc>
          <w:tcPr>
            <w:tcW w:w="900" w:type="dxa"/>
            <w:vAlign w:val="bottom"/>
          </w:tcPr>
          <w:p>
            <w:pPr>
              <w:jc w:val="right"/>
              <w:ind w:right="68"/>
              <w:spacing w:after="0" w:line="157" w:lineRule="exact"/>
              <w:rPr>
                <w:sz w:val="20"/>
                <w:szCs w:val="20"/>
                <w:color w:val="auto"/>
              </w:rPr>
            </w:pPr>
            <w:r>
              <w:rPr>
                <w:rFonts w:ascii="Arial" w:cs="Arial" w:eastAsia="Arial" w:hAnsi="Arial"/>
                <w:sz w:val="14"/>
                <w:szCs w:val="14"/>
                <w:color w:val="auto"/>
              </w:rPr>
              <w:t>62,932</w:t>
            </w:r>
          </w:p>
        </w:tc>
        <w:tc>
          <w:tcPr>
            <w:tcW w:w="8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63,610</w:t>
            </w:r>
          </w:p>
        </w:tc>
        <w:tc>
          <w:tcPr>
            <w:tcW w:w="0" w:type="dxa"/>
            <w:vAlign w:val="bottom"/>
          </w:tcPr>
          <w:p>
            <w:pPr>
              <w:spacing w:after="0"/>
              <w:rPr>
                <w:sz w:val="1"/>
                <w:szCs w:val="1"/>
                <w:color w:val="auto"/>
              </w:rPr>
            </w:pPr>
          </w:p>
        </w:tc>
      </w:tr>
      <w:tr>
        <w:trPr>
          <w:trHeight w:val="167"/>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dilutive employee and director</w:t>
            </w:r>
          </w:p>
        </w:tc>
        <w:tc>
          <w:tcPr>
            <w:tcW w:w="9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252</w:t>
            </w:r>
          </w:p>
        </w:tc>
        <w:tc>
          <w:tcPr>
            <w:tcW w:w="9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40" w:type="dxa"/>
            <w:vAlign w:val="bottom"/>
            <w:tcBorders>
              <w:bottom w:val="single" w:sz="8" w:color="auto"/>
            </w:tcBorders>
            <w:shd w:val="clear" w:color="auto" w:fill="CCEEFF"/>
          </w:tcPr>
          <w:p>
            <w:pPr>
              <w:ind w:left="160"/>
              <w:spacing w:after="0" w:line="157" w:lineRule="exact"/>
              <w:rPr>
                <w:sz w:val="20"/>
                <w:szCs w:val="20"/>
                <w:color w:val="auto"/>
              </w:rPr>
            </w:pPr>
            <w:r>
              <w:rPr>
                <w:rFonts w:ascii="Arial" w:cs="Arial" w:eastAsia="Arial" w:hAnsi="Arial"/>
                <w:sz w:val="14"/>
                <w:szCs w:val="14"/>
                <w:color w:val="auto"/>
              </w:rPr>
              <w:t>awards</w:t>
            </w:r>
          </w:p>
        </w:tc>
        <w:tc>
          <w:tcPr>
            <w:tcW w:w="940" w:type="dxa"/>
            <w:vAlign w:val="bottom"/>
            <w:tcBorders>
              <w:bottom w:val="single" w:sz="8" w:color="auto"/>
            </w:tcBorders>
            <w:vMerge w:val="continue"/>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285</w:t>
            </w:r>
          </w:p>
        </w:tc>
        <w:tc>
          <w:tcPr>
            <w:tcW w:w="800" w:type="dxa"/>
            <w:vAlign w:val="bottom"/>
            <w:tcBorders>
              <w:bottom w:val="single" w:sz="8" w:color="auto"/>
            </w:tcBorders>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60"/>
        </w:trPr>
        <w:tc>
          <w:tcPr>
            <w:tcW w:w="2840" w:type="dxa"/>
            <w:vAlign w:val="bottom"/>
          </w:tcPr>
          <w:p>
            <w:pPr>
              <w:ind w:left="20"/>
              <w:spacing w:after="0"/>
              <w:rPr>
                <w:sz w:val="20"/>
                <w:szCs w:val="20"/>
                <w:color w:val="auto"/>
              </w:rPr>
            </w:pPr>
            <w:r>
              <w:rPr>
                <w:rFonts w:ascii="Arial" w:cs="Arial" w:eastAsia="Arial" w:hAnsi="Arial"/>
                <w:sz w:val="14"/>
                <w:szCs w:val="14"/>
                <w:color w:val="auto"/>
              </w:rPr>
              <w:t>Diluted weighted-average common shares</w:t>
            </w: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63,147</w:t>
            </w: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40" w:type="dxa"/>
            <w:vAlign w:val="bottom"/>
            <w:tcBorders>
              <w:bottom w:val="single" w:sz="8" w:color="auto"/>
            </w:tcBorders>
          </w:tcPr>
          <w:p>
            <w:pPr>
              <w:ind w:left="160"/>
              <w:spacing w:after="0" w:line="157" w:lineRule="exact"/>
              <w:rPr>
                <w:sz w:val="20"/>
                <w:szCs w:val="20"/>
                <w:color w:val="auto"/>
              </w:rPr>
            </w:pPr>
            <w:r>
              <w:rPr>
                <w:rFonts w:ascii="Arial" w:cs="Arial" w:eastAsia="Arial" w:hAnsi="Arial"/>
                <w:sz w:val="14"/>
                <w:szCs w:val="14"/>
                <w:color w:val="auto"/>
              </w:rPr>
              <w:t>outstanding</w:t>
            </w:r>
          </w:p>
        </w:tc>
        <w:tc>
          <w:tcPr>
            <w:tcW w:w="94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63,217</w:t>
            </w:r>
          </w:p>
        </w:tc>
        <w:tc>
          <w:tcPr>
            <w:tcW w:w="800" w:type="dxa"/>
            <w:vAlign w:val="bottom"/>
            <w:tcBorders>
              <w:bottom w:val="single" w:sz="8" w:color="auto"/>
            </w:tcBorders>
            <w:gridSpan w:val="2"/>
          </w:tcPr>
          <w:p>
            <w:pPr>
              <w:jc w:val="right"/>
              <w:ind w:right="40"/>
              <w:spacing w:after="0" w:line="157" w:lineRule="exact"/>
              <w:rPr>
                <w:sz w:val="20"/>
                <w:szCs w:val="20"/>
                <w:color w:val="auto"/>
              </w:rPr>
            </w:pPr>
            <w:r>
              <w:rPr>
                <w:rFonts w:ascii="Arial" w:cs="Arial" w:eastAsia="Arial" w:hAnsi="Arial"/>
                <w:sz w:val="14"/>
                <w:szCs w:val="14"/>
                <w:color w:val="auto"/>
              </w:rPr>
              <w:t>63,861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New Accounting Pronouncements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9B28F"/>
        </w:rPr>
        <w:t>Revenue from Contracts with Customers</w:t>
      </w:r>
    </w:p>
    <w:p>
      <w:pPr>
        <w:jc w:val="both"/>
        <w:spacing w:after="0" w:line="234" w:lineRule="auto"/>
        <w:rPr>
          <w:sz w:val="20"/>
          <w:szCs w:val="20"/>
          <w:color w:val="auto"/>
        </w:rPr>
      </w:pPr>
      <w:r>
        <w:rPr>
          <w:rFonts w:ascii="Arial" w:cs="Arial" w:eastAsia="Arial" w:hAnsi="Arial"/>
          <w:sz w:val="17"/>
          <w:szCs w:val="17"/>
          <w:color w:val="auto"/>
        </w:rPr>
        <w:t xml:space="preserve">Effective January 1, 2018, the Company adopted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which changes the evaluation and accounting for revenue recognition under contracts with customers and enhances financial statement disclosures. The Company implemented ASU 2014-09 using the modified-retrospective approach and applied the guidance only to contracts that were not completed at the date of adoption. The adoption had an immaterial impact on the Company’s financial position and results of operations but required new disclosures (see Note B).</w:t>
      </w:r>
    </w:p>
    <w:p>
      <w:pPr>
        <w:spacing w:after="0" w:line="186" w:lineRule="exact"/>
        <w:rPr>
          <w:sz w:val="20"/>
          <w:szCs w:val="20"/>
          <w:color w:val="auto"/>
        </w:rPr>
      </w:pPr>
    </w:p>
    <w:p>
      <w:pPr>
        <w:ind w:right="800"/>
        <w:spacing w:after="0" w:line="244" w:lineRule="auto"/>
        <w:rPr>
          <w:sz w:val="20"/>
          <w:szCs w:val="20"/>
          <w:color w:val="auto"/>
        </w:rPr>
      </w:pPr>
      <w:r>
        <w:rPr>
          <w:rFonts w:ascii="Arial" w:cs="Arial" w:eastAsia="Arial" w:hAnsi="Arial"/>
          <w:sz w:val="18"/>
          <w:szCs w:val="18"/>
          <w:b w:val="1"/>
          <w:bCs w:val="1"/>
          <w:i w:val="1"/>
          <w:iCs w:val="1"/>
          <w:color w:val="49B28F"/>
        </w:rPr>
        <w:t>Statement of Cash Flows: Classification of Certain Cash Receipts and Cash Payments</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 xml:space="preserve">Effective January 1, 2018, the Company adopted ASU 2016-15, </w:t>
      </w:r>
      <w:r>
        <w:rPr>
          <w:rFonts w:ascii="Arial" w:cs="Arial" w:eastAsia="Arial" w:hAnsi="Arial"/>
          <w:sz w:val="17"/>
          <w:szCs w:val="17"/>
          <w:i w:val="1"/>
          <w:iCs w:val="1"/>
          <w:color w:val="auto"/>
        </w:rPr>
        <w:t xml:space="preserve">Statement of Cash Flows: Classification of Certain Cash Receipts and Cash Payments </w:t>
      </w:r>
      <w:r>
        <w:rPr>
          <w:rFonts w:ascii="Arial" w:cs="Arial" w:eastAsia="Arial" w:hAnsi="Arial"/>
          <w:sz w:val="17"/>
          <w:szCs w:val="17"/>
          <w:color w:val="auto"/>
        </w:rPr>
        <w:t>(ASU 2016-15), which provides clarification or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on certain transactions and its classification on the statement of cash flows on a retrospective basis. In accordance with the adoption of ASU 2016-15, the Company reclassified the net activity related to company-owned life insurance policies to investing activities from operating activities in the consolidated statements of cash flows. The reclassifications reduced net cash provided by operating activities and net cash used for investing activities by $280,000 and $293,000 for the years ended December 31, 2017 and 2016,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Pending Accounting Pronouncements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9B28F"/>
        </w:rPr>
        <w:t>Lease Standard</w:t>
      </w:r>
    </w:p>
    <w:p>
      <w:pPr>
        <w:jc w:val="both"/>
        <w:spacing w:after="0" w:line="233" w:lineRule="auto"/>
        <w:rPr>
          <w:sz w:val="20"/>
          <w:szCs w:val="20"/>
          <w:color w:val="auto"/>
        </w:rPr>
      </w:pPr>
      <w:r>
        <w:rPr>
          <w:rFonts w:ascii="Arial" w:cs="Arial" w:eastAsia="Arial" w:hAnsi="Arial"/>
          <w:sz w:val="17"/>
          <w:szCs w:val="17"/>
          <w:color w:val="auto"/>
        </w:rPr>
        <w:t xml:space="preserve">In February 2016, the Financial Accounting Standards Board (FASB) issued a new accounting standard, </w:t>
      </w:r>
      <w:r>
        <w:rPr>
          <w:rFonts w:ascii="Arial" w:cs="Arial" w:eastAsia="Arial" w:hAnsi="Arial"/>
          <w:sz w:val="17"/>
          <w:szCs w:val="17"/>
          <w:i w:val="1"/>
          <w:iCs w:val="1"/>
          <w:color w:val="auto"/>
        </w:rPr>
        <w:t>Accounting Standards Codification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842 – Leases </w:t>
      </w:r>
      <w:r>
        <w:rPr>
          <w:rFonts w:ascii="Arial" w:cs="Arial" w:eastAsia="Arial" w:hAnsi="Arial"/>
          <w:sz w:val="17"/>
          <w:szCs w:val="17"/>
          <w:color w:val="auto"/>
        </w:rPr>
        <w:t>(ASC 842), intending to improve financial reporting of</w:t>
      </w:r>
      <w:r>
        <w:rPr>
          <w:rFonts w:ascii="Arial" w:cs="Arial" w:eastAsia="Arial" w:hAnsi="Arial"/>
          <w:sz w:val="17"/>
          <w:szCs w:val="17"/>
          <w:i w:val="1"/>
          <w:iCs w:val="1"/>
          <w:color w:val="auto"/>
        </w:rPr>
        <w:t xml:space="preserve"> </w:t>
      </w:r>
      <w:r>
        <w:rPr>
          <w:rFonts w:ascii="Arial" w:cs="Arial" w:eastAsia="Arial" w:hAnsi="Arial"/>
          <w:sz w:val="17"/>
          <w:szCs w:val="17"/>
          <w:color w:val="auto"/>
        </w:rPr>
        <w:t>leases and to provide more transparency into off-balance sheet leasing obligations. The guidance requires virtually all leases, excluding mineral interest leases, to be recorded as right-of-use assets and lease liabilities on the balance sheet and provides guidance on the recognition of lease expense and income. Effective January 1, 2019, ASC 842 requires the modified-retrospective transition approach, applying the new standard to all leases existing at the date of initial application. An entity may use either 1) ASC 842’s effective date or 2) the beginning of the earliest comparative period presented in the financial statements as its date of initial application. The</w:t>
      </w:r>
    </w:p>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20</w:t>
      </w:r>
    </w:p>
    <w:p>
      <w:pPr>
        <w:sectPr>
          <w:pgSz w:w="11900" w:h="16838" w:orient="portrait"/>
          <w:cols w:equalWidth="0" w:num="1">
            <w:col w:w="11420"/>
          </w:cols>
          <w:pgMar w:left="240" w:top="265" w:right="239" w:bottom="1440" w:gutter="0" w:footer="0" w:header="0"/>
          <w:type w:val="continuous"/>
        </w:sectPr>
      </w:pPr>
    </w:p>
    <w:bookmarkStart w:id="59" w:name="page60"/>
    <w:bookmarkEnd w:id="59"/>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Company adopted the new standard effective January 1, 2019 and used the effective date as the date of initial application.</w:t>
      </w:r>
    </w:p>
    <w:p>
      <w:pPr>
        <w:spacing w:after="0" w:line="19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new standard provides a number of practical expedients for transition and policy elections for ongoing accounting. The Company elected the “package of practical expedients”, which permits the Company to not reassess its prior conclusions about lease identification, lease classification and initial direct costs. The Company also elected the practical expedient pertaining to the use of hindsight, which resulted in including renewal options in the lease term that were not previously included in historical lease terms under the guidance prior to ASC 842. While the adoption of ASC 842 does not impact the expense over the life of a lease, the inclusion of renewal options with fixed escalation clauses in the lease term may impact the timing of expense recognition. Additionally, the Company elected the practical expedient that allows it not to evaluate land easements that existed or expired before the adoption of ASC 842 and that were not previously accounted for as leases. The standard provides policy election options for recognition exemption for short-term leases and separation of lease and non-lease components. The Company elected the short-term lease recognition exemption and to not separate lease and non-lease components for all underlying asset classes with the exception of railcars and fleet leases.</w:t>
      </w:r>
    </w:p>
    <w:p>
      <w:pPr>
        <w:spacing w:after="0" w:line="203"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Company expects the adoption of ASC 842 to increase its assets and liabilities on its consolidated balance sheet in the range of $475,000,000 to $550,000,000 as of January</w:t>
      </w:r>
    </w:p>
    <w:p>
      <w:pPr>
        <w:jc w:val="both"/>
        <w:spacing w:after="0" w:line="243" w:lineRule="auto"/>
        <w:rPr>
          <w:sz w:val="20"/>
          <w:szCs w:val="20"/>
          <w:color w:val="auto"/>
        </w:rPr>
      </w:pPr>
      <w:r>
        <w:rPr>
          <w:rFonts w:ascii="Arial" w:cs="Arial" w:eastAsia="Arial" w:hAnsi="Arial"/>
          <w:sz w:val="17"/>
          <w:szCs w:val="17"/>
          <w:color w:val="auto"/>
        </w:rPr>
        <w:t>1, 2019 and to require additional footnote disclosures pertaining to leasing activities beginning with the quarter ending March 31, 2019.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Note B: Revenue Recognition</w:t>
      </w:r>
    </w:p>
    <w:p>
      <w:pPr>
        <w:spacing w:after="0" w:line="12" w:lineRule="exact"/>
        <w:rPr>
          <w:sz w:val="20"/>
          <w:szCs w:val="20"/>
          <w:color w:val="auto"/>
        </w:rPr>
      </w:pPr>
    </w:p>
    <w:p>
      <w:pPr>
        <w:jc w:val="both"/>
        <w:spacing w:after="0"/>
        <w:rPr>
          <w:sz w:val="20"/>
          <w:szCs w:val="20"/>
          <w:color w:val="auto"/>
        </w:rPr>
      </w:pPr>
      <w:r>
        <w:rPr>
          <w:rFonts w:ascii="Arial" w:cs="Arial" w:eastAsia="Arial" w:hAnsi="Arial"/>
          <w:sz w:val="17"/>
          <w:szCs w:val="17"/>
          <w:b w:val="1"/>
          <w:bCs w:val="1"/>
          <w:i w:val="1"/>
          <w:iCs w:val="1"/>
          <w:color w:val="49B28F"/>
        </w:rPr>
        <w:t xml:space="preserve">Performance Obligations. </w:t>
      </w:r>
      <w:r>
        <w:rPr>
          <w:rFonts w:ascii="Arial" w:cs="Arial" w:eastAsia="Arial" w:hAnsi="Arial"/>
          <w:sz w:val="17"/>
          <w:szCs w:val="17"/>
          <w:color w:val="000000"/>
        </w:rPr>
        <w:t>Performance obligations are contractual</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promises to transfer or provide a distinct good or service for a stated price. The Company’s product sales agreements are single-performance obligations that are satisfied at a point in time. Performance obligations within paving service agreements are satisfied over time, primarily ranging from one day to two years. For product revenues and freight revenues, customer payment terms are generally 30 days from invoice date. Customer payments for the paving operations are based on a contractual billing schedule and are due 30 days from invoice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Future revenues from unsatisfied performance obligations at December 31, 2018, 2017 and 2016 were $78,142,000, $66,956,000 and $74,146,000, respectively, where the remaining periods to complete these obligations ranged from two months to 22 months, one month to 23 months and one month to 33 months, respectively.</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17"/>
          <w:szCs w:val="17"/>
          <w:b w:val="1"/>
          <w:bCs w:val="1"/>
          <w:i w:val="1"/>
          <w:iCs w:val="1"/>
          <w:color w:val="49B28F"/>
        </w:rPr>
        <w:t xml:space="preserve">Sales Taxes. </w:t>
      </w:r>
      <w:r>
        <w:rPr>
          <w:rFonts w:ascii="Arial" w:cs="Arial" w:eastAsia="Arial" w:hAnsi="Arial"/>
          <w:sz w:val="17"/>
          <w:szCs w:val="17"/>
          <w:color w:val="000000"/>
        </w:rPr>
        <w:t>The Company is deemed to be an agent when collecting</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sales taxes from customers. Sales taxes collected are initially recorded as liabilities until remitted to taxing authorities and are not reflected in the consolidated statements of earnings as revenues and expenses.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49B28F"/>
        </w:rPr>
        <w:t xml:space="preserve">Revenue by Category. </w:t>
      </w:r>
      <w:r>
        <w:rPr>
          <w:rFonts w:ascii="Arial" w:cs="Arial" w:eastAsia="Arial" w:hAnsi="Arial"/>
          <w:sz w:val="17"/>
          <w:szCs w:val="17"/>
          <w:color w:val="000000"/>
        </w:rPr>
        <w:t>The following table presents the Company’s total</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revenues by category for each reportable segment: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center"/>
              <w:ind w:right="128"/>
              <w:spacing w:after="0"/>
              <w:rPr>
                <w:sz w:val="20"/>
                <w:szCs w:val="20"/>
                <w:color w:val="auto"/>
              </w:rPr>
            </w:pPr>
            <w:r>
              <w:rPr>
                <w:rFonts w:ascii="Arial" w:cs="Arial" w:eastAsia="Arial" w:hAnsi="Arial"/>
                <w:sz w:val="14"/>
                <w:szCs w:val="14"/>
                <w:b w:val="1"/>
                <w:bCs w:val="1"/>
                <w:color w:val="auto"/>
              </w:rPr>
              <w:t>Products</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2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center"/>
              <w:ind w:right="128"/>
              <w:spacing w:after="0"/>
              <w:rPr>
                <w:sz w:val="20"/>
                <w:szCs w:val="20"/>
                <w:color w:val="auto"/>
              </w:rPr>
            </w:pPr>
            <w:r>
              <w:rPr>
                <w:rFonts w:ascii="Arial" w:cs="Arial" w:eastAsia="Arial" w:hAnsi="Arial"/>
                <w:sz w:val="14"/>
                <w:szCs w:val="14"/>
                <w:b w:val="1"/>
                <w:bCs w:val="1"/>
                <w:color w:val="auto"/>
                <w:w w:val="96"/>
              </w:rPr>
              <w:t>and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5"/>
        </w:trPr>
        <w:tc>
          <w:tcPr>
            <w:tcW w:w="2540" w:type="dxa"/>
            <w:vAlign w:val="bottom"/>
          </w:tcPr>
          <w:p>
            <w:pPr>
              <w:spacing w:after="0"/>
              <w:rPr>
                <w:sz w:val="20"/>
                <w:szCs w:val="20"/>
                <w:color w:val="auto"/>
              </w:rPr>
            </w:pPr>
            <w:r>
              <w:rPr>
                <w:rFonts w:ascii="Arial" w:cs="Arial" w:eastAsia="Arial" w:hAnsi="Arial"/>
                <w:sz w:val="14"/>
                <w:szCs w:val="14"/>
                <w:i w:val="1"/>
                <w:i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Services</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Freight</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r>
      <w:tr>
        <w:trPr>
          <w:trHeight w:val="156"/>
        </w:trPr>
        <w:tc>
          <w:tcPr>
            <w:tcW w:w="25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(add 000)</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67"/>
              <w:spacing w:after="0" w:line="156" w:lineRule="exact"/>
              <w:rPr>
                <w:sz w:val="20"/>
                <w:szCs w:val="20"/>
                <w:color w:val="auto"/>
              </w:rPr>
            </w:pPr>
            <w:r>
              <w:rPr>
                <w:rFonts w:ascii="Arial" w:cs="Arial" w:eastAsia="Arial" w:hAnsi="Arial"/>
                <w:sz w:val="15"/>
                <w:szCs w:val="15"/>
                <w:b w:val="1"/>
                <w:bCs w:val="1"/>
                <w:color w:val="0085CD"/>
              </w:rPr>
              <w:t>2018</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156"/>
        </w:trPr>
        <w:tc>
          <w:tcPr>
            <w:tcW w:w="25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Mid-America Group</w:t>
            </w:r>
          </w:p>
        </w:tc>
        <w:tc>
          <w:tcPr>
            <w:tcW w:w="2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1,133,754</w:t>
            </w:r>
          </w:p>
        </w:tc>
        <w:tc>
          <w:tcPr>
            <w:tcW w:w="2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47"/>
              <w:spacing w:after="0" w:line="155" w:lineRule="exact"/>
              <w:rPr>
                <w:sz w:val="20"/>
                <w:szCs w:val="20"/>
                <w:color w:val="auto"/>
              </w:rPr>
            </w:pPr>
            <w:r>
              <w:rPr>
                <w:rFonts w:ascii="Arial" w:cs="Arial" w:eastAsia="Arial" w:hAnsi="Arial"/>
                <w:sz w:val="14"/>
                <w:szCs w:val="14"/>
                <w:b w:val="1"/>
                <w:bCs w:val="1"/>
                <w:color w:val="auto"/>
              </w:rPr>
              <w:t>89,482</w:t>
            </w:r>
          </w:p>
        </w:tc>
        <w:tc>
          <w:tcPr>
            <w:tcW w:w="2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1,223,236</w:t>
            </w:r>
          </w:p>
        </w:tc>
      </w:tr>
      <w:tr>
        <w:trPr>
          <w:trHeight w:val="162"/>
        </w:trPr>
        <w:tc>
          <w:tcPr>
            <w:tcW w:w="2540" w:type="dxa"/>
            <w:vAlign w:val="bottom"/>
          </w:tcPr>
          <w:p>
            <w:pPr>
              <w:spacing w:after="0"/>
              <w:rPr>
                <w:sz w:val="20"/>
                <w:szCs w:val="20"/>
                <w:color w:val="auto"/>
              </w:rPr>
            </w:pPr>
            <w:r>
              <w:rPr>
                <w:rFonts w:ascii="Arial" w:cs="Arial" w:eastAsia="Arial" w:hAnsi="Arial"/>
                <w:sz w:val="14"/>
                <w:szCs w:val="14"/>
                <w:color w:val="auto"/>
              </w:rPr>
              <w:t>Southeast Group</w:t>
            </w:r>
          </w:p>
        </w:tc>
        <w:tc>
          <w:tcPr>
            <w:tcW w:w="28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409,543</w:t>
            </w:r>
          </w:p>
        </w:tc>
        <w:tc>
          <w:tcPr>
            <w:tcW w:w="220" w:type="dxa"/>
            <w:vAlign w:val="bottom"/>
          </w:tcPr>
          <w:p>
            <w:pPr>
              <w:spacing w:after="0"/>
              <w:rPr>
                <w:sz w:val="14"/>
                <w:szCs w:val="14"/>
                <w:color w:val="auto"/>
              </w:rPr>
            </w:pPr>
          </w:p>
        </w:tc>
        <w:tc>
          <w:tcPr>
            <w:tcW w:w="720" w:type="dxa"/>
            <w:vAlign w:val="bottom"/>
          </w:tcPr>
          <w:p>
            <w:pPr>
              <w:jc w:val="right"/>
              <w:ind w:right="47"/>
              <w:spacing w:after="0"/>
              <w:rPr>
                <w:sz w:val="20"/>
                <w:szCs w:val="20"/>
                <w:color w:val="auto"/>
              </w:rPr>
            </w:pPr>
            <w:r>
              <w:rPr>
                <w:rFonts w:ascii="Arial" w:cs="Arial" w:eastAsia="Arial" w:hAnsi="Arial"/>
                <w:sz w:val="14"/>
                <w:szCs w:val="14"/>
                <w:b w:val="1"/>
                <w:bCs w:val="1"/>
                <w:color w:val="auto"/>
              </w:rPr>
              <w:t>13,839</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423,382</w:t>
            </w:r>
          </w:p>
        </w:tc>
      </w:tr>
      <w:tr>
        <w:trPr>
          <w:trHeight w:val="162"/>
        </w:trPr>
        <w:tc>
          <w:tcPr>
            <w:tcW w:w="2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West Group</w:t>
            </w: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2,168,418</w:t>
            </w: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b w:val="1"/>
                <w:bCs w:val="1"/>
                <w:color w:val="auto"/>
              </w:rPr>
              <w:t>141,506</w:t>
            </w: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2,309,924</w:t>
            </w:r>
          </w:p>
        </w:tc>
      </w:tr>
      <w:tr>
        <w:trPr>
          <w:trHeight w:val="169"/>
        </w:trPr>
        <w:tc>
          <w:tcPr>
            <w:tcW w:w="2540" w:type="dxa"/>
            <w:vAlign w:val="bottom"/>
          </w:tcPr>
          <w:p>
            <w:pPr>
              <w:spacing w:after="0"/>
              <w:rPr>
                <w:sz w:val="20"/>
                <w:szCs w:val="20"/>
                <w:color w:val="auto"/>
              </w:rPr>
            </w:pPr>
            <w:r>
              <w:rPr>
                <w:rFonts w:ascii="Arial" w:cs="Arial" w:eastAsia="Arial" w:hAnsi="Arial"/>
                <w:sz w:val="14"/>
                <w:szCs w:val="14"/>
                <w:color w:val="auto"/>
              </w:rPr>
              <w:t>Total Building Materials Business</w:t>
            </w:r>
          </w:p>
        </w:tc>
        <w:tc>
          <w:tcPr>
            <w:tcW w:w="28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3,711,715</w:t>
            </w:r>
          </w:p>
        </w:tc>
        <w:tc>
          <w:tcPr>
            <w:tcW w:w="220" w:type="dxa"/>
            <w:vAlign w:val="bottom"/>
          </w:tcPr>
          <w:p>
            <w:pPr>
              <w:spacing w:after="0"/>
              <w:rPr>
                <w:sz w:val="14"/>
                <w:szCs w:val="14"/>
                <w:color w:val="auto"/>
              </w:rPr>
            </w:pPr>
          </w:p>
        </w:tc>
        <w:tc>
          <w:tcPr>
            <w:tcW w:w="720" w:type="dxa"/>
            <w:vAlign w:val="bottom"/>
          </w:tcPr>
          <w:p>
            <w:pPr>
              <w:jc w:val="right"/>
              <w:ind w:right="47"/>
              <w:spacing w:after="0"/>
              <w:rPr>
                <w:sz w:val="20"/>
                <w:szCs w:val="20"/>
                <w:color w:val="auto"/>
              </w:rPr>
            </w:pPr>
            <w:r>
              <w:rPr>
                <w:rFonts w:ascii="Arial" w:cs="Arial" w:eastAsia="Arial" w:hAnsi="Arial"/>
                <w:sz w:val="14"/>
                <w:szCs w:val="14"/>
                <w:b w:val="1"/>
                <w:bCs w:val="1"/>
                <w:color w:val="auto"/>
              </w:rPr>
              <w:t>244,827</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3,956,542</w:t>
            </w:r>
          </w:p>
        </w:tc>
      </w:tr>
      <w:tr>
        <w:trPr>
          <w:trHeight w:val="162"/>
        </w:trPr>
        <w:tc>
          <w:tcPr>
            <w:tcW w:w="2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Magnesia Specialties</w:t>
            </w: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268,636</w:t>
            </w: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b w:val="1"/>
                <w:bCs w:val="1"/>
                <w:color w:val="auto"/>
              </w:rPr>
              <w:t>19,087</w:t>
            </w: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287,723</w:t>
            </w:r>
          </w:p>
        </w:tc>
      </w:tr>
      <w:tr>
        <w:trPr>
          <w:trHeight w:val="163"/>
        </w:trPr>
        <w:tc>
          <w:tcPr>
            <w:tcW w:w="25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3,980,351</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263,914</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4,244,265</w:t>
            </w:r>
          </w:p>
        </w:tc>
      </w:tr>
      <w:tr>
        <w:trPr>
          <w:trHeight w:val="257"/>
        </w:trPr>
        <w:tc>
          <w:tcPr>
            <w:tcW w:w="25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2017</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r>
      <w:tr>
        <w:trPr>
          <w:trHeight w:val="156"/>
        </w:trPr>
        <w:tc>
          <w:tcPr>
            <w:tcW w:w="25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Mid-America Group</w:t>
            </w:r>
          </w:p>
        </w:tc>
        <w:tc>
          <w:tcPr>
            <w:tcW w:w="2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982,214</w:t>
            </w:r>
          </w:p>
        </w:tc>
        <w:tc>
          <w:tcPr>
            <w:tcW w:w="2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7"/>
              <w:spacing w:after="0" w:line="155" w:lineRule="exact"/>
              <w:rPr>
                <w:sz w:val="20"/>
                <w:szCs w:val="20"/>
                <w:color w:val="auto"/>
              </w:rPr>
            </w:pPr>
            <w:r>
              <w:rPr>
                <w:rFonts w:ascii="Arial" w:cs="Arial" w:eastAsia="Arial" w:hAnsi="Arial"/>
                <w:sz w:val="14"/>
                <w:szCs w:val="14"/>
                <w:color w:val="auto"/>
              </w:rPr>
              <w:t>71,112</w:t>
            </w:r>
          </w:p>
        </w:tc>
        <w:tc>
          <w:tcPr>
            <w:tcW w:w="2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1,053,326</w:t>
            </w:r>
          </w:p>
        </w:tc>
      </w:tr>
      <w:tr>
        <w:trPr>
          <w:trHeight w:val="162"/>
        </w:trPr>
        <w:tc>
          <w:tcPr>
            <w:tcW w:w="2540" w:type="dxa"/>
            <w:vAlign w:val="bottom"/>
          </w:tcPr>
          <w:p>
            <w:pPr>
              <w:spacing w:after="0"/>
              <w:rPr>
                <w:sz w:val="20"/>
                <w:szCs w:val="20"/>
                <w:color w:val="auto"/>
              </w:rPr>
            </w:pPr>
            <w:r>
              <w:rPr>
                <w:rFonts w:ascii="Arial" w:cs="Arial" w:eastAsia="Arial" w:hAnsi="Arial"/>
                <w:sz w:val="14"/>
                <w:szCs w:val="14"/>
                <w:color w:val="auto"/>
              </w:rPr>
              <w:t>Southeast Group</w:t>
            </w:r>
          </w:p>
        </w:tc>
        <w:tc>
          <w:tcPr>
            <w:tcW w:w="28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348,675</w:t>
            </w:r>
          </w:p>
        </w:tc>
        <w:tc>
          <w:tcPr>
            <w:tcW w:w="220" w:type="dxa"/>
            <w:vAlign w:val="bottom"/>
          </w:tcPr>
          <w:p>
            <w:pPr>
              <w:spacing w:after="0"/>
              <w:rPr>
                <w:sz w:val="14"/>
                <w:szCs w:val="14"/>
                <w:color w:val="auto"/>
              </w:rPr>
            </w:pPr>
          </w:p>
        </w:tc>
        <w:tc>
          <w:tcPr>
            <w:tcW w:w="720" w:type="dxa"/>
            <w:vAlign w:val="bottom"/>
          </w:tcPr>
          <w:p>
            <w:pPr>
              <w:jc w:val="right"/>
              <w:ind w:right="47"/>
              <w:spacing w:after="0"/>
              <w:rPr>
                <w:sz w:val="20"/>
                <w:szCs w:val="20"/>
                <w:color w:val="auto"/>
              </w:rPr>
            </w:pPr>
            <w:r>
              <w:rPr>
                <w:rFonts w:ascii="Arial" w:cs="Arial" w:eastAsia="Arial" w:hAnsi="Arial"/>
                <w:sz w:val="14"/>
                <w:szCs w:val="14"/>
                <w:color w:val="auto"/>
              </w:rPr>
              <w:t>13,880</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362,555</w:t>
            </w:r>
          </w:p>
        </w:tc>
      </w:tr>
      <w:tr>
        <w:trPr>
          <w:trHeight w:val="162"/>
        </w:trPr>
        <w:tc>
          <w:tcPr>
            <w:tcW w:w="2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West Group</w:t>
            </w: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2,139,867</w:t>
            </w: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139,856</w:t>
            </w: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2,279,723</w:t>
            </w:r>
          </w:p>
        </w:tc>
      </w:tr>
      <w:tr>
        <w:trPr>
          <w:trHeight w:val="156"/>
        </w:trPr>
        <w:tc>
          <w:tcPr>
            <w:tcW w:w="2540" w:type="dxa"/>
            <w:vAlign w:val="bottom"/>
          </w:tcPr>
          <w:p>
            <w:pPr>
              <w:spacing w:after="0" w:line="155" w:lineRule="exact"/>
              <w:rPr>
                <w:sz w:val="20"/>
                <w:szCs w:val="20"/>
                <w:color w:val="auto"/>
              </w:rPr>
            </w:pPr>
            <w:r>
              <w:rPr>
                <w:rFonts w:ascii="Arial" w:cs="Arial" w:eastAsia="Arial" w:hAnsi="Arial"/>
                <w:sz w:val="14"/>
                <w:szCs w:val="14"/>
                <w:color w:val="auto"/>
              </w:rPr>
              <w:t>Total Building Materials Business</w:t>
            </w:r>
          </w:p>
        </w:tc>
        <w:tc>
          <w:tcPr>
            <w:tcW w:w="280" w:type="dxa"/>
            <w:vAlign w:val="bottom"/>
          </w:tcPr>
          <w:p>
            <w:pPr>
              <w:spacing w:after="0"/>
              <w:rPr>
                <w:sz w:val="13"/>
                <w:szCs w:val="13"/>
                <w:color w:val="auto"/>
              </w:rPr>
            </w:pPr>
          </w:p>
        </w:tc>
        <w:tc>
          <w:tcPr>
            <w:tcW w:w="8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3,470,756</w:t>
            </w:r>
          </w:p>
        </w:tc>
        <w:tc>
          <w:tcPr>
            <w:tcW w:w="220" w:type="dxa"/>
            <w:vAlign w:val="bottom"/>
          </w:tcPr>
          <w:p>
            <w:pPr>
              <w:spacing w:after="0"/>
              <w:rPr>
                <w:sz w:val="13"/>
                <w:szCs w:val="13"/>
                <w:color w:val="auto"/>
              </w:rPr>
            </w:pPr>
          </w:p>
        </w:tc>
        <w:tc>
          <w:tcPr>
            <w:tcW w:w="720" w:type="dxa"/>
            <w:vAlign w:val="bottom"/>
          </w:tcPr>
          <w:p>
            <w:pPr>
              <w:jc w:val="right"/>
              <w:ind w:right="47"/>
              <w:spacing w:after="0" w:line="155" w:lineRule="exact"/>
              <w:rPr>
                <w:sz w:val="20"/>
                <w:szCs w:val="20"/>
                <w:color w:val="auto"/>
              </w:rPr>
            </w:pPr>
            <w:r>
              <w:rPr>
                <w:rFonts w:ascii="Arial" w:cs="Arial" w:eastAsia="Arial" w:hAnsi="Arial"/>
                <w:sz w:val="14"/>
                <w:szCs w:val="14"/>
                <w:color w:val="auto"/>
              </w:rPr>
              <w:t>224,848</w:t>
            </w:r>
          </w:p>
        </w:tc>
        <w:tc>
          <w:tcPr>
            <w:tcW w:w="26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3,695,604</w:t>
            </w:r>
          </w:p>
        </w:tc>
      </w:tr>
      <w:tr>
        <w:trPr>
          <w:trHeight w:val="162"/>
        </w:trPr>
        <w:tc>
          <w:tcPr>
            <w:tcW w:w="2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Magnesia Specialties</w:t>
            </w: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252,722</w:t>
            </w: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17,268</w:t>
            </w: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269,990</w:t>
            </w:r>
          </w:p>
        </w:tc>
      </w:tr>
      <w:tr>
        <w:trPr>
          <w:trHeight w:val="163"/>
        </w:trPr>
        <w:tc>
          <w:tcPr>
            <w:tcW w:w="25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3,723,478</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242,116</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3,965,594</w:t>
            </w:r>
          </w:p>
        </w:tc>
      </w:tr>
      <w:tr>
        <w:trPr>
          <w:trHeight w:val="257"/>
        </w:trPr>
        <w:tc>
          <w:tcPr>
            <w:tcW w:w="25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2016</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r>
      <w:tr>
        <w:trPr>
          <w:trHeight w:val="156"/>
        </w:trPr>
        <w:tc>
          <w:tcPr>
            <w:tcW w:w="25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Mid-America Group</w:t>
            </w:r>
          </w:p>
        </w:tc>
        <w:tc>
          <w:tcPr>
            <w:tcW w:w="2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945,193</w:t>
            </w:r>
          </w:p>
        </w:tc>
        <w:tc>
          <w:tcPr>
            <w:tcW w:w="2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7"/>
              <w:spacing w:after="0" w:line="155" w:lineRule="exact"/>
              <w:rPr>
                <w:sz w:val="20"/>
                <w:szCs w:val="20"/>
                <w:color w:val="auto"/>
              </w:rPr>
            </w:pPr>
            <w:r>
              <w:rPr>
                <w:rFonts w:ascii="Arial" w:cs="Arial" w:eastAsia="Arial" w:hAnsi="Arial"/>
                <w:sz w:val="14"/>
                <w:szCs w:val="14"/>
                <w:color w:val="auto"/>
              </w:rPr>
              <w:t>71,905</w:t>
            </w:r>
          </w:p>
        </w:tc>
        <w:tc>
          <w:tcPr>
            <w:tcW w:w="2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1,017,098</w:t>
            </w:r>
          </w:p>
        </w:tc>
      </w:tr>
      <w:tr>
        <w:trPr>
          <w:trHeight w:val="162"/>
        </w:trPr>
        <w:tc>
          <w:tcPr>
            <w:tcW w:w="2540" w:type="dxa"/>
            <w:vAlign w:val="bottom"/>
          </w:tcPr>
          <w:p>
            <w:pPr>
              <w:spacing w:after="0"/>
              <w:rPr>
                <w:sz w:val="20"/>
                <w:szCs w:val="20"/>
                <w:color w:val="auto"/>
              </w:rPr>
            </w:pPr>
            <w:r>
              <w:rPr>
                <w:rFonts w:ascii="Arial" w:cs="Arial" w:eastAsia="Arial" w:hAnsi="Arial"/>
                <w:sz w:val="14"/>
                <w:szCs w:val="14"/>
                <w:color w:val="auto"/>
              </w:rPr>
              <w:t>Southeast Group</w:t>
            </w:r>
          </w:p>
        </w:tc>
        <w:tc>
          <w:tcPr>
            <w:tcW w:w="28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304,722</w:t>
            </w:r>
          </w:p>
        </w:tc>
        <w:tc>
          <w:tcPr>
            <w:tcW w:w="220" w:type="dxa"/>
            <w:vAlign w:val="bottom"/>
          </w:tcPr>
          <w:p>
            <w:pPr>
              <w:spacing w:after="0"/>
              <w:rPr>
                <w:sz w:val="14"/>
                <w:szCs w:val="14"/>
                <w:color w:val="auto"/>
              </w:rPr>
            </w:pPr>
          </w:p>
        </w:tc>
        <w:tc>
          <w:tcPr>
            <w:tcW w:w="720" w:type="dxa"/>
            <w:vAlign w:val="bottom"/>
          </w:tcPr>
          <w:p>
            <w:pPr>
              <w:jc w:val="right"/>
              <w:ind w:right="47"/>
              <w:spacing w:after="0"/>
              <w:rPr>
                <w:sz w:val="20"/>
                <w:szCs w:val="20"/>
                <w:color w:val="auto"/>
              </w:rPr>
            </w:pPr>
            <w:r>
              <w:rPr>
                <w:rFonts w:ascii="Arial" w:cs="Arial" w:eastAsia="Arial" w:hAnsi="Arial"/>
                <w:sz w:val="14"/>
                <w:szCs w:val="14"/>
                <w:color w:val="auto"/>
              </w:rPr>
              <w:t>16,356</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321,078</w:t>
            </w:r>
          </w:p>
        </w:tc>
      </w:tr>
      <w:tr>
        <w:trPr>
          <w:trHeight w:val="162"/>
        </w:trPr>
        <w:tc>
          <w:tcPr>
            <w:tcW w:w="2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West Group</w:t>
            </w: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2,086,351</w:t>
            </w: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137,164</w:t>
            </w: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2,223,515</w:t>
            </w:r>
          </w:p>
        </w:tc>
      </w:tr>
      <w:tr>
        <w:trPr>
          <w:trHeight w:val="156"/>
        </w:trPr>
        <w:tc>
          <w:tcPr>
            <w:tcW w:w="2540" w:type="dxa"/>
            <w:vAlign w:val="bottom"/>
          </w:tcPr>
          <w:p>
            <w:pPr>
              <w:spacing w:after="0" w:line="155" w:lineRule="exact"/>
              <w:rPr>
                <w:sz w:val="20"/>
                <w:szCs w:val="20"/>
                <w:color w:val="auto"/>
              </w:rPr>
            </w:pPr>
            <w:r>
              <w:rPr>
                <w:rFonts w:ascii="Arial" w:cs="Arial" w:eastAsia="Arial" w:hAnsi="Arial"/>
                <w:sz w:val="14"/>
                <w:szCs w:val="14"/>
                <w:color w:val="auto"/>
              </w:rPr>
              <w:t>Total Building Materials Business</w:t>
            </w:r>
          </w:p>
        </w:tc>
        <w:tc>
          <w:tcPr>
            <w:tcW w:w="280" w:type="dxa"/>
            <w:vAlign w:val="bottom"/>
          </w:tcPr>
          <w:p>
            <w:pPr>
              <w:spacing w:after="0"/>
              <w:rPr>
                <w:sz w:val="13"/>
                <w:szCs w:val="13"/>
                <w:color w:val="auto"/>
              </w:rPr>
            </w:pPr>
          </w:p>
        </w:tc>
        <w:tc>
          <w:tcPr>
            <w:tcW w:w="8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3,336,266</w:t>
            </w:r>
          </w:p>
        </w:tc>
        <w:tc>
          <w:tcPr>
            <w:tcW w:w="220" w:type="dxa"/>
            <w:vAlign w:val="bottom"/>
          </w:tcPr>
          <w:p>
            <w:pPr>
              <w:spacing w:after="0"/>
              <w:rPr>
                <w:sz w:val="13"/>
                <w:szCs w:val="13"/>
                <w:color w:val="auto"/>
              </w:rPr>
            </w:pPr>
          </w:p>
        </w:tc>
        <w:tc>
          <w:tcPr>
            <w:tcW w:w="720" w:type="dxa"/>
            <w:vAlign w:val="bottom"/>
          </w:tcPr>
          <w:p>
            <w:pPr>
              <w:jc w:val="right"/>
              <w:ind w:right="47"/>
              <w:spacing w:after="0" w:line="155" w:lineRule="exact"/>
              <w:rPr>
                <w:sz w:val="20"/>
                <w:szCs w:val="20"/>
                <w:color w:val="auto"/>
              </w:rPr>
            </w:pPr>
            <w:r>
              <w:rPr>
                <w:rFonts w:ascii="Arial" w:cs="Arial" w:eastAsia="Arial" w:hAnsi="Arial"/>
                <w:sz w:val="14"/>
                <w:szCs w:val="14"/>
                <w:color w:val="auto"/>
              </w:rPr>
              <w:t>225,425</w:t>
            </w:r>
          </w:p>
        </w:tc>
        <w:tc>
          <w:tcPr>
            <w:tcW w:w="26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3,561,691</w:t>
            </w:r>
          </w:p>
        </w:tc>
      </w:tr>
      <w:tr>
        <w:trPr>
          <w:trHeight w:val="162"/>
        </w:trPr>
        <w:tc>
          <w:tcPr>
            <w:tcW w:w="2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Magnesia Specialties</w:t>
            </w: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242,384</w:t>
            </w: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14,674</w:t>
            </w: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257,058</w:t>
            </w:r>
          </w:p>
        </w:tc>
      </w:tr>
      <w:tr>
        <w:trPr>
          <w:trHeight w:val="163"/>
        </w:trPr>
        <w:tc>
          <w:tcPr>
            <w:tcW w:w="25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3,578,650</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color w:val="auto"/>
              </w:rPr>
              <w:t>240,099</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3,818,749</w:t>
            </w:r>
          </w:p>
        </w:tc>
      </w:tr>
    </w:tbl>
    <w:p>
      <w:pPr>
        <w:spacing w:after="0" w:line="656"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21</w:t>
      </w:r>
    </w:p>
    <w:p>
      <w:pPr>
        <w:sectPr>
          <w:pgSz w:w="11900" w:h="16838" w:orient="portrait"/>
          <w:cols w:equalWidth="0" w:num="1">
            <w:col w:w="11420"/>
          </w:cols>
          <w:pgMar w:left="240" w:top="265" w:right="239" w:bottom="1440" w:gutter="0" w:footer="0" w:header="0"/>
          <w:type w:val="continuous"/>
        </w:sectPr>
      </w:pPr>
    </w:p>
    <w:bookmarkStart w:id="60" w:name="page61"/>
    <w:bookmarkEnd w:id="60"/>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Service revenues, which solely include the paving operations located in Colorado, were $219,593,000, $245,276,000 and $216,827,000 for the years ended December 31, 2018, 2017 and 2016, respectively.</w:t>
      </w:r>
    </w:p>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i w:val="1"/>
          <w:iCs w:val="1"/>
          <w:color w:val="49B28F"/>
        </w:rPr>
        <w:t xml:space="preserve">Contract Balances. </w:t>
      </w:r>
      <w:r>
        <w:rPr>
          <w:rFonts w:ascii="Arial" w:cs="Arial" w:eastAsia="Arial" w:hAnsi="Arial"/>
          <w:sz w:val="17"/>
          <w:szCs w:val="17"/>
          <w:color w:val="000000"/>
        </w:rPr>
        <w:t>Costs in excess of billings relate to the conditional</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right to consideration for completed contractual performance and are contract assets on the consolidated balance sheets. Costs in excess of billings are reclassified to accounts receivable when the right to consideration becomes unconditional. Billings in excess of costs relate to customers invoiced in advance of contractual performance and are contract liabilities on the consolidated balance sheets. The following table presents information about the Company’s contract balances: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60" w:type="dxa"/>
            <w:vAlign w:val="bottom"/>
          </w:tcPr>
          <w:p>
            <w:pPr>
              <w:ind w:left="20"/>
              <w:spacing w:after="0"/>
              <w:rPr>
                <w:sz w:val="20"/>
                <w:szCs w:val="20"/>
                <w:color w:val="auto"/>
              </w:rPr>
            </w:pPr>
            <w:r>
              <w:rPr>
                <w:rFonts w:ascii="Arial" w:cs="Arial" w:eastAsia="Arial" w:hAnsi="Arial"/>
                <w:sz w:val="14"/>
                <w:szCs w:val="14"/>
                <w:i w:val="1"/>
                <w:iCs w:val="1"/>
                <w:color w:val="auto"/>
              </w:rPr>
              <w:t>December 31</w:t>
            </w:r>
          </w:p>
        </w:tc>
        <w:tc>
          <w:tcPr>
            <w:tcW w:w="1280" w:type="dxa"/>
            <w:vAlign w:val="bottom"/>
          </w:tcPr>
          <w:p>
            <w:pPr>
              <w:spacing w:after="0"/>
              <w:rPr>
                <w:sz w:val="15"/>
                <w:szCs w:val="15"/>
                <w:color w:val="auto"/>
              </w:rPr>
            </w:pPr>
          </w:p>
        </w:tc>
        <w:tc>
          <w:tcPr>
            <w:tcW w:w="6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0085CD"/>
              </w:rPr>
              <w:t>2018</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60" w:type="dxa"/>
            <w:vAlign w:val="bottom"/>
            <w:tcBorders>
              <w:bottom w:val="single" w:sz="8" w:color="auto"/>
            </w:tcBorders>
          </w:tcPr>
          <w:p>
            <w:pPr>
              <w:ind w:left="20"/>
              <w:spacing w:after="0" w:line="157" w:lineRule="exact"/>
              <w:rPr>
                <w:sz w:val="20"/>
                <w:szCs w:val="20"/>
                <w:color w:val="auto"/>
              </w:rPr>
            </w:pPr>
            <w:r>
              <w:rPr>
                <w:rFonts w:ascii="Arial" w:cs="Arial" w:eastAsia="Arial" w:hAnsi="Arial"/>
                <w:sz w:val="14"/>
                <w:szCs w:val="14"/>
                <w:color w:val="auto"/>
              </w:rPr>
              <w:t>(add 000)</w:t>
            </w:r>
          </w:p>
        </w:tc>
        <w:tc>
          <w:tcPr>
            <w:tcW w:w="1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156"/>
        </w:trPr>
        <w:tc>
          <w:tcPr>
            <w:tcW w:w="27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Costs in excess of billings</w:t>
            </w:r>
          </w:p>
        </w:tc>
        <w:tc>
          <w:tcPr>
            <w:tcW w:w="12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b w:val="1"/>
                <w:bCs w:val="1"/>
                <w:color w:val="auto"/>
              </w:rPr>
              <w:t>1,975</w:t>
            </w:r>
          </w:p>
        </w:tc>
        <w:tc>
          <w:tcPr>
            <w:tcW w:w="3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1,310</w:t>
            </w:r>
          </w:p>
        </w:tc>
        <w:tc>
          <w:tcPr>
            <w:tcW w:w="0" w:type="dxa"/>
            <w:vAlign w:val="bottom"/>
          </w:tcPr>
          <w:p>
            <w:pPr>
              <w:spacing w:after="0"/>
              <w:rPr>
                <w:sz w:val="1"/>
                <w:szCs w:val="1"/>
                <w:color w:val="auto"/>
              </w:rPr>
            </w:pPr>
          </w:p>
        </w:tc>
      </w:tr>
      <w:tr>
        <w:trPr>
          <w:trHeight w:val="190"/>
        </w:trPr>
        <w:tc>
          <w:tcPr>
            <w:tcW w:w="2760" w:type="dxa"/>
            <w:vAlign w:val="bottom"/>
          </w:tcPr>
          <w:p>
            <w:pPr>
              <w:ind w:left="20"/>
              <w:spacing w:after="0"/>
              <w:rPr>
                <w:sz w:val="20"/>
                <w:szCs w:val="20"/>
                <w:color w:val="auto"/>
              </w:rPr>
            </w:pPr>
            <w:r>
              <w:rPr>
                <w:rFonts w:ascii="Arial" w:cs="Arial" w:eastAsia="Arial" w:hAnsi="Arial"/>
                <w:sz w:val="14"/>
                <w:szCs w:val="14"/>
                <w:color w:val="auto"/>
              </w:rPr>
              <w:t>Billings in excess of costs</w:t>
            </w: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rPr>
              <w:t>6,743</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7,204</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Revenues recognized from the beginning balance of contract liabilities for the years ended December 31, 2018 and 2017 were $6,831,000 and $8,265,000, respectively.</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Retainage, which primarily relates to the paving services, represents amounts that have been billed to customers but payment withheld until final acceptance of the performance obligation by the customer. Included on the Company’s consolidated balance sheets, retainage was $7,528,000 and $9,029,000 at December 31, 2018 and 2017, respectively.</w:t>
      </w:r>
    </w:p>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i w:val="1"/>
          <w:iCs w:val="1"/>
          <w:color w:val="49B28F"/>
        </w:rPr>
        <w:t xml:space="preserve">Policy Elections. </w:t>
      </w:r>
      <w:r>
        <w:rPr>
          <w:rFonts w:ascii="Arial" w:cs="Arial" w:eastAsia="Arial" w:hAnsi="Arial"/>
          <w:sz w:val="17"/>
          <w:szCs w:val="17"/>
          <w:color w:val="000000"/>
        </w:rPr>
        <w:t>When the Company arranges third party freight to</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deliver products to customers, the Company has elected the delivery to be a fulfillment activity rather than a separate performance obligation. Further, the Company acts as a principal in the delivery arrangements and, as required by ASU 2014-09, the related revenues and costs are presented gross and are included in the consolidated statements of earnings.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Note C: Goodwill and Other Intangible Assets</w:t>
      </w:r>
    </w:p>
    <w:p>
      <w:pPr>
        <w:spacing w:after="0" w:line="12"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following table shows the changes in goodwill by reportable segment and in total:</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900" w:type="dxa"/>
            <w:vAlign w:val="bottom"/>
          </w:tcPr>
          <w:p>
            <w:pPr>
              <w:jc w:val="center"/>
              <w:ind w:left="8"/>
              <w:spacing w:after="0"/>
              <w:rPr>
                <w:sz w:val="20"/>
                <w:szCs w:val="20"/>
                <w:color w:val="auto"/>
              </w:rPr>
            </w:pPr>
            <w:r>
              <w:rPr>
                <w:rFonts w:ascii="Arial" w:cs="Arial" w:eastAsia="Arial" w:hAnsi="Arial"/>
                <w:sz w:val="14"/>
                <w:szCs w:val="14"/>
                <w:b w:val="1"/>
                <w:bCs w:val="1"/>
                <w:color w:val="auto"/>
              </w:rPr>
              <w:t>Mid-</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America</w:t>
            </w: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Southeast</w:t>
            </w: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West</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00" w:type="dxa"/>
            <w:vAlign w:val="bottom"/>
            <w:vMerge w:val="restart"/>
          </w:tcPr>
          <w:p>
            <w:pPr>
              <w:spacing w:after="0"/>
              <w:rPr>
                <w:sz w:val="20"/>
                <w:szCs w:val="20"/>
                <w:color w:val="auto"/>
              </w:rPr>
            </w:pPr>
            <w:r>
              <w:rPr>
                <w:rFonts w:ascii="Arial" w:cs="Arial" w:eastAsia="Arial" w:hAnsi="Arial"/>
                <w:sz w:val="14"/>
                <w:szCs w:val="14"/>
                <w:i w:val="1"/>
                <w:iCs w:val="1"/>
                <w:color w:val="auto"/>
              </w:rPr>
              <w:t>December 31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Group</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Group</w:t>
            </w: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Group</w:t>
            </w: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7"/>
        </w:trPr>
        <w:tc>
          <w:tcPr>
            <w:tcW w:w="180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vMerge w:val="restart"/>
          </w:tcPr>
          <w:p>
            <w:pPr>
              <w:jc w:val="right"/>
              <w:ind w:right="628"/>
              <w:spacing w:after="0"/>
              <w:rPr>
                <w:sz w:val="20"/>
                <w:szCs w:val="20"/>
                <w:color w:val="auto"/>
              </w:rPr>
            </w:pPr>
            <w:r>
              <w:rPr>
                <w:rFonts w:ascii="Arial" w:cs="Arial" w:eastAsia="Arial" w:hAnsi="Arial"/>
                <w:sz w:val="15"/>
                <w:szCs w:val="15"/>
                <w:b w:val="1"/>
                <w:bCs w:val="1"/>
                <w:color w:val="0085CD"/>
              </w:rPr>
              <w:t>2018</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rPr>
              <w:t>Balance at beginning of</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$281,403</w:t>
            </w:r>
          </w:p>
        </w:tc>
        <w:tc>
          <w:tcPr>
            <w:tcW w:w="220" w:type="dxa"/>
            <w:vAlign w:val="bottom"/>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50,346</w:t>
            </w:r>
          </w:p>
        </w:tc>
        <w:tc>
          <w:tcPr>
            <w:tcW w:w="10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$1,828,541</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$2,160,290</w:t>
            </w:r>
          </w:p>
        </w:tc>
        <w:tc>
          <w:tcPr>
            <w:tcW w:w="0" w:type="dxa"/>
            <w:vAlign w:val="bottom"/>
          </w:tcPr>
          <w:p>
            <w:pPr>
              <w:spacing w:after="0"/>
              <w:rPr>
                <w:sz w:val="1"/>
                <w:szCs w:val="1"/>
                <w:color w:val="auto"/>
              </w:rPr>
            </w:pPr>
          </w:p>
        </w:tc>
      </w:tr>
      <w:tr>
        <w:trPr>
          <w:trHeight w:val="157"/>
        </w:trPr>
        <w:tc>
          <w:tcPr>
            <w:tcW w:w="18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period</w:t>
            </w:r>
          </w:p>
        </w:tc>
        <w:tc>
          <w:tcPr>
            <w:tcW w:w="90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Acquisitions</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150,552</w:t>
            </w:r>
          </w:p>
        </w:tc>
        <w:tc>
          <w:tcPr>
            <w:tcW w:w="22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94,774</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245,326</w:t>
            </w:r>
          </w:p>
        </w:tc>
        <w:tc>
          <w:tcPr>
            <w:tcW w:w="0" w:type="dxa"/>
            <w:vAlign w:val="bottom"/>
          </w:tcPr>
          <w:p>
            <w:pPr>
              <w:spacing w:after="0"/>
              <w:rPr>
                <w:sz w:val="1"/>
                <w:szCs w:val="1"/>
                <w:color w:val="auto"/>
              </w:rPr>
            </w:pPr>
          </w:p>
        </w:tc>
      </w:tr>
      <w:tr>
        <w:trPr>
          <w:trHeight w:val="167"/>
        </w:trPr>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rPr>
              <w:t>Goodwill allocated to assets</w:t>
            </w: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(5,571)</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(5,571)</w:t>
            </w:r>
          </w:p>
        </w:tc>
        <w:tc>
          <w:tcPr>
            <w:tcW w:w="0" w:type="dxa"/>
            <w:vAlign w:val="bottom"/>
          </w:tcPr>
          <w:p>
            <w:pPr>
              <w:spacing w:after="0"/>
              <w:rPr>
                <w:sz w:val="1"/>
                <w:szCs w:val="1"/>
                <w:color w:val="auto"/>
              </w:rPr>
            </w:pPr>
          </w:p>
        </w:tc>
      </w:tr>
      <w:tr>
        <w:trPr>
          <w:trHeight w:val="157"/>
        </w:trPr>
        <w:tc>
          <w:tcPr>
            <w:tcW w:w="18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held for sale</w:t>
            </w:r>
          </w:p>
        </w:tc>
        <w:tc>
          <w:tcPr>
            <w:tcW w:w="90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Divestitures</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(927)</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(927)</w:t>
            </w:r>
          </w:p>
        </w:tc>
        <w:tc>
          <w:tcPr>
            <w:tcW w:w="0" w:type="dxa"/>
            <w:vAlign w:val="bottom"/>
          </w:tcPr>
          <w:p>
            <w:pPr>
              <w:spacing w:after="0"/>
              <w:rPr>
                <w:sz w:val="1"/>
                <w:szCs w:val="1"/>
                <w:color w:val="auto"/>
              </w:rPr>
            </w:pPr>
          </w:p>
        </w:tc>
      </w:tr>
      <w:tr>
        <w:trPr>
          <w:trHeight w:val="163"/>
        </w:trPr>
        <w:tc>
          <w:tcPr>
            <w:tcW w:w="18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end of period</w:t>
            </w:r>
          </w:p>
        </w:tc>
        <w:tc>
          <w:tcPr>
            <w:tcW w:w="9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$431,955</w:t>
            </w:r>
          </w:p>
        </w:tc>
        <w:tc>
          <w:tcPr>
            <w:tcW w:w="220" w:type="dxa"/>
            <w:vAlign w:val="bottom"/>
            <w:tcBorders>
              <w:bottom w:val="single" w:sz="8" w:color="auto"/>
            </w:tcBorders>
            <w:shd w:val="clear" w:color="auto" w:fill="CCEEFF"/>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144,193</w:t>
            </w:r>
          </w:p>
        </w:tc>
        <w:tc>
          <w:tcPr>
            <w:tcW w:w="108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b w:val="1"/>
                <w:bCs w:val="1"/>
                <w:color w:val="auto"/>
              </w:rPr>
              <w:t>$1,822,970</w:t>
            </w:r>
          </w:p>
        </w:tc>
        <w:tc>
          <w:tcPr>
            <w:tcW w:w="94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$2,399,118</w:t>
            </w:r>
          </w:p>
        </w:tc>
        <w:tc>
          <w:tcPr>
            <w:tcW w:w="0" w:type="dxa"/>
            <w:vAlign w:val="bottom"/>
          </w:tcPr>
          <w:p>
            <w:pPr>
              <w:spacing w:after="0"/>
              <w:rPr>
                <w:sz w:val="1"/>
                <w:szCs w:val="1"/>
                <w:color w:val="auto"/>
              </w:rPr>
            </w:pPr>
          </w:p>
        </w:tc>
      </w:tr>
      <w:tr>
        <w:trPr>
          <w:trHeight w:val="257"/>
        </w:trPr>
        <w:tc>
          <w:tcPr>
            <w:tcW w:w="18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2017</w:t>
            </w:r>
          </w:p>
        </w:tc>
        <w:tc>
          <w:tcPr>
            <w:tcW w:w="10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1800" w:type="dxa"/>
            <w:vAlign w:val="bottom"/>
            <w:shd w:val="clear" w:color="auto" w:fill="CCEEFF"/>
          </w:tcPr>
          <w:p>
            <w:pPr>
              <w:spacing w:after="0"/>
              <w:rPr>
                <w:sz w:val="20"/>
                <w:szCs w:val="20"/>
                <w:color w:val="auto"/>
              </w:rPr>
            </w:pPr>
            <w:r>
              <w:rPr>
                <w:rFonts w:ascii="Arial" w:cs="Arial" w:eastAsia="Arial" w:hAnsi="Arial"/>
                <w:sz w:val="14"/>
                <w:szCs w:val="14"/>
                <w:color w:val="auto"/>
              </w:rPr>
              <w:t>Balance at beginning of</w:t>
            </w: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period</w:t>
            </w:r>
          </w:p>
        </w:tc>
        <w:tc>
          <w:tcPr>
            <w:tcW w:w="9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$281,403</w:t>
            </w:r>
          </w:p>
        </w:tc>
        <w:tc>
          <w:tcPr>
            <w:tcW w:w="22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50,346</w:t>
            </w:r>
          </w:p>
        </w:tc>
        <w:tc>
          <w:tcPr>
            <w:tcW w:w="1080" w:type="dxa"/>
            <w:vAlign w:val="bottom"/>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$1,827,588</w:t>
            </w:r>
          </w:p>
        </w:tc>
        <w:tc>
          <w:tcPr>
            <w:tcW w:w="94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$2,159,337</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Acquisitions</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230</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62"/>
        </w:trPr>
        <w:tc>
          <w:tcPr>
            <w:tcW w:w="1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Purchase price adjustments</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723</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163"/>
        </w:trPr>
        <w:tc>
          <w:tcPr>
            <w:tcW w:w="18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Balance at end of period</w:t>
            </w:r>
          </w:p>
        </w:tc>
        <w:tc>
          <w:tcPr>
            <w:tcW w:w="9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$281,403</w:t>
            </w:r>
          </w:p>
        </w:tc>
        <w:tc>
          <w:tcPr>
            <w:tcW w:w="22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50,346</w:t>
            </w:r>
          </w:p>
        </w:tc>
        <w:tc>
          <w:tcPr>
            <w:tcW w:w="10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$1,828,541</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$2,160,290</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subject to amortization consist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Arial" w:cs="Arial" w:eastAsia="Arial" w:hAnsi="Arial"/>
                <w:sz w:val="14"/>
                <w:szCs w:val="14"/>
                <w:b w:val="1"/>
                <w:bCs w:val="1"/>
                <w:color w:val="auto"/>
              </w:rPr>
              <w:t>Gross</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4"/>
                <w:szCs w:val="14"/>
                <w:color w:val="auto"/>
              </w:rPr>
            </w:pPr>
          </w:p>
        </w:tc>
        <w:tc>
          <w:tcPr>
            <w:tcW w:w="620" w:type="dxa"/>
            <w:vAlign w:val="bottom"/>
          </w:tcPr>
          <w:p>
            <w:pPr>
              <w:jc w:val="right"/>
              <w:ind w:right="208"/>
              <w:spacing w:after="0"/>
              <w:rPr>
                <w:sz w:val="20"/>
                <w:szCs w:val="20"/>
                <w:color w:val="auto"/>
              </w:rPr>
            </w:pPr>
            <w:r>
              <w:rPr>
                <w:rFonts w:ascii="Arial" w:cs="Arial" w:eastAsia="Arial" w:hAnsi="Arial"/>
                <w:sz w:val="14"/>
                <w:szCs w:val="14"/>
                <w:b w:val="1"/>
                <w:bCs w:val="1"/>
                <w:color w:val="auto"/>
              </w:rPr>
              <w:t>Net</w:t>
            </w:r>
          </w:p>
        </w:tc>
      </w:tr>
      <w:tr>
        <w:trPr>
          <w:trHeight w:val="175"/>
        </w:trPr>
        <w:tc>
          <w:tcPr>
            <w:tcW w:w="212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124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13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Amortization</w:t>
            </w:r>
          </w:p>
        </w:tc>
        <w:tc>
          <w:tcPr>
            <w:tcW w:w="9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Balance</w:t>
            </w:r>
          </w:p>
        </w:tc>
      </w:tr>
      <w:tr>
        <w:trPr>
          <w:trHeight w:val="156"/>
        </w:trPr>
        <w:tc>
          <w:tcPr>
            <w:tcW w:w="2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(add 000)</w:t>
            </w:r>
          </w:p>
        </w:tc>
        <w:tc>
          <w:tcPr>
            <w:tcW w:w="4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87"/>
              <w:spacing w:after="0" w:line="156" w:lineRule="exact"/>
              <w:rPr>
                <w:sz w:val="20"/>
                <w:szCs w:val="20"/>
                <w:color w:val="auto"/>
              </w:rPr>
            </w:pPr>
            <w:r>
              <w:rPr>
                <w:rFonts w:ascii="Arial" w:cs="Arial" w:eastAsia="Arial" w:hAnsi="Arial"/>
                <w:sz w:val="15"/>
                <w:szCs w:val="15"/>
                <w:b w:val="1"/>
                <w:bCs w:val="1"/>
                <w:color w:val="0085CD"/>
              </w:rPr>
              <w:t>2018</w:t>
            </w: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r>
      <w:tr>
        <w:trPr>
          <w:trHeight w:val="156"/>
        </w:trPr>
        <w:tc>
          <w:tcPr>
            <w:tcW w:w="21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Noncompetition agreements</w:t>
            </w:r>
          </w:p>
        </w:tc>
        <w:tc>
          <w:tcPr>
            <w:tcW w:w="4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128"/>
              <w:spacing w:after="0" w:line="155" w:lineRule="exact"/>
              <w:rPr>
                <w:sz w:val="20"/>
                <w:szCs w:val="20"/>
                <w:color w:val="auto"/>
              </w:rPr>
            </w:pPr>
            <w:r>
              <w:rPr>
                <w:rFonts w:ascii="Arial" w:cs="Arial" w:eastAsia="Arial" w:hAnsi="Arial"/>
                <w:sz w:val="14"/>
                <w:szCs w:val="14"/>
                <w:b w:val="1"/>
                <w:bCs w:val="1"/>
                <w:color w:val="auto"/>
              </w:rPr>
              <w:t>6,314</w:t>
            </w:r>
          </w:p>
        </w:tc>
        <w:tc>
          <w:tcPr>
            <w:tcW w:w="40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87"/>
              <w:spacing w:after="0" w:line="155" w:lineRule="exact"/>
              <w:rPr>
                <w:sz w:val="20"/>
                <w:szCs w:val="20"/>
                <w:color w:val="auto"/>
              </w:rPr>
            </w:pPr>
            <w:r>
              <w:rPr>
                <w:rFonts w:ascii="Arial" w:cs="Arial" w:eastAsia="Arial" w:hAnsi="Arial"/>
                <w:sz w:val="14"/>
                <w:szCs w:val="14"/>
                <w:b w:val="1"/>
                <w:bCs w:val="1"/>
                <w:color w:val="auto"/>
              </w:rPr>
              <w:t>(6,179)</w:t>
            </w:r>
          </w:p>
        </w:tc>
        <w:tc>
          <w:tcPr>
            <w:tcW w:w="3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135</w:t>
            </w:r>
          </w:p>
        </w:tc>
      </w:tr>
      <w:tr>
        <w:trPr>
          <w:trHeight w:val="162"/>
        </w:trPr>
        <w:tc>
          <w:tcPr>
            <w:tcW w:w="2120" w:type="dxa"/>
            <w:vAlign w:val="bottom"/>
          </w:tcPr>
          <w:p>
            <w:pPr>
              <w:spacing w:after="0"/>
              <w:rPr>
                <w:sz w:val="20"/>
                <w:szCs w:val="20"/>
                <w:color w:val="auto"/>
              </w:rPr>
            </w:pPr>
            <w:r>
              <w:rPr>
                <w:rFonts w:ascii="Arial" w:cs="Arial" w:eastAsia="Arial" w:hAnsi="Arial"/>
                <w:sz w:val="14"/>
                <w:szCs w:val="14"/>
                <w:color w:val="auto"/>
              </w:rPr>
              <w:t>Customer relationships</w:t>
            </w:r>
          </w:p>
        </w:tc>
        <w:tc>
          <w:tcPr>
            <w:tcW w:w="4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65,550</w:t>
            </w:r>
          </w:p>
        </w:tc>
        <w:tc>
          <w:tcPr>
            <w:tcW w:w="40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Arial" w:cs="Arial" w:eastAsia="Arial" w:hAnsi="Arial"/>
                <w:sz w:val="14"/>
                <w:szCs w:val="14"/>
                <w:b w:val="1"/>
                <w:bCs w:val="1"/>
                <w:color w:val="auto"/>
              </w:rPr>
              <w:t>(25,575)</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39,975</w:t>
            </w:r>
          </w:p>
        </w:tc>
      </w:tr>
      <w:tr>
        <w:trPr>
          <w:trHeight w:val="162"/>
        </w:trPr>
        <w:tc>
          <w:tcPr>
            <w:tcW w:w="2120" w:type="dxa"/>
            <w:vAlign w:val="bottom"/>
            <w:shd w:val="clear" w:color="auto" w:fill="CCEEFF"/>
          </w:tcPr>
          <w:p>
            <w:pPr>
              <w:spacing w:after="0"/>
              <w:rPr>
                <w:sz w:val="20"/>
                <w:szCs w:val="20"/>
                <w:color w:val="auto"/>
              </w:rPr>
            </w:pPr>
            <w:r>
              <w:rPr>
                <w:rFonts w:ascii="Arial" w:cs="Arial" w:eastAsia="Arial" w:hAnsi="Arial"/>
                <w:sz w:val="14"/>
                <w:szCs w:val="14"/>
                <w:color w:val="auto"/>
              </w:rPr>
              <w:t>Operating permits</w:t>
            </w:r>
          </w:p>
        </w:tc>
        <w:tc>
          <w:tcPr>
            <w:tcW w:w="4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458,951</w:t>
            </w: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7"/>
              <w:spacing w:after="0"/>
              <w:rPr>
                <w:sz w:val="20"/>
                <w:szCs w:val="20"/>
                <w:color w:val="auto"/>
              </w:rPr>
            </w:pPr>
            <w:r>
              <w:rPr>
                <w:rFonts w:ascii="Arial" w:cs="Arial" w:eastAsia="Arial" w:hAnsi="Arial"/>
                <w:sz w:val="14"/>
                <w:szCs w:val="14"/>
                <w:b w:val="1"/>
                <w:bCs w:val="1"/>
                <w:color w:val="auto"/>
              </w:rPr>
              <w:t>(36,111)</w:t>
            </w: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422,840</w:t>
            </w:r>
          </w:p>
        </w:tc>
      </w:tr>
      <w:tr>
        <w:trPr>
          <w:trHeight w:val="162"/>
        </w:trPr>
        <w:tc>
          <w:tcPr>
            <w:tcW w:w="2120" w:type="dxa"/>
            <w:vAlign w:val="bottom"/>
          </w:tcPr>
          <w:p>
            <w:pPr>
              <w:spacing w:after="0"/>
              <w:rPr>
                <w:sz w:val="20"/>
                <w:szCs w:val="20"/>
                <w:color w:val="auto"/>
              </w:rPr>
            </w:pPr>
            <w:r>
              <w:rPr>
                <w:rFonts w:ascii="Arial" w:cs="Arial" w:eastAsia="Arial" w:hAnsi="Arial"/>
                <w:sz w:val="14"/>
                <w:szCs w:val="14"/>
                <w:color w:val="auto"/>
              </w:rPr>
              <w:t>Use rights and other</w:t>
            </w:r>
          </w:p>
        </w:tc>
        <w:tc>
          <w:tcPr>
            <w:tcW w:w="4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16,745</w:t>
            </w:r>
          </w:p>
        </w:tc>
        <w:tc>
          <w:tcPr>
            <w:tcW w:w="40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Arial" w:cs="Arial" w:eastAsia="Arial" w:hAnsi="Arial"/>
                <w:sz w:val="14"/>
                <w:szCs w:val="14"/>
                <w:b w:val="1"/>
                <w:bCs w:val="1"/>
                <w:color w:val="auto"/>
              </w:rPr>
              <w:t>(11,243)</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5,502</w:t>
            </w:r>
          </w:p>
        </w:tc>
      </w:tr>
      <w:tr>
        <w:trPr>
          <w:trHeight w:val="162"/>
        </w:trPr>
        <w:tc>
          <w:tcPr>
            <w:tcW w:w="2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Trade names</w:t>
            </w:r>
          </w:p>
        </w:tc>
        <w:tc>
          <w:tcPr>
            <w:tcW w:w="4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12,800</w:t>
            </w:r>
          </w:p>
        </w:tc>
        <w:tc>
          <w:tcPr>
            <w:tcW w:w="4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b w:val="1"/>
                <w:bCs w:val="1"/>
                <w:color w:val="auto"/>
              </w:rPr>
              <w:t>(9,697)</w:t>
            </w:r>
          </w:p>
        </w:tc>
        <w:tc>
          <w:tcPr>
            <w:tcW w:w="3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3,103</w:t>
            </w:r>
          </w:p>
        </w:tc>
      </w:tr>
      <w:tr>
        <w:trPr>
          <w:trHeight w:val="163"/>
        </w:trPr>
        <w:tc>
          <w:tcPr>
            <w:tcW w:w="2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560,360</w:t>
            </w:r>
          </w:p>
        </w:tc>
        <w:tc>
          <w:tcPr>
            <w:tcW w:w="40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87"/>
              <w:spacing w:after="0" w:line="155" w:lineRule="exact"/>
              <w:rPr>
                <w:sz w:val="20"/>
                <w:szCs w:val="20"/>
                <w:color w:val="auto"/>
              </w:rPr>
            </w:pPr>
            <w:r>
              <w:rPr>
                <w:rFonts w:ascii="Arial" w:cs="Arial" w:eastAsia="Arial" w:hAnsi="Arial"/>
                <w:sz w:val="14"/>
                <w:szCs w:val="14"/>
                <w:b w:val="1"/>
                <w:bCs w:val="1"/>
                <w:color w:val="auto"/>
              </w:rPr>
              <w:t>(88,805)</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471,555</w:t>
            </w:r>
          </w:p>
        </w:tc>
      </w:tr>
      <w:tr>
        <w:trPr>
          <w:trHeight w:val="257"/>
        </w:trPr>
        <w:tc>
          <w:tcPr>
            <w:tcW w:w="2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rPr>
              <w:t>2017</w:t>
            </w: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r>
      <w:tr>
        <w:trPr>
          <w:trHeight w:val="156"/>
        </w:trPr>
        <w:tc>
          <w:tcPr>
            <w:tcW w:w="21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Noncompetition agreements</w:t>
            </w:r>
          </w:p>
        </w:tc>
        <w:tc>
          <w:tcPr>
            <w:tcW w:w="4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rPr>
              <w:t>6,274</w:t>
            </w:r>
          </w:p>
        </w:tc>
        <w:tc>
          <w:tcPr>
            <w:tcW w:w="40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7"/>
              <w:spacing w:after="0" w:line="155" w:lineRule="exact"/>
              <w:rPr>
                <w:sz w:val="20"/>
                <w:szCs w:val="20"/>
                <w:color w:val="auto"/>
              </w:rPr>
            </w:pPr>
            <w:r>
              <w:rPr>
                <w:rFonts w:ascii="Arial" w:cs="Arial" w:eastAsia="Arial" w:hAnsi="Arial"/>
                <w:sz w:val="14"/>
                <w:szCs w:val="14"/>
                <w:color w:val="auto"/>
              </w:rPr>
              <w:t>(6,144)</w:t>
            </w:r>
          </w:p>
        </w:tc>
        <w:tc>
          <w:tcPr>
            <w:tcW w:w="3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130</w:t>
            </w:r>
          </w:p>
        </w:tc>
      </w:tr>
      <w:tr>
        <w:trPr>
          <w:trHeight w:val="162"/>
        </w:trPr>
        <w:tc>
          <w:tcPr>
            <w:tcW w:w="2120" w:type="dxa"/>
            <w:vAlign w:val="bottom"/>
          </w:tcPr>
          <w:p>
            <w:pPr>
              <w:spacing w:after="0"/>
              <w:rPr>
                <w:sz w:val="20"/>
                <w:szCs w:val="20"/>
                <w:color w:val="auto"/>
              </w:rPr>
            </w:pPr>
            <w:r>
              <w:rPr>
                <w:rFonts w:ascii="Arial" w:cs="Arial" w:eastAsia="Arial" w:hAnsi="Arial"/>
                <w:sz w:val="14"/>
                <w:szCs w:val="14"/>
                <w:color w:val="auto"/>
              </w:rPr>
              <w:t>Customer relationships</w:t>
            </w:r>
          </w:p>
        </w:tc>
        <w:tc>
          <w:tcPr>
            <w:tcW w:w="4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45,955</w:t>
            </w:r>
          </w:p>
        </w:tc>
        <w:tc>
          <w:tcPr>
            <w:tcW w:w="40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Arial" w:cs="Arial" w:eastAsia="Arial" w:hAnsi="Arial"/>
                <w:sz w:val="14"/>
                <w:szCs w:val="14"/>
                <w:color w:val="auto"/>
              </w:rPr>
              <w:t>(17,551)</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28,404</w:t>
            </w:r>
          </w:p>
        </w:tc>
      </w:tr>
      <w:tr>
        <w:trPr>
          <w:trHeight w:val="162"/>
        </w:trPr>
        <w:tc>
          <w:tcPr>
            <w:tcW w:w="2120" w:type="dxa"/>
            <w:vAlign w:val="bottom"/>
            <w:shd w:val="clear" w:color="auto" w:fill="CCEEFF"/>
          </w:tcPr>
          <w:p>
            <w:pPr>
              <w:spacing w:after="0"/>
              <w:rPr>
                <w:sz w:val="20"/>
                <w:szCs w:val="20"/>
                <w:color w:val="auto"/>
              </w:rPr>
            </w:pPr>
            <w:r>
              <w:rPr>
                <w:rFonts w:ascii="Arial" w:cs="Arial" w:eastAsia="Arial" w:hAnsi="Arial"/>
                <w:sz w:val="14"/>
                <w:szCs w:val="14"/>
                <w:color w:val="auto"/>
              </w:rPr>
              <w:t>Operating permits</w:t>
            </w:r>
          </w:p>
        </w:tc>
        <w:tc>
          <w:tcPr>
            <w:tcW w:w="4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458,951</w:t>
            </w: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(26,435)</w:t>
            </w: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432,516</w:t>
            </w:r>
          </w:p>
        </w:tc>
      </w:tr>
      <w:tr>
        <w:trPr>
          <w:trHeight w:val="162"/>
        </w:trPr>
        <w:tc>
          <w:tcPr>
            <w:tcW w:w="2120" w:type="dxa"/>
            <w:vAlign w:val="bottom"/>
          </w:tcPr>
          <w:p>
            <w:pPr>
              <w:spacing w:after="0"/>
              <w:rPr>
                <w:sz w:val="20"/>
                <w:szCs w:val="20"/>
                <w:color w:val="auto"/>
              </w:rPr>
            </w:pPr>
            <w:r>
              <w:rPr>
                <w:rFonts w:ascii="Arial" w:cs="Arial" w:eastAsia="Arial" w:hAnsi="Arial"/>
                <w:sz w:val="14"/>
                <w:szCs w:val="14"/>
                <w:color w:val="auto"/>
              </w:rPr>
              <w:t>Use rights and other</w:t>
            </w:r>
          </w:p>
        </w:tc>
        <w:tc>
          <w:tcPr>
            <w:tcW w:w="4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16,745</w:t>
            </w:r>
          </w:p>
        </w:tc>
        <w:tc>
          <w:tcPr>
            <w:tcW w:w="40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Arial" w:cs="Arial" w:eastAsia="Arial" w:hAnsi="Arial"/>
                <w:sz w:val="14"/>
                <w:szCs w:val="14"/>
                <w:color w:val="auto"/>
              </w:rPr>
              <w:t>(10,176)</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6,569</w:t>
            </w:r>
          </w:p>
        </w:tc>
      </w:tr>
      <w:tr>
        <w:trPr>
          <w:trHeight w:val="162"/>
        </w:trPr>
        <w:tc>
          <w:tcPr>
            <w:tcW w:w="2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Trade names</w:t>
            </w:r>
          </w:p>
        </w:tc>
        <w:tc>
          <w:tcPr>
            <w:tcW w:w="4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12,800</w:t>
            </w:r>
          </w:p>
        </w:tc>
        <w:tc>
          <w:tcPr>
            <w:tcW w:w="4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(7,947)</w:t>
            </w:r>
          </w:p>
        </w:tc>
        <w:tc>
          <w:tcPr>
            <w:tcW w:w="3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4,853</w:t>
            </w:r>
          </w:p>
        </w:tc>
      </w:tr>
      <w:tr>
        <w:trPr>
          <w:trHeight w:val="163"/>
        </w:trPr>
        <w:tc>
          <w:tcPr>
            <w:tcW w:w="2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540,725</w:t>
            </w:r>
          </w:p>
        </w:tc>
        <w:tc>
          <w:tcPr>
            <w:tcW w:w="40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47"/>
              <w:spacing w:after="0" w:line="155" w:lineRule="exact"/>
              <w:rPr>
                <w:sz w:val="20"/>
                <w:szCs w:val="20"/>
                <w:color w:val="auto"/>
              </w:rPr>
            </w:pPr>
            <w:r>
              <w:rPr>
                <w:rFonts w:ascii="Arial" w:cs="Arial" w:eastAsia="Arial" w:hAnsi="Arial"/>
                <w:sz w:val="14"/>
                <w:szCs w:val="14"/>
                <w:color w:val="auto"/>
              </w:rPr>
              <w:t>(68,253)</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472,472</w:t>
            </w:r>
          </w:p>
        </w:tc>
      </w:tr>
    </w:tbl>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22</w:t>
      </w:r>
    </w:p>
    <w:p>
      <w:pPr>
        <w:sectPr>
          <w:pgSz w:w="11900" w:h="16838" w:orient="portrait"/>
          <w:cols w:equalWidth="0" w:num="1">
            <w:col w:w="11420"/>
          </w:cols>
          <w:pgMar w:left="240" w:top="265" w:right="239" w:bottom="1440" w:gutter="0" w:footer="0" w:header="0"/>
          <w:type w:val="continuous"/>
        </w:sectPr>
      </w:pPr>
    </w:p>
    <w:bookmarkStart w:id="61" w:name="page62"/>
    <w:bookmarkEnd w:id="61"/>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Intangible assets deemed to have an indefinite life and not being amortized consist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12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Building</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2180" w:type="dxa"/>
            <w:vAlign w:val="bottom"/>
          </w:tcPr>
          <w:p>
            <w:pPr>
              <w:spacing w:after="0"/>
              <w:rPr>
                <w:sz w:val="14"/>
                <w:szCs w:val="14"/>
                <w:color w:val="auto"/>
              </w:rPr>
            </w:pPr>
          </w:p>
        </w:tc>
        <w:tc>
          <w:tcPr>
            <w:tcW w:w="1260" w:type="dxa"/>
            <w:vAlign w:val="bottom"/>
            <w:gridSpan w:val="2"/>
          </w:tcPr>
          <w:p>
            <w:pPr>
              <w:ind w:left="420"/>
              <w:spacing w:after="0"/>
              <w:rPr>
                <w:sz w:val="20"/>
                <w:szCs w:val="20"/>
                <w:color w:val="auto"/>
              </w:rPr>
            </w:pPr>
            <w:r>
              <w:rPr>
                <w:rFonts w:ascii="Arial" w:cs="Arial" w:eastAsia="Arial" w:hAnsi="Arial"/>
                <w:sz w:val="14"/>
                <w:szCs w:val="14"/>
                <w:b w:val="1"/>
                <w:bCs w:val="1"/>
                <w:color w:val="auto"/>
              </w:rPr>
              <w:t>Materials</w:t>
            </w:r>
          </w:p>
        </w:tc>
        <w:tc>
          <w:tcPr>
            <w:tcW w:w="11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Magnesia</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5"/>
        </w:trPr>
        <w:tc>
          <w:tcPr>
            <w:tcW w:w="2180" w:type="dxa"/>
            <w:vAlign w:val="bottom"/>
          </w:tcPr>
          <w:p>
            <w:pPr>
              <w:ind w:left="20"/>
              <w:spacing w:after="0"/>
              <w:rPr>
                <w:sz w:val="20"/>
                <w:szCs w:val="20"/>
                <w:color w:val="auto"/>
              </w:rPr>
            </w:pPr>
            <w:r>
              <w:rPr>
                <w:rFonts w:ascii="Arial" w:cs="Arial" w:eastAsia="Arial" w:hAnsi="Arial"/>
                <w:sz w:val="14"/>
                <w:szCs w:val="14"/>
                <w:i w:val="1"/>
                <w:iCs w:val="1"/>
                <w:color w:val="auto"/>
              </w:rPr>
              <w:t>December 31</w:t>
            </w:r>
          </w:p>
        </w:tc>
        <w:tc>
          <w:tcPr>
            <w:tcW w:w="126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Business</w:t>
            </w:r>
          </w:p>
        </w:tc>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Specialties</w:t>
            </w:r>
          </w:p>
        </w:tc>
        <w:tc>
          <w:tcPr>
            <w:tcW w:w="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Total</w:t>
            </w:r>
          </w:p>
        </w:tc>
      </w:tr>
      <w:tr>
        <w:trPr>
          <w:trHeight w:val="156"/>
        </w:trPr>
        <w:tc>
          <w:tcPr>
            <w:tcW w:w="218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(add 000)</w:t>
            </w:r>
          </w:p>
        </w:tc>
        <w:tc>
          <w:tcPr>
            <w:tcW w:w="5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8"/>
              <w:spacing w:after="0" w:line="156" w:lineRule="exact"/>
              <w:rPr>
                <w:sz w:val="20"/>
                <w:szCs w:val="20"/>
                <w:color w:val="auto"/>
              </w:rPr>
            </w:pPr>
            <w:r>
              <w:rPr>
                <w:rFonts w:ascii="Arial" w:cs="Arial" w:eastAsia="Arial" w:hAnsi="Arial"/>
                <w:sz w:val="15"/>
                <w:szCs w:val="15"/>
                <w:b w:val="1"/>
                <w:bCs w:val="1"/>
                <w:color w:val="0085CD"/>
              </w:rPr>
              <w:t>2018</w:t>
            </w:r>
          </w:p>
        </w:tc>
        <w:tc>
          <w:tcPr>
            <w:tcW w:w="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r>
      <w:tr>
        <w:trPr>
          <w:trHeight w:val="156"/>
        </w:trPr>
        <w:tc>
          <w:tcPr>
            <w:tcW w:w="21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Operating permits</w:t>
            </w:r>
          </w:p>
        </w:tc>
        <w:tc>
          <w:tcPr>
            <w:tcW w:w="540" w:type="dxa"/>
            <w:vAlign w:val="bottom"/>
            <w:shd w:val="clear" w:color="auto" w:fill="CCEEFF"/>
          </w:tcPr>
          <w:p>
            <w:pPr>
              <w:ind w:left="400"/>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148"/>
              <w:spacing w:after="0" w:line="155" w:lineRule="exact"/>
              <w:rPr>
                <w:sz w:val="20"/>
                <w:szCs w:val="20"/>
                <w:color w:val="auto"/>
              </w:rPr>
            </w:pPr>
            <w:r>
              <w:rPr>
                <w:rFonts w:ascii="Arial" w:cs="Arial" w:eastAsia="Arial" w:hAnsi="Arial"/>
                <w:sz w:val="14"/>
                <w:szCs w:val="14"/>
                <w:b w:val="1"/>
                <w:bCs w:val="1"/>
                <w:color w:val="auto"/>
              </w:rPr>
              <w:t>6,600</w:t>
            </w:r>
          </w:p>
        </w:tc>
        <w:tc>
          <w:tcPr>
            <w:tcW w:w="36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148"/>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6,600</w:t>
            </w:r>
          </w:p>
        </w:tc>
      </w:tr>
      <w:tr>
        <w:trPr>
          <w:trHeight w:val="162"/>
        </w:trPr>
        <w:tc>
          <w:tcPr>
            <w:tcW w:w="2180" w:type="dxa"/>
            <w:vAlign w:val="bottom"/>
          </w:tcPr>
          <w:p>
            <w:pPr>
              <w:ind w:left="20"/>
              <w:spacing w:after="0"/>
              <w:rPr>
                <w:sz w:val="20"/>
                <w:szCs w:val="20"/>
                <w:color w:val="auto"/>
              </w:rPr>
            </w:pPr>
            <w:r>
              <w:rPr>
                <w:rFonts w:ascii="Arial" w:cs="Arial" w:eastAsia="Arial" w:hAnsi="Arial"/>
                <w:sz w:val="14"/>
                <w:szCs w:val="14"/>
                <w:color w:val="auto"/>
              </w:rPr>
              <w:t>Use rights</w:t>
            </w:r>
          </w:p>
        </w:tc>
        <w:tc>
          <w:tcPr>
            <w:tcW w:w="54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20,282</w:t>
            </w:r>
          </w:p>
        </w:tc>
        <w:tc>
          <w:tcPr>
            <w:tcW w:w="3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20,282</w:t>
            </w:r>
          </w:p>
        </w:tc>
      </w:tr>
      <w:tr>
        <w:trPr>
          <w:trHeight w:val="162"/>
        </w:trPr>
        <w:tc>
          <w:tcPr>
            <w:tcW w:w="2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Trade names</w:t>
            </w:r>
          </w:p>
        </w:tc>
        <w:tc>
          <w:tcPr>
            <w:tcW w:w="5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280</w:t>
            </w:r>
          </w:p>
        </w:tc>
        <w:tc>
          <w:tcPr>
            <w:tcW w:w="3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2,565</w:t>
            </w:r>
          </w:p>
        </w:tc>
        <w:tc>
          <w:tcPr>
            <w:tcW w:w="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2,845</w:t>
            </w:r>
          </w:p>
        </w:tc>
      </w:tr>
      <w:tr>
        <w:trPr>
          <w:trHeight w:val="163"/>
        </w:trPr>
        <w:tc>
          <w:tcPr>
            <w:tcW w:w="218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Total</w:t>
            </w:r>
          </w:p>
        </w:tc>
        <w:tc>
          <w:tcPr>
            <w:tcW w:w="540" w:type="dxa"/>
            <w:vAlign w:val="bottom"/>
            <w:tcBorders>
              <w:bottom w:val="single" w:sz="8" w:color="auto"/>
            </w:tcBorders>
          </w:tcPr>
          <w:p>
            <w:pPr>
              <w:ind w:left="400"/>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27,162</w:t>
            </w:r>
          </w:p>
        </w:tc>
        <w:tc>
          <w:tcPr>
            <w:tcW w:w="36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2,565</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29,727</w:t>
            </w:r>
          </w:p>
        </w:tc>
      </w:tr>
      <w:tr>
        <w:trPr>
          <w:trHeight w:val="257"/>
        </w:trPr>
        <w:tc>
          <w:tcPr>
            <w:tcW w:w="2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r>
      <w:tr>
        <w:trPr>
          <w:trHeight w:val="156"/>
        </w:trPr>
        <w:tc>
          <w:tcPr>
            <w:tcW w:w="21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Operating permits</w:t>
            </w:r>
          </w:p>
        </w:tc>
        <w:tc>
          <w:tcPr>
            <w:tcW w:w="540" w:type="dxa"/>
            <w:vAlign w:val="bottom"/>
            <w:shd w:val="clear" w:color="auto" w:fill="CCEEFF"/>
          </w:tcPr>
          <w:p>
            <w:pPr>
              <w:ind w:left="400"/>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rPr>
              <w:t>6,600</w:t>
            </w:r>
          </w:p>
        </w:tc>
        <w:tc>
          <w:tcPr>
            <w:tcW w:w="36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6,600</w:t>
            </w:r>
          </w:p>
        </w:tc>
      </w:tr>
      <w:tr>
        <w:trPr>
          <w:trHeight w:val="162"/>
        </w:trPr>
        <w:tc>
          <w:tcPr>
            <w:tcW w:w="2180" w:type="dxa"/>
            <w:vAlign w:val="bottom"/>
          </w:tcPr>
          <w:p>
            <w:pPr>
              <w:ind w:left="20"/>
              <w:spacing w:after="0"/>
              <w:rPr>
                <w:sz w:val="20"/>
                <w:szCs w:val="20"/>
                <w:color w:val="auto"/>
              </w:rPr>
            </w:pPr>
            <w:r>
              <w:rPr>
                <w:rFonts w:ascii="Arial" w:cs="Arial" w:eastAsia="Arial" w:hAnsi="Arial"/>
                <w:sz w:val="14"/>
                <w:szCs w:val="14"/>
                <w:color w:val="auto"/>
              </w:rPr>
              <w:t>Use rights</w:t>
            </w:r>
          </w:p>
        </w:tc>
        <w:tc>
          <w:tcPr>
            <w:tcW w:w="54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24,432</w:t>
            </w:r>
          </w:p>
        </w:tc>
        <w:tc>
          <w:tcPr>
            <w:tcW w:w="3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24,432</w:t>
            </w:r>
          </w:p>
        </w:tc>
      </w:tr>
      <w:tr>
        <w:trPr>
          <w:trHeight w:val="162"/>
        </w:trPr>
        <w:tc>
          <w:tcPr>
            <w:tcW w:w="2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Trade names</w:t>
            </w:r>
          </w:p>
        </w:tc>
        <w:tc>
          <w:tcPr>
            <w:tcW w:w="5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280</w:t>
            </w:r>
          </w:p>
        </w:tc>
        <w:tc>
          <w:tcPr>
            <w:tcW w:w="3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2,565</w:t>
            </w:r>
          </w:p>
        </w:tc>
        <w:tc>
          <w:tcPr>
            <w:tcW w:w="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2,845</w:t>
            </w:r>
          </w:p>
        </w:tc>
      </w:tr>
      <w:tr>
        <w:trPr>
          <w:trHeight w:val="163"/>
        </w:trPr>
        <w:tc>
          <w:tcPr>
            <w:tcW w:w="218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Total</w:t>
            </w:r>
          </w:p>
        </w:tc>
        <w:tc>
          <w:tcPr>
            <w:tcW w:w="540" w:type="dxa"/>
            <w:vAlign w:val="bottom"/>
            <w:tcBorders>
              <w:bottom w:val="single" w:sz="8" w:color="auto"/>
            </w:tcBorders>
          </w:tcPr>
          <w:p>
            <w:pPr>
              <w:ind w:left="400"/>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31,312</w:t>
            </w:r>
          </w:p>
        </w:tc>
        <w:tc>
          <w:tcPr>
            <w:tcW w:w="36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2,565</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33,877</w:t>
            </w:r>
          </w:p>
        </w:tc>
      </w:tr>
    </w:tbl>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During 2018, the Company acquired $21,760,000 of intangible assets, consisting of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80" w:type="dxa"/>
            <w:vAlign w:val="bottom"/>
          </w:tcPr>
          <w:p>
            <w:pPr>
              <w:jc w:val="center"/>
              <w:ind w:left="263"/>
              <w:spacing w:after="0"/>
              <w:rPr>
                <w:sz w:val="20"/>
                <w:szCs w:val="20"/>
                <w:color w:val="auto"/>
              </w:rPr>
            </w:pPr>
            <w:r>
              <w:rPr>
                <w:rFonts w:ascii="Arial" w:cs="Arial" w:eastAsia="Arial" w:hAnsi="Arial"/>
                <w:sz w:val="15"/>
                <w:szCs w:val="15"/>
                <w:b w:val="1"/>
                <w:bCs w:val="1"/>
                <w:color w:val="auto"/>
              </w:rPr>
              <w:t>Weighted-average</w:t>
            </w:r>
          </w:p>
        </w:tc>
      </w:tr>
      <w:tr>
        <w:trPr>
          <w:trHeight w:val="183"/>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(add 000, except year data)</w:t>
            </w:r>
          </w:p>
        </w:tc>
        <w:tc>
          <w:tcPr>
            <w:tcW w:w="120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b w:val="1"/>
                <w:bCs w:val="1"/>
                <w:color w:val="auto"/>
              </w:rPr>
              <w:t>Amount</w:t>
            </w:r>
          </w:p>
        </w:tc>
        <w:tc>
          <w:tcPr>
            <w:tcW w:w="1880" w:type="dxa"/>
            <w:vAlign w:val="bottom"/>
            <w:tcBorders>
              <w:bottom w:val="single" w:sz="8" w:color="auto"/>
            </w:tcBorders>
          </w:tcPr>
          <w:p>
            <w:pPr>
              <w:jc w:val="center"/>
              <w:ind w:left="263"/>
              <w:spacing w:after="0"/>
              <w:rPr>
                <w:sz w:val="20"/>
                <w:szCs w:val="20"/>
                <w:color w:val="auto"/>
              </w:rPr>
            </w:pPr>
            <w:r>
              <w:rPr>
                <w:rFonts w:ascii="Arial" w:cs="Arial" w:eastAsia="Arial" w:hAnsi="Arial"/>
                <w:sz w:val="15"/>
                <w:szCs w:val="15"/>
                <w:b w:val="1"/>
                <w:bCs w:val="1"/>
                <w:color w:val="auto"/>
              </w:rPr>
              <w:t>amortization period</w:t>
            </w:r>
          </w:p>
        </w:tc>
      </w:tr>
      <w:tr>
        <w:trPr>
          <w:trHeight w:val="156"/>
        </w:trPr>
        <w:tc>
          <w:tcPr>
            <w:tcW w:w="240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Subject to amortization:</w:t>
            </w:r>
          </w:p>
        </w:tc>
        <w:tc>
          <w:tcPr>
            <w:tcW w:w="6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r>
      <w:tr>
        <w:trPr>
          <w:trHeight w:val="162"/>
        </w:trPr>
        <w:tc>
          <w:tcPr>
            <w:tcW w:w="2400" w:type="dxa"/>
            <w:vAlign w:val="bottom"/>
          </w:tcPr>
          <w:p>
            <w:pPr>
              <w:ind w:left="20"/>
              <w:spacing w:after="0" w:line="162" w:lineRule="exact"/>
              <w:rPr>
                <w:sz w:val="20"/>
                <w:szCs w:val="20"/>
                <w:color w:val="auto"/>
              </w:rPr>
            </w:pPr>
            <w:r>
              <w:rPr>
                <w:rFonts w:ascii="Arial" w:cs="Arial" w:eastAsia="Arial" w:hAnsi="Arial"/>
                <w:sz w:val="15"/>
                <w:szCs w:val="15"/>
                <w:color w:val="auto"/>
              </w:rPr>
              <w:t>Customer relationships</w:t>
            </w: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20,620</w:t>
            </w:r>
          </w:p>
        </w:tc>
        <w:tc>
          <w:tcPr>
            <w:tcW w:w="1880" w:type="dxa"/>
            <w:vAlign w:val="bottom"/>
          </w:tcPr>
          <w:p>
            <w:pPr>
              <w:jc w:val="center"/>
              <w:ind w:left="383"/>
              <w:spacing w:after="0" w:line="162" w:lineRule="exact"/>
              <w:rPr>
                <w:sz w:val="20"/>
                <w:szCs w:val="20"/>
                <w:color w:val="auto"/>
              </w:rPr>
            </w:pPr>
            <w:r>
              <w:rPr>
                <w:rFonts w:ascii="Arial" w:cs="Arial" w:eastAsia="Arial" w:hAnsi="Arial"/>
                <w:sz w:val="15"/>
                <w:szCs w:val="15"/>
                <w:color w:val="auto"/>
              </w:rPr>
              <w:t>12 years</w:t>
            </w:r>
          </w:p>
        </w:tc>
      </w:tr>
      <w:tr>
        <w:trPr>
          <w:trHeight w:val="162"/>
        </w:trPr>
        <w:tc>
          <w:tcPr>
            <w:tcW w:w="2400" w:type="dxa"/>
            <w:vAlign w:val="bottom"/>
            <w:tcBorders>
              <w:bottom w:val="single" w:sz="8" w:color="auto"/>
            </w:tcBorders>
            <w:shd w:val="clear" w:color="auto" w:fill="CCEEFF"/>
          </w:tcPr>
          <w:p>
            <w:pPr>
              <w:ind w:left="20"/>
              <w:spacing w:after="0" w:line="162" w:lineRule="exact"/>
              <w:rPr>
                <w:sz w:val="20"/>
                <w:szCs w:val="20"/>
                <w:color w:val="auto"/>
              </w:rPr>
            </w:pPr>
            <w:r>
              <w:rPr>
                <w:rFonts w:ascii="Arial" w:cs="Arial" w:eastAsia="Arial" w:hAnsi="Arial"/>
                <w:sz w:val="15"/>
                <w:szCs w:val="15"/>
                <w:color w:val="auto"/>
              </w:rPr>
              <w:t>Noncompletion agreements</w:t>
            </w:r>
          </w:p>
        </w:tc>
        <w:tc>
          <w:tcPr>
            <w:tcW w:w="6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40</w:t>
            </w:r>
          </w:p>
        </w:tc>
        <w:tc>
          <w:tcPr>
            <w:tcW w:w="1880" w:type="dxa"/>
            <w:vAlign w:val="bottom"/>
            <w:shd w:val="clear" w:color="auto" w:fill="CCEEFF"/>
          </w:tcPr>
          <w:p>
            <w:pPr>
              <w:jc w:val="center"/>
              <w:ind w:left="383"/>
              <w:spacing w:after="0" w:line="162" w:lineRule="exact"/>
              <w:rPr>
                <w:sz w:val="20"/>
                <w:szCs w:val="20"/>
                <w:color w:val="auto"/>
              </w:rPr>
            </w:pPr>
            <w:r>
              <w:rPr>
                <w:rFonts w:ascii="Arial" w:cs="Arial" w:eastAsia="Arial" w:hAnsi="Arial"/>
                <w:sz w:val="15"/>
                <w:szCs w:val="15"/>
                <w:color w:val="auto"/>
              </w:rPr>
              <w:t>10 years</w:t>
            </w:r>
          </w:p>
        </w:tc>
      </w:tr>
      <w:tr>
        <w:trPr>
          <w:trHeight w:val="178"/>
        </w:trPr>
        <w:tc>
          <w:tcPr>
            <w:tcW w:w="2400" w:type="dxa"/>
            <w:vAlign w:val="bottom"/>
          </w:tcPr>
          <w:p>
            <w:pPr>
              <w:ind w:left="20"/>
              <w:spacing w:after="0"/>
              <w:rPr>
                <w:sz w:val="20"/>
                <w:szCs w:val="20"/>
                <w:color w:val="auto"/>
              </w:rPr>
            </w:pPr>
            <w:r>
              <w:rPr>
                <w:rFonts w:ascii="Arial" w:cs="Arial" w:eastAsia="Arial" w:hAnsi="Arial"/>
                <w:sz w:val="15"/>
                <w:szCs w:val="15"/>
                <w:color w:val="auto"/>
              </w:rPr>
              <w:t>Total subject to amortization</w:t>
            </w:r>
          </w:p>
        </w:tc>
        <w:tc>
          <w:tcPr>
            <w:tcW w:w="6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20,660</w:t>
            </w:r>
          </w:p>
        </w:tc>
        <w:tc>
          <w:tcPr>
            <w:tcW w:w="1880" w:type="dxa"/>
            <w:vAlign w:val="bottom"/>
          </w:tcPr>
          <w:p>
            <w:pPr>
              <w:jc w:val="center"/>
              <w:ind w:left="383"/>
              <w:spacing w:after="0"/>
              <w:rPr>
                <w:sz w:val="20"/>
                <w:szCs w:val="20"/>
                <w:color w:val="auto"/>
              </w:rPr>
            </w:pPr>
            <w:r>
              <w:rPr>
                <w:rFonts w:ascii="Arial" w:cs="Arial" w:eastAsia="Arial" w:hAnsi="Arial"/>
                <w:sz w:val="15"/>
                <w:szCs w:val="15"/>
                <w:color w:val="auto"/>
              </w:rPr>
              <w:t>12 years</w:t>
            </w:r>
          </w:p>
        </w:tc>
      </w:tr>
      <w:tr>
        <w:trPr>
          <w:trHeight w:val="45"/>
        </w:trPr>
        <w:tc>
          <w:tcPr>
            <w:tcW w:w="2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162"/>
        </w:trPr>
        <w:tc>
          <w:tcPr>
            <w:tcW w:w="240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Not subject to amortization:</w:t>
            </w:r>
          </w:p>
        </w:tc>
        <w:tc>
          <w:tcPr>
            <w:tcW w:w="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r>
      <w:tr>
        <w:trPr>
          <w:trHeight w:val="162"/>
        </w:trPr>
        <w:tc>
          <w:tcPr>
            <w:tcW w:w="2400" w:type="dxa"/>
            <w:vAlign w:val="bottom"/>
            <w:tcBorders>
              <w:bottom w:val="single" w:sz="8" w:color="auto"/>
            </w:tcBorders>
          </w:tcPr>
          <w:p>
            <w:pPr>
              <w:ind w:left="20"/>
              <w:spacing w:after="0" w:line="162" w:lineRule="exact"/>
              <w:rPr>
                <w:sz w:val="20"/>
                <w:szCs w:val="20"/>
                <w:color w:val="auto"/>
              </w:rPr>
            </w:pPr>
            <w:r>
              <w:rPr>
                <w:rFonts w:ascii="Arial" w:cs="Arial" w:eastAsia="Arial" w:hAnsi="Arial"/>
                <w:sz w:val="15"/>
                <w:szCs w:val="15"/>
                <w:color w:val="auto"/>
              </w:rPr>
              <w:t>Use rights</w:t>
            </w:r>
          </w:p>
        </w:tc>
        <w:tc>
          <w:tcPr>
            <w:tcW w:w="6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1,100</w:t>
            </w:r>
          </w:p>
        </w:tc>
        <w:tc>
          <w:tcPr>
            <w:tcW w:w="1880" w:type="dxa"/>
            <w:vAlign w:val="bottom"/>
            <w:tcBorders>
              <w:bottom w:val="single" w:sz="8" w:color="CCEEFF"/>
            </w:tcBorders>
          </w:tcPr>
          <w:p>
            <w:pPr>
              <w:jc w:val="center"/>
              <w:ind w:left="383"/>
              <w:spacing w:after="0" w:line="162" w:lineRule="exact"/>
              <w:rPr>
                <w:sz w:val="20"/>
                <w:szCs w:val="20"/>
                <w:color w:val="auto"/>
              </w:rPr>
            </w:pPr>
            <w:r>
              <w:rPr>
                <w:rFonts w:ascii="Arial" w:cs="Arial" w:eastAsia="Arial" w:hAnsi="Arial"/>
                <w:sz w:val="15"/>
                <w:szCs w:val="15"/>
                <w:color w:val="auto"/>
              </w:rPr>
              <w:t>N/A</w:t>
            </w:r>
          </w:p>
        </w:tc>
      </w:tr>
      <w:tr>
        <w:trPr>
          <w:trHeight w:val="163"/>
        </w:trPr>
        <w:tc>
          <w:tcPr>
            <w:tcW w:w="2400" w:type="dxa"/>
            <w:vAlign w:val="bottom"/>
            <w:tcBorders>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Total</w:t>
            </w: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21,760</w:t>
            </w:r>
          </w:p>
        </w:tc>
        <w:tc>
          <w:tcPr>
            <w:tcW w:w="1880" w:type="dxa"/>
            <w:vAlign w:val="bottom"/>
            <w:tcBorders>
              <w:bottom w:val="single" w:sz="8" w:color="CCEEFF"/>
            </w:tcBorders>
            <w:shd w:val="clear" w:color="auto" w:fill="CCEEFF"/>
          </w:tcPr>
          <w:p>
            <w:pPr>
              <w:spacing w:after="0"/>
              <w:rPr>
                <w:sz w:val="14"/>
                <w:szCs w:val="14"/>
                <w:color w:val="auto"/>
              </w:rPr>
            </w:pPr>
          </w:p>
        </w:tc>
      </w:tr>
    </w:tbl>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Total amortization expense for intangible assets for the years ended December 31, 2018, 2017 and 2016 was $13,911,000, $14,178,000 and $13,922,000, respectively.</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estimated amortization expense for intangible assets for each of the next five years and thereafter is as follows:</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000)</w:t>
      </w:r>
    </w:p>
    <w:tbl>
      <w:tblPr>
        <w:tblLayout w:type="fixed"/>
        <w:tblInd w:w="0" w:type="dxa"/>
        <w:tblCellMar>
          <w:top w:w="0" w:type="dxa"/>
          <w:left w:w="0" w:type="dxa"/>
          <w:bottom w:w="0" w:type="dxa"/>
          <w:right w:w="0" w:type="dxa"/>
        </w:tblCellMar>
      </w:tblPr>
      <w:tr>
        <w:trPr>
          <w:trHeight w:val="156"/>
        </w:trPr>
        <w:tc>
          <w:tcPr>
            <w:tcW w:w="268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2019</w:t>
            </w:r>
          </w:p>
        </w:tc>
        <w:tc>
          <w:tcPr>
            <w:tcW w:w="2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13,203</w:t>
            </w:r>
          </w:p>
        </w:tc>
      </w:tr>
      <w:tr>
        <w:trPr>
          <w:trHeight w:val="162"/>
        </w:trPr>
        <w:tc>
          <w:tcPr>
            <w:tcW w:w="2680" w:type="dxa"/>
            <w:vAlign w:val="bottom"/>
          </w:tcPr>
          <w:p>
            <w:pPr>
              <w:ind w:left="20"/>
              <w:spacing w:after="0"/>
              <w:rPr>
                <w:sz w:val="20"/>
                <w:szCs w:val="20"/>
                <w:color w:val="auto"/>
              </w:rPr>
            </w:pPr>
            <w:r>
              <w:rPr>
                <w:rFonts w:ascii="Arial" w:cs="Arial" w:eastAsia="Arial" w:hAnsi="Arial"/>
                <w:sz w:val="14"/>
                <w:szCs w:val="14"/>
                <w:color w:val="auto"/>
              </w:rPr>
              <w:t>2020</w:t>
            </w:r>
          </w:p>
        </w:tc>
        <w:tc>
          <w:tcPr>
            <w:tcW w:w="2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13,168</w:t>
            </w:r>
          </w:p>
        </w:tc>
      </w:tr>
      <w:tr>
        <w:trPr>
          <w:trHeight w:val="162"/>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12,462</w:t>
            </w:r>
          </w:p>
        </w:tc>
      </w:tr>
      <w:tr>
        <w:trPr>
          <w:trHeight w:val="162"/>
        </w:trPr>
        <w:tc>
          <w:tcPr>
            <w:tcW w:w="2680" w:type="dxa"/>
            <w:vAlign w:val="bottom"/>
          </w:tcPr>
          <w:p>
            <w:pPr>
              <w:ind w:left="20"/>
              <w:spacing w:after="0"/>
              <w:rPr>
                <w:sz w:val="20"/>
                <w:szCs w:val="20"/>
                <w:color w:val="auto"/>
              </w:rPr>
            </w:pPr>
            <w:r>
              <w:rPr>
                <w:rFonts w:ascii="Arial" w:cs="Arial" w:eastAsia="Arial" w:hAnsi="Arial"/>
                <w:sz w:val="14"/>
                <w:szCs w:val="14"/>
                <w:color w:val="auto"/>
              </w:rPr>
              <w:t>2022</w:t>
            </w:r>
          </w:p>
        </w:tc>
        <w:tc>
          <w:tcPr>
            <w:tcW w:w="2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11,036</w:t>
            </w:r>
          </w:p>
        </w:tc>
      </w:tr>
      <w:tr>
        <w:trPr>
          <w:trHeight w:val="162"/>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10,592</w:t>
            </w:r>
          </w:p>
        </w:tc>
      </w:tr>
      <w:tr>
        <w:trPr>
          <w:trHeight w:val="162"/>
        </w:trPr>
        <w:tc>
          <w:tcPr>
            <w:tcW w:w="268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2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411,094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Note D: Business Combinations</w:t>
      </w:r>
    </w:p>
    <w:p>
      <w:pPr>
        <w:spacing w:after="0" w:line="1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On April 27, 2018, the Company completed its acquisition of all of the equity interests in Bluegrass Materials Company (Bluegrass), the largest privately-held, pure-play aggregates company in the United States, for $1,617,357,000 in cash. Bluegrass’ operations included 22 active sites with more than 125 years of reserves, collectively, in Georgia, South Carolina, Tennessee, Maryland, Kentucky and Pennsylvania. These operations complement the Company’s existing southeastern footprint in its Mid-America and Southeast Groups and provide a new growth platform within Maryland and Kentucky. The Company reached an agreement with the U.S. Department of Justice (DOJ), approved by the federal district court for the District of Columbia, which resolved all competition issues with respect to the acquisition. Under the terms of the agreement with the DOJ, Martin Marietta divested its heritage Forsyth aggregates quarry, north of Atlanta, Georgia, and the legacy Bluegrass Beaver Creek aggregates quarry in western Maryland. In connection with the sale of its Forsyth quarry, the Company recognized a pretax gain of $14,785,000, which is included in acquisition-related expenses, net, in the consolidated statements of earnings and comprehensive earnings. There was no gain or loss on the Beaver Creek divestiture.</w:t>
      </w:r>
    </w:p>
    <w:p>
      <w:pPr>
        <w:spacing w:after="0" w:line="203"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Bluegrass acquisition was a stock transaction wherein the Company acquired 100% of the voting interest of the owners. The Company acquired cash, accounts receivable; inventories; property, plant and equipment, which primarily consists of mineral reserves; intangible assets; prepaid and other assets; and assumed accounts payable; accrued liabilities and deferred tax liabilities, net. The Company did not assume any of Bluegrass’ outstanding debt.</w:t>
      </w:r>
    </w:p>
    <w:p>
      <w:pPr>
        <w:spacing w:after="0" w:line="20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determined fair values of the assets acquired and liabilities assumed. Although initial accounting for the business combination has been recorded, these amounts are subject to change during the measurement period which extends no longer than one year from the consummation date based on additional reviews, such as completion of deferred tax estimates based on the determination of the historic tax basis in assets acquired. Specific accounts subject to ongoing purchase accounting adjustments include goodwill and deferred income tax liabilities, net. Therefore, the measurement period remains open as of December 31, 2018. The following is a summary of the preliminary estimated fair values of the assets acquired and the liabilities assumed:</w:t>
      </w:r>
    </w:p>
    <w:p>
      <w:pPr>
        <w:spacing w:after="0" w:line="512"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500" w:type="dxa"/>
            <w:vAlign w:val="bottom"/>
            <w:tcBorders>
              <w:top w:val="single" w:sz="8" w:color="auto"/>
              <w:bottom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Total</w:t>
            </w:r>
          </w:p>
        </w:tc>
        <w:tc>
          <w:tcPr>
            <w:tcW w:w="2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471,555</w:t>
            </w: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23</w:t>
      </w:r>
    </w:p>
    <w:p>
      <w:pPr>
        <w:sectPr>
          <w:pgSz w:w="11900" w:h="16838" w:orient="portrait"/>
          <w:cols w:equalWidth="0" w:num="1">
            <w:col w:w="11420"/>
          </w:cols>
          <w:pgMar w:left="240" w:top="265" w:right="239" w:bottom="1440" w:gutter="0" w:footer="0" w:header="0"/>
          <w:type w:val="continuous"/>
        </w:sectPr>
      </w:pPr>
    </w:p>
    <w:bookmarkStart w:id="62" w:name="page63"/>
    <w:bookmarkEnd w:id="62"/>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73450" cy="1117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extLst>
                    </a:blip>
                    <a:srcRect/>
                    <a:stretch>
                      <a:fillRect/>
                    </a:stretch>
                  </pic:blipFill>
                  <pic:spPr bwMode="auto">
                    <a:xfrm>
                      <a:off x="0" y="0"/>
                      <a:ext cx="3473450" cy="1117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Assets: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73450" cy="1028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3473450" cy="10287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color w:val="auto"/>
        </w:rPr>
        <w:t>Receivables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73450" cy="1028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3473450" cy="102870"/>
                    </a:xfrm>
                    <a:prstGeom prst="rect">
                      <a:avLst/>
                    </a:prstGeom>
                    <a:noFill/>
                  </pic:spPr>
                </pic:pic>
              </a:graphicData>
            </a:graphic>
          </wp:anchor>
        </w:drawing>
      </w:r>
    </w:p>
    <w:p>
      <w:pPr>
        <w:ind w:left="100" w:right="1451"/>
        <w:spacing w:after="0" w:line="248" w:lineRule="auto"/>
        <w:rPr>
          <w:sz w:val="20"/>
          <w:szCs w:val="20"/>
          <w:color w:val="auto"/>
        </w:rPr>
      </w:pPr>
      <w:r>
        <w:rPr>
          <w:rFonts w:ascii="Arial" w:cs="Arial" w:eastAsia="Arial" w:hAnsi="Arial"/>
          <w:sz w:val="14"/>
          <w:szCs w:val="14"/>
          <w:color w:val="auto"/>
        </w:rPr>
        <w:t>Other current assets Property, plant and equipment Intangible assets, other than goodwill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3473450" cy="1028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347345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3473450" cy="1117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extLst>
                        <a:ext uri="{28A0092B-C50C-407E-A947-70E740481C1C}"/>
                      </a:extLst>
                    </a:blip>
                    <a:srcRect/>
                    <a:stretch>
                      <a:fillRect/>
                    </a:stretch>
                  </pic:blipFill>
                  <pic:spPr bwMode="auto">
                    <a:xfrm>
                      <a:off x="0" y="0"/>
                      <a:ext cx="3473450" cy="111760"/>
                    </a:xfrm>
                    <a:prstGeom prst="rect">
                      <a:avLst/>
                    </a:prstGeom>
                    <a:noFill/>
                  </pic:spPr>
                </pic:pic>
              </a:graphicData>
            </a:graphic>
          </wp:anchor>
        </w:drawing>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734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73450" cy="1028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3473450" cy="10287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color w:val="auto"/>
        </w:rPr>
        <w:t>Accounts payable and accrued expenses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Deferred income tax liabilities,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73450" cy="1028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3473450" cy="10287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734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73450"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347345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Total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49" w:hanging="449"/>
        <w:spacing w:after="0"/>
        <w:tabs>
          <w:tab w:leader="none" w:pos="449" w:val="left"/>
        </w:tabs>
        <w:numPr>
          <w:ilvl w:val="0"/>
          <w:numId w:val="57"/>
        </w:numPr>
        <w:rPr>
          <w:rFonts w:ascii="Arial" w:cs="Arial" w:eastAsia="Arial" w:hAnsi="Arial"/>
          <w:sz w:val="14"/>
          <w:szCs w:val="14"/>
          <w:color w:val="auto"/>
        </w:rPr>
      </w:pPr>
      <w:r>
        <w:rPr>
          <w:rFonts w:ascii="Arial" w:cs="Arial" w:eastAsia="Arial" w:hAnsi="Arial"/>
          <w:sz w:val="14"/>
          <w:szCs w:val="14"/>
          <w:color w:val="auto"/>
        </w:rPr>
        <w:t>1,159</w:t>
      </w:r>
    </w:p>
    <w:p>
      <w:pPr>
        <w:spacing w:after="0" w:line="1" w:lineRule="exact"/>
        <w:rPr>
          <w:rFonts w:ascii="Arial" w:cs="Arial" w:eastAsia="Arial" w:hAnsi="Arial"/>
          <w:sz w:val="14"/>
          <w:szCs w:val="14"/>
          <w:color w:val="auto"/>
        </w:rPr>
      </w:pPr>
    </w:p>
    <w:p>
      <w:pPr>
        <w:ind w:left="369"/>
        <w:spacing w:after="0"/>
        <w:rPr>
          <w:rFonts w:ascii="Arial" w:cs="Arial" w:eastAsia="Arial" w:hAnsi="Arial"/>
          <w:sz w:val="14"/>
          <w:szCs w:val="14"/>
          <w:color w:val="auto"/>
        </w:rPr>
      </w:pPr>
      <w:r>
        <w:rPr>
          <w:rFonts w:ascii="Arial" w:cs="Arial" w:eastAsia="Arial" w:hAnsi="Arial"/>
          <w:sz w:val="14"/>
          <w:szCs w:val="14"/>
          <w:color w:val="auto"/>
        </w:rPr>
        <w:t>25,479</w:t>
      </w:r>
    </w:p>
    <w:p>
      <w:pPr>
        <w:spacing w:after="0" w:line="1" w:lineRule="exact"/>
        <w:rPr>
          <w:rFonts w:ascii="Arial" w:cs="Arial" w:eastAsia="Arial" w:hAnsi="Arial"/>
          <w:sz w:val="14"/>
          <w:szCs w:val="14"/>
          <w:color w:val="auto"/>
        </w:rPr>
      </w:pPr>
    </w:p>
    <w:p>
      <w:pPr>
        <w:ind w:left="369"/>
        <w:spacing w:after="0"/>
        <w:rPr>
          <w:rFonts w:ascii="Arial" w:cs="Arial" w:eastAsia="Arial" w:hAnsi="Arial"/>
          <w:sz w:val="14"/>
          <w:szCs w:val="14"/>
          <w:color w:val="auto"/>
        </w:rPr>
      </w:pPr>
      <w:r>
        <w:rPr>
          <w:rFonts w:ascii="Arial" w:cs="Arial" w:eastAsia="Arial" w:hAnsi="Arial"/>
          <w:sz w:val="14"/>
          <w:szCs w:val="14"/>
          <w:color w:val="auto"/>
        </w:rPr>
        <w:t>46,635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1,029</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1,519,289</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20,150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244,615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1,858,356</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17,978</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214,020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9,001</w:t>
      </w:r>
    </w:p>
    <w:p>
      <w:pPr>
        <w:spacing w:after="0" w:line="15" w:lineRule="exact"/>
        <w:rPr>
          <w:sz w:val="20"/>
          <w:szCs w:val="20"/>
          <w:color w:val="auto"/>
        </w:rPr>
      </w:pPr>
    </w:p>
    <w:p>
      <w:pPr>
        <w:ind w:left="289"/>
        <w:spacing w:after="0"/>
        <w:rPr>
          <w:sz w:val="20"/>
          <w:szCs w:val="20"/>
          <w:color w:val="auto"/>
        </w:rPr>
      </w:pPr>
      <w:r>
        <w:rPr>
          <w:rFonts w:ascii="Arial" w:cs="Arial" w:eastAsia="Arial" w:hAnsi="Arial"/>
          <w:sz w:val="14"/>
          <w:szCs w:val="14"/>
          <w:color w:val="auto"/>
        </w:rPr>
        <w:t>240,999</w:t>
      </w:r>
    </w:p>
    <w:p>
      <w:pPr>
        <w:spacing w:after="0" w:line="15" w:lineRule="exact"/>
        <w:rPr>
          <w:sz w:val="20"/>
          <w:szCs w:val="20"/>
          <w:color w:val="auto"/>
        </w:rPr>
      </w:pPr>
    </w:p>
    <w:p>
      <w:pPr>
        <w:ind w:left="9"/>
        <w:spacing w:after="0"/>
        <w:rPr>
          <w:sz w:val="20"/>
          <w:szCs w:val="20"/>
          <w:color w:val="auto"/>
        </w:rPr>
      </w:pPr>
      <w:r>
        <w:rPr>
          <w:rFonts w:ascii="Arial" w:cs="Arial" w:eastAsia="Arial" w:hAnsi="Arial"/>
          <w:sz w:val="14"/>
          <w:szCs w:val="14"/>
          <w:color w:val="auto"/>
        </w:rPr>
        <w:t>$ 1,617,357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presented below is for informational purposes only and is not indicative of the results of operations that would have been achieved if the acquisition had taken place at the beginning of fiscal year 2017.</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80" w:type="dxa"/>
            <w:vAlign w:val="bottom"/>
          </w:tcPr>
          <w:p>
            <w:pPr>
              <w:spacing w:after="0"/>
              <w:rPr>
                <w:sz w:val="20"/>
                <w:szCs w:val="20"/>
                <w:color w:val="auto"/>
              </w:rPr>
            </w:pPr>
            <w:r>
              <w:rPr>
                <w:rFonts w:ascii="Arial" w:cs="Arial" w:eastAsia="Arial" w:hAnsi="Arial"/>
                <w:sz w:val="14"/>
                <w:szCs w:val="14"/>
                <w:i w:val="1"/>
                <w:iCs w:val="1"/>
                <w:color w:val="auto"/>
              </w:rPr>
              <w:t>year ended December 31</w:t>
            </w:r>
          </w:p>
        </w:tc>
        <w:tc>
          <w:tcPr>
            <w:tcW w:w="960" w:type="dxa"/>
            <w:vAlign w:val="bottom"/>
          </w:tcPr>
          <w:p>
            <w:pPr>
              <w:spacing w:after="0"/>
              <w:rPr>
                <w:sz w:val="14"/>
                <w:szCs w:val="14"/>
                <w:color w:val="auto"/>
              </w:rPr>
            </w:pPr>
          </w:p>
        </w:tc>
        <w:tc>
          <w:tcPr>
            <w:tcW w:w="90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0085CD"/>
              </w:rPr>
              <w:t>2018</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6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9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2017</w:t>
            </w:r>
          </w:p>
        </w:tc>
        <w:tc>
          <w:tcPr>
            <w:tcW w:w="0" w:type="dxa"/>
            <w:vAlign w:val="bottom"/>
          </w:tcPr>
          <w:p>
            <w:pPr>
              <w:spacing w:after="0"/>
              <w:rPr>
                <w:sz w:val="1"/>
                <w:szCs w:val="1"/>
                <w:color w:val="auto"/>
              </w:rPr>
            </w:pPr>
          </w:p>
        </w:tc>
      </w:tr>
      <w:tr>
        <w:trPr>
          <w:trHeight w:val="156"/>
        </w:trPr>
        <w:tc>
          <w:tcPr>
            <w:tcW w:w="26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Total revenues</w:t>
            </w:r>
          </w:p>
        </w:tc>
        <w:tc>
          <w:tcPr>
            <w:tcW w:w="9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ind w:right="103"/>
              <w:spacing w:after="0" w:line="156" w:lineRule="exact"/>
              <w:rPr>
                <w:sz w:val="20"/>
                <w:szCs w:val="20"/>
                <w:color w:val="auto"/>
              </w:rPr>
            </w:pPr>
            <w:r>
              <w:rPr>
                <w:rFonts w:ascii="Arial" w:cs="Arial" w:eastAsia="Arial" w:hAnsi="Arial"/>
                <w:sz w:val="15"/>
                <w:szCs w:val="15"/>
                <w:b w:val="1"/>
                <w:bCs w:val="1"/>
                <w:color w:val="auto"/>
              </w:rPr>
              <w:t>4,299,673</w:t>
            </w:r>
          </w:p>
        </w:tc>
        <w:tc>
          <w:tcPr>
            <w:tcW w:w="3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4,178,627</w:t>
            </w:r>
          </w:p>
        </w:tc>
        <w:tc>
          <w:tcPr>
            <w:tcW w:w="0" w:type="dxa"/>
            <w:vAlign w:val="bottom"/>
          </w:tcPr>
          <w:p>
            <w:pPr>
              <w:spacing w:after="0"/>
              <w:rPr>
                <w:sz w:val="1"/>
                <w:szCs w:val="1"/>
                <w:color w:val="auto"/>
              </w:rPr>
            </w:pPr>
          </w:p>
        </w:tc>
      </w:tr>
      <w:tr>
        <w:trPr>
          <w:trHeight w:val="159"/>
        </w:trPr>
        <w:tc>
          <w:tcPr>
            <w:tcW w:w="2680" w:type="dxa"/>
            <w:vAlign w:val="bottom"/>
          </w:tcPr>
          <w:p>
            <w:pPr>
              <w:spacing w:after="0" w:line="159" w:lineRule="exact"/>
              <w:rPr>
                <w:sz w:val="20"/>
                <w:szCs w:val="20"/>
                <w:color w:val="auto"/>
              </w:rPr>
            </w:pPr>
            <w:r>
              <w:rPr>
                <w:rFonts w:ascii="Arial" w:cs="Arial" w:eastAsia="Arial" w:hAnsi="Arial"/>
                <w:sz w:val="15"/>
                <w:szCs w:val="15"/>
                <w:color w:val="auto"/>
              </w:rPr>
              <w:t>Net earnings attributable to</w:t>
            </w:r>
          </w:p>
        </w:tc>
        <w:tc>
          <w:tcPr>
            <w:tcW w:w="9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489,526</w:t>
            </w: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680" w:type="dxa"/>
            <w:vAlign w:val="bottom"/>
          </w:tcPr>
          <w:p>
            <w:pPr>
              <w:ind w:left="160"/>
              <w:spacing w:after="0" w:line="166" w:lineRule="exact"/>
              <w:rPr>
                <w:sz w:val="20"/>
                <w:szCs w:val="20"/>
                <w:color w:val="auto"/>
              </w:rPr>
            </w:pPr>
            <w:r>
              <w:rPr>
                <w:rFonts w:ascii="Arial" w:cs="Arial" w:eastAsia="Arial" w:hAnsi="Arial"/>
                <w:sz w:val="15"/>
                <w:szCs w:val="15"/>
                <w:color w:val="auto"/>
              </w:rPr>
              <w:t>Martin Marietta</w:t>
            </w: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0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66" w:lineRule="exact"/>
              <w:rPr>
                <w:sz w:val="20"/>
                <w:szCs w:val="20"/>
                <w:color w:val="auto"/>
              </w:rPr>
            </w:pPr>
            <w:r>
              <w:rPr>
                <w:rFonts w:ascii="Arial" w:cs="Arial" w:eastAsia="Arial" w:hAnsi="Arial"/>
                <w:sz w:val="15"/>
                <w:szCs w:val="15"/>
                <w:color w:val="auto"/>
              </w:rPr>
              <w:t>691,719</w:t>
            </w: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Diluted earnings per share</w:t>
            </w:r>
          </w:p>
        </w:tc>
        <w:tc>
          <w:tcPr>
            <w:tcW w:w="9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b w:val="1"/>
                <w:bCs w:val="1"/>
                <w:color w:val="auto"/>
              </w:rPr>
              <w:t>7.75</w:t>
            </w: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10.94</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On August 31, 2018, the Company purchased the remaining noncontrolling interest in a consolidated joint venture where the controlling interest was acquired as part of the Bluegrass acquisition.</w:t>
      </w:r>
    </w:p>
    <w:p>
      <w:pPr>
        <w:spacing w:after="0" w:line="184" w:lineRule="exact"/>
        <w:rPr>
          <w:sz w:val="20"/>
          <w:szCs w:val="20"/>
          <w:color w:val="auto"/>
        </w:rPr>
      </w:pPr>
    </w:p>
    <w:p>
      <w:pPr>
        <w:sectPr>
          <w:pgSz w:w="11900" w:h="16838" w:orient="portrait"/>
          <w:cols w:equalWidth="0" w:num="3">
            <w:col w:w="3911" w:space="720"/>
            <w:col w:w="809" w:space="380"/>
            <w:col w:w="5600"/>
          </w:cols>
          <w:pgMar w:left="240" w:top="265" w:right="239" w:bottom="1440" w:gutter="0" w:footer="0" w:header="0"/>
          <w:type w:val="continuous"/>
        </w:sectPr>
      </w:pP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Goodwill represents the excess purchase price over the fair values of assets acquired and liabilities assumed and reflects projected operating synergies from the transaction, including expected overhead savings. None of the goodwill generated by the transaction will be deductible for income tax purposes.</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Total revenues and earnings from operations attributable to acquired operations included in the consolidated statement of earnings for the year ended December 31, 2018 were $172,015,000 and $32,364,000, respectively.</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Acquisition-related expenses, primarily related to Bluegrass, were $28,264,000 and $8,638,000 for the years ended December 31, 2018 and 2017,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Unaudited Pro Forma Financial Information</w:t>
      </w:r>
    </w:p>
    <w:p>
      <w:pPr>
        <w:spacing w:after="0" w:line="1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unaudited pro forma financial information summarizes the combined results of operations for the Company and Bluegrass as though the companies were combined as of January 1, 2017. Financial information for periods prior to the April 27, 2018 acquisition date included in the pro forma earnings does not reflect any cost savings or associated costs to achieve such savings from operating efficiencies or synergies that result from the combination. Consistent with the assumed acquisition date of January 1, 2017, the pro forma financial results for the year ended December 31, 2017 include acquisition-related expenses of $28,088,000, the $14,785,000 gain on the required divestiture of assets and the one-time $18,738,000 increase in cost of sales for the sale of acquired inventory marked up to fair value as part of acquisition accounting.</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pro forma financial information does do not purport to project the future financial position or operating results of the combined company. The pro forma financial information 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85CD"/>
        </w:rPr>
        <w:t>Note E: Accounts Receivable, Net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70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1100" w:type="dxa"/>
            <w:vAlign w:val="bottom"/>
          </w:tcPr>
          <w:p>
            <w:pPr>
              <w:spacing w:after="0"/>
              <w:rPr>
                <w:sz w:val="14"/>
                <w:szCs w:val="14"/>
                <w:color w:val="auto"/>
              </w:rPr>
            </w:pPr>
          </w:p>
        </w:tc>
        <w:tc>
          <w:tcPr>
            <w:tcW w:w="820" w:type="dxa"/>
            <w:vAlign w:val="bottom"/>
            <w:vMerge w:val="restart"/>
          </w:tcPr>
          <w:p>
            <w:pPr>
              <w:jc w:val="right"/>
              <w:ind w:right="123"/>
              <w:spacing w:after="0"/>
              <w:rPr>
                <w:sz w:val="20"/>
                <w:szCs w:val="20"/>
                <w:color w:val="auto"/>
              </w:rPr>
            </w:pPr>
            <w:r>
              <w:rPr>
                <w:rFonts w:ascii="Arial" w:cs="Arial" w:eastAsia="Arial" w:hAnsi="Arial"/>
                <w:sz w:val="15"/>
                <w:szCs w:val="15"/>
                <w:b w:val="1"/>
                <w:bCs w:val="1"/>
                <w:color w:val="0085CD"/>
              </w:rPr>
              <w:t>2018</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7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1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2017</w:t>
            </w:r>
          </w:p>
        </w:tc>
        <w:tc>
          <w:tcPr>
            <w:tcW w:w="0" w:type="dxa"/>
            <w:vAlign w:val="bottom"/>
          </w:tcPr>
          <w:p>
            <w:pPr>
              <w:spacing w:after="0"/>
              <w:rPr>
                <w:sz w:val="1"/>
                <w:szCs w:val="1"/>
                <w:color w:val="auto"/>
              </w:rPr>
            </w:pPr>
          </w:p>
        </w:tc>
      </w:tr>
      <w:tr>
        <w:trPr>
          <w:trHeight w:val="156"/>
        </w:trPr>
        <w:tc>
          <w:tcPr>
            <w:tcW w:w="27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Customer receivables</w:t>
            </w:r>
          </w:p>
        </w:tc>
        <w:tc>
          <w:tcPr>
            <w:tcW w:w="11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ind w:right="123"/>
              <w:spacing w:after="0" w:line="156" w:lineRule="exact"/>
              <w:rPr>
                <w:sz w:val="20"/>
                <w:szCs w:val="20"/>
                <w:color w:val="auto"/>
              </w:rPr>
            </w:pPr>
            <w:r>
              <w:rPr>
                <w:rFonts w:ascii="Arial" w:cs="Arial" w:eastAsia="Arial" w:hAnsi="Arial"/>
                <w:sz w:val="15"/>
                <w:szCs w:val="15"/>
                <w:b w:val="1"/>
                <w:bCs w:val="1"/>
                <w:color w:val="auto"/>
              </w:rPr>
              <w:t>514,094</w:t>
            </w:r>
          </w:p>
        </w:tc>
        <w:tc>
          <w:tcPr>
            <w:tcW w:w="2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480,073</w:t>
            </w:r>
          </w:p>
        </w:tc>
        <w:tc>
          <w:tcPr>
            <w:tcW w:w="0" w:type="dxa"/>
            <w:vAlign w:val="bottom"/>
          </w:tcPr>
          <w:p>
            <w:pPr>
              <w:spacing w:after="0"/>
              <w:rPr>
                <w:sz w:val="1"/>
                <w:szCs w:val="1"/>
                <w:color w:val="auto"/>
              </w:rPr>
            </w:pPr>
          </w:p>
        </w:tc>
      </w:tr>
      <w:tr>
        <w:trPr>
          <w:trHeight w:val="162"/>
        </w:trPr>
        <w:tc>
          <w:tcPr>
            <w:tcW w:w="270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Other current receivables</w:t>
            </w:r>
          </w:p>
        </w:tc>
        <w:tc>
          <w:tcPr>
            <w:tcW w:w="1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23"/>
              <w:spacing w:after="0" w:line="162" w:lineRule="exact"/>
              <w:rPr>
                <w:sz w:val="20"/>
                <w:szCs w:val="20"/>
                <w:color w:val="auto"/>
              </w:rPr>
            </w:pPr>
            <w:r>
              <w:rPr>
                <w:rFonts w:ascii="Arial" w:cs="Arial" w:eastAsia="Arial" w:hAnsi="Arial"/>
                <w:sz w:val="15"/>
                <w:szCs w:val="15"/>
                <w:b w:val="1"/>
                <w:bCs w:val="1"/>
                <w:color w:val="auto"/>
              </w:rPr>
              <w:t>12,535</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9,557</w:t>
            </w:r>
          </w:p>
        </w:tc>
        <w:tc>
          <w:tcPr>
            <w:tcW w:w="0" w:type="dxa"/>
            <w:vAlign w:val="bottom"/>
          </w:tcPr>
          <w:p>
            <w:pPr>
              <w:spacing w:after="0"/>
              <w:rPr>
                <w:sz w:val="1"/>
                <w:szCs w:val="1"/>
                <w:color w:val="auto"/>
              </w:rPr>
            </w:pPr>
          </w:p>
        </w:tc>
      </w:tr>
      <w:tr>
        <w:trPr>
          <w:trHeight w:val="156"/>
        </w:trPr>
        <w:tc>
          <w:tcPr>
            <w:tcW w:w="27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23"/>
              <w:spacing w:after="0" w:line="156" w:lineRule="exact"/>
              <w:rPr>
                <w:sz w:val="20"/>
                <w:szCs w:val="20"/>
                <w:color w:val="auto"/>
              </w:rPr>
            </w:pPr>
            <w:r>
              <w:rPr>
                <w:rFonts w:ascii="Arial" w:cs="Arial" w:eastAsia="Arial" w:hAnsi="Arial"/>
                <w:sz w:val="15"/>
                <w:szCs w:val="15"/>
                <w:b w:val="1"/>
                <w:bCs w:val="1"/>
                <w:color w:val="auto"/>
              </w:rPr>
              <w:t>526,629</w:t>
            </w: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489,630</w:t>
            </w:r>
          </w:p>
        </w:tc>
        <w:tc>
          <w:tcPr>
            <w:tcW w:w="0" w:type="dxa"/>
            <w:vAlign w:val="bottom"/>
          </w:tcPr>
          <w:p>
            <w:pPr>
              <w:spacing w:after="0"/>
              <w:rPr>
                <w:sz w:val="1"/>
                <w:szCs w:val="1"/>
                <w:color w:val="auto"/>
              </w:rPr>
            </w:pPr>
          </w:p>
        </w:tc>
      </w:tr>
      <w:tr>
        <w:trPr>
          <w:trHeight w:val="162"/>
        </w:trPr>
        <w:tc>
          <w:tcPr>
            <w:tcW w:w="270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Less: allowances</w:t>
            </w:r>
          </w:p>
        </w:tc>
        <w:tc>
          <w:tcPr>
            <w:tcW w:w="1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b w:val="1"/>
                <w:bCs w:val="1"/>
                <w:color w:val="auto"/>
              </w:rPr>
              <w:t>(3,353)</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(2,390)</w:t>
            </w:r>
          </w:p>
        </w:tc>
        <w:tc>
          <w:tcPr>
            <w:tcW w:w="0" w:type="dxa"/>
            <w:vAlign w:val="bottom"/>
          </w:tcPr>
          <w:p>
            <w:pPr>
              <w:spacing w:after="0"/>
              <w:rPr>
                <w:sz w:val="1"/>
                <w:szCs w:val="1"/>
                <w:color w:val="auto"/>
              </w:rPr>
            </w:pPr>
          </w:p>
        </w:tc>
      </w:tr>
      <w:tr>
        <w:trPr>
          <w:trHeight w:val="163"/>
        </w:trPr>
        <w:tc>
          <w:tcPr>
            <w:tcW w:w="27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Total</w:t>
            </w:r>
          </w:p>
        </w:tc>
        <w:tc>
          <w:tcPr>
            <w:tcW w:w="11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shd w:val="clear" w:color="auto" w:fill="CCEEFF"/>
          </w:tcPr>
          <w:p>
            <w:pPr>
              <w:jc w:val="right"/>
              <w:ind w:right="123"/>
              <w:spacing w:after="0" w:line="156" w:lineRule="exact"/>
              <w:rPr>
                <w:sz w:val="20"/>
                <w:szCs w:val="20"/>
                <w:color w:val="auto"/>
              </w:rPr>
            </w:pPr>
            <w:r>
              <w:rPr>
                <w:rFonts w:ascii="Arial" w:cs="Arial" w:eastAsia="Arial" w:hAnsi="Arial"/>
                <w:sz w:val="15"/>
                <w:szCs w:val="15"/>
                <w:b w:val="1"/>
                <w:bCs w:val="1"/>
                <w:color w:val="auto"/>
              </w:rPr>
              <w:t>523,276</w:t>
            </w:r>
          </w:p>
        </w:tc>
        <w:tc>
          <w:tcPr>
            <w:tcW w:w="2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487,240</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Of the total accounts receivable, net, balances, $2,478,000 and $2,819,000 at December 31, 2018 and 2017, respectively, were due from unconsolidated affiliates.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Note F: Inventories, Net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4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640" w:type="dxa"/>
            <w:vAlign w:val="bottom"/>
          </w:tcPr>
          <w:p>
            <w:pPr>
              <w:spacing w:after="0"/>
              <w:rPr>
                <w:sz w:val="14"/>
                <w:szCs w:val="14"/>
                <w:color w:val="auto"/>
              </w:rPr>
            </w:pPr>
          </w:p>
        </w:tc>
        <w:tc>
          <w:tcPr>
            <w:tcW w:w="840" w:type="dxa"/>
            <w:vAlign w:val="bottom"/>
            <w:vMerge w:val="restart"/>
          </w:tcPr>
          <w:p>
            <w:pPr>
              <w:jc w:val="right"/>
              <w:ind w:right="123"/>
              <w:spacing w:after="0"/>
              <w:rPr>
                <w:sz w:val="20"/>
                <w:szCs w:val="20"/>
                <w:color w:val="auto"/>
              </w:rPr>
            </w:pPr>
            <w:r>
              <w:rPr>
                <w:rFonts w:ascii="Arial" w:cs="Arial" w:eastAsia="Arial" w:hAnsi="Arial"/>
                <w:sz w:val="15"/>
                <w:szCs w:val="15"/>
                <w:b w:val="1"/>
                <w:bCs w:val="1"/>
                <w:color w:val="0085CD"/>
              </w:rPr>
              <w:t>2018</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1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6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2017</w:t>
            </w:r>
          </w:p>
        </w:tc>
        <w:tc>
          <w:tcPr>
            <w:tcW w:w="0" w:type="dxa"/>
            <w:vAlign w:val="bottom"/>
          </w:tcPr>
          <w:p>
            <w:pPr>
              <w:spacing w:after="0"/>
              <w:rPr>
                <w:sz w:val="1"/>
                <w:szCs w:val="1"/>
                <w:color w:val="auto"/>
              </w:rPr>
            </w:pPr>
          </w:p>
        </w:tc>
      </w:tr>
      <w:tr>
        <w:trPr>
          <w:trHeight w:val="156"/>
        </w:trPr>
        <w:tc>
          <w:tcPr>
            <w:tcW w:w="31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Finished products</w:t>
            </w:r>
          </w:p>
        </w:tc>
        <w:tc>
          <w:tcPr>
            <w:tcW w:w="6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ind w:right="123"/>
              <w:spacing w:after="0" w:line="156" w:lineRule="exact"/>
              <w:rPr>
                <w:sz w:val="20"/>
                <w:szCs w:val="20"/>
                <w:color w:val="auto"/>
              </w:rPr>
            </w:pPr>
            <w:r>
              <w:rPr>
                <w:rFonts w:ascii="Arial" w:cs="Arial" w:eastAsia="Arial" w:hAnsi="Arial"/>
                <w:sz w:val="15"/>
                <w:szCs w:val="15"/>
                <w:b w:val="1"/>
                <w:bCs w:val="1"/>
                <w:color w:val="auto"/>
              </w:rPr>
              <w:t>615,719</w:t>
            </w:r>
          </w:p>
        </w:tc>
        <w:tc>
          <w:tcPr>
            <w:tcW w:w="2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552,999</w:t>
            </w:r>
          </w:p>
        </w:tc>
        <w:tc>
          <w:tcPr>
            <w:tcW w:w="0" w:type="dxa"/>
            <w:vAlign w:val="bottom"/>
          </w:tcPr>
          <w:p>
            <w:pPr>
              <w:spacing w:after="0"/>
              <w:rPr>
                <w:sz w:val="1"/>
                <w:szCs w:val="1"/>
                <w:color w:val="auto"/>
              </w:rPr>
            </w:pPr>
          </w:p>
        </w:tc>
      </w:tr>
      <w:tr>
        <w:trPr>
          <w:trHeight w:val="162"/>
        </w:trPr>
        <w:tc>
          <w:tcPr>
            <w:tcW w:w="3140" w:type="dxa"/>
            <w:vAlign w:val="bottom"/>
          </w:tcPr>
          <w:p>
            <w:pPr>
              <w:spacing w:after="0" w:line="162" w:lineRule="exact"/>
              <w:rPr>
                <w:sz w:val="20"/>
                <w:szCs w:val="20"/>
                <w:color w:val="auto"/>
              </w:rPr>
            </w:pPr>
            <w:r>
              <w:rPr>
                <w:rFonts w:ascii="Arial" w:cs="Arial" w:eastAsia="Arial" w:hAnsi="Arial"/>
                <w:sz w:val="15"/>
                <w:szCs w:val="15"/>
                <w:color w:val="auto"/>
              </w:rPr>
              <w:t>Products in process and raw materials</w:t>
            </w:r>
          </w:p>
        </w:tc>
        <w:tc>
          <w:tcPr>
            <w:tcW w:w="640" w:type="dxa"/>
            <w:vAlign w:val="bottom"/>
          </w:tcPr>
          <w:p>
            <w:pPr>
              <w:spacing w:after="0"/>
              <w:rPr>
                <w:sz w:val="14"/>
                <w:szCs w:val="14"/>
                <w:color w:val="auto"/>
              </w:rPr>
            </w:pPr>
          </w:p>
        </w:tc>
        <w:tc>
          <w:tcPr>
            <w:tcW w:w="840" w:type="dxa"/>
            <w:vAlign w:val="bottom"/>
          </w:tcPr>
          <w:p>
            <w:pPr>
              <w:jc w:val="right"/>
              <w:ind w:right="123"/>
              <w:spacing w:after="0" w:line="162" w:lineRule="exact"/>
              <w:rPr>
                <w:sz w:val="20"/>
                <w:szCs w:val="20"/>
                <w:color w:val="auto"/>
              </w:rPr>
            </w:pPr>
            <w:r>
              <w:rPr>
                <w:rFonts w:ascii="Arial" w:cs="Arial" w:eastAsia="Arial" w:hAnsi="Arial"/>
                <w:sz w:val="15"/>
                <w:szCs w:val="15"/>
                <w:b w:val="1"/>
                <w:bCs w:val="1"/>
                <w:color w:val="auto"/>
              </w:rPr>
              <w:t>66,920</w:t>
            </w:r>
          </w:p>
        </w:tc>
        <w:tc>
          <w:tcPr>
            <w:tcW w:w="260" w:type="dxa"/>
            <w:vAlign w:val="bottom"/>
          </w:tcPr>
          <w:p>
            <w:pPr>
              <w:spacing w:after="0"/>
              <w:rPr>
                <w:sz w:val="14"/>
                <w:szCs w:val="14"/>
                <w:color w:val="auto"/>
              </w:rPr>
            </w:pPr>
          </w:p>
        </w:tc>
        <w:tc>
          <w:tcPr>
            <w:tcW w:w="7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62,761</w:t>
            </w:r>
          </w:p>
        </w:tc>
        <w:tc>
          <w:tcPr>
            <w:tcW w:w="0" w:type="dxa"/>
            <w:vAlign w:val="bottom"/>
          </w:tcPr>
          <w:p>
            <w:pPr>
              <w:spacing w:after="0"/>
              <w:rPr>
                <w:sz w:val="1"/>
                <w:szCs w:val="1"/>
                <w:color w:val="auto"/>
              </w:rPr>
            </w:pPr>
          </w:p>
        </w:tc>
      </w:tr>
      <w:tr>
        <w:trPr>
          <w:trHeight w:val="162"/>
        </w:trPr>
        <w:tc>
          <w:tcPr>
            <w:tcW w:w="314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5"/>
                <w:szCs w:val="15"/>
                <w:color w:val="auto"/>
              </w:rPr>
              <w:t>Supplies and expendable parts</w:t>
            </w:r>
          </w:p>
        </w:tc>
        <w:tc>
          <w:tcPr>
            <w:tcW w:w="6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23"/>
              <w:spacing w:after="0" w:line="162" w:lineRule="exact"/>
              <w:rPr>
                <w:sz w:val="20"/>
                <w:szCs w:val="20"/>
                <w:color w:val="auto"/>
              </w:rPr>
            </w:pPr>
            <w:r>
              <w:rPr>
                <w:rFonts w:ascii="Arial" w:cs="Arial" w:eastAsia="Arial" w:hAnsi="Arial"/>
                <w:sz w:val="15"/>
                <w:szCs w:val="15"/>
                <w:b w:val="1"/>
                <w:bCs w:val="1"/>
                <w:color w:val="auto"/>
              </w:rPr>
              <w:t>139,566</w:t>
            </w:r>
          </w:p>
        </w:tc>
        <w:tc>
          <w:tcPr>
            <w:tcW w:w="2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128,792</w:t>
            </w: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jc w:val="right"/>
              <w:ind w:right="123"/>
              <w:spacing w:after="0" w:line="156" w:lineRule="exact"/>
              <w:rPr>
                <w:sz w:val="20"/>
                <w:szCs w:val="20"/>
                <w:color w:val="auto"/>
              </w:rPr>
            </w:pPr>
            <w:r>
              <w:rPr>
                <w:rFonts w:ascii="Arial" w:cs="Arial" w:eastAsia="Arial" w:hAnsi="Arial"/>
                <w:sz w:val="15"/>
                <w:szCs w:val="15"/>
                <w:b w:val="1"/>
                <w:bCs w:val="1"/>
                <w:color w:val="auto"/>
              </w:rPr>
              <w:t>822,205</w:t>
            </w:r>
          </w:p>
        </w:tc>
        <w:tc>
          <w:tcPr>
            <w:tcW w:w="260" w:type="dxa"/>
            <w:vAlign w:val="bottom"/>
          </w:tcPr>
          <w:p>
            <w:pPr>
              <w:spacing w:after="0"/>
              <w:rPr>
                <w:sz w:val="13"/>
                <w:szCs w:val="13"/>
                <w:color w:val="auto"/>
              </w:rPr>
            </w:pPr>
          </w:p>
        </w:tc>
        <w:tc>
          <w:tcPr>
            <w:tcW w:w="720" w:type="dxa"/>
            <w:vAlign w:val="bottom"/>
          </w:tcPr>
          <w:p>
            <w:pPr>
              <w:jc w:val="right"/>
              <w:ind w:right="23"/>
              <w:spacing w:after="0" w:line="156" w:lineRule="exact"/>
              <w:rPr>
                <w:sz w:val="20"/>
                <w:szCs w:val="20"/>
                <w:color w:val="auto"/>
              </w:rPr>
            </w:pPr>
            <w:r>
              <w:rPr>
                <w:rFonts w:ascii="Arial" w:cs="Arial" w:eastAsia="Arial" w:hAnsi="Arial"/>
                <w:sz w:val="15"/>
                <w:szCs w:val="15"/>
                <w:color w:val="auto"/>
              </w:rPr>
              <w:t>744,552</w:t>
            </w:r>
          </w:p>
        </w:tc>
        <w:tc>
          <w:tcPr>
            <w:tcW w:w="0" w:type="dxa"/>
            <w:vAlign w:val="bottom"/>
          </w:tcPr>
          <w:p>
            <w:pPr>
              <w:spacing w:after="0"/>
              <w:rPr>
                <w:sz w:val="1"/>
                <w:szCs w:val="1"/>
                <w:color w:val="auto"/>
              </w:rPr>
            </w:pPr>
          </w:p>
        </w:tc>
      </w:tr>
      <w:tr>
        <w:trPr>
          <w:trHeight w:val="162"/>
        </w:trPr>
        <w:tc>
          <w:tcPr>
            <w:tcW w:w="314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5"/>
                <w:szCs w:val="15"/>
                <w:color w:val="auto"/>
              </w:rPr>
              <w:t>Less: allowances</w:t>
            </w:r>
          </w:p>
        </w:tc>
        <w:tc>
          <w:tcPr>
            <w:tcW w:w="6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83"/>
              <w:spacing w:after="0" w:line="162" w:lineRule="exact"/>
              <w:rPr>
                <w:sz w:val="20"/>
                <w:szCs w:val="20"/>
                <w:color w:val="auto"/>
              </w:rPr>
            </w:pPr>
            <w:r>
              <w:rPr>
                <w:rFonts w:ascii="Arial" w:cs="Arial" w:eastAsia="Arial" w:hAnsi="Arial"/>
                <w:sz w:val="15"/>
                <w:szCs w:val="15"/>
                <w:b w:val="1"/>
                <w:bCs w:val="1"/>
                <w:color w:val="auto"/>
              </w:rPr>
              <w:t>(159,170)</w:t>
            </w:r>
          </w:p>
        </w:tc>
        <w:tc>
          <w:tcPr>
            <w:tcW w:w="2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(143,961)</w:t>
            </w:r>
          </w:p>
        </w:tc>
        <w:tc>
          <w:tcPr>
            <w:tcW w:w="0" w:type="dxa"/>
            <w:vAlign w:val="bottom"/>
          </w:tcPr>
          <w:p>
            <w:pPr>
              <w:spacing w:after="0"/>
              <w:rPr>
                <w:sz w:val="1"/>
                <w:szCs w:val="1"/>
                <w:color w:val="auto"/>
              </w:rPr>
            </w:pPr>
          </w:p>
        </w:tc>
      </w:tr>
      <w:tr>
        <w:trPr>
          <w:trHeight w:val="163"/>
        </w:trPr>
        <w:tc>
          <w:tcPr>
            <w:tcW w:w="314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Total</w:t>
            </w:r>
          </w:p>
        </w:tc>
        <w:tc>
          <w:tcPr>
            <w:tcW w:w="6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ind w:right="123"/>
              <w:spacing w:after="0" w:line="156" w:lineRule="exact"/>
              <w:rPr>
                <w:sz w:val="20"/>
                <w:szCs w:val="20"/>
                <w:color w:val="auto"/>
              </w:rPr>
            </w:pPr>
            <w:r>
              <w:rPr>
                <w:rFonts w:ascii="Arial" w:cs="Arial" w:eastAsia="Arial" w:hAnsi="Arial"/>
                <w:sz w:val="15"/>
                <w:szCs w:val="15"/>
                <w:b w:val="1"/>
                <w:bCs w:val="1"/>
                <w:color w:val="auto"/>
              </w:rPr>
              <w:t>663,035</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600,591</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Note G: Property, Plant and Equipment, Net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4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400" w:type="dxa"/>
            <w:vAlign w:val="bottom"/>
          </w:tcPr>
          <w:p>
            <w:pPr>
              <w:spacing w:after="0"/>
              <w:rPr>
                <w:sz w:val="14"/>
                <w:szCs w:val="14"/>
                <w:color w:val="auto"/>
              </w:rPr>
            </w:pPr>
          </w:p>
        </w:tc>
        <w:tc>
          <w:tcPr>
            <w:tcW w:w="96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0085CD"/>
              </w:rPr>
              <w:t>2018</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1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2017</w:t>
            </w:r>
          </w:p>
        </w:tc>
        <w:tc>
          <w:tcPr>
            <w:tcW w:w="0" w:type="dxa"/>
            <w:vAlign w:val="bottom"/>
          </w:tcPr>
          <w:p>
            <w:pPr>
              <w:spacing w:after="0"/>
              <w:rPr>
                <w:sz w:val="1"/>
                <w:szCs w:val="1"/>
                <w:color w:val="auto"/>
              </w:rPr>
            </w:pPr>
          </w:p>
        </w:tc>
      </w:tr>
      <w:tr>
        <w:trPr>
          <w:trHeight w:val="156"/>
        </w:trPr>
        <w:tc>
          <w:tcPr>
            <w:tcW w:w="31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Land and land improvements</w:t>
            </w:r>
          </w:p>
        </w:tc>
        <w:tc>
          <w:tcPr>
            <w:tcW w:w="4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CCEEFF"/>
          </w:tcPr>
          <w:p>
            <w:pPr>
              <w:jc w:val="right"/>
              <w:ind w:right="143"/>
              <w:spacing w:after="0" w:line="156" w:lineRule="exact"/>
              <w:rPr>
                <w:sz w:val="20"/>
                <w:szCs w:val="20"/>
                <w:color w:val="auto"/>
              </w:rPr>
            </w:pPr>
            <w:r>
              <w:rPr>
                <w:rFonts w:ascii="Arial" w:cs="Arial" w:eastAsia="Arial" w:hAnsi="Arial"/>
                <w:sz w:val="15"/>
                <w:szCs w:val="15"/>
                <w:b w:val="1"/>
                <w:bCs w:val="1"/>
                <w:color w:val="auto"/>
              </w:rPr>
              <w:t>1,089,675</w:t>
            </w:r>
          </w:p>
        </w:tc>
        <w:tc>
          <w:tcPr>
            <w:tcW w:w="2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974,622</w:t>
            </w:r>
          </w:p>
        </w:tc>
        <w:tc>
          <w:tcPr>
            <w:tcW w:w="0" w:type="dxa"/>
            <w:vAlign w:val="bottom"/>
          </w:tcPr>
          <w:p>
            <w:pPr>
              <w:spacing w:after="0"/>
              <w:rPr>
                <w:sz w:val="1"/>
                <w:szCs w:val="1"/>
                <w:color w:val="auto"/>
              </w:rPr>
            </w:pPr>
          </w:p>
        </w:tc>
      </w:tr>
      <w:tr>
        <w:trPr>
          <w:trHeight w:val="162"/>
        </w:trPr>
        <w:tc>
          <w:tcPr>
            <w:tcW w:w="3140" w:type="dxa"/>
            <w:vAlign w:val="bottom"/>
          </w:tcPr>
          <w:p>
            <w:pPr>
              <w:spacing w:after="0" w:line="162" w:lineRule="exact"/>
              <w:rPr>
                <w:sz w:val="20"/>
                <w:szCs w:val="20"/>
                <w:color w:val="auto"/>
              </w:rPr>
            </w:pPr>
            <w:r>
              <w:rPr>
                <w:rFonts w:ascii="Arial" w:cs="Arial" w:eastAsia="Arial" w:hAnsi="Arial"/>
                <w:sz w:val="15"/>
                <w:szCs w:val="15"/>
                <w:color w:val="auto"/>
              </w:rPr>
              <w:t>Mineral reserves and interests</w:t>
            </w:r>
          </w:p>
        </w:tc>
        <w:tc>
          <w:tcPr>
            <w:tcW w:w="400" w:type="dxa"/>
            <w:vAlign w:val="bottom"/>
          </w:tcPr>
          <w:p>
            <w:pPr>
              <w:spacing w:after="0"/>
              <w:rPr>
                <w:sz w:val="14"/>
                <w:szCs w:val="14"/>
                <w:color w:val="auto"/>
              </w:rPr>
            </w:pPr>
          </w:p>
        </w:tc>
        <w:tc>
          <w:tcPr>
            <w:tcW w:w="960" w:type="dxa"/>
            <w:vAlign w:val="bottom"/>
          </w:tcPr>
          <w:p>
            <w:pPr>
              <w:jc w:val="right"/>
              <w:ind w:right="143"/>
              <w:spacing w:after="0" w:line="162" w:lineRule="exact"/>
              <w:rPr>
                <w:sz w:val="20"/>
                <w:szCs w:val="20"/>
                <w:color w:val="auto"/>
              </w:rPr>
            </w:pPr>
            <w:r>
              <w:rPr>
                <w:rFonts w:ascii="Arial" w:cs="Arial" w:eastAsia="Arial" w:hAnsi="Arial"/>
                <w:sz w:val="15"/>
                <w:szCs w:val="15"/>
                <w:b w:val="1"/>
                <w:bCs w:val="1"/>
                <w:color w:val="auto"/>
              </w:rPr>
              <w:t>2,506,817</w:t>
            </w:r>
          </w:p>
        </w:tc>
        <w:tc>
          <w:tcPr>
            <w:tcW w:w="240" w:type="dxa"/>
            <w:vAlign w:val="bottom"/>
          </w:tcPr>
          <w:p>
            <w:pPr>
              <w:spacing w:after="0"/>
              <w:rPr>
                <w:sz w:val="14"/>
                <w:szCs w:val="14"/>
                <w:color w:val="auto"/>
              </w:rPr>
            </w:pPr>
          </w:p>
        </w:tc>
        <w:tc>
          <w:tcPr>
            <w:tcW w:w="8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1,162,289</w:t>
            </w:r>
          </w:p>
        </w:tc>
        <w:tc>
          <w:tcPr>
            <w:tcW w:w="0" w:type="dxa"/>
            <w:vAlign w:val="bottom"/>
          </w:tcPr>
          <w:p>
            <w:pPr>
              <w:spacing w:after="0"/>
              <w:rPr>
                <w:sz w:val="1"/>
                <w:szCs w:val="1"/>
                <w:color w:val="auto"/>
              </w:rPr>
            </w:pPr>
          </w:p>
        </w:tc>
      </w:tr>
      <w:tr>
        <w:trPr>
          <w:trHeight w:val="162"/>
        </w:trPr>
        <w:tc>
          <w:tcPr>
            <w:tcW w:w="31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Buildings</w:t>
            </w: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43"/>
              <w:spacing w:after="0" w:line="162" w:lineRule="exact"/>
              <w:rPr>
                <w:sz w:val="20"/>
                <w:szCs w:val="20"/>
                <w:color w:val="auto"/>
              </w:rPr>
            </w:pPr>
            <w:r>
              <w:rPr>
                <w:rFonts w:ascii="Arial" w:cs="Arial" w:eastAsia="Arial" w:hAnsi="Arial"/>
                <w:sz w:val="15"/>
                <w:szCs w:val="15"/>
                <w:b w:val="1"/>
                <w:bCs w:val="1"/>
                <w:color w:val="auto"/>
              </w:rPr>
              <w:t>162,098</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154,564</w:t>
            </w:r>
          </w:p>
        </w:tc>
        <w:tc>
          <w:tcPr>
            <w:tcW w:w="0" w:type="dxa"/>
            <w:vAlign w:val="bottom"/>
          </w:tcPr>
          <w:p>
            <w:pPr>
              <w:spacing w:after="0"/>
              <w:rPr>
                <w:sz w:val="1"/>
                <w:szCs w:val="1"/>
                <w:color w:val="auto"/>
              </w:rPr>
            </w:pPr>
          </w:p>
        </w:tc>
      </w:tr>
      <w:tr>
        <w:trPr>
          <w:trHeight w:val="162"/>
        </w:trPr>
        <w:tc>
          <w:tcPr>
            <w:tcW w:w="3140" w:type="dxa"/>
            <w:vAlign w:val="bottom"/>
          </w:tcPr>
          <w:p>
            <w:pPr>
              <w:spacing w:after="0" w:line="162" w:lineRule="exact"/>
              <w:rPr>
                <w:sz w:val="20"/>
                <w:szCs w:val="20"/>
                <w:color w:val="auto"/>
              </w:rPr>
            </w:pPr>
            <w:r>
              <w:rPr>
                <w:rFonts w:ascii="Arial" w:cs="Arial" w:eastAsia="Arial" w:hAnsi="Arial"/>
                <w:sz w:val="15"/>
                <w:szCs w:val="15"/>
                <w:color w:val="auto"/>
              </w:rPr>
              <w:t>Machinery and equipment</w:t>
            </w:r>
          </w:p>
        </w:tc>
        <w:tc>
          <w:tcPr>
            <w:tcW w:w="400" w:type="dxa"/>
            <w:vAlign w:val="bottom"/>
          </w:tcPr>
          <w:p>
            <w:pPr>
              <w:spacing w:after="0"/>
              <w:rPr>
                <w:sz w:val="14"/>
                <w:szCs w:val="14"/>
                <w:color w:val="auto"/>
              </w:rPr>
            </w:pPr>
          </w:p>
        </w:tc>
        <w:tc>
          <w:tcPr>
            <w:tcW w:w="960" w:type="dxa"/>
            <w:vAlign w:val="bottom"/>
          </w:tcPr>
          <w:p>
            <w:pPr>
              <w:jc w:val="right"/>
              <w:ind w:right="143"/>
              <w:spacing w:after="0" w:line="162" w:lineRule="exact"/>
              <w:rPr>
                <w:sz w:val="20"/>
                <w:szCs w:val="20"/>
                <w:color w:val="auto"/>
              </w:rPr>
            </w:pPr>
            <w:r>
              <w:rPr>
                <w:rFonts w:ascii="Arial" w:cs="Arial" w:eastAsia="Arial" w:hAnsi="Arial"/>
                <w:sz w:val="15"/>
                <w:szCs w:val="15"/>
                <w:b w:val="1"/>
                <w:bCs w:val="1"/>
                <w:color w:val="auto"/>
              </w:rPr>
              <w:t>4,357,705</w:t>
            </w:r>
          </w:p>
        </w:tc>
        <w:tc>
          <w:tcPr>
            <w:tcW w:w="240" w:type="dxa"/>
            <w:vAlign w:val="bottom"/>
          </w:tcPr>
          <w:p>
            <w:pPr>
              <w:spacing w:after="0"/>
              <w:rPr>
                <w:sz w:val="14"/>
                <w:szCs w:val="14"/>
                <w:color w:val="auto"/>
              </w:rPr>
            </w:pPr>
          </w:p>
        </w:tc>
        <w:tc>
          <w:tcPr>
            <w:tcW w:w="8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4,006,619</w:t>
            </w:r>
          </w:p>
        </w:tc>
        <w:tc>
          <w:tcPr>
            <w:tcW w:w="0" w:type="dxa"/>
            <w:vAlign w:val="bottom"/>
          </w:tcPr>
          <w:p>
            <w:pPr>
              <w:spacing w:after="0"/>
              <w:rPr>
                <w:sz w:val="1"/>
                <w:szCs w:val="1"/>
                <w:color w:val="auto"/>
              </w:rPr>
            </w:pPr>
          </w:p>
        </w:tc>
      </w:tr>
      <w:tr>
        <w:trPr>
          <w:trHeight w:val="162"/>
        </w:trPr>
        <w:tc>
          <w:tcPr>
            <w:tcW w:w="314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5"/>
                <w:szCs w:val="15"/>
                <w:color w:val="auto"/>
              </w:rPr>
              <w:t>Construction in progress</w:t>
            </w:r>
          </w:p>
        </w:tc>
        <w:tc>
          <w:tcPr>
            <w:tcW w:w="4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143"/>
              <w:spacing w:after="0" w:line="162" w:lineRule="exact"/>
              <w:rPr>
                <w:sz w:val="20"/>
                <w:szCs w:val="20"/>
                <w:color w:val="auto"/>
              </w:rPr>
            </w:pPr>
            <w:r>
              <w:rPr>
                <w:rFonts w:ascii="Arial" w:cs="Arial" w:eastAsia="Arial" w:hAnsi="Arial"/>
                <w:sz w:val="15"/>
                <w:szCs w:val="15"/>
                <w:b w:val="1"/>
                <w:bCs w:val="1"/>
                <w:color w:val="auto"/>
              </w:rPr>
              <w:t>178,668</w:t>
            </w: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199,973</w:t>
            </w: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ind w:right="143"/>
              <w:spacing w:after="0" w:line="156" w:lineRule="exact"/>
              <w:rPr>
                <w:sz w:val="20"/>
                <w:szCs w:val="20"/>
                <w:color w:val="auto"/>
              </w:rPr>
            </w:pPr>
            <w:r>
              <w:rPr>
                <w:rFonts w:ascii="Arial" w:cs="Arial" w:eastAsia="Arial" w:hAnsi="Arial"/>
                <w:sz w:val="15"/>
                <w:szCs w:val="15"/>
                <w:b w:val="1"/>
                <w:bCs w:val="1"/>
                <w:color w:val="auto"/>
              </w:rPr>
              <w:t>8,294,963</w:t>
            </w:r>
          </w:p>
        </w:tc>
        <w:tc>
          <w:tcPr>
            <w:tcW w:w="240" w:type="dxa"/>
            <w:vAlign w:val="bottom"/>
          </w:tcPr>
          <w:p>
            <w:pPr>
              <w:spacing w:after="0"/>
              <w:rPr>
                <w:sz w:val="13"/>
                <w:szCs w:val="13"/>
                <w:color w:val="auto"/>
              </w:rPr>
            </w:pPr>
          </w:p>
        </w:tc>
        <w:tc>
          <w:tcPr>
            <w:tcW w:w="860" w:type="dxa"/>
            <w:vAlign w:val="bottom"/>
          </w:tcPr>
          <w:p>
            <w:pPr>
              <w:jc w:val="right"/>
              <w:ind w:right="23"/>
              <w:spacing w:after="0" w:line="156" w:lineRule="exact"/>
              <w:rPr>
                <w:sz w:val="20"/>
                <w:szCs w:val="20"/>
                <w:color w:val="auto"/>
              </w:rPr>
            </w:pPr>
            <w:r>
              <w:rPr>
                <w:rFonts w:ascii="Arial" w:cs="Arial" w:eastAsia="Arial" w:hAnsi="Arial"/>
                <w:sz w:val="15"/>
                <w:szCs w:val="15"/>
                <w:color w:val="auto"/>
              </w:rPr>
              <w:t>6,498,067</w:t>
            </w:r>
          </w:p>
        </w:tc>
        <w:tc>
          <w:tcPr>
            <w:tcW w:w="0" w:type="dxa"/>
            <w:vAlign w:val="bottom"/>
          </w:tcPr>
          <w:p>
            <w:pPr>
              <w:spacing w:after="0"/>
              <w:rPr>
                <w:sz w:val="1"/>
                <w:szCs w:val="1"/>
                <w:color w:val="auto"/>
              </w:rPr>
            </w:pPr>
          </w:p>
        </w:tc>
      </w:tr>
      <w:tr>
        <w:trPr>
          <w:trHeight w:val="159"/>
        </w:trPr>
        <w:tc>
          <w:tcPr>
            <w:tcW w:w="314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Less: accumulated depreciation, depletion</w:t>
            </w:r>
          </w:p>
        </w:tc>
        <w:tc>
          <w:tcPr>
            <w:tcW w:w="4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(3,137,734)</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Borders>
              <w:bottom w:val="single" w:sz="8" w:color="auto"/>
            </w:tcBorders>
            <w:shd w:val="clear" w:color="auto" w:fill="CCEEFF"/>
          </w:tcPr>
          <w:p>
            <w:pPr>
              <w:ind w:left="160"/>
              <w:spacing w:after="0" w:line="166" w:lineRule="exact"/>
              <w:rPr>
                <w:sz w:val="20"/>
                <w:szCs w:val="20"/>
                <w:color w:val="auto"/>
              </w:rPr>
            </w:pPr>
            <w:r>
              <w:rPr>
                <w:rFonts w:ascii="Arial" w:cs="Arial" w:eastAsia="Arial" w:hAnsi="Arial"/>
                <w:sz w:val="15"/>
                <w:szCs w:val="15"/>
                <w:color w:val="auto"/>
              </w:rPr>
              <w:t>and amortization</w:t>
            </w:r>
          </w:p>
        </w:tc>
        <w:tc>
          <w:tcPr>
            <w:tcW w:w="4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(2,905,254)</w:t>
            </w:r>
          </w:p>
        </w:tc>
        <w:tc>
          <w:tcPr>
            <w:tcW w:w="0" w:type="dxa"/>
            <w:vAlign w:val="bottom"/>
          </w:tcPr>
          <w:p>
            <w:pPr>
              <w:spacing w:after="0"/>
              <w:rPr>
                <w:sz w:val="1"/>
                <w:szCs w:val="1"/>
                <w:color w:val="auto"/>
              </w:rPr>
            </w:pPr>
          </w:p>
        </w:tc>
      </w:tr>
      <w:tr>
        <w:trPr>
          <w:trHeight w:val="163"/>
        </w:trPr>
        <w:tc>
          <w:tcPr>
            <w:tcW w:w="314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Total</w:t>
            </w:r>
          </w:p>
        </w:tc>
        <w:tc>
          <w:tcPr>
            <w:tcW w:w="4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tcPr>
          <w:p>
            <w:pPr>
              <w:jc w:val="right"/>
              <w:ind w:right="143"/>
              <w:spacing w:after="0" w:line="156" w:lineRule="exact"/>
              <w:rPr>
                <w:sz w:val="20"/>
                <w:szCs w:val="20"/>
                <w:color w:val="auto"/>
              </w:rPr>
            </w:pPr>
            <w:r>
              <w:rPr>
                <w:rFonts w:ascii="Arial" w:cs="Arial" w:eastAsia="Arial" w:hAnsi="Arial"/>
                <w:sz w:val="15"/>
                <w:szCs w:val="15"/>
                <w:b w:val="1"/>
                <w:bCs w:val="1"/>
                <w:color w:val="auto"/>
              </w:rPr>
              <w:t>5,157,229</w:t>
            </w:r>
          </w:p>
        </w:tc>
        <w:tc>
          <w:tcPr>
            <w:tcW w:w="2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3,592,813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24</w:t>
      </w:r>
    </w:p>
    <w:p>
      <w:pPr>
        <w:sectPr>
          <w:pgSz w:w="11900" w:h="16838" w:orient="portrait"/>
          <w:cols w:equalWidth="0" w:num="1">
            <w:col w:w="11420"/>
          </w:cols>
          <w:pgMar w:left="240" w:top="265" w:right="239" w:bottom="1440" w:gutter="0" w:footer="0" w:header="0"/>
          <w:type w:val="continuous"/>
        </w:sectPr>
      </w:pPr>
    </w:p>
    <w:bookmarkStart w:id="63" w:name="page64"/>
    <w:bookmarkEnd w:id="63"/>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Included in these amounts are the gross asset value and accumulated amortization for machinery and equipment recorded under capital leases at December 31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(add 000)</w:t>
            </w: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0085CD"/>
              </w:rPr>
              <w:t>2018</w:t>
            </w: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2017</w:t>
            </w:r>
          </w:p>
        </w:tc>
      </w:tr>
      <w:tr>
        <w:trPr>
          <w:trHeight w:val="156"/>
        </w:trPr>
        <w:tc>
          <w:tcPr>
            <w:tcW w:w="340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Machinery and equipment under capital leases</w:t>
            </w:r>
          </w:p>
        </w:tc>
        <w:tc>
          <w:tcPr>
            <w:tcW w:w="3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ind w:right="123"/>
              <w:spacing w:after="0" w:line="156" w:lineRule="exact"/>
              <w:rPr>
                <w:sz w:val="20"/>
                <w:szCs w:val="20"/>
                <w:color w:val="auto"/>
              </w:rPr>
            </w:pPr>
            <w:r>
              <w:rPr>
                <w:rFonts w:ascii="Arial" w:cs="Arial" w:eastAsia="Arial" w:hAnsi="Arial"/>
                <w:sz w:val="15"/>
                <w:szCs w:val="15"/>
                <w:b w:val="1"/>
                <w:bCs w:val="1"/>
                <w:color w:val="auto"/>
              </w:rPr>
              <w:t>24,931</w:t>
            </w:r>
          </w:p>
        </w:tc>
        <w:tc>
          <w:tcPr>
            <w:tcW w:w="2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23,919</w:t>
            </w:r>
          </w:p>
        </w:tc>
      </w:tr>
      <w:tr>
        <w:trPr>
          <w:trHeight w:val="162"/>
        </w:trPr>
        <w:tc>
          <w:tcPr>
            <w:tcW w:w="3400" w:type="dxa"/>
            <w:vAlign w:val="bottom"/>
            <w:tcBorders>
              <w:bottom w:val="single" w:sz="8" w:color="auto"/>
            </w:tcBorders>
          </w:tcPr>
          <w:p>
            <w:pPr>
              <w:ind w:left="20"/>
              <w:spacing w:after="0" w:line="162" w:lineRule="exact"/>
              <w:rPr>
                <w:sz w:val="20"/>
                <w:szCs w:val="20"/>
                <w:color w:val="auto"/>
              </w:rPr>
            </w:pPr>
            <w:r>
              <w:rPr>
                <w:rFonts w:ascii="Arial" w:cs="Arial" w:eastAsia="Arial" w:hAnsi="Arial"/>
                <w:sz w:val="15"/>
                <w:szCs w:val="15"/>
                <w:color w:val="auto"/>
              </w:rPr>
              <w:t>Less: accumulated amortization</w:t>
            </w: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b w:val="1"/>
                <w:bCs w:val="1"/>
                <w:color w:val="auto"/>
              </w:rPr>
              <w:t>(14,524)</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(11,243)</w:t>
            </w:r>
          </w:p>
        </w:tc>
      </w:tr>
      <w:tr>
        <w:trPr>
          <w:trHeight w:val="156"/>
        </w:trPr>
        <w:tc>
          <w:tcPr>
            <w:tcW w:w="3400" w:type="dxa"/>
            <w:vAlign w:val="bottom"/>
            <w:tcBorders>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Total</w:t>
            </w:r>
          </w:p>
        </w:tc>
        <w:tc>
          <w:tcPr>
            <w:tcW w:w="3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shd w:val="clear" w:color="auto" w:fill="CCEEFF"/>
          </w:tcPr>
          <w:p>
            <w:pPr>
              <w:jc w:val="right"/>
              <w:ind w:right="123"/>
              <w:spacing w:after="0" w:line="156" w:lineRule="exact"/>
              <w:rPr>
                <w:sz w:val="20"/>
                <w:szCs w:val="20"/>
                <w:color w:val="auto"/>
              </w:rPr>
            </w:pPr>
            <w:r>
              <w:rPr>
                <w:rFonts w:ascii="Arial" w:cs="Arial" w:eastAsia="Arial" w:hAnsi="Arial"/>
                <w:sz w:val="15"/>
                <w:szCs w:val="15"/>
                <w:b w:val="1"/>
                <w:bCs w:val="1"/>
                <w:color w:val="auto"/>
              </w:rPr>
              <w:t>10,407</w:t>
            </w:r>
          </w:p>
        </w:tc>
        <w:tc>
          <w:tcPr>
            <w:tcW w:w="2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12,676</w:t>
            </w:r>
          </w:p>
        </w:tc>
      </w:tr>
    </w:tbl>
    <w:p>
      <w:pPr>
        <w:spacing w:after="0" w:line="21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Depreciation, depletion and amortization expense related to property, plant and equipment was $326,099,000, $279,808,000 and $268,935,000 for the years ended December 31, 2018, 2017 and 2016, respectively. Depreciation, depletion and amortization expense includes amortization of machinery and equipment under capital leases.</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Interest expense of $3,017,000, $3,616,000 and $3,543,000 was capitalized during 2018, 2017 and 2016, respectively.</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At December 31, 2018 and 2017, $56,235,000 and $57,665,000, respectively, of the Building Materials business’ net property, plant and equipment were located in foreign countries, namely the Bahamas and Canada.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Note H: Long-Term Debt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40" w:type="dxa"/>
            <w:vAlign w:val="bottom"/>
          </w:tcPr>
          <w:p>
            <w:pPr>
              <w:ind w:left="20"/>
              <w:spacing w:after="0"/>
              <w:rPr>
                <w:sz w:val="20"/>
                <w:szCs w:val="20"/>
                <w:color w:val="auto"/>
              </w:rPr>
            </w:pPr>
            <w:r>
              <w:rPr>
                <w:rFonts w:ascii="Arial" w:cs="Arial" w:eastAsia="Arial" w:hAnsi="Arial"/>
                <w:sz w:val="14"/>
                <w:szCs w:val="14"/>
                <w:i w:val="1"/>
                <w:iCs w:val="1"/>
                <w:color w:val="auto"/>
              </w:rPr>
              <w:t>December 31</w:t>
            </w:r>
          </w:p>
        </w:tc>
        <w:tc>
          <w:tcPr>
            <w:tcW w:w="400" w:type="dxa"/>
            <w:vAlign w:val="bottom"/>
          </w:tcPr>
          <w:p>
            <w:pPr>
              <w:spacing w:after="0"/>
              <w:rPr>
                <w:sz w:val="14"/>
                <w:szCs w:val="14"/>
                <w:color w:val="auto"/>
              </w:rPr>
            </w:pPr>
          </w:p>
        </w:tc>
        <w:tc>
          <w:tcPr>
            <w:tcW w:w="940" w:type="dxa"/>
            <w:vAlign w:val="bottom"/>
            <w:vMerge w:val="restart"/>
          </w:tcPr>
          <w:p>
            <w:pPr>
              <w:jc w:val="right"/>
              <w:ind w:right="123"/>
              <w:spacing w:after="0"/>
              <w:rPr>
                <w:sz w:val="20"/>
                <w:szCs w:val="20"/>
                <w:color w:val="auto"/>
              </w:rPr>
            </w:pPr>
            <w:r>
              <w:rPr>
                <w:rFonts w:ascii="Arial" w:cs="Arial" w:eastAsia="Arial" w:hAnsi="Arial"/>
                <w:sz w:val="15"/>
                <w:szCs w:val="15"/>
                <w:b w:val="1"/>
                <w:bCs w:val="1"/>
                <w:color w:val="0085CD"/>
              </w:rPr>
              <w:t>2018</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(add 000)</w:t>
            </w: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2017</w:t>
            </w:r>
          </w:p>
        </w:tc>
        <w:tc>
          <w:tcPr>
            <w:tcW w:w="0" w:type="dxa"/>
            <w:vAlign w:val="bottom"/>
          </w:tcPr>
          <w:p>
            <w:pPr>
              <w:spacing w:after="0"/>
              <w:rPr>
                <w:sz w:val="1"/>
                <w:szCs w:val="1"/>
                <w:color w:val="auto"/>
              </w:rPr>
            </w:pPr>
          </w:p>
        </w:tc>
      </w:tr>
      <w:tr>
        <w:trPr>
          <w:trHeight w:val="156"/>
        </w:trPr>
        <w:tc>
          <w:tcPr>
            <w:tcW w:w="304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4.25% Senior Notes, due 2024</w:t>
            </w:r>
          </w:p>
        </w:tc>
        <w:tc>
          <w:tcPr>
            <w:tcW w:w="4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ind w:right="123"/>
              <w:spacing w:after="0" w:line="156" w:lineRule="exact"/>
              <w:rPr>
                <w:sz w:val="20"/>
                <w:szCs w:val="20"/>
                <w:color w:val="auto"/>
              </w:rPr>
            </w:pPr>
            <w:r>
              <w:rPr>
                <w:rFonts w:ascii="Arial" w:cs="Arial" w:eastAsia="Arial" w:hAnsi="Arial"/>
                <w:sz w:val="15"/>
                <w:szCs w:val="15"/>
                <w:b w:val="1"/>
                <w:bCs w:val="1"/>
                <w:color w:val="auto"/>
              </w:rPr>
              <w:t>396,398</w:t>
            </w:r>
          </w:p>
        </w:tc>
        <w:tc>
          <w:tcPr>
            <w:tcW w:w="2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395,814</w:t>
            </w: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line="162" w:lineRule="exact"/>
              <w:rPr>
                <w:sz w:val="20"/>
                <w:szCs w:val="20"/>
                <w:color w:val="auto"/>
              </w:rPr>
            </w:pPr>
            <w:r>
              <w:rPr>
                <w:rFonts w:ascii="Arial" w:cs="Arial" w:eastAsia="Arial" w:hAnsi="Arial"/>
                <w:sz w:val="15"/>
                <w:szCs w:val="15"/>
                <w:color w:val="auto"/>
              </w:rPr>
              <w:t>7% Debentures, due 2025</w:t>
            </w:r>
          </w:p>
        </w:tc>
        <w:tc>
          <w:tcPr>
            <w:tcW w:w="400" w:type="dxa"/>
            <w:vAlign w:val="bottom"/>
          </w:tcPr>
          <w:p>
            <w:pPr>
              <w:spacing w:after="0"/>
              <w:rPr>
                <w:sz w:val="14"/>
                <w:szCs w:val="14"/>
                <w:color w:val="auto"/>
              </w:rPr>
            </w:pPr>
          </w:p>
        </w:tc>
        <w:tc>
          <w:tcPr>
            <w:tcW w:w="940" w:type="dxa"/>
            <w:vAlign w:val="bottom"/>
          </w:tcPr>
          <w:p>
            <w:pPr>
              <w:jc w:val="right"/>
              <w:ind w:right="123"/>
              <w:spacing w:after="0" w:line="162" w:lineRule="exact"/>
              <w:rPr>
                <w:sz w:val="20"/>
                <w:szCs w:val="20"/>
                <w:color w:val="auto"/>
              </w:rPr>
            </w:pPr>
            <w:r>
              <w:rPr>
                <w:rFonts w:ascii="Arial" w:cs="Arial" w:eastAsia="Arial" w:hAnsi="Arial"/>
                <w:sz w:val="15"/>
                <w:szCs w:val="15"/>
                <w:b w:val="1"/>
                <w:bCs w:val="1"/>
                <w:color w:val="auto"/>
              </w:rPr>
              <w:t>124,272</w:t>
            </w:r>
          </w:p>
        </w:tc>
        <w:tc>
          <w:tcPr>
            <w:tcW w:w="280" w:type="dxa"/>
            <w:vAlign w:val="bottom"/>
          </w:tcPr>
          <w:p>
            <w:pPr>
              <w:spacing w:after="0"/>
              <w:rPr>
                <w:sz w:val="14"/>
                <w:szCs w:val="14"/>
                <w:color w:val="auto"/>
              </w:rPr>
            </w:pPr>
          </w:p>
        </w:tc>
        <w:tc>
          <w:tcPr>
            <w:tcW w:w="8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124,180</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3.450% Senior Notes, due 2027</w:t>
            </w: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b w:val="1"/>
                <w:bCs w:val="1"/>
                <w:color w:val="auto"/>
              </w:rPr>
              <w:t>296,939</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296,628</w:t>
            </w: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line="162" w:lineRule="exact"/>
              <w:rPr>
                <w:sz w:val="20"/>
                <w:szCs w:val="20"/>
                <w:color w:val="auto"/>
              </w:rPr>
            </w:pPr>
            <w:r>
              <w:rPr>
                <w:rFonts w:ascii="Arial" w:cs="Arial" w:eastAsia="Arial" w:hAnsi="Arial"/>
                <w:sz w:val="15"/>
                <w:szCs w:val="15"/>
                <w:color w:val="auto"/>
              </w:rPr>
              <w:t>3.500% Senior Notes, due 2027</w:t>
            </w:r>
          </w:p>
        </w:tc>
        <w:tc>
          <w:tcPr>
            <w:tcW w:w="400" w:type="dxa"/>
            <w:vAlign w:val="bottom"/>
          </w:tcPr>
          <w:p>
            <w:pPr>
              <w:spacing w:after="0"/>
              <w:rPr>
                <w:sz w:val="14"/>
                <w:szCs w:val="14"/>
                <w:color w:val="auto"/>
              </w:rPr>
            </w:pPr>
          </w:p>
        </w:tc>
        <w:tc>
          <w:tcPr>
            <w:tcW w:w="940" w:type="dxa"/>
            <w:vAlign w:val="bottom"/>
          </w:tcPr>
          <w:p>
            <w:pPr>
              <w:jc w:val="right"/>
              <w:ind w:right="123"/>
              <w:spacing w:after="0" w:line="162" w:lineRule="exact"/>
              <w:rPr>
                <w:sz w:val="20"/>
                <w:szCs w:val="20"/>
                <w:color w:val="auto"/>
              </w:rPr>
            </w:pPr>
            <w:r>
              <w:rPr>
                <w:rFonts w:ascii="Arial" w:cs="Arial" w:eastAsia="Arial" w:hAnsi="Arial"/>
                <w:sz w:val="15"/>
                <w:szCs w:val="15"/>
                <w:b w:val="1"/>
                <w:bCs w:val="1"/>
                <w:color w:val="auto"/>
              </w:rPr>
              <w:t>494,765</w:t>
            </w:r>
          </w:p>
        </w:tc>
        <w:tc>
          <w:tcPr>
            <w:tcW w:w="280" w:type="dxa"/>
            <w:vAlign w:val="bottom"/>
          </w:tcPr>
          <w:p>
            <w:pPr>
              <w:spacing w:after="0"/>
              <w:rPr>
                <w:sz w:val="14"/>
                <w:szCs w:val="14"/>
                <w:color w:val="auto"/>
              </w:rPr>
            </w:pPr>
          </w:p>
        </w:tc>
        <w:tc>
          <w:tcPr>
            <w:tcW w:w="8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494,352</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6.25% Senior Notes, due 2037</w:t>
            </w: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b w:val="1"/>
                <w:bCs w:val="1"/>
                <w:color w:val="auto"/>
              </w:rPr>
              <w:t>228,094</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228,033</w:t>
            </w: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line="162" w:lineRule="exact"/>
              <w:rPr>
                <w:sz w:val="20"/>
                <w:szCs w:val="20"/>
                <w:color w:val="auto"/>
              </w:rPr>
            </w:pPr>
            <w:r>
              <w:rPr>
                <w:rFonts w:ascii="Arial" w:cs="Arial" w:eastAsia="Arial" w:hAnsi="Arial"/>
                <w:sz w:val="15"/>
                <w:szCs w:val="15"/>
                <w:color w:val="auto"/>
              </w:rPr>
              <w:t>4.250% Senior Notes, due 2047</w:t>
            </w:r>
          </w:p>
        </w:tc>
        <w:tc>
          <w:tcPr>
            <w:tcW w:w="400" w:type="dxa"/>
            <w:vAlign w:val="bottom"/>
          </w:tcPr>
          <w:p>
            <w:pPr>
              <w:spacing w:after="0"/>
              <w:rPr>
                <w:sz w:val="14"/>
                <w:szCs w:val="14"/>
                <w:color w:val="auto"/>
              </w:rPr>
            </w:pPr>
          </w:p>
        </w:tc>
        <w:tc>
          <w:tcPr>
            <w:tcW w:w="940" w:type="dxa"/>
            <w:vAlign w:val="bottom"/>
          </w:tcPr>
          <w:p>
            <w:pPr>
              <w:jc w:val="right"/>
              <w:ind w:right="123"/>
              <w:spacing w:after="0" w:line="162" w:lineRule="exact"/>
              <w:rPr>
                <w:sz w:val="20"/>
                <w:szCs w:val="20"/>
                <w:color w:val="auto"/>
              </w:rPr>
            </w:pPr>
            <w:r>
              <w:rPr>
                <w:rFonts w:ascii="Arial" w:cs="Arial" w:eastAsia="Arial" w:hAnsi="Arial"/>
                <w:sz w:val="15"/>
                <w:szCs w:val="15"/>
                <w:b w:val="1"/>
                <w:bCs w:val="1"/>
                <w:color w:val="auto"/>
              </w:rPr>
              <w:t>591,541</w:t>
            </w:r>
          </w:p>
        </w:tc>
        <w:tc>
          <w:tcPr>
            <w:tcW w:w="280" w:type="dxa"/>
            <w:vAlign w:val="bottom"/>
          </w:tcPr>
          <w:p>
            <w:pPr>
              <w:spacing w:after="0"/>
              <w:rPr>
                <w:sz w:val="14"/>
                <w:szCs w:val="14"/>
                <w:color w:val="auto"/>
              </w:rPr>
            </w:pPr>
          </w:p>
        </w:tc>
        <w:tc>
          <w:tcPr>
            <w:tcW w:w="8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591,688</w:t>
            </w:r>
          </w:p>
        </w:tc>
        <w:tc>
          <w:tcPr>
            <w:tcW w:w="0" w:type="dxa"/>
            <w:vAlign w:val="bottom"/>
          </w:tcPr>
          <w:p>
            <w:pPr>
              <w:spacing w:after="0"/>
              <w:rPr>
                <w:sz w:val="1"/>
                <w:szCs w:val="1"/>
                <w:color w:val="auto"/>
              </w:rPr>
            </w:pPr>
          </w:p>
        </w:tc>
      </w:tr>
      <w:tr>
        <w:trPr>
          <w:trHeight w:val="159"/>
        </w:trPr>
        <w:tc>
          <w:tcPr>
            <w:tcW w:w="304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rPr>
              <w:t>Floating Rate Senior Notes, due 2019,</w:t>
            </w:r>
          </w:p>
        </w:tc>
        <w:tc>
          <w:tcPr>
            <w:tcW w:w="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interest rate of 3.29% and 2.13% at</w:t>
            </w: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December 31, 2018 and 2017,</w:t>
            </w:r>
          </w:p>
        </w:tc>
        <w:tc>
          <w:tcPr>
            <w:tcW w:w="4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299,260</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shd w:val="clear" w:color="auto" w:fill="CCEEFF"/>
          </w:tcPr>
          <w:p>
            <w:pPr>
              <w:ind w:left="160"/>
              <w:spacing w:after="0" w:line="166" w:lineRule="exact"/>
              <w:rPr>
                <w:sz w:val="20"/>
                <w:szCs w:val="20"/>
                <w:color w:val="auto"/>
              </w:rPr>
            </w:pPr>
            <w:r>
              <w:rPr>
                <w:rFonts w:ascii="Arial" w:cs="Arial" w:eastAsia="Arial" w:hAnsi="Arial"/>
                <w:sz w:val="15"/>
                <w:szCs w:val="15"/>
                <w:color w:val="auto"/>
              </w:rPr>
              <w:t>respectively</w:t>
            </w:r>
          </w:p>
        </w:tc>
        <w:tc>
          <w:tcPr>
            <w:tcW w:w="4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3"/>
              <w:spacing w:after="0" w:line="166" w:lineRule="exact"/>
              <w:rPr>
                <w:sz w:val="20"/>
                <w:szCs w:val="20"/>
                <w:color w:val="auto"/>
              </w:rPr>
            </w:pPr>
            <w:r>
              <w:rPr>
                <w:rFonts w:ascii="Arial" w:cs="Arial" w:eastAsia="Arial" w:hAnsi="Arial"/>
                <w:sz w:val="15"/>
                <w:szCs w:val="15"/>
                <w:color w:val="auto"/>
              </w:rPr>
              <w:t>298,102</w:t>
            </w:r>
          </w:p>
        </w:tc>
        <w:tc>
          <w:tcPr>
            <w:tcW w:w="0" w:type="dxa"/>
            <w:vAlign w:val="bottom"/>
          </w:tcPr>
          <w:p>
            <w:pPr>
              <w:spacing w:after="0"/>
              <w:rPr>
                <w:sz w:val="1"/>
                <w:szCs w:val="1"/>
                <w:color w:val="auto"/>
              </w:rPr>
            </w:pPr>
          </w:p>
        </w:tc>
      </w:tr>
      <w:tr>
        <w:trPr>
          <w:trHeight w:val="159"/>
        </w:trPr>
        <w:tc>
          <w:tcPr>
            <w:tcW w:w="3040" w:type="dxa"/>
            <w:vAlign w:val="bottom"/>
          </w:tcPr>
          <w:p>
            <w:pPr>
              <w:ind w:left="20"/>
              <w:spacing w:after="0" w:line="159" w:lineRule="exact"/>
              <w:rPr>
                <w:sz w:val="20"/>
                <w:szCs w:val="20"/>
                <w:color w:val="auto"/>
              </w:rPr>
            </w:pPr>
            <w:r>
              <w:rPr>
                <w:rFonts w:ascii="Arial" w:cs="Arial" w:eastAsia="Arial" w:hAnsi="Arial"/>
                <w:sz w:val="15"/>
                <w:szCs w:val="15"/>
                <w:color w:val="auto"/>
              </w:rPr>
              <w:t>Floating Rate Senior Notes, due 2020,</w:t>
            </w: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160"/>
              <w:spacing w:after="0" w:line="162" w:lineRule="exact"/>
              <w:rPr>
                <w:sz w:val="20"/>
                <w:szCs w:val="20"/>
                <w:color w:val="auto"/>
              </w:rPr>
            </w:pPr>
            <w:r>
              <w:rPr>
                <w:rFonts w:ascii="Arial" w:cs="Arial" w:eastAsia="Arial" w:hAnsi="Arial"/>
                <w:sz w:val="15"/>
                <w:szCs w:val="15"/>
                <w:color w:val="auto"/>
              </w:rPr>
              <w:t>interest rate of 3.30% and 2.10% at</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160"/>
              <w:spacing w:after="0" w:line="162" w:lineRule="exact"/>
              <w:rPr>
                <w:sz w:val="20"/>
                <w:szCs w:val="20"/>
                <w:color w:val="auto"/>
              </w:rPr>
            </w:pPr>
            <w:r>
              <w:rPr>
                <w:rFonts w:ascii="Arial" w:cs="Arial" w:eastAsia="Arial" w:hAnsi="Arial"/>
                <w:sz w:val="15"/>
                <w:szCs w:val="15"/>
                <w:color w:val="auto"/>
              </w:rPr>
              <w:t>December 31, 2018 and 2017,</w:t>
            </w:r>
          </w:p>
        </w:tc>
        <w:tc>
          <w:tcPr>
            <w:tcW w:w="400" w:type="dxa"/>
            <w:vAlign w:val="bottom"/>
          </w:tcPr>
          <w:p>
            <w:pPr>
              <w:spacing w:after="0"/>
              <w:rPr>
                <w:sz w:val="14"/>
                <w:szCs w:val="14"/>
                <w:color w:val="auto"/>
              </w:rPr>
            </w:pPr>
          </w:p>
        </w:tc>
        <w:tc>
          <w:tcPr>
            <w:tcW w:w="940" w:type="dxa"/>
            <w:vAlign w:val="bottom"/>
            <w:vMerge w:val="restart"/>
          </w:tcPr>
          <w:p>
            <w:pPr>
              <w:jc w:val="right"/>
              <w:ind w:right="123"/>
              <w:spacing w:after="0"/>
              <w:rPr>
                <w:sz w:val="20"/>
                <w:szCs w:val="20"/>
                <w:color w:val="auto"/>
              </w:rPr>
            </w:pPr>
            <w:r>
              <w:rPr>
                <w:rFonts w:ascii="Arial" w:cs="Arial" w:eastAsia="Arial" w:hAnsi="Arial"/>
                <w:sz w:val="15"/>
                <w:szCs w:val="15"/>
                <w:b w:val="1"/>
                <w:bCs w:val="1"/>
                <w:color w:val="auto"/>
              </w:rPr>
              <w:t>298,956</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ind w:left="160"/>
              <w:spacing w:after="0" w:line="166" w:lineRule="exact"/>
              <w:rPr>
                <w:sz w:val="20"/>
                <w:szCs w:val="20"/>
                <w:color w:val="auto"/>
              </w:rPr>
            </w:pPr>
            <w:r>
              <w:rPr>
                <w:rFonts w:ascii="Arial" w:cs="Arial" w:eastAsia="Arial" w:hAnsi="Arial"/>
                <w:sz w:val="15"/>
                <w:szCs w:val="15"/>
                <w:color w:val="auto"/>
              </w:rPr>
              <w:t>respectively</w:t>
            </w:r>
          </w:p>
        </w:tc>
        <w:tc>
          <w:tcPr>
            <w:tcW w:w="4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23"/>
              <w:spacing w:after="0" w:line="166" w:lineRule="exact"/>
              <w:rPr>
                <w:sz w:val="20"/>
                <w:szCs w:val="20"/>
                <w:color w:val="auto"/>
              </w:rPr>
            </w:pPr>
            <w:r>
              <w:rPr>
                <w:rFonts w:ascii="Arial" w:cs="Arial" w:eastAsia="Arial" w:hAnsi="Arial"/>
                <w:sz w:val="15"/>
                <w:szCs w:val="15"/>
                <w:color w:val="auto"/>
              </w:rPr>
              <w:t>298,227</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6.60% Senior Notes, due 2018</w:t>
            </w: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299,871</w:t>
            </w:r>
          </w:p>
        </w:tc>
        <w:tc>
          <w:tcPr>
            <w:tcW w:w="0" w:type="dxa"/>
            <w:vAlign w:val="bottom"/>
          </w:tcPr>
          <w:p>
            <w:pPr>
              <w:spacing w:after="0"/>
              <w:rPr>
                <w:sz w:val="1"/>
                <w:szCs w:val="1"/>
                <w:color w:val="auto"/>
              </w:rPr>
            </w:pPr>
          </w:p>
        </w:tc>
      </w:tr>
      <w:tr>
        <w:trPr>
          <w:trHeight w:val="159"/>
        </w:trPr>
        <w:tc>
          <w:tcPr>
            <w:tcW w:w="3040" w:type="dxa"/>
            <w:vAlign w:val="bottom"/>
          </w:tcPr>
          <w:p>
            <w:pPr>
              <w:ind w:left="20"/>
              <w:spacing w:after="0" w:line="159" w:lineRule="exact"/>
              <w:rPr>
                <w:sz w:val="20"/>
                <w:szCs w:val="20"/>
                <w:color w:val="auto"/>
              </w:rPr>
            </w:pPr>
            <w:r>
              <w:rPr>
                <w:rFonts w:ascii="Arial" w:cs="Arial" w:eastAsia="Arial" w:hAnsi="Arial"/>
                <w:sz w:val="15"/>
                <w:szCs w:val="15"/>
                <w:color w:val="auto"/>
              </w:rPr>
              <w:t>Trade Receivable Facility, interest rate of</w:t>
            </w:r>
          </w:p>
        </w:tc>
        <w:tc>
          <w:tcPr>
            <w:tcW w:w="400" w:type="dxa"/>
            <w:vAlign w:val="bottom"/>
          </w:tcPr>
          <w:p>
            <w:pPr>
              <w:spacing w:after="0"/>
              <w:rPr>
                <w:sz w:val="13"/>
                <w:szCs w:val="13"/>
                <w:color w:val="auto"/>
              </w:rPr>
            </w:pPr>
          </w:p>
        </w:tc>
        <w:tc>
          <w:tcPr>
            <w:tcW w:w="940" w:type="dxa"/>
            <w:vAlign w:val="bottom"/>
            <w:vMerge w:val="restart"/>
          </w:tcPr>
          <w:p>
            <w:pPr>
              <w:jc w:val="right"/>
              <w:ind w:right="123"/>
              <w:spacing w:after="0"/>
              <w:rPr>
                <w:sz w:val="20"/>
                <w:szCs w:val="20"/>
                <w:color w:val="auto"/>
              </w:rPr>
            </w:pPr>
            <w:r>
              <w:rPr>
                <w:rFonts w:ascii="Arial" w:cs="Arial" w:eastAsia="Arial" w:hAnsi="Arial"/>
                <w:sz w:val="15"/>
                <w:szCs w:val="15"/>
                <w:b w:val="1"/>
                <w:bCs w:val="1"/>
                <w:color w:val="auto"/>
              </w:rPr>
              <w:t>390,000</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ind w:left="160"/>
              <w:spacing w:after="0" w:line="166" w:lineRule="exact"/>
              <w:rPr>
                <w:sz w:val="20"/>
                <w:szCs w:val="20"/>
                <w:color w:val="auto"/>
              </w:rPr>
            </w:pPr>
            <w:r>
              <w:rPr>
                <w:rFonts w:ascii="Arial" w:cs="Arial" w:eastAsia="Arial" w:hAnsi="Arial"/>
                <w:sz w:val="15"/>
                <w:szCs w:val="15"/>
                <w:color w:val="auto"/>
              </w:rPr>
              <w:t>3.07% at December 31, 2018</w:t>
            </w:r>
          </w:p>
        </w:tc>
        <w:tc>
          <w:tcPr>
            <w:tcW w:w="4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23"/>
              <w:spacing w:after="0" w:line="16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040" w:type="dxa"/>
            <w:vAlign w:val="bottom"/>
            <w:tcBorders>
              <w:bottom w:val="single" w:sz="8" w:color="auto"/>
            </w:tcBorders>
            <w:shd w:val="clear" w:color="auto" w:fill="CCEEFF"/>
          </w:tcPr>
          <w:p>
            <w:pPr>
              <w:ind w:left="20"/>
              <w:spacing w:after="0" w:line="162" w:lineRule="exact"/>
              <w:rPr>
                <w:sz w:val="20"/>
                <w:szCs w:val="20"/>
                <w:color w:val="auto"/>
              </w:rPr>
            </w:pPr>
            <w:r>
              <w:rPr>
                <w:rFonts w:ascii="Arial" w:cs="Arial" w:eastAsia="Arial" w:hAnsi="Arial"/>
                <w:sz w:val="15"/>
                <w:szCs w:val="15"/>
                <w:color w:val="auto"/>
              </w:rPr>
              <w:t>Other notes</w:t>
            </w:r>
          </w:p>
        </w:tc>
        <w:tc>
          <w:tcPr>
            <w:tcW w:w="4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123"/>
              <w:spacing w:after="0" w:line="162" w:lineRule="exact"/>
              <w:rPr>
                <w:sz w:val="20"/>
                <w:szCs w:val="20"/>
                <w:color w:val="auto"/>
              </w:rPr>
            </w:pPr>
            <w:r>
              <w:rPr>
                <w:rFonts w:ascii="Arial" w:cs="Arial" w:eastAsia="Arial" w:hAnsi="Arial"/>
                <w:sz w:val="15"/>
                <w:szCs w:val="15"/>
                <w:b w:val="1"/>
                <w:bCs w:val="1"/>
                <w:color w:val="auto"/>
              </w:rPr>
              <w:t>256</w:t>
            </w:r>
          </w:p>
        </w:tc>
        <w:tc>
          <w:tcPr>
            <w:tcW w:w="2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308</w:t>
            </w:r>
          </w:p>
        </w:tc>
        <w:tc>
          <w:tcPr>
            <w:tcW w:w="0" w:type="dxa"/>
            <w:vAlign w:val="bottom"/>
          </w:tcPr>
          <w:p>
            <w:pPr>
              <w:spacing w:after="0"/>
              <w:rPr>
                <w:sz w:val="1"/>
                <w:szCs w:val="1"/>
                <w:color w:val="auto"/>
              </w:rPr>
            </w:pPr>
          </w:p>
        </w:tc>
      </w:tr>
      <w:tr>
        <w:trPr>
          <w:trHeight w:val="156"/>
        </w:trPr>
        <w:tc>
          <w:tcPr>
            <w:tcW w:w="3040" w:type="dxa"/>
            <w:vAlign w:val="bottom"/>
          </w:tcPr>
          <w:p>
            <w:pPr>
              <w:ind w:left="20"/>
              <w:spacing w:after="0" w:line="156" w:lineRule="exact"/>
              <w:rPr>
                <w:sz w:val="20"/>
                <w:szCs w:val="20"/>
                <w:color w:val="auto"/>
              </w:rPr>
            </w:pPr>
            <w:r>
              <w:rPr>
                <w:rFonts w:ascii="Arial" w:cs="Arial" w:eastAsia="Arial" w:hAnsi="Arial"/>
                <w:sz w:val="15"/>
                <w:szCs w:val="15"/>
                <w:color w:val="auto"/>
              </w:rPr>
              <w:t>Total</w:t>
            </w:r>
          </w:p>
        </w:tc>
        <w:tc>
          <w:tcPr>
            <w:tcW w:w="400" w:type="dxa"/>
            <w:vAlign w:val="bottom"/>
          </w:tcPr>
          <w:p>
            <w:pPr>
              <w:spacing w:after="0"/>
              <w:rPr>
                <w:sz w:val="13"/>
                <w:szCs w:val="13"/>
                <w:color w:val="auto"/>
              </w:rPr>
            </w:pPr>
          </w:p>
        </w:tc>
        <w:tc>
          <w:tcPr>
            <w:tcW w:w="940" w:type="dxa"/>
            <w:vAlign w:val="bottom"/>
          </w:tcPr>
          <w:p>
            <w:pPr>
              <w:jc w:val="right"/>
              <w:ind w:right="123"/>
              <w:spacing w:after="0" w:line="156" w:lineRule="exact"/>
              <w:rPr>
                <w:sz w:val="20"/>
                <w:szCs w:val="20"/>
                <w:color w:val="auto"/>
              </w:rPr>
            </w:pPr>
            <w:r>
              <w:rPr>
                <w:rFonts w:ascii="Arial" w:cs="Arial" w:eastAsia="Arial" w:hAnsi="Arial"/>
                <w:sz w:val="15"/>
                <w:szCs w:val="15"/>
                <w:b w:val="1"/>
                <w:bCs w:val="1"/>
                <w:color w:val="auto"/>
              </w:rPr>
              <w:t>3,120,481</w:t>
            </w:r>
          </w:p>
        </w:tc>
        <w:tc>
          <w:tcPr>
            <w:tcW w:w="280" w:type="dxa"/>
            <w:vAlign w:val="bottom"/>
          </w:tcPr>
          <w:p>
            <w:pPr>
              <w:spacing w:after="0"/>
              <w:rPr>
                <w:sz w:val="13"/>
                <w:szCs w:val="13"/>
                <w:color w:val="auto"/>
              </w:rPr>
            </w:pPr>
          </w:p>
        </w:tc>
        <w:tc>
          <w:tcPr>
            <w:tcW w:w="820" w:type="dxa"/>
            <w:vAlign w:val="bottom"/>
          </w:tcPr>
          <w:p>
            <w:pPr>
              <w:jc w:val="right"/>
              <w:ind w:right="23"/>
              <w:spacing w:after="0" w:line="156" w:lineRule="exact"/>
              <w:rPr>
                <w:sz w:val="20"/>
                <w:szCs w:val="20"/>
                <w:color w:val="auto"/>
              </w:rPr>
            </w:pPr>
            <w:r>
              <w:rPr>
                <w:rFonts w:ascii="Arial" w:cs="Arial" w:eastAsia="Arial" w:hAnsi="Arial"/>
                <w:sz w:val="15"/>
                <w:szCs w:val="15"/>
                <w:color w:val="auto"/>
              </w:rPr>
              <w:t>3,027,203</w:t>
            </w:r>
          </w:p>
        </w:tc>
        <w:tc>
          <w:tcPr>
            <w:tcW w:w="0" w:type="dxa"/>
            <w:vAlign w:val="bottom"/>
          </w:tcPr>
          <w:p>
            <w:pPr>
              <w:spacing w:after="0"/>
              <w:rPr>
                <w:sz w:val="1"/>
                <w:szCs w:val="1"/>
                <w:color w:val="auto"/>
              </w:rPr>
            </w:pPr>
          </w:p>
        </w:tc>
      </w:tr>
      <w:tr>
        <w:trPr>
          <w:trHeight w:val="162"/>
        </w:trPr>
        <w:tc>
          <w:tcPr>
            <w:tcW w:w="3040" w:type="dxa"/>
            <w:vAlign w:val="bottom"/>
            <w:tcBorders>
              <w:bottom w:val="single" w:sz="8" w:color="auto"/>
            </w:tcBorders>
            <w:shd w:val="clear" w:color="auto" w:fill="CCEEFF"/>
          </w:tcPr>
          <w:p>
            <w:pPr>
              <w:ind w:left="20"/>
              <w:spacing w:after="0" w:line="162" w:lineRule="exact"/>
              <w:rPr>
                <w:sz w:val="20"/>
                <w:szCs w:val="20"/>
                <w:color w:val="auto"/>
              </w:rPr>
            </w:pPr>
            <w:r>
              <w:rPr>
                <w:rFonts w:ascii="Arial" w:cs="Arial" w:eastAsia="Arial" w:hAnsi="Arial"/>
                <w:sz w:val="15"/>
                <w:szCs w:val="15"/>
                <w:color w:val="auto"/>
              </w:rPr>
              <w:t>Less: current maturities</w:t>
            </w:r>
          </w:p>
        </w:tc>
        <w:tc>
          <w:tcPr>
            <w:tcW w:w="4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83"/>
              <w:spacing w:after="0" w:line="162" w:lineRule="exact"/>
              <w:rPr>
                <w:sz w:val="20"/>
                <w:szCs w:val="20"/>
                <w:color w:val="auto"/>
              </w:rPr>
            </w:pPr>
            <w:r>
              <w:rPr>
                <w:rFonts w:ascii="Arial" w:cs="Arial" w:eastAsia="Arial" w:hAnsi="Arial"/>
                <w:sz w:val="15"/>
                <w:szCs w:val="15"/>
                <w:b w:val="1"/>
                <w:bCs w:val="1"/>
                <w:color w:val="auto"/>
              </w:rPr>
              <w:t>(390,042)</w:t>
            </w:r>
          </w:p>
        </w:tc>
        <w:tc>
          <w:tcPr>
            <w:tcW w:w="2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(299,909)</w:t>
            </w:r>
          </w:p>
        </w:tc>
        <w:tc>
          <w:tcPr>
            <w:tcW w:w="0" w:type="dxa"/>
            <w:vAlign w:val="bottom"/>
          </w:tcPr>
          <w:p>
            <w:pPr>
              <w:spacing w:after="0"/>
              <w:rPr>
                <w:sz w:val="1"/>
                <w:szCs w:val="1"/>
                <w:color w:val="auto"/>
              </w:rPr>
            </w:pPr>
          </w:p>
        </w:tc>
      </w:tr>
      <w:tr>
        <w:trPr>
          <w:trHeight w:val="163"/>
        </w:trPr>
        <w:tc>
          <w:tcPr>
            <w:tcW w:w="3040" w:type="dxa"/>
            <w:vAlign w:val="bottom"/>
            <w:tcBorders>
              <w:bottom w:val="single" w:sz="8" w:color="auto"/>
            </w:tcBorders>
          </w:tcPr>
          <w:p>
            <w:pPr>
              <w:ind w:left="20"/>
              <w:spacing w:after="0" w:line="156" w:lineRule="exact"/>
              <w:rPr>
                <w:sz w:val="20"/>
                <w:szCs w:val="20"/>
                <w:color w:val="auto"/>
              </w:rPr>
            </w:pPr>
            <w:r>
              <w:rPr>
                <w:rFonts w:ascii="Arial" w:cs="Arial" w:eastAsia="Arial" w:hAnsi="Arial"/>
                <w:sz w:val="15"/>
                <w:szCs w:val="15"/>
                <w:color w:val="auto"/>
              </w:rPr>
              <w:t>Long-term debt</w:t>
            </w:r>
          </w:p>
        </w:tc>
        <w:tc>
          <w:tcPr>
            <w:tcW w:w="4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123"/>
              <w:spacing w:after="0" w:line="156" w:lineRule="exact"/>
              <w:rPr>
                <w:sz w:val="20"/>
                <w:szCs w:val="20"/>
                <w:color w:val="auto"/>
              </w:rPr>
            </w:pPr>
            <w:r>
              <w:rPr>
                <w:rFonts w:ascii="Arial" w:cs="Arial" w:eastAsia="Arial" w:hAnsi="Arial"/>
                <w:sz w:val="15"/>
                <w:szCs w:val="15"/>
                <w:b w:val="1"/>
                <w:bCs w:val="1"/>
                <w:color w:val="auto"/>
              </w:rPr>
              <w:t>2,730,439</w:t>
            </w:r>
          </w:p>
        </w:tc>
        <w:tc>
          <w:tcPr>
            <w:tcW w:w="2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2,727,294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Company’s 4.25% Senior Notes due 2024, 7% Debentures due 2025, 3.450% Senior Notes due 2027, 3.500% Senior Notes due 2027, 6.25% Senior Notes due 2037, 4.250% Senior Notes due 2047, Floating Rate Senior Notes due 2019 and Floating Rate Senior Notes due 2020 (collectively, the “Senior Notes”) are senior unsecured obligations of the Company, ranking equal in right of payment with the Company’s existing and future unsubordinated indebtedness. Upon a change-of-control repurchase event and a resulting below-investment-grade credit rating, the Company would be required to make an offer to repurchase all outstanding Senior Notes, with the exception of the 7% Debentures due 2025, at a price in cash equal to 101% of the principal amount of the Senior Notes, plus any accrued and unpaid interest.</w:t>
      </w:r>
    </w:p>
    <w:p>
      <w:pPr>
        <w:spacing w:after="0" w:line="20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On May 22, 2017, the Company issued $300,000,000 aggregate principal amount of Floating Rate Senior Notes due in 2020 (the “2020 Floating Rate Notes”) and $300,000,000 aggregate principal amount of 3.450% Senior Notes due in 2027 (the “3.45% Senior Notes”). The 3.45% Senior Notes may be redeemed in whole or in part prior to March 1, 2027 at a make-whole redemption price, or on or after March 1, 2027 at a redemption price equal to 100% of the principal amount of the notes to be redeemed, and in either case plus unpaid interest. The 2020 Floating Rate Notes bear interest at a rate, reset quarterly, equal to the three-month London Interbank Offered Rate (LIBOR) for U.S. Dollars plus 0.65% (or 65 basis points) and may not be redeemed prior to their stated maturity date of May 22, 2020.</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On December 20, 2017, the Company issued $300,000,000 aggregate principal amount of Floating Rate Senior Notes due 2019 (the “2019 Floating Rate Notes”), $500,000,000 aggregate principal amount of 3.50% Senior Notes due 2027 (the “2027 3.50% Fixed Rate Notes”) and $600,000,000 aggregate principal amount of 4.25% Senior Notes due 2047 (the “2047 Fixed Rate Notes”). The net proceeds of the offering were used to finance, in part, the Bluegrass acquisition and to repay the $300,000,000 6.60% Senior Notes that matured April 15, 2018. The Company may not redeem the 2019 Floating Rate Notes prior to their stated maturity date of December 20, 2019.</w:t>
      </w:r>
    </w:p>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Senior Notes are carried net of original issue discount, which is being amortized by the effective interest method over the life of the issue. With the exception of the 2019 Floating Rate Senior Notes and the 2020 Floating Rate</w:t>
      </w:r>
    </w:p>
    <w:p>
      <w:pPr>
        <w:spacing w:after="0" w:line="868"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25</w:t>
      </w:r>
    </w:p>
    <w:p>
      <w:pPr>
        <w:sectPr>
          <w:pgSz w:w="11900" w:h="16838" w:orient="portrait"/>
          <w:cols w:equalWidth="0" w:num="1">
            <w:col w:w="11420"/>
          </w:cols>
          <w:pgMar w:left="240" w:top="265" w:right="239" w:bottom="1440" w:gutter="0" w:footer="0" w:header="0"/>
          <w:type w:val="continuous"/>
        </w:sectPr>
      </w:pPr>
    </w:p>
    <w:bookmarkStart w:id="64" w:name="page65"/>
    <w:bookmarkEnd w:id="64"/>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Senior Notes the Senior Notes are redeemable prior to their respective maturity dates at a make-whole redemption price. The principal amount, effective interest rate and maturity date for the Senior Notes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Principal</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Effective</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Interest</w:t>
            </w:r>
          </w:p>
        </w:tc>
        <w:tc>
          <w:tcPr>
            <w:tcW w:w="1360" w:type="dxa"/>
            <w:vAlign w:val="bottom"/>
          </w:tcPr>
          <w:p>
            <w:pPr>
              <w:jc w:val="center"/>
              <w:ind w:left="8"/>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75"/>
        </w:trPr>
        <w:tc>
          <w:tcPr>
            <w:tcW w:w="2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(add 000)</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p>
        </w:tc>
        <w:tc>
          <w:tcPr>
            <w:tcW w:w="13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4.25% Senior Notes</w:t>
            </w:r>
          </w:p>
        </w:tc>
        <w:tc>
          <w:tcPr>
            <w:tcW w:w="880" w:type="dxa"/>
            <w:vAlign w:val="bottom"/>
            <w:shd w:val="clear" w:color="auto" w:fill="CCEEFF"/>
          </w:tcPr>
          <w:p>
            <w:pPr>
              <w:jc w:val="center"/>
              <w:ind w:left="28"/>
              <w:spacing w:after="0" w:line="155" w:lineRule="exact"/>
              <w:rPr>
                <w:sz w:val="20"/>
                <w:szCs w:val="20"/>
                <w:color w:val="auto"/>
              </w:rPr>
            </w:pPr>
            <w:r>
              <w:rPr>
                <w:rFonts w:ascii="Arial" w:cs="Arial" w:eastAsia="Arial" w:hAnsi="Arial"/>
                <w:sz w:val="14"/>
                <w:szCs w:val="14"/>
                <w:color w:val="auto"/>
              </w:rPr>
              <w:t>$400,000</w:t>
            </w:r>
          </w:p>
        </w:tc>
        <w:tc>
          <w:tcPr>
            <w:tcW w:w="102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rPr>
              <w:t>4.25%</w:t>
            </w:r>
          </w:p>
        </w:tc>
        <w:tc>
          <w:tcPr>
            <w:tcW w:w="1360" w:type="dxa"/>
            <w:vAlign w:val="bottom"/>
            <w:shd w:val="clear" w:color="auto" w:fill="CCEEFF"/>
          </w:tcPr>
          <w:p>
            <w:pPr>
              <w:jc w:val="center"/>
              <w:ind w:left="28"/>
              <w:spacing w:after="0" w:line="155" w:lineRule="exact"/>
              <w:rPr>
                <w:sz w:val="20"/>
                <w:szCs w:val="20"/>
                <w:color w:val="auto"/>
              </w:rPr>
            </w:pPr>
            <w:r>
              <w:rPr>
                <w:rFonts w:ascii="Arial" w:cs="Arial" w:eastAsia="Arial" w:hAnsi="Arial"/>
                <w:sz w:val="14"/>
                <w:szCs w:val="14"/>
                <w:color w:val="auto"/>
              </w:rPr>
              <w:t>July 2, 2024</w:t>
            </w: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rPr>
                <w:sz w:val="20"/>
                <w:szCs w:val="20"/>
                <w:color w:val="auto"/>
              </w:rPr>
            </w:pPr>
            <w:r>
              <w:rPr>
                <w:rFonts w:ascii="Arial" w:cs="Arial" w:eastAsia="Arial" w:hAnsi="Arial"/>
                <w:sz w:val="14"/>
                <w:szCs w:val="14"/>
                <w:color w:val="auto"/>
              </w:rPr>
              <w:t>7% Debentures</w:t>
            </w:r>
          </w:p>
        </w:tc>
        <w:tc>
          <w:tcPr>
            <w:tcW w:w="880" w:type="dxa"/>
            <w:vAlign w:val="bottom"/>
          </w:tcPr>
          <w:p>
            <w:pPr>
              <w:jc w:val="center"/>
              <w:ind w:left="28"/>
              <w:spacing w:after="0"/>
              <w:rPr>
                <w:sz w:val="20"/>
                <w:szCs w:val="20"/>
                <w:color w:val="auto"/>
              </w:rPr>
            </w:pPr>
            <w:r>
              <w:rPr>
                <w:rFonts w:ascii="Arial" w:cs="Arial" w:eastAsia="Arial" w:hAnsi="Arial"/>
                <w:sz w:val="14"/>
                <w:szCs w:val="14"/>
                <w:color w:val="auto"/>
              </w:rPr>
              <w:t>$125,000</w:t>
            </w:r>
          </w:p>
        </w:tc>
        <w:tc>
          <w:tcPr>
            <w:tcW w:w="1020" w:type="dxa"/>
            <w:vAlign w:val="bottom"/>
          </w:tcPr>
          <w:p>
            <w:pPr>
              <w:jc w:val="center"/>
              <w:spacing w:after="0"/>
              <w:rPr>
                <w:sz w:val="20"/>
                <w:szCs w:val="20"/>
                <w:color w:val="auto"/>
              </w:rPr>
            </w:pPr>
            <w:r>
              <w:rPr>
                <w:rFonts w:ascii="Arial" w:cs="Arial" w:eastAsia="Arial" w:hAnsi="Arial"/>
                <w:sz w:val="14"/>
                <w:szCs w:val="14"/>
                <w:color w:val="auto"/>
              </w:rPr>
              <w:t>7.12%</w:t>
            </w:r>
          </w:p>
        </w:tc>
        <w:tc>
          <w:tcPr>
            <w:tcW w:w="1360" w:type="dxa"/>
            <w:vAlign w:val="bottom"/>
          </w:tcPr>
          <w:p>
            <w:pPr>
              <w:jc w:val="center"/>
              <w:ind w:left="28"/>
              <w:spacing w:after="0"/>
              <w:rPr>
                <w:sz w:val="20"/>
                <w:szCs w:val="20"/>
                <w:color w:val="auto"/>
              </w:rPr>
            </w:pPr>
            <w:r>
              <w:rPr>
                <w:rFonts w:ascii="Arial" w:cs="Arial" w:eastAsia="Arial" w:hAnsi="Arial"/>
                <w:sz w:val="14"/>
                <w:szCs w:val="14"/>
                <w:color w:val="auto"/>
              </w:rPr>
              <w:t>December 1, 2025</w:t>
            </w: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3.450% Senior Notes</w:t>
            </w:r>
          </w:p>
        </w:tc>
        <w:tc>
          <w:tcPr>
            <w:tcW w:w="8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$300,000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3.47%</w:t>
            </w:r>
          </w:p>
        </w:tc>
        <w:tc>
          <w:tcPr>
            <w:tcW w:w="136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June 1, 2027</w:t>
            </w: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rPr>
                <w:sz w:val="20"/>
                <w:szCs w:val="20"/>
                <w:color w:val="auto"/>
              </w:rPr>
            </w:pPr>
            <w:r>
              <w:rPr>
                <w:rFonts w:ascii="Arial" w:cs="Arial" w:eastAsia="Arial" w:hAnsi="Arial"/>
                <w:sz w:val="14"/>
                <w:szCs w:val="14"/>
                <w:color w:val="auto"/>
              </w:rPr>
              <w:t>3.500% Senior Notes</w:t>
            </w:r>
          </w:p>
        </w:tc>
        <w:tc>
          <w:tcPr>
            <w:tcW w:w="880" w:type="dxa"/>
            <w:vAlign w:val="bottom"/>
          </w:tcPr>
          <w:p>
            <w:pPr>
              <w:jc w:val="center"/>
              <w:ind w:left="28"/>
              <w:spacing w:after="0"/>
              <w:rPr>
                <w:sz w:val="20"/>
                <w:szCs w:val="20"/>
                <w:color w:val="auto"/>
              </w:rPr>
            </w:pPr>
            <w:r>
              <w:rPr>
                <w:rFonts w:ascii="Arial" w:cs="Arial" w:eastAsia="Arial" w:hAnsi="Arial"/>
                <w:sz w:val="14"/>
                <w:szCs w:val="14"/>
                <w:color w:val="auto"/>
              </w:rPr>
              <w:t>$500,000</w:t>
            </w:r>
          </w:p>
        </w:tc>
        <w:tc>
          <w:tcPr>
            <w:tcW w:w="1020" w:type="dxa"/>
            <w:vAlign w:val="bottom"/>
          </w:tcPr>
          <w:p>
            <w:pPr>
              <w:jc w:val="center"/>
              <w:spacing w:after="0"/>
              <w:rPr>
                <w:sz w:val="20"/>
                <w:szCs w:val="20"/>
                <w:color w:val="auto"/>
              </w:rPr>
            </w:pPr>
            <w:r>
              <w:rPr>
                <w:rFonts w:ascii="Arial" w:cs="Arial" w:eastAsia="Arial" w:hAnsi="Arial"/>
                <w:sz w:val="14"/>
                <w:szCs w:val="14"/>
                <w:color w:val="auto"/>
              </w:rPr>
              <w:t>3.53%</w:t>
            </w:r>
          </w:p>
        </w:tc>
        <w:tc>
          <w:tcPr>
            <w:tcW w:w="1360" w:type="dxa"/>
            <w:vAlign w:val="bottom"/>
          </w:tcPr>
          <w:p>
            <w:pPr>
              <w:jc w:val="center"/>
              <w:ind w:left="28"/>
              <w:spacing w:after="0"/>
              <w:rPr>
                <w:sz w:val="20"/>
                <w:szCs w:val="20"/>
                <w:color w:val="auto"/>
              </w:rPr>
            </w:pPr>
            <w:r>
              <w:rPr>
                <w:rFonts w:ascii="Arial" w:cs="Arial" w:eastAsia="Arial" w:hAnsi="Arial"/>
                <w:sz w:val="14"/>
                <w:szCs w:val="14"/>
                <w:color w:val="auto"/>
              </w:rPr>
              <w:t>December 15, 2027</w:t>
            </w: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6.25% Senior Note</w:t>
            </w:r>
          </w:p>
        </w:tc>
        <w:tc>
          <w:tcPr>
            <w:tcW w:w="8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$230,000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6.45%</w:t>
            </w:r>
          </w:p>
        </w:tc>
        <w:tc>
          <w:tcPr>
            <w:tcW w:w="136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May 1, 2037</w:t>
            </w: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rPr>
                <w:sz w:val="20"/>
                <w:szCs w:val="20"/>
                <w:color w:val="auto"/>
              </w:rPr>
            </w:pPr>
            <w:r>
              <w:rPr>
                <w:rFonts w:ascii="Arial" w:cs="Arial" w:eastAsia="Arial" w:hAnsi="Arial"/>
                <w:sz w:val="14"/>
                <w:szCs w:val="14"/>
                <w:color w:val="auto"/>
              </w:rPr>
              <w:t>4.250% Senior Notes</w:t>
            </w:r>
          </w:p>
        </w:tc>
        <w:tc>
          <w:tcPr>
            <w:tcW w:w="880" w:type="dxa"/>
            <w:vAlign w:val="bottom"/>
          </w:tcPr>
          <w:p>
            <w:pPr>
              <w:jc w:val="center"/>
              <w:ind w:left="28"/>
              <w:spacing w:after="0"/>
              <w:rPr>
                <w:sz w:val="20"/>
                <w:szCs w:val="20"/>
                <w:color w:val="auto"/>
              </w:rPr>
            </w:pPr>
            <w:r>
              <w:rPr>
                <w:rFonts w:ascii="Arial" w:cs="Arial" w:eastAsia="Arial" w:hAnsi="Arial"/>
                <w:sz w:val="14"/>
                <w:szCs w:val="14"/>
                <w:color w:val="auto"/>
              </w:rPr>
              <w:t>$600,000</w:t>
            </w:r>
          </w:p>
        </w:tc>
        <w:tc>
          <w:tcPr>
            <w:tcW w:w="1020" w:type="dxa"/>
            <w:vAlign w:val="bottom"/>
          </w:tcPr>
          <w:p>
            <w:pPr>
              <w:jc w:val="center"/>
              <w:spacing w:after="0"/>
              <w:rPr>
                <w:sz w:val="20"/>
                <w:szCs w:val="20"/>
                <w:color w:val="auto"/>
              </w:rPr>
            </w:pPr>
            <w:r>
              <w:rPr>
                <w:rFonts w:ascii="Arial" w:cs="Arial" w:eastAsia="Arial" w:hAnsi="Arial"/>
                <w:sz w:val="14"/>
                <w:szCs w:val="14"/>
                <w:color w:val="auto"/>
              </w:rPr>
              <w:t>4.27%</w:t>
            </w:r>
          </w:p>
        </w:tc>
        <w:tc>
          <w:tcPr>
            <w:tcW w:w="1360" w:type="dxa"/>
            <w:vAlign w:val="bottom"/>
          </w:tcPr>
          <w:p>
            <w:pPr>
              <w:jc w:val="center"/>
              <w:ind w:left="28"/>
              <w:spacing w:after="0"/>
              <w:rPr>
                <w:sz w:val="20"/>
                <w:szCs w:val="20"/>
                <w:color w:val="auto"/>
              </w:rPr>
            </w:pPr>
            <w:r>
              <w:rPr>
                <w:rFonts w:ascii="Arial" w:cs="Arial" w:eastAsia="Arial" w:hAnsi="Arial"/>
                <w:sz w:val="14"/>
                <w:szCs w:val="14"/>
                <w:color w:val="auto"/>
              </w:rPr>
              <w:t>December 15, 2047</w:t>
            </w:r>
          </w:p>
        </w:tc>
        <w:tc>
          <w:tcPr>
            <w:tcW w:w="0" w:type="dxa"/>
            <w:vAlign w:val="bottom"/>
          </w:tcPr>
          <w:p>
            <w:pPr>
              <w:spacing w:after="0"/>
              <w:rPr>
                <w:sz w:val="1"/>
                <w:szCs w:val="1"/>
                <w:color w:val="auto"/>
              </w:rPr>
            </w:pPr>
          </w:p>
        </w:tc>
      </w:tr>
      <w:tr>
        <w:trPr>
          <w:trHeight w:val="167"/>
        </w:trPr>
        <w:tc>
          <w:tcPr>
            <w:tcW w:w="2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Floating Rate Senior Notes, due</w:t>
            </w:r>
          </w:p>
        </w:tc>
        <w:tc>
          <w:tcPr>
            <w:tcW w:w="88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Three-month</w:t>
            </w: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20" w:type="dxa"/>
            <w:vAlign w:val="bottom"/>
            <w:vMerge w:val="continue"/>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LIBOR +</w:t>
            </w: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2019</w:t>
            </w:r>
          </w:p>
        </w:tc>
        <w:tc>
          <w:tcPr>
            <w:tcW w:w="8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$300,000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0.50%</w:t>
            </w:r>
          </w:p>
        </w:tc>
        <w:tc>
          <w:tcPr>
            <w:tcW w:w="136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December 20, 2019</w:t>
            </w:r>
          </w:p>
        </w:tc>
        <w:tc>
          <w:tcPr>
            <w:tcW w:w="0" w:type="dxa"/>
            <w:vAlign w:val="bottom"/>
          </w:tcPr>
          <w:p>
            <w:pPr>
              <w:spacing w:after="0"/>
              <w:rPr>
                <w:sz w:val="1"/>
                <w:szCs w:val="1"/>
                <w:color w:val="auto"/>
              </w:rPr>
            </w:pPr>
          </w:p>
        </w:tc>
      </w:tr>
      <w:tr>
        <w:trPr>
          <w:trHeight w:val="167"/>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Floating Rate Senior Notes, due</w:t>
            </w:r>
          </w:p>
        </w:tc>
        <w:tc>
          <w:tcPr>
            <w:tcW w:w="8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Three-month</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2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rPr>
              <w:t>LIBOR +</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220" w:type="dxa"/>
            <w:vAlign w:val="bottom"/>
          </w:tcPr>
          <w:p>
            <w:pPr>
              <w:ind w:left="160"/>
              <w:spacing w:after="0"/>
              <w:rPr>
                <w:sz w:val="20"/>
                <w:szCs w:val="20"/>
                <w:color w:val="auto"/>
              </w:rPr>
            </w:pPr>
            <w:r>
              <w:rPr>
                <w:rFonts w:ascii="Arial" w:cs="Arial" w:eastAsia="Arial" w:hAnsi="Arial"/>
                <w:sz w:val="14"/>
                <w:szCs w:val="14"/>
                <w:color w:val="auto"/>
              </w:rPr>
              <w:t>2020</w:t>
            </w:r>
          </w:p>
        </w:tc>
        <w:tc>
          <w:tcPr>
            <w:tcW w:w="880" w:type="dxa"/>
            <w:vAlign w:val="bottom"/>
          </w:tcPr>
          <w:p>
            <w:pPr>
              <w:jc w:val="center"/>
              <w:ind w:left="28"/>
              <w:spacing w:after="0"/>
              <w:rPr>
                <w:sz w:val="20"/>
                <w:szCs w:val="20"/>
                <w:color w:val="auto"/>
              </w:rPr>
            </w:pPr>
            <w:r>
              <w:rPr>
                <w:rFonts w:ascii="Arial" w:cs="Arial" w:eastAsia="Arial" w:hAnsi="Arial"/>
                <w:sz w:val="14"/>
                <w:szCs w:val="14"/>
                <w:color w:val="auto"/>
              </w:rPr>
              <w:t>$300,000</w:t>
            </w:r>
          </w:p>
        </w:tc>
        <w:tc>
          <w:tcPr>
            <w:tcW w:w="1020" w:type="dxa"/>
            <w:vAlign w:val="bottom"/>
          </w:tcPr>
          <w:p>
            <w:pPr>
              <w:jc w:val="center"/>
              <w:spacing w:after="0"/>
              <w:rPr>
                <w:sz w:val="20"/>
                <w:szCs w:val="20"/>
                <w:color w:val="auto"/>
              </w:rPr>
            </w:pPr>
            <w:r>
              <w:rPr>
                <w:rFonts w:ascii="Arial" w:cs="Arial" w:eastAsia="Arial" w:hAnsi="Arial"/>
                <w:sz w:val="14"/>
                <w:szCs w:val="14"/>
                <w:color w:val="auto"/>
              </w:rPr>
              <w:t>0.65%</w:t>
            </w:r>
          </w:p>
        </w:tc>
        <w:tc>
          <w:tcPr>
            <w:tcW w:w="1360" w:type="dxa"/>
            <w:vAlign w:val="bottom"/>
          </w:tcPr>
          <w:p>
            <w:pPr>
              <w:jc w:val="center"/>
              <w:ind w:left="28"/>
              <w:spacing w:after="0"/>
              <w:rPr>
                <w:sz w:val="20"/>
                <w:szCs w:val="20"/>
                <w:color w:val="auto"/>
              </w:rPr>
            </w:pPr>
            <w:r>
              <w:rPr>
                <w:rFonts w:ascii="Arial" w:cs="Arial" w:eastAsia="Arial" w:hAnsi="Arial"/>
                <w:sz w:val="14"/>
                <w:szCs w:val="14"/>
                <w:color w:val="auto"/>
              </w:rPr>
              <w:t>May 22, 2020</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Company has a credit agreement with JPMorgan Chase Bank, N.A., as Administrative Agent, Branch Banking and Trust Company (BB&amp;T), Deutsche Bank Securities, Inc., SunTrust Bank, and Wells Fargo Bank, N.A., as Co-Syndication Agents, and the lenders party thereto (the “Credit Agreement”), which provides for a $700,000,000 five-year senior unsecured revolving facility (the “Revolving Facility”). Borrowings under the Revolving Facility bear interest, at the Company’s option, at rates based upon LIBOR or a base rate, plus, for each rate, a margin determined in accordance with a ratings-based pricing grid.</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Credit Agreement requires the Company’s ratio of consolidated net debt-to-consolidated earnings before interest, taxes, depreciation, depletion and amortization (EBITDA), as defined, for the trailing-twelve months (the “Ratio”) to not exceed 3.50x as of the end of any fiscal quarter, provided that the Company may exclude from the Ratio debt incurred in connection with certain acquisitions during the quarter or three preceding quarters so long as the Ratio calculated without such exclusion does not exceed 3.75x. Additionally, if no amounts are outstanding under both the Revolving Facility and the trade receivable securitization facility (discussed later), consolidated debt, including debt for which the Company is a co-borrower (see Note O), may be reduced by the Company’s unrestricted cash and cash equivalents in excess of $50,000,000, such reduction not to exceed $200,000,000, for purposes of the covenant calculation. The Company was in compliance with the Ratio at December 31,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On December 20, 2018, the Company extended its Revolving Facility by one year. The Revolving Facility expires on December 5, 2023, with any outstanding principal amounts, together with interest accrued thereon, due in full on that date. Available borrowings under the Revolving Facility are reduced by any outstanding letters of credit issued by the Company under the Revolving Facility. At December 31, 2018 and 2017, the Company had $2,301,000 of outstanding letters of credit issued under the Revolving Facility and $697,699,000 available for borrowing under the Revolving Facility. The Company paid the bank group an upfront loan commitment fee that is being amortized over the life of the Revolving Facility. The Revolving Facility includes an annual facility fee.</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 through a wholly-owned special-purpose subsidiary, has a $400,000,000 trade receivable securitization facility (the “Trade Receivable Facility”). On September 25, 2018, the Company extended the maturity to September 25, 2019. The Trade Receivable Facility, with SunTrust Bank, Regions Bank, PNC Bank, N.A., The Bank of Tokyo-Mitsubishi UFJ, Ltd., New York Branch, and certain other lenders that may become a party to the facility from time to time, is backed by eligible trade receivables, as defined. Borrowings are limited to the lesser of the facility limit or the borrowing base, as defined. These receivables are originated by the Company and then sold or contributed to the wholly-owned special-purpose subsidiary. The Company continues to be responsible for the servicing and administration of the receivables purchased by the wholly-owned special-purpose subsidiary. Borrowings under the Trade Receivable Facility bear interest at a rate equal to one-month LIBOR plus 0.725%, subject to change in the event that this rate no longer reflects the lender’s cost of lending. The Trade Receivable Facility contains a cross-default provision to the Company’s other debt agreements.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The Company’s long-term debt maturities for the five years following</w:t>
      </w:r>
    </w:p>
    <w:p>
      <w:pPr>
        <w:spacing w:after="0"/>
        <w:rPr>
          <w:sz w:val="20"/>
          <w:szCs w:val="20"/>
          <w:color w:val="auto"/>
        </w:rPr>
      </w:pPr>
      <w:r>
        <w:rPr>
          <w:rFonts w:ascii="Arial" w:cs="Arial" w:eastAsia="Arial" w:hAnsi="Arial"/>
          <w:sz w:val="17"/>
          <w:szCs w:val="17"/>
          <w:color w:val="auto"/>
        </w:rPr>
        <w:t>December 31, 2018, and thereafter are:</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(add 000)</w:t>
      </w:r>
    </w:p>
    <w:tbl>
      <w:tblPr>
        <w:tblLayout w:type="fixed"/>
        <w:tblInd w:w="0" w:type="dxa"/>
        <w:tblCellMar>
          <w:top w:w="0" w:type="dxa"/>
          <w:left w:w="0" w:type="dxa"/>
          <w:bottom w:w="0" w:type="dxa"/>
          <w:right w:w="0" w:type="dxa"/>
        </w:tblCellMar>
      </w:tblPr>
      <w:tr>
        <w:trPr>
          <w:trHeight w:val="156"/>
        </w:trPr>
        <w:tc>
          <w:tcPr>
            <w:tcW w:w="26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2019</w:t>
            </w:r>
          </w:p>
        </w:tc>
        <w:tc>
          <w:tcPr>
            <w:tcW w:w="2120" w:type="dxa"/>
            <w:vAlign w:val="bottom"/>
            <w:tcBorders>
              <w:top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390,042</w:t>
            </w:r>
          </w:p>
        </w:tc>
      </w:tr>
      <w:tr>
        <w:trPr>
          <w:trHeight w:val="162"/>
        </w:trPr>
        <w:tc>
          <w:tcPr>
            <w:tcW w:w="2660" w:type="dxa"/>
            <w:vAlign w:val="bottom"/>
          </w:tcPr>
          <w:p>
            <w:pPr>
              <w:spacing w:after="0" w:line="162" w:lineRule="exact"/>
              <w:rPr>
                <w:sz w:val="20"/>
                <w:szCs w:val="20"/>
                <w:color w:val="auto"/>
              </w:rPr>
            </w:pPr>
            <w:r>
              <w:rPr>
                <w:rFonts w:ascii="Arial" w:cs="Arial" w:eastAsia="Arial" w:hAnsi="Arial"/>
                <w:sz w:val="15"/>
                <w:szCs w:val="15"/>
                <w:color w:val="auto"/>
              </w:rPr>
              <w:t>2020</w:t>
            </w:r>
          </w:p>
        </w:tc>
        <w:tc>
          <w:tcPr>
            <w:tcW w:w="2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299,015</w:t>
            </w:r>
          </w:p>
        </w:tc>
      </w:tr>
      <w:tr>
        <w:trPr>
          <w:trHeight w:val="162"/>
        </w:trPr>
        <w:tc>
          <w:tcPr>
            <w:tcW w:w="2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2021</w:t>
            </w:r>
          </w:p>
        </w:tc>
        <w:tc>
          <w:tcPr>
            <w:tcW w:w="2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65</w:t>
            </w:r>
          </w:p>
        </w:tc>
      </w:tr>
      <w:tr>
        <w:trPr>
          <w:trHeight w:val="162"/>
        </w:trPr>
        <w:tc>
          <w:tcPr>
            <w:tcW w:w="2660" w:type="dxa"/>
            <w:vAlign w:val="bottom"/>
          </w:tcPr>
          <w:p>
            <w:pPr>
              <w:spacing w:after="0" w:line="162" w:lineRule="exact"/>
              <w:rPr>
                <w:sz w:val="20"/>
                <w:szCs w:val="20"/>
                <w:color w:val="auto"/>
              </w:rPr>
            </w:pPr>
            <w:r>
              <w:rPr>
                <w:rFonts w:ascii="Arial" w:cs="Arial" w:eastAsia="Arial" w:hAnsi="Arial"/>
                <w:sz w:val="15"/>
                <w:szCs w:val="15"/>
                <w:color w:val="auto"/>
              </w:rPr>
              <w:t>2022</w:t>
            </w:r>
          </w:p>
        </w:tc>
        <w:tc>
          <w:tcPr>
            <w:tcW w:w="2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90</w:t>
            </w:r>
          </w:p>
        </w:tc>
      </w:tr>
      <w:tr>
        <w:trPr>
          <w:trHeight w:val="162"/>
        </w:trPr>
        <w:tc>
          <w:tcPr>
            <w:tcW w:w="2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2023</w:t>
            </w:r>
          </w:p>
        </w:tc>
        <w:tc>
          <w:tcPr>
            <w:tcW w:w="2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299,260</w:t>
            </w:r>
          </w:p>
        </w:tc>
      </w:tr>
      <w:tr>
        <w:trPr>
          <w:trHeight w:val="162"/>
        </w:trPr>
        <w:tc>
          <w:tcPr>
            <w:tcW w:w="266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Thereafter</w:t>
            </w:r>
          </w:p>
        </w:tc>
        <w:tc>
          <w:tcPr>
            <w:tcW w:w="2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2,132,009</w:t>
            </w:r>
          </w:p>
        </w:tc>
      </w:tr>
      <w:tr>
        <w:trPr>
          <w:trHeight w:val="163"/>
        </w:trPr>
        <w:tc>
          <w:tcPr>
            <w:tcW w:w="26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Total</w:t>
            </w:r>
          </w:p>
        </w:tc>
        <w:tc>
          <w:tcPr>
            <w:tcW w:w="212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3,120,481</w:t>
            </w:r>
          </w:p>
        </w:tc>
      </w:tr>
    </w:tbl>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2019 Floating Rate Notes mature December 20, 2019. The Company has classified these obligations as noncurrent long-term debt on the consolidated balance sheets as of</w:t>
      </w:r>
    </w:p>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6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26</w:t>
      </w:r>
    </w:p>
    <w:p>
      <w:pPr>
        <w:sectPr>
          <w:pgSz w:w="11900" w:h="16838" w:orient="portrait"/>
          <w:cols w:equalWidth="0" w:num="1">
            <w:col w:w="11420"/>
          </w:cols>
          <w:pgMar w:left="240" w:top="265" w:right="239" w:bottom="1440" w:gutter="0" w:footer="0" w:header="0"/>
          <w:type w:val="continuous"/>
        </w:sectPr>
      </w:pPr>
    </w:p>
    <w:bookmarkStart w:id="65" w:name="page66"/>
    <w:bookmarkEnd w:id="65"/>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December 31, 2018 as it has the ability and intent to refinance the notes on a long-term basis. For the debt maturity schedule, the 2019 Floating Rate Notes are included in 2023.</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 has a $5,000,000 short-term line of credit. No amounts were outstanding under this line of credit at December 31, 2018 or 2017.</w:t>
      </w:r>
    </w:p>
    <w:p>
      <w:pPr>
        <w:spacing w:after="0" w:line="39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Accumulated other comprehensive loss includes the unamortized value of terminated forward starting interest rate swap agreements. For the years ended December 31, 2018, 2017 and 2016, the Company recognized $458,000, $1,443,000 and $1,367,000, respectively, as additional interest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Note I: Financial Instruments</w:t>
      </w:r>
    </w:p>
    <w:p>
      <w:pPr>
        <w:spacing w:after="0" w:line="1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Company’s financial instruments include temporary cash investments, accounts receivable, notes receivable, accounts payable, publicly-registered long-term notes, debentures and other long-term debt.</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Temporary cash investments are placed primarily in money market funds, money market demand deposit accounts or offshore time deposit accounts with financial institutions. The Company’s cash equivalents have maturities of less than three months. Due to the short maturity of these investments, they are carried on the consolidated balance sheets at cost, which approximates fair value.</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Accounts receivable are due from a large number of customers, primarily in the construction industry, and are dispersed across wide geographic and economic regions. However, accounts receivable are more heavily concentrated in certain states, namely Texas, Colorado, North Carolina, Georgia and Iowa. The estimated fair values of accounts receivable approximate their carrying amounts.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Notes receivable are primarily promissory notes with customers and are not publicly traded. Management estimates that the fair value of notes receivable approximates its carrying amount.</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Accounts payable represent amounts owed to suppliers and vendors. The estimated fair value of accounts payable approximates its carrying amount due to the short-term nature of the payables.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carrying values and fair values of the Company’s long-term debt were $3,120,481,000 and $3,012,224,000, respectively, at December 31, 2018 and $3,027,203,000 and $3,144,902,000, respectively, at December 31,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estimated fair value of the Company’s publicly-registered long-term debt was estimated based on Level 2 of the fair value hierarchy using quoted market prices. The estimated fair values of other borrowings, which primarily represent variable-rate debt, approximate their carrying amounts as the interest rates reset periodically.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Note J: Income Taxes</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components of the Company’s income tax expense (benefit)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8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420" w:type="dxa"/>
            <w:vAlign w:val="bottom"/>
          </w:tcPr>
          <w:p>
            <w:pPr>
              <w:spacing w:after="0"/>
              <w:rPr>
                <w:sz w:val="15"/>
                <w:szCs w:val="15"/>
                <w:color w:val="auto"/>
              </w:rPr>
            </w:pPr>
          </w:p>
        </w:tc>
        <w:tc>
          <w:tcPr>
            <w:tcW w:w="80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0085CD"/>
              </w:rPr>
              <w:t>2018</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(add 000)</w:t>
            </w: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Federal income taxes:</w:t>
            </w: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tcPr>
          <w:p>
            <w:pPr>
              <w:ind w:left="160"/>
              <w:spacing w:after="0" w:line="162" w:lineRule="exact"/>
              <w:rPr>
                <w:sz w:val="20"/>
                <w:szCs w:val="20"/>
                <w:color w:val="auto"/>
              </w:rPr>
            </w:pPr>
            <w:r>
              <w:rPr>
                <w:rFonts w:ascii="Arial" w:cs="Arial" w:eastAsia="Arial" w:hAnsi="Arial"/>
                <w:sz w:val="15"/>
                <w:szCs w:val="15"/>
                <w:color w:val="auto"/>
              </w:rPr>
              <w:t>Current</w:t>
            </w:r>
          </w:p>
        </w:tc>
        <w:tc>
          <w:tcPr>
            <w:tcW w:w="4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800" w:type="dxa"/>
            <w:vAlign w:val="bottom"/>
          </w:tcPr>
          <w:p>
            <w:pPr>
              <w:jc w:val="right"/>
              <w:ind w:right="124"/>
              <w:spacing w:after="0" w:line="162" w:lineRule="exact"/>
              <w:rPr>
                <w:sz w:val="20"/>
                <w:szCs w:val="20"/>
                <w:color w:val="auto"/>
              </w:rPr>
            </w:pPr>
            <w:r>
              <w:rPr>
                <w:rFonts w:ascii="Arial" w:cs="Arial" w:eastAsia="Arial" w:hAnsi="Arial"/>
                <w:sz w:val="15"/>
                <w:szCs w:val="15"/>
                <w:b w:val="1"/>
                <w:bCs w:val="1"/>
                <w:color w:val="auto"/>
              </w:rPr>
              <w:t>15,285</w:t>
            </w:r>
          </w:p>
        </w:tc>
        <w:tc>
          <w:tcPr>
            <w:tcW w:w="2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124"/>
              <w:spacing w:after="0" w:line="162" w:lineRule="exact"/>
              <w:rPr>
                <w:sz w:val="20"/>
                <w:szCs w:val="20"/>
                <w:color w:val="auto"/>
              </w:rPr>
            </w:pPr>
            <w:r>
              <w:rPr>
                <w:rFonts w:ascii="Arial" w:cs="Arial" w:eastAsia="Arial" w:hAnsi="Arial"/>
                <w:sz w:val="15"/>
                <w:szCs w:val="15"/>
                <w:color w:val="auto"/>
              </w:rPr>
              <w:t>129,236</w:t>
            </w:r>
          </w:p>
        </w:tc>
        <w:tc>
          <w:tcPr>
            <w:tcW w:w="2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ind w:right="24"/>
              <w:spacing w:after="0" w:line="162" w:lineRule="exact"/>
              <w:rPr>
                <w:sz w:val="20"/>
                <w:szCs w:val="20"/>
                <w:color w:val="auto"/>
              </w:rPr>
            </w:pPr>
            <w:r>
              <w:rPr>
                <w:rFonts w:ascii="Arial" w:cs="Arial" w:eastAsia="Arial" w:hAnsi="Arial"/>
                <w:sz w:val="15"/>
                <w:szCs w:val="15"/>
                <w:color w:val="auto"/>
              </w:rPr>
              <w:t>97,975</w:t>
            </w:r>
          </w:p>
        </w:tc>
        <w:tc>
          <w:tcPr>
            <w:tcW w:w="0" w:type="dxa"/>
            <w:vAlign w:val="bottom"/>
          </w:tcPr>
          <w:p>
            <w:pPr>
              <w:spacing w:after="0"/>
              <w:rPr>
                <w:sz w:val="1"/>
                <w:szCs w:val="1"/>
                <w:color w:val="auto"/>
              </w:rPr>
            </w:pPr>
          </w:p>
        </w:tc>
      </w:tr>
      <w:tr>
        <w:trPr>
          <w:trHeight w:val="162"/>
        </w:trPr>
        <w:tc>
          <w:tcPr>
            <w:tcW w:w="2280" w:type="dxa"/>
            <w:vAlign w:val="bottom"/>
            <w:tcBorders>
              <w:bottom w:val="single" w:sz="8" w:color="auto"/>
            </w:tcBorders>
            <w:shd w:val="clear" w:color="auto" w:fill="CCEEFF"/>
          </w:tcPr>
          <w:p>
            <w:pPr>
              <w:ind w:left="160"/>
              <w:spacing w:after="0" w:line="162" w:lineRule="exact"/>
              <w:rPr>
                <w:sz w:val="20"/>
                <w:szCs w:val="20"/>
                <w:color w:val="auto"/>
              </w:rPr>
            </w:pPr>
            <w:r>
              <w:rPr>
                <w:rFonts w:ascii="Arial" w:cs="Arial" w:eastAsia="Arial" w:hAnsi="Arial"/>
                <w:sz w:val="15"/>
                <w:szCs w:val="15"/>
                <w:color w:val="auto"/>
              </w:rPr>
              <w:t>Deferred</w:t>
            </w:r>
          </w:p>
        </w:tc>
        <w:tc>
          <w:tcPr>
            <w:tcW w:w="4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24"/>
              <w:spacing w:after="0" w:line="162" w:lineRule="exact"/>
              <w:rPr>
                <w:sz w:val="20"/>
                <w:szCs w:val="20"/>
                <w:color w:val="auto"/>
              </w:rPr>
            </w:pPr>
            <w:r>
              <w:rPr>
                <w:rFonts w:ascii="Arial" w:cs="Arial" w:eastAsia="Arial" w:hAnsi="Arial"/>
                <w:sz w:val="15"/>
                <w:szCs w:val="15"/>
                <w:b w:val="1"/>
                <w:bCs w:val="1"/>
                <w:color w:val="auto"/>
              </w:rPr>
              <w:t>69,599</w:t>
            </w: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(239,304)</w:t>
            </w:r>
          </w:p>
        </w:tc>
        <w:tc>
          <w:tcPr>
            <w:tcW w:w="2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68,899</w:t>
            </w:r>
          </w:p>
        </w:tc>
        <w:tc>
          <w:tcPr>
            <w:tcW w:w="0" w:type="dxa"/>
            <w:vAlign w:val="bottom"/>
          </w:tcPr>
          <w:p>
            <w:pPr>
              <w:spacing w:after="0"/>
              <w:rPr>
                <w:sz w:val="1"/>
                <w:szCs w:val="1"/>
                <w:color w:val="auto"/>
              </w:rPr>
            </w:pPr>
          </w:p>
        </w:tc>
      </w:tr>
      <w:tr>
        <w:trPr>
          <w:trHeight w:val="156"/>
        </w:trPr>
        <w:tc>
          <w:tcPr>
            <w:tcW w:w="2280" w:type="dxa"/>
            <w:vAlign w:val="bottom"/>
            <w:tcBorders>
              <w:bottom w:val="single" w:sz="8" w:color="auto"/>
            </w:tcBorders>
          </w:tcPr>
          <w:p>
            <w:pPr>
              <w:ind w:left="160"/>
              <w:spacing w:after="0" w:line="156" w:lineRule="exact"/>
              <w:rPr>
                <w:sz w:val="20"/>
                <w:szCs w:val="20"/>
                <w:color w:val="auto"/>
              </w:rPr>
            </w:pPr>
            <w:r>
              <w:rPr>
                <w:rFonts w:ascii="Arial" w:cs="Arial" w:eastAsia="Arial" w:hAnsi="Arial"/>
                <w:sz w:val="15"/>
                <w:szCs w:val="15"/>
                <w:color w:val="auto"/>
              </w:rPr>
              <w:t>Total federal income taxes</w:t>
            </w:r>
          </w:p>
        </w:tc>
        <w:tc>
          <w:tcPr>
            <w:tcW w:w="4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24"/>
              <w:spacing w:after="0" w:line="156" w:lineRule="exact"/>
              <w:rPr>
                <w:sz w:val="20"/>
                <w:szCs w:val="20"/>
                <w:color w:val="auto"/>
              </w:rPr>
            </w:pPr>
            <w:r>
              <w:rPr>
                <w:rFonts w:ascii="Arial" w:cs="Arial" w:eastAsia="Arial" w:hAnsi="Arial"/>
                <w:sz w:val="15"/>
                <w:szCs w:val="15"/>
                <w:b w:val="1"/>
                <w:bCs w:val="1"/>
                <w:color w:val="auto"/>
              </w:rPr>
              <w:t>84,884</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4"/>
              <w:spacing w:after="0" w:line="156" w:lineRule="exact"/>
              <w:rPr>
                <w:sz w:val="20"/>
                <w:szCs w:val="20"/>
                <w:color w:val="auto"/>
              </w:rPr>
            </w:pPr>
            <w:r>
              <w:rPr>
                <w:rFonts w:ascii="Arial" w:cs="Arial" w:eastAsia="Arial" w:hAnsi="Arial"/>
                <w:sz w:val="15"/>
                <w:szCs w:val="15"/>
                <w:color w:val="auto"/>
              </w:rPr>
              <w:t>(110,068)</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4"/>
              <w:spacing w:after="0" w:line="156" w:lineRule="exact"/>
              <w:rPr>
                <w:sz w:val="20"/>
                <w:szCs w:val="20"/>
                <w:color w:val="auto"/>
              </w:rPr>
            </w:pPr>
            <w:r>
              <w:rPr>
                <w:rFonts w:ascii="Arial" w:cs="Arial" w:eastAsia="Arial" w:hAnsi="Arial"/>
                <w:sz w:val="15"/>
                <w:szCs w:val="15"/>
                <w:color w:val="auto"/>
              </w:rPr>
              <w:t>166,874</w:t>
            </w: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State income taxes:</w:t>
            </w: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tcPr>
          <w:p>
            <w:pPr>
              <w:ind w:left="160"/>
              <w:spacing w:after="0" w:line="162" w:lineRule="exact"/>
              <w:rPr>
                <w:sz w:val="20"/>
                <w:szCs w:val="20"/>
                <w:color w:val="auto"/>
              </w:rPr>
            </w:pPr>
            <w:r>
              <w:rPr>
                <w:rFonts w:ascii="Arial" w:cs="Arial" w:eastAsia="Arial" w:hAnsi="Arial"/>
                <w:sz w:val="15"/>
                <w:szCs w:val="15"/>
                <w:color w:val="auto"/>
              </w:rPr>
              <w:t>Current</w:t>
            </w:r>
          </w:p>
        </w:tc>
        <w:tc>
          <w:tcPr>
            <w:tcW w:w="420" w:type="dxa"/>
            <w:vAlign w:val="bottom"/>
          </w:tcPr>
          <w:p>
            <w:pPr>
              <w:spacing w:after="0"/>
              <w:rPr>
                <w:sz w:val="14"/>
                <w:szCs w:val="14"/>
                <w:color w:val="auto"/>
              </w:rPr>
            </w:pPr>
          </w:p>
        </w:tc>
        <w:tc>
          <w:tcPr>
            <w:tcW w:w="800" w:type="dxa"/>
            <w:vAlign w:val="bottom"/>
          </w:tcPr>
          <w:p>
            <w:pPr>
              <w:jc w:val="right"/>
              <w:ind w:right="124"/>
              <w:spacing w:after="0" w:line="162" w:lineRule="exact"/>
              <w:rPr>
                <w:sz w:val="20"/>
                <w:szCs w:val="20"/>
                <w:color w:val="auto"/>
              </w:rPr>
            </w:pPr>
            <w:r>
              <w:rPr>
                <w:rFonts w:ascii="Arial" w:cs="Arial" w:eastAsia="Arial" w:hAnsi="Arial"/>
                <w:sz w:val="15"/>
                <w:szCs w:val="15"/>
                <w:b w:val="1"/>
                <w:bCs w:val="1"/>
                <w:color w:val="auto"/>
              </w:rPr>
              <w:t>5,986</w:t>
            </w:r>
          </w:p>
        </w:tc>
        <w:tc>
          <w:tcPr>
            <w:tcW w:w="280" w:type="dxa"/>
            <w:vAlign w:val="bottom"/>
          </w:tcPr>
          <w:p>
            <w:pPr>
              <w:spacing w:after="0"/>
              <w:rPr>
                <w:sz w:val="14"/>
                <w:szCs w:val="14"/>
                <w:color w:val="auto"/>
              </w:rPr>
            </w:pPr>
          </w:p>
        </w:tc>
        <w:tc>
          <w:tcPr>
            <w:tcW w:w="840" w:type="dxa"/>
            <w:vAlign w:val="bottom"/>
          </w:tcPr>
          <w:p>
            <w:pPr>
              <w:jc w:val="right"/>
              <w:ind w:right="124"/>
              <w:spacing w:after="0" w:line="162" w:lineRule="exact"/>
              <w:rPr>
                <w:sz w:val="20"/>
                <w:szCs w:val="20"/>
                <w:color w:val="auto"/>
              </w:rPr>
            </w:pPr>
            <w:r>
              <w:rPr>
                <w:rFonts w:ascii="Arial" w:cs="Arial" w:eastAsia="Arial" w:hAnsi="Arial"/>
                <w:sz w:val="15"/>
                <w:szCs w:val="15"/>
                <w:color w:val="auto"/>
              </w:rPr>
              <w:t>14,843</w:t>
            </w:r>
          </w:p>
        </w:tc>
        <w:tc>
          <w:tcPr>
            <w:tcW w:w="280" w:type="dxa"/>
            <w:vAlign w:val="bottom"/>
          </w:tcPr>
          <w:p>
            <w:pPr>
              <w:spacing w:after="0"/>
              <w:rPr>
                <w:sz w:val="14"/>
                <w:szCs w:val="14"/>
                <w:color w:val="auto"/>
              </w:rPr>
            </w:pPr>
          </w:p>
        </w:tc>
        <w:tc>
          <w:tcPr>
            <w:tcW w:w="700" w:type="dxa"/>
            <w:vAlign w:val="bottom"/>
          </w:tcPr>
          <w:p>
            <w:pPr>
              <w:jc w:val="right"/>
              <w:ind w:right="24"/>
              <w:spacing w:after="0" w:line="162" w:lineRule="exact"/>
              <w:rPr>
                <w:sz w:val="20"/>
                <w:szCs w:val="20"/>
                <w:color w:val="auto"/>
              </w:rPr>
            </w:pPr>
            <w:r>
              <w:rPr>
                <w:rFonts w:ascii="Arial" w:cs="Arial" w:eastAsia="Arial" w:hAnsi="Arial"/>
                <w:sz w:val="15"/>
                <w:szCs w:val="15"/>
                <w:color w:val="auto"/>
              </w:rPr>
              <w:t>15,189</w:t>
            </w:r>
          </w:p>
        </w:tc>
        <w:tc>
          <w:tcPr>
            <w:tcW w:w="0" w:type="dxa"/>
            <w:vAlign w:val="bottom"/>
          </w:tcPr>
          <w:p>
            <w:pPr>
              <w:spacing w:after="0"/>
              <w:rPr>
                <w:sz w:val="1"/>
                <w:szCs w:val="1"/>
                <w:color w:val="auto"/>
              </w:rPr>
            </w:pPr>
          </w:p>
        </w:tc>
      </w:tr>
      <w:tr>
        <w:trPr>
          <w:trHeight w:val="162"/>
        </w:trPr>
        <w:tc>
          <w:tcPr>
            <w:tcW w:w="2280" w:type="dxa"/>
            <w:vAlign w:val="bottom"/>
            <w:tcBorders>
              <w:bottom w:val="single" w:sz="8" w:color="auto"/>
            </w:tcBorders>
            <w:shd w:val="clear" w:color="auto" w:fill="CCEEFF"/>
          </w:tcPr>
          <w:p>
            <w:pPr>
              <w:ind w:left="160"/>
              <w:spacing w:after="0" w:line="162" w:lineRule="exact"/>
              <w:rPr>
                <w:sz w:val="20"/>
                <w:szCs w:val="20"/>
                <w:color w:val="auto"/>
              </w:rPr>
            </w:pPr>
            <w:r>
              <w:rPr>
                <w:rFonts w:ascii="Arial" w:cs="Arial" w:eastAsia="Arial" w:hAnsi="Arial"/>
                <w:sz w:val="15"/>
                <w:szCs w:val="15"/>
                <w:color w:val="auto"/>
              </w:rPr>
              <w:t>Deferred</w:t>
            </w:r>
          </w:p>
        </w:tc>
        <w:tc>
          <w:tcPr>
            <w:tcW w:w="4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24"/>
              <w:spacing w:after="0" w:line="162" w:lineRule="exact"/>
              <w:rPr>
                <w:sz w:val="20"/>
                <w:szCs w:val="20"/>
                <w:color w:val="auto"/>
              </w:rPr>
            </w:pPr>
            <w:r>
              <w:rPr>
                <w:rFonts w:ascii="Arial" w:cs="Arial" w:eastAsia="Arial" w:hAnsi="Arial"/>
                <w:sz w:val="15"/>
                <w:szCs w:val="15"/>
                <w:b w:val="1"/>
                <w:bCs w:val="1"/>
                <w:color w:val="auto"/>
              </w:rPr>
              <w:t>14,134</w:t>
            </w: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(882)</w:t>
            </w:r>
          </w:p>
        </w:tc>
        <w:tc>
          <w:tcPr>
            <w:tcW w:w="2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(1,149)</w:t>
            </w:r>
          </w:p>
        </w:tc>
        <w:tc>
          <w:tcPr>
            <w:tcW w:w="0" w:type="dxa"/>
            <w:vAlign w:val="bottom"/>
          </w:tcPr>
          <w:p>
            <w:pPr>
              <w:spacing w:after="0"/>
              <w:rPr>
                <w:sz w:val="1"/>
                <w:szCs w:val="1"/>
                <w:color w:val="auto"/>
              </w:rPr>
            </w:pPr>
          </w:p>
        </w:tc>
      </w:tr>
      <w:tr>
        <w:trPr>
          <w:trHeight w:val="156"/>
        </w:trPr>
        <w:tc>
          <w:tcPr>
            <w:tcW w:w="2280" w:type="dxa"/>
            <w:vAlign w:val="bottom"/>
            <w:tcBorders>
              <w:bottom w:val="single" w:sz="8" w:color="auto"/>
            </w:tcBorders>
          </w:tcPr>
          <w:p>
            <w:pPr>
              <w:ind w:left="160"/>
              <w:spacing w:after="0" w:line="156" w:lineRule="exact"/>
              <w:rPr>
                <w:sz w:val="20"/>
                <w:szCs w:val="20"/>
                <w:color w:val="auto"/>
              </w:rPr>
            </w:pPr>
            <w:r>
              <w:rPr>
                <w:rFonts w:ascii="Arial" w:cs="Arial" w:eastAsia="Arial" w:hAnsi="Arial"/>
                <w:sz w:val="15"/>
                <w:szCs w:val="15"/>
                <w:color w:val="auto"/>
              </w:rPr>
              <w:t>Total state income taxes</w:t>
            </w:r>
          </w:p>
        </w:tc>
        <w:tc>
          <w:tcPr>
            <w:tcW w:w="4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24"/>
              <w:spacing w:after="0" w:line="156" w:lineRule="exact"/>
              <w:rPr>
                <w:sz w:val="20"/>
                <w:szCs w:val="20"/>
                <w:color w:val="auto"/>
              </w:rPr>
            </w:pPr>
            <w:r>
              <w:rPr>
                <w:rFonts w:ascii="Arial" w:cs="Arial" w:eastAsia="Arial" w:hAnsi="Arial"/>
                <w:sz w:val="15"/>
                <w:szCs w:val="15"/>
                <w:b w:val="1"/>
                <w:bCs w:val="1"/>
                <w:color w:val="auto"/>
              </w:rPr>
              <w:t>20,120</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4"/>
              <w:spacing w:after="0" w:line="156" w:lineRule="exact"/>
              <w:rPr>
                <w:sz w:val="20"/>
                <w:szCs w:val="20"/>
                <w:color w:val="auto"/>
              </w:rPr>
            </w:pPr>
            <w:r>
              <w:rPr>
                <w:rFonts w:ascii="Arial" w:cs="Arial" w:eastAsia="Arial" w:hAnsi="Arial"/>
                <w:sz w:val="15"/>
                <w:szCs w:val="15"/>
                <w:color w:val="auto"/>
              </w:rPr>
              <w:t>13,961</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4"/>
              <w:spacing w:after="0" w:line="156" w:lineRule="exact"/>
              <w:rPr>
                <w:sz w:val="20"/>
                <w:szCs w:val="20"/>
                <w:color w:val="auto"/>
              </w:rPr>
            </w:pPr>
            <w:r>
              <w:rPr>
                <w:rFonts w:ascii="Arial" w:cs="Arial" w:eastAsia="Arial" w:hAnsi="Arial"/>
                <w:sz w:val="15"/>
                <w:szCs w:val="15"/>
                <w:color w:val="auto"/>
              </w:rPr>
              <w:t>14,040</w:t>
            </w: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Foreign income taxes:</w:t>
            </w: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tcPr>
          <w:p>
            <w:pPr>
              <w:ind w:left="160"/>
              <w:spacing w:after="0" w:line="162" w:lineRule="exact"/>
              <w:rPr>
                <w:sz w:val="20"/>
                <w:szCs w:val="20"/>
                <w:color w:val="auto"/>
              </w:rPr>
            </w:pPr>
            <w:r>
              <w:rPr>
                <w:rFonts w:ascii="Arial" w:cs="Arial" w:eastAsia="Arial" w:hAnsi="Arial"/>
                <w:sz w:val="15"/>
                <w:szCs w:val="15"/>
                <w:color w:val="auto"/>
              </w:rPr>
              <w:t>Current</w:t>
            </w:r>
          </w:p>
        </w:tc>
        <w:tc>
          <w:tcPr>
            <w:tcW w:w="420" w:type="dxa"/>
            <w:vAlign w:val="bottom"/>
          </w:tcPr>
          <w:p>
            <w:pPr>
              <w:spacing w:after="0"/>
              <w:rPr>
                <w:sz w:val="14"/>
                <w:szCs w:val="14"/>
                <w:color w:val="auto"/>
              </w:rPr>
            </w:pPr>
          </w:p>
        </w:tc>
        <w:tc>
          <w:tcPr>
            <w:tcW w:w="80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(1,354)</w:t>
            </w:r>
          </w:p>
        </w:tc>
        <w:tc>
          <w:tcPr>
            <w:tcW w:w="280" w:type="dxa"/>
            <w:vAlign w:val="bottom"/>
          </w:tcPr>
          <w:p>
            <w:pPr>
              <w:spacing w:after="0"/>
              <w:rPr>
                <w:sz w:val="14"/>
                <w:szCs w:val="14"/>
                <w:color w:val="auto"/>
              </w:rPr>
            </w:pPr>
          </w:p>
        </w:tc>
        <w:tc>
          <w:tcPr>
            <w:tcW w:w="840" w:type="dxa"/>
            <w:vAlign w:val="bottom"/>
          </w:tcPr>
          <w:p>
            <w:pPr>
              <w:jc w:val="right"/>
              <w:ind w:right="124"/>
              <w:spacing w:after="0" w:line="162" w:lineRule="exact"/>
              <w:rPr>
                <w:sz w:val="20"/>
                <w:szCs w:val="20"/>
                <w:color w:val="auto"/>
              </w:rPr>
            </w:pPr>
            <w:r>
              <w:rPr>
                <w:rFonts w:ascii="Arial" w:cs="Arial" w:eastAsia="Arial" w:hAnsi="Arial"/>
                <w:sz w:val="15"/>
                <w:szCs w:val="15"/>
                <w:color w:val="auto"/>
              </w:rPr>
              <w:t>1,175</w:t>
            </w:r>
          </w:p>
        </w:tc>
        <w:tc>
          <w:tcPr>
            <w:tcW w:w="280" w:type="dxa"/>
            <w:vAlign w:val="bottom"/>
          </w:tcPr>
          <w:p>
            <w:pPr>
              <w:spacing w:after="0"/>
              <w:rPr>
                <w:sz w:val="14"/>
                <w:szCs w:val="14"/>
                <w:color w:val="auto"/>
              </w:rPr>
            </w:pPr>
          </w:p>
        </w:tc>
        <w:tc>
          <w:tcPr>
            <w:tcW w:w="700" w:type="dxa"/>
            <w:vAlign w:val="bottom"/>
          </w:tcPr>
          <w:p>
            <w:pPr>
              <w:jc w:val="right"/>
              <w:ind w:right="24"/>
              <w:spacing w:after="0" w:line="162" w:lineRule="exact"/>
              <w:rPr>
                <w:sz w:val="20"/>
                <w:szCs w:val="20"/>
                <w:color w:val="auto"/>
              </w:rPr>
            </w:pPr>
            <w:r>
              <w:rPr>
                <w:rFonts w:ascii="Arial" w:cs="Arial" w:eastAsia="Arial" w:hAnsi="Arial"/>
                <w:sz w:val="15"/>
                <w:szCs w:val="15"/>
                <w:color w:val="auto"/>
              </w:rPr>
              <w:t>1,064</w:t>
            </w:r>
          </w:p>
        </w:tc>
        <w:tc>
          <w:tcPr>
            <w:tcW w:w="0" w:type="dxa"/>
            <w:vAlign w:val="bottom"/>
          </w:tcPr>
          <w:p>
            <w:pPr>
              <w:spacing w:after="0"/>
              <w:rPr>
                <w:sz w:val="1"/>
                <w:szCs w:val="1"/>
                <w:color w:val="auto"/>
              </w:rPr>
            </w:pPr>
          </w:p>
        </w:tc>
      </w:tr>
      <w:tr>
        <w:trPr>
          <w:trHeight w:val="162"/>
        </w:trPr>
        <w:tc>
          <w:tcPr>
            <w:tcW w:w="2280" w:type="dxa"/>
            <w:vAlign w:val="bottom"/>
            <w:tcBorders>
              <w:bottom w:val="single" w:sz="8" w:color="auto"/>
            </w:tcBorders>
            <w:shd w:val="clear" w:color="auto" w:fill="CCEEFF"/>
          </w:tcPr>
          <w:p>
            <w:pPr>
              <w:ind w:left="160"/>
              <w:spacing w:after="0" w:line="162" w:lineRule="exact"/>
              <w:rPr>
                <w:sz w:val="20"/>
                <w:szCs w:val="20"/>
                <w:color w:val="auto"/>
              </w:rPr>
            </w:pPr>
            <w:r>
              <w:rPr>
                <w:rFonts w:ascii="Arial" w:cs="Arial" w:eastAsia="Arial" w:hAnsi="Arial"/>
                <w:sz w:val="15"/>
                <w:szCs w:val="15"/>
                <w:color w:val="auto"/>
              </w:rPr>
              <w:t>Deferred</w:t>
            </w:r>
          </w:p>
        </w:tc>
        <w:tc>
          <w:tcPr>
            <w:tcW w:w="4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24"/>
              <w:spacing w:after="0" w:line="162" w:lineRule="exact"/>
              <w:rPr>
                <w:sz w:val="20"/>
                <w:szCs w:val="20"/>
                <w:color w:val="auto"/>
              </w:rPr>
            </w:pPr>
            <w:r>
              <w:rPr>
                <w:rFonts w:ascii="Arial" w:cs="Arial" w:eastAsia="Arial" w:hAnsi="Arial"/>
                <w:sz w:val="15"/>
                <w:szCs w:val="15"/>
                <w:b w:val="1"/>
                <w:bCs w:val="1"/>
                <w:color w:val="auto"/>
              </w:rPr>
              <w:t>2,055</w:t>
            </w: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rPr>
              <w:t>475</w:t>
            </w:r>
          </w:p>
        </w:tc>
        <w:tc>
          <w:tcPr>
            <w:tcW w:w="2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(394)</w:t>
            </w:r>
          </w:p>
        </w:tc>
        <w:tc>
          <w:tcPr>
            <w:tcW w:w="0" w:type="dxa"/>
            <w:vAlign w:val="bottom"/>
          </w:tcPr>
          <w:p>
            <w:pPr>
              <w:spacing w:after="0"/>
              <w:rPr>
                <w:sz w:val="1"/>
                <w:szCs w:val="1"/>
                <w:color w:val="auto"/>
              </w:rPr>
            </w:pPr>
          </w:p>
        </w:tc>
      </w:tr>
      <w:tr>
        <w:trPr>
          <w:trHeight w:val="156"/>
        </w:trPr>
        <w:tc>
          <w:tcPr>
            <w:tcW w:w="2280" w:type="dxa"/>
            <w:vAlign w:val="bottom"/>
            <w:tcBorders>
              <w:bottom w:val="single" w:sz="8" w:color="auto"/>
            </w:tcBorders>
          </w:tcPr>
          <w:p>
            <w:pPr>
              <w:ind w:left="160"/>
              <w:spacing w:after="0" w:line="156" w:lineRule="exact"/>
              <w:rPr>
                <w:sz w:val="20"/>
                <w:szCs w:val="20"/>
                <w:color w:val="auto"/>
              </w:rPr>
            </w:pPr>
            <w:r>
              <w:rPr>
                <w:rFonts w:ascii="Arial" w:cs="Arial" w:eastAsia="Arial" w:hAnsi="Arial"/>
                <w:sz w:val="15"/>
                <w:szCs w:val="15"/>
                <w:color w:val="auto"/>
              </w:rPr>
              <w:t>Total foreign income taxes</w:t>
            </w:r>
          </w:p>
        </w:tc>
        <w:tc>
          <w:tcPr>
            <w:tcW w:w="4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24"/>
              <w:spacing w:after="0" w:line="156" w:lineRule="exact"/>
              <w:rPr>
                <w:sz w:val="20"/>
                <w:szCs w:val="20"/>
                <w:color w:val="auto"/>
              </w:rPr>
            </w:pPr>
            <w:r>
              <w:rPr>
                <w:rFonts w:ascii="Arial" w:cs="Arial" w:eastAsia="Arial" w:hAnsi="Arial"/>
                <w:sz w:val="15"/>
                <w:szCs w:val="15"/>
                <w:b w:val="1"/>
                <w:bCs w:val="1"/>
                <w:color w:val="auto"/>
              </w:rPr>
              <w:t>701</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4"/>
              <w:spacing w:after="0" w:line="156" w:lineRule="exact"/>
              <w:rPr>
                <w:sz w:val="20"/>
                <w:szCs w:val="20"/>
                <w:color w:val="auto"/>
              </w:rPr>
            </w:pPr>
            <w:r>
              <w:rPr>
                <w:rFonts w:ascii="Arial" w:cs="Arial" w:eastAsia="Arial" w:hAnsi="Arial"/>
                <w:sz w:val="15"/>
                <w:szCs w:val="15"/>
                <w:color w:val="auto"/>
              </w:rPr>
              <w:t>1,650</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4"/>
              <w:spacing w:after="0" w:line="156" w:lineRule="exact"/>
              <w:rPr>
                <w:sz w:val="20"/>
                <w:szCs w:val="20"/>
                <w:color w:val="auto"/>
              </w:rPr>
            </w:pPr>
            <w:r>
              <w:rPr>
                <w:rFonts w:ascii="Arial" w:cs="Arial" w:eastAsia="Arial" w:hAnsi="Arial"/>
                <w:sz w:val="15"/>
                <w:szCs w:val="15"/>
                <w:color w:val="auto"/>
              </w:rPr>
              <w:t>670</w:t>
            </w:r>
          </w:p>
        </w:tc>
        <w:tc>
          <w:tcPr>
            <w:tcW w:w="0" w:type="dxa"/>
            <w:vAlign w:val="bottom"/>
          </w:tcPr>
          <w:p>
            <w:pPr>
              <w:spacing w:after="0"/>
              <w:rPr>
                <w:sz w:val="1"/>
                <w:szCs w:val="1"/>
                <w:color w:val="auto"/>
              </w:rPr>
            </w:pPr>
          </w:p>
        </w:tc>
      </w:tr>
      <w:tr>
        <w:trPr>
          <w:trHeight w:val="163"/>
        </w:trPr>
        <w:tc>
          <w:tcPr>
            <w:tcW w:w="22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Income tax expense (benefit)</w:t>
            </w:r>
          </w:p>
        </w:tc>
        <w:tc>
          <w:tcPr>
            <w:tcW w:w="4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shd w:val="clear" w:color="auto" w:fill="CCEEFF"/>
          </w:tcPr>
          <w:p>
            <w:pPr>
              <w:jc w:val="right"/>
              <w:ind w:right="124"/>
              <w:spacing w:after="0" w:line="156" w:lineRule="exact"/>
              <w:rPr>
                <w:sz w:val="20"/>
                <w:szCs w:val="20"/>
                <w:color w:val="auto"/>
              </w:rPr>
            </w:pPr>
            <w:r>
              <w:rPr>
                <w:rFonts w:ascii="Arial" w:cs="Arial" w:eastAsia="Arial" w:hAnsi="Arial"/>
                <w:sz w:val="15"/>
                <w:szCs w:val="15"/>
                <w:b w:val="1"/>
                <w:bCs w:val="1"/>
                <w:color w:val="auto"/>
              </w:rPr>
              <w:t>105,705</w:t>
            </w:r>
          </w:p>
        </w:tc>
        <w:tc>
          <w:tcPr>
            <w:tcW w:w="2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ind w:right="124"/>
              <w:spacing w:after="0" w:line="156" w:lineRule="exact"/>
              <w:rPr>
                <w:sz w:val="20"/>
                <w:szCs w:val="20"/>
                <w:color w:val="auto"/>
              </w:rPr>
            </w:pPr>
            <w:r>
              <w:rPr>
                <w:rFonts w:ascii="Arial" w:cs="Arial" w:eastAsia="Arial" w:hAnsi="Arial"/>
                <w:sz w:val="15"/>
                <w:szCs w:val="15"/>
                <w:color w:val="auto"/>
              </w:rPr>
              <w:t>(94,457)</w:t>
            </w:r>
          </w:p>
        </w:tc>
        <w:tc>
          <w:tcPr>
            <w:tcW w:w="2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rPr>
              <w:t>181,584</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On December 22, 2017, the U.S. government enacted the Tax Cuts and Jobs Act of 2017 (the “2017 Tax Act”). The 2017 Tax Act included provisions that lowered the federal statutory corporate income tax rate from 35% to 21% beginning in 2018, imposed a one-time transition tax on mandatory deemed repatriation of undistributed net earnings and changed how foreign earnings are subject to U.S. tax. U.S. GAAP generally requires the effects of a tax law change to be recorded as a component of income tax expense in the period of enactment. However, the SEC staff issued Staff Accounting Bulletin No. 118 (SAB 118), which allowed companies to record provisional amounts during a measurement period of up to one year from enactment where the necessary information was not available to complete the accounting for certain income tax effects of the 2017 Tax Act.</w:t>
      </w:r>
    </w:p>
    <w:p>
      <w:pPr>
        <w:spacing w:after="0" w:line="207"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Company recognized, on a provisional basis, a net tax benefit of $258,103,000 related to the 2017 Tax Act for the remeasurement of deferred tax assets and liabilities in its consolidated financial statements for the year ended December 31, 2017. In accordance with the provisions of SAB 118, the Company completed the accounting for the impact of the 2017 Tax Act during the year ended December 31, 2018, and as a result recognized income tax expense of $1,147,000 for the transition tax on</w:t>
      </w:r>
    </w:p>
    <w:p>
      <w:pPr>
        <w:spacing w:after="0" w:line="485"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27</w:t>
      </w:r>
    </w:p>
    <w:p>
      <w:pPr>
        <w:sectPr>
          <w:pgSz w:w="11900" w:h="16838" w:orient="portrait"/>
          <w:cols w:equalWidth="0" w:num="1">
            <w:col w:w="11420"/>
          </w:cols>
          <w:pgMar w:left="240" w:top="265" w:right="239" w:bottom="1440" w:gutter="0" w:footer="0" w:header="0"/>
          <w:type w:val="continuous"/>
        </w:sectPr>
      </w:pPr>
    </w:p>
    <w:bookmarkStart w:id="66" w:name="page67"/>
    <w:bookmarkEnd w:id="66"/>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mandatory deemed repatriation of undistributed foreign earnings; income tax expense of $1,481,000 for the write off of deferred tax assets that will not be realized due to changes in the deductibility of executive compensation; and an income tax benefit of $21,514,000 primarily related to the accelerated deductions for pension funding, inventory and insurance prepayments that were claimed on the Company’s 2017 income tax returns.</w:t>
      </w:r>
    </w:p>
    <w:p>
      <w:pPr>
        <w:spacing w:after="0" w:line="20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Effective January 1, 2018, global intangible low-taxed income (GILTI) earned by controlled foreign corporations must be included in the income of the U.S. shareholder. Under U.S. GAAP, an accounting policy choice is required to either (1) treat taxes due on future U.S. inclusions related to GILTI as a current period expense when incurred or (2) factor such amounts into a company’s measurement of its deferred taxes. The Company has elected to treat GILTI as a current period expense.</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7"/>
          <w:szCs w:val="17"/>
          <w:color w:val="auto"/>
        </w:rPr>
        <w:t>For the years ended December 31, 2018 and 2016, the benefit related to the utilization of federal net operating loss (NOL) carryforwards, reflected in current tax expense, was $5,794,000 and $11,852,000, respectively.</w:t>
      </w:r>
    </w:p>
    <w:p>
      <w:pPr>
        <w:spacing w:after="0" w:line="38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For the year ended December 31, 2016, excess tax benefits attributable to stock-based compensation transactions that were recorded to shareholders’ equity amounted to $6,792,000.</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For the years ended December 31, 2018, 2017 and 2016, foreign pretax earnings were $5,718,000, $10,566,000 and $3,865,000,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Company’s effective income tax rate varied from the statutory</w:t>
      </w:r>
    </w:p>
    <w:p>
      <w:pPr>
        <w:spacing w:after="0"/>
        <w:rPr>
          <w:sz w:val="20"/>
          <w:szCs w:val="20"/>
          <w:color w:val="auto"/>
        </w:rPr>
      </w:pPr>
      <w:r>
        <w:rPr>
          <w:rFonts w:ascii="Arial" w:cs="Arial" w:eastAsia="Arial" w:hAnsi="Arial"/>
          <w:sz w:val="17"/>
          <w:szCs w:val="17"/>
          <w:color w:val="auto"/>
        </w:rPr>
        <w:t>United States income tax rate because of the following tax differences: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years ended December 31</w:t>
            </w:r>
          </w:p>
        </w:tc>
        <w:tc>
          <w:tcPr>
            <w:tcW w:w="102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0085CD"/>
              </w:rPr>
              <w:t>2018</w:t>
            </w:r>
          </w:p>
        </w:tc>
        <w:tc>
          <w:tcPr>
            <w:tcW w:w="8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2017</w:t>
            </w:r>
          </w:p>
        </w:tc>
        <w:tc>
          <w:tcPr>
            <w:tcW w:w="6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292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Statutory income tax rate</w:t>
            </w:r>
          </w:p>
        </w:tc>
        <w:tc>
          <w:tcPr>
            <w:tcW w:w="1020" w:type="dxa"/>
            <w:vAlign w:val="bottom"/>
            <w:shd w:val="clear" w:color="auto" w:fill="CCEEFF"/>
          </w:tcPr>
          <w:p>
            <w:pPr>
              <w:jc w:val="right"/>
              <w:ind w:right="103"/>
              <w:spacing w:after="0" w:line="156" w:lineRule="exact"/>
              <w:rPr>
                <w:sz w:val="20"/>
                <w:szCs w:val="20"/>
                <w:color w:val="auto"/>
              </w:rPr>
            </w:pPr>
            <w:r>
              <w:rPr>
                <w:rFonts w:ascii="Arial" w:cs="Arial" w:eastAsia="Arial" w:hAnsi="Arial"/>
                <w:sz w:val="15"/>
                <w:szCs w:val="15"/>
                <w:b w:val="1"/>
                <w:bCs w:val="1"/>
                <w:color w:val="auto"/>
              </w:rPr>
              <w:t>21.0%</w:t>
            </w:r>
          </w:p>
        </w:tc>
        <w:tc>
          <w:tcPr>
            <w:tcW w:w="860" w:type="dxa"/>
            <w:vAlign w:val="bottom"/>
            <w:shd w:val="clear" w:color="auto" w:fill="CCEEFF"/>
          </w:tcPr>
          <w:p>
            <w:pPr>
              <w:jc w:val="right"/>
              <w:ind w:right="143"/>
              <w:spacing w:after="0" w:line="156" w:lineRule="exact"/>
              <w:rPr>
                <w:sz w:val="20"/>
                <w:szCs w:val="20"/>
                <w:color w:val="auto"/>
              </w:rPr>
            </w:pPr>
            <w:r>
              <w:rPr>
                <w:rFonts w:ascii="Arial" w:cs="Arial" w:eastAsia="Arial" w:hAnsi="Arial"/>
                <w:sz w:val="15"/>
                <w:szCs w:val="15"/>
                <w:color w:val="auto"/>
              </w:rPr>
              <w:t>35.0%</w:t>
            </w:r>
          </w:p>
        </w:tc>
        <w:tc>
          <w:tcPr>
            <w:tcW w:w="6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35.0%</w:t>
            </w:r>
          </w:p>
        </w:tc>
        <w:tc>
          <w:tcPr>
            <w:tcW w:w="0" w:type="dxa"/>
            <w:vAlign w:val="bottom"/>
          </w:tcPr>
          <w:p>
            <w:pPr>
              <w:spacing w:after="0"/>
              <w:rPr>
                <w:sz w:val="1"/>
                <w:szCs w:val="1"/>
                <w:color w:val="auto"/>
              </w:rPr>
            </w:pPr>
          </w:p>
        </w:tc>
      </w:tr>
      <w:tr>
        <w:trPr>
          <w:trHeight w:val="162"/>
        </w:trPr>
        <w:tc>
          <w:tcPr>
            <w:tcW w:w="2920" w:type="dxa"/>
            <w:vAlign w:val="bottom"/>
          </w:tcPr>
          <w:p>
            <w:pPr>
              <w:ind w:left="20"/>
              <w:spacing w:after="0" w:line="162" w:lineRule="exact"/>
              <w:rPr>
                <w:sz w:val="20"/>
                <w:szCs w:val="20"/>
                <w:color w:val="auto"/>
              </w:rPr>
            </w:pPr>
            <w:r>
              <w:rPr>
                <w:rFonts w:ascii="Arial" w:cs="Arial" w:eastAsia="Arial" w:hAnsi="Arial"/>
                <w:sz w:val="15"/>
                <w:szCs w:val="15"/>
                <w:color w:val="auto"/>
              </w:rPr>
              <w:t>(Reduction) increase resulting from:</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Impact from 2017 Tax Act</w:t>
            </w:r>
          </w:p>
        </w:tc>
        <w:tc>
          <w:tcPr>
            <w:tcW w:w="1020" w:type="dxa"/>
            <w:vAlign w:val="bottom"/>
            <w:shd w:val="clear" w:color="auto" w:fill="CCEEFF"/>
          </w:tcPr>
          <w:p>
            <w:pPr>
              <w:jc w:val="right"/>
              <w:ind w:right="183"/>
              <w:spacing w:after="0" w:line="162" w:lineRule="exact"/>
              <w:rPr>
                <w:sz w:val="20"/>
                <w:szCs w:val="20"/>
                <w:color w:val="auto"/>
              </w:rPr>
            </w:pPr>
            <w:r>
              <w:rPr>
                <w:rFonts w:ascii="Arial" w:cs="Arial" w:eastAsia="Arial" w:hAnsi="Arial"/>
                <w:sz w:val="15"/>
                <w:szCs w:val="15"/>
                <w:b w:val="1"/>
                <w:bCs w:val="1"/>
                <w:color w:val="auto"/>
              </w:rPr>
              <w:t>(3.3)</w:t>
            </w:r>
          </w:p>
        </w:tc>
        <w:tc>
          <w:tcPr>
            <w:tcW w:w="860" w:type="dxa"/>
            <w:vAlign w:val="bottom"/>
            <w:shd w:val="clear" w:color="auto" w:fill="CCEEFF"/>
          </w:tcPr>
          <w:p>
            <w:pPr>
              <w:jc w:val="right"/>
              <w:ind w:right="223"/>
              <w:spacing w:after="0" w:line="162" w:lineRule="exact"/>
              <w:rPr>
                <w:sz w:val="20"/>
                <w:szCs w:val="20"/>
                <w:color w:val="auto"/>
              </w:rPr>
            </w:pPr>
            <w:r>
              <w:rPr>
                <w:rFonts w:ascii="Arial" w:cs="Arial" w:eastAsia="Arial" w:hAnsi="Arial"/>
                <w:sz w:val="15"/>
                <w:szCs w:val="15"/>
                <w:color w:val="auto"/>
              </w:rPr>
              <w:t>(41.7)</w:t>
            </w:r>
          </w:p>
        </w:tc>
        <w:tc>
          <w:tcPr>
            <w:tcW w:w="68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920" w:type="dxa"/>
            <w:vAlign w:val="bottom"/>
          </w:tcPr>
          <w:p>
            <w:pPr>
              <w:ind w:left="20"/>
              <w:spacing w:after="0" w:line="162" w:lineRule="exact"/>
              <w:rPr>
                <w:sz w:val="20"/>
                <w:szCs w:val="20"/>
                <w:color w:val="auto"/>
              </w:rPr>
            </w:pPr>
            <w:r>
              <w:rPr>
                <w:rFonts w:ascii="Arial" w:cs="Arial" w:eastAsia="Arial" w:hAnsi="Arial"/>
                <w:sz w:val="15"/>
                <w:szCs w:val="15"/>
                <w:color w:val="auto"/>
              </w:rPr>
              <w:t>Effect of statutory depletion</w:t>
            </w:r>
          </w:p>
        </w:tc>
        <w:tc>
          <w:tcPr>
            <w:tcW w:w="1020" w:type="dxa"/>
            <w:vAlign w:val="bottom"/>
          </w:tcPr>
          <w:p>
            <w:pPr>
              <w:jc w:val="right"/>
              <w:ind w:right="183"/>
              <w:spacing w:after="0" w:line="162" w:lineRule="exact"/>
              <w:rPr>
                <w:sz w:val="20"/>
                <w:szCs w:val="20"/>
                <w:color w:val="auto"/>
              </w:rPr>
            </w:pPr>
            <w:r>
              <w:rPr>
                <w:rFonts w:ascii="Arial" w:cs="Arial" w:eastAsia="Arial" w:hAnsi="Arial"/>
                <w:sz w:val="15"/>
                <w:szCs w:val="15"/>
                <w:b w:val="1"/>
                <w:bCs w:val="1"/>
                <w:color w:val="auto"/>
              </w:rPr>
              <w:t>(3.4)</w:t>
            </w:r>
          </w:p>
        </w:tc>
        <w:tc>
          <w:tcPr>
            <w:tcW w:w="860" w:type="dxa"/>
            <w:vAlign w:val="bottom"/>
          </w:tcPr>
          <w:p>
            <w:pPr>
              <w:jc w:val="right"/>
              <w:ind w:right="223"/>
              <w:spacing w:after="0" w:line="162" w:lineRule="exact"/>
              <w:rPr>
                <w:sz w:val="20"/>
                <w:szCs w:val="20"/>
                <w:color w:val="auto"/>
              </w:rPr>
            </w:pPr>
            <w:r>
              <w:rPr>
                <w:rFonts w:ascii="Arial" w:cs="Arial" w:eastAsia="Arial" w:hAnsi="Arial"/>
                <w:sz w:val="15"/>
                <w:szCs w:val="15"/>
                <w:color w:val="auto"/>
              </w:rPr>
              <w:t>(5.6)</w:t>
            </w:r>
          </w:p>
        </w:tc>
        <w:tc>
          <w:tcPr>
            <w:tcW w:w="680" w:type="dxa"/>
            <w:vAlign w:val="bottom"/>
          </w:tcPr>
          <w:p>
            <w:pPr>
              <w:jc w:val="right"/>
              <w:ind w:right="63"/>
              <w:spacing w:after="0" w:line="162" w:lineRule="exact"/>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59"/>
        </w:trPr>
        <w:tc>
          <w:tcPr>
            <w:tcW w:w="292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rPr>
              <w:t>State income taxes, net of federal tax</w:t>
            </w:r>
          </w:p>
        </w:tc>
        <w:tc>
          <w:tcPr>
            <w:tcW w:w="1020" w:type="dxa"/>
            <w:vAlign w:val="bottom"/>
            <w:vMerge w:val="restart"/>
            <w:shd w:val="clear" w:color="auto" w:fill="CCEEFF"/>
          </w:tcPr>
          <w:p>
            <w:pPr>
              <w:jc w:val="right"/>
              <w:ind w:right="223"/>
              <w:spacing w:after="0"/>
              <w:rPr>
                <w:sz w:val="20"/>
                <w:szCs w:val="20"/>
                <w:color w:val="auto"/>
              </w:rPr>
            </w:pPr>
            <w:r>
              <w:rPr>
                <w:rFonts w:ascii="Arial" w:cs="Arial" w:eastAsia="Arial" w:hAnsi="Arial"/>
                <w:sz w:val="15"/>
                <w:szCs w:val="15"/>
                <w:b w:val="1"/>
                <w:bCs w:val="1"/>
                <w:color w:val="auto"/>
              </w:rPr>
              <w:t>2.8</w:t>
            </w:r>
          </w:p>
        </w:tc>
        <w:tc>
          <w:tcPr>
            <w:tcW w:w="8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20" w:type="dxa"/>
            <w:vAlign w:val="bottom"/>
            <w:shd w:val="clear" w:color="auto" w:fill="CCEEFF"/>
          </w:tcPr>
          <w:p>
            <w:pPr>
              <w:ind w:left="160"/>
              <w:spacing w:after="0" w:line="166" w:lineRule="exact"/>
              <w:rPr>
                <w:sz w:val="20"/>
                <w:szCs w:val="20"/>
                <w:color w:val="auto"/>
              </w:rPr>
            </w:pPr>
            <w:r>
              <w:rPr>
                <w:rFonts w:ascii="Arial" w:cs="Arial" w:eastAsia="Arial" w:hAnsi="Arial"/>
                <w:sz w:val="15"/>
                <w:szCs w:val="15"/>
                <w:color w:val="auto"/>
              </w:rPr>
              <w:t>benefit</w:t>
            </w:r>
          </w:p>
        </w:tc>
        <w:tc>
          <w:tcPr>
            <w:tcW w:w="1020" w:type="dxa"/>
            <w:vAlign w:val="bottom"/>
            <w:vMerge w:val="continue"/>
            <w:shd w:val="clear" w:color="auto" w:fill="CCEEFF"/>
          </w:tcPr>
          <w:p>
            <w:pPr>
              <w:spacing w:after="0"/>
              <w:rPr>
                <w:sz w:val="14"/>
                <w:szCs w:val="14"/>
                <w:color w:val="auto"/>
              </w:rPr>
            </w:pPr>
          </w:p>
        </w:tc>
        <w:tc>
          <w:tcPr>
            <w:tcW w:w="860" w:type="dxa"/>
            <w:vAlign w:val="bottom"/>
            <w:shd w:val="clear" w:color="auto" w:fill="CCEEFF"/>
          </w:tcPr>
          <w:p>
            <w:pPr>
              <w:jc w:val="right"/>
              <w:ind w:right="283"/>
              <w:spacing w:after="0" w:line="166" w:lineRule="exact"/>
              <w:rPr>
                <w:sz w:val="20"/>
                <w:szCs w:val="20"/>
                <w:color w:val="auto"/>
              </w:rPr>
            </w:pPr>
            <w:r>
              <w:rPr>
                <w:rFonts w:ascii="Arial" w:cs="Arial" w:eastAsia="Arial" w:hAnsi="Arial"/>
                <w:sz w:val="15"/>
                <w:szCs w:val="15"/>
                <w:color w:val="auto"/>
              </w:rPr>
              <w:t>1.5</w:t>
            </w:r>
          </w:p>
        </w:tc>
        <w:tc>
          <w:tcPr>
            <w:tcW w:w="680" w:type="dxa"/>
            <w:vAlign w:val="bottom"/>
            <w:shd w:val="clear" w:color="auto" w:fill="CCEEFF"/>
          </w:tcPr>
          <w:p>
            <w:pPr>
              <w:jc w:val="right"/>
              <w:ind w:right="103"/>
              <w:spacing w:after="0" w:line="166" w:lineRule="exact"/>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62"/>
        </w:trPr>
        <w:tc>
          <w:tcPr>
            <w:tcW w:w="2920" w:type="dxa"/>
            <w:vAlign w:val="bottom"/>
          </w:tcPr>
          <w:p>
            <w:pPr>
              <w:ind w:left="20"/>
              <w:spacing w:after="0" w:line="162" w:lineRule="exact"/>
              <w:rPr>
                <w:sz w:val="20"/>
                <w:szCs w:val="20"/>
                <w:color w:val="auto"/>
              </w:rPr>
            </w:pPr>
            <w:r>
              <w:rPr>
                <w:rFonts w:ascii="Arial" w:cs="Arial" w:eastAsia="Arial" w:hAnsi="Arial"/>
                <w:sz w:val="15"/>
                <w:szCs w:val="15"/>
                <w:color w:val="auto"/>
              </w:rPr>
              <w:t>Stock based compensation</w:t>
            </w:r>
          </w:p>
        </w:tc>
        <w:tc>
          <w:tcPr>
            <w:tcW w:w="1020" w:type="dxa"/>
            <w:vAlign w:val="bottom"/>
          </w:tcPr>
          <w:p>
            <w:pPr>
              <w:jc w:val="right"/>
              <w:ind w:right="183"/>
              <w:spacing w:after="0" w:line="162" w:lineRule="exact"/>
              <w:rPr>
                <w:sz w:val="20"/>
                <w:szCs w:val="20"/>
                <w:color w:val="auto"/>
              </w:rPr>
            </w:pPr>
            <w:r>
              <w:rPr>
                <w:rFonts w:ascii="Arial" w:cs="Arial" w:eastAsia="Arial" w:hAnsi="Arial"/>
                <w:sz w:val="15"/>
                <w:szCs w:val="15"/>
                <w:b w:val="1"/>
                <w:bCs w:val="1"/>
                <w:color w:val="auto"/>
              </w:rPr>
              <w:t>(0.5)</w:t>
            </w:r>
          </w:p>
        </w:tc>
        <w:tc>
          <w:tcPr>
            <w:tcW w:w="860" w:type="dxa"/>
            <w:vAlign w:val="bottom"/>
          </w:tcPr>
          <w:p>
            <w:pPr>
              <w:jc w:val="right"/>
              <w:ind w:right="223"/>
              <w:spacing w:after="0" w:line="162" w:lineRule="exact"/>
              <w:rPr>
                <w:sz w:val="20"/>
                <w:szCs w:val="20"/>
                <w:color w:val="auto"/>
              </w:rPr>
            </w:pPr>
            <w:r>
              <w:rPr>
                <w:rFonts w:ascii="Arial" w:cs="Arial" w:eastAsia="Arial" w:hAnsi="Arial"/>
                <w:sz w:val="15"/>
                <w:szCs w:val="15"/>
                <w:color w:val="auto"/>
              </w:rPr>
              <w:t>(1.0)</w:t>
            </w:r>
          </w:p>
        </w:tc>
        <w:tc>
          <w:tcPr>
            <w:tcW w:w="680" w:type="dxa"/>
            <w:vAlign w:val="bottom"/>
          </w:tcPr>
          <w:p>
            <w:pPr>
              <w:jc w:val="right"/>
              <w:ind w:right="63"/>
              <w:spacing w:after="0" w:line="162"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Domestic production deduction</w:t>
            </w:r>
          </w:p>
        </w:tc>
        <w:tc>
          <w:tcPr>
            <w:tcW w:w="1020" w:type="dxa"/>
            <w:vAlign w:val="bottom"/>
            <w:shd w:val="clear" w:color="auto" w:fill="CCEEFF"/>
          </w:tcPr>
          <w:p>
            <w:pPr>
              <w:jc w:val="right"/>
              <w:ind w:right="223"/>
              <w:spacing w:after="0" w:line="162" w:lineRule="exact"/>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jc w:val="right"/>
              <w:ind w:right="223"/>
              <w:spacing w:after="0" w:line="162" w:lineRule="exact"/>
              <w:rPr>
                <w:sz w:val="20"/>
                <w:szCs w:val="20"/>
                <w:color w:val="auto"/>
              </w:rPr>
            </w:pPr>
            <w:r>
              <w:rPr>
                <w:rFonts w:ascii="Arial" w:cs="Arial" w:eastAsia="Arial" w:hAnsi="Arial"/>
                <w:sz w:val="15"/>
                <w:szCs w:val="15"/>
                <w:color w:val="auto"/>
              </w:rPr>
              <w:t>(2.2)</w:t>
            </w:r>
          </w:p>
        </w:tc>
        <w:tc>
          <w:tcPr>
            <w:tcW w:w="68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62"/>
        </w:trPr>
        <w:tc>
          <w:tcPr>
            <w:tcW w:w="2920" w:type="dxa"/>
            <w:vAlign w:val="bottom"/>
            <w:tcBorders>
              <w:bottom w:val="single" w:sz="8" w:color="auto"/>
            </w:tcBorders>
          </w:tcPr>
          <w:p>
            <w:pPr>
              <w:ind w:left="20"/>
              <w:spacing w:after="0" w:line="162" w:lineRule="exact"/>
              <w:rPr>
                <w:sz w:val="20"/>
                <w:szCs w:val="20"/>
                <w:color w:val="auto"/>
              </w:rPr>
            </w:pPr>
            <w:r>
              <w:rPr>
                <w:rFonts w:ascii="Arial" w:cs="Arial" w:eastAsia="Arial" w:hAnsi="Arial"/>
                <w:sz w:val="15"/>
                <w:szCs w:val="15"/>
                <w:color w:val="auto"/>
              </w:rPr>
              <w:t>Other items</w:t>
            </w:r>
          </w:p>
        </w:tc>
        <w:tc>
          <w:tcPr>
            <w:tcW w:w="1020" w:type="dxa"/>
            <w:vAlign w:val="bottom"/>
            <w:tcBorders>
              <w:bottom w:val="single" w:sz="8" w:color="auto"/>
            </w:tcBorders>
          </w:tcPr>
          <w:p>
            <w:pPr>
              <w:jc w:val="right"/>
              <w:ind w:right="223"/>
              <w:spacing w:after="0" w:line="162" w:lineRule="exact"/>
              <w:rPr>
                <w:sz w:val="20"/>
                <w:szCs w:val="20"/>
                <w:color w:val="auto"/>
              </w:rPr>
            </w:pPr>
            <w:r>
              <w:rPr>
                <w:rFonts w:ascii="Arial" w:cs="Arial" w:eastAsia="Arial" w:hAnsi="Arial"/>
                <w:sz w:val="15"/>
                <w:szCs w:val="15"/>
                <w:b w:val="1"/>
                <w:bCs w:val="1"/>
                <w:color w:val="auto"/>
              </w:rPr>
              <w:t>1.7</w:t>
            </w:r>
          </w:p>
        </w:tc>
        <w:tc>
          <w:tcPr>
            <w:tcW w:w="860" w:type="dxa"/>
            <w:vAlign w:val="bottom"/>
            <w:tcBorders>
              <w:bottom w:val="single" w:sz="8" w:color="auto"/>
            </w:tcBorders>
          </w:tcPr>
          <w:p>
            <w:pPr>
              <w:jc w:val="right"/>
              <w:ind w:right="223"/>
              <w:spacing w:after="0" w:line="162" w:lineRule="exact"/>
              <w:rPr>
                <w:sz w:val="20"/>
                <w:szCs w:val="20"/>
                <w:color w:val="auto"/>
              </w:rPr>
            </w:pPr>
            <w:r>
              <w:rPr>
                <w:rFonts w:ascii="Arial" w:cs="Arial" w:eastAsia="Arial" w:hAnsi="Arial"/>
                <w:sz w:val="15"/>
                <w:szCs w:val="15"/>
                <w:color w:val="auto"/>
              </w:rPr>
              <w:t>(1.3)</w:t>
            </w:r>
          </w:p>
        </w:tc>
        <w:tc>
          <w:tcPr>
            <w:tcW w:w="68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163"/>
        </w:trPr>
        <w:tc>
          <w:tcPr>
            <w:tcW w:w="2920" w:type="dxa"/>
            <w:vAlign w:val="bottom"/>
            <w:tcBorders>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Effective income tax rate</w:t>
            </w:r>
          </w:p>
        </w:tc>
        <w:tc>
          <w:tcPr>
            <w:tcW w:w="1020" w:type="dxa"/>
            <w:vAlign w:val="bottom"/>
            <w:tcBorders>
              <w:bottom w:val="single" w:sz="8" w:color="auto"/>
            </w:tcBorders>
            <w:shd w:val="clear" w:color="auto" w:fill="CCEEFF"/>
          </w:tcPr>
          <w:p>
            <w:pPr>
              <w:jc w:val="right"/>
              <w:ind w:right="103"/>
              <w:spacing w:after="0" w:line="156" w:lineRule="exact"/>
              <w:rPr>
                <w:sz w:val="20"/>
                <w:szCs w:val="20"/>
                <w:color w:val="auto"/>
              </w:rPr>
            </w:pPr>
            <w:r>
              <w:rPr>
                <w:rFonts w:ascii="Arial" w:cs="Arial" w:eastAsia="Arial" w:hAnsi="Arial"/>
                <w:sz w:val="15"/>
                <w:szCs w:val="15"/>
                <w:b w:val="1"/>
                <w:bCs w:val="1"/>
                <w:color w:val="auto"/>
              </w:rPr>
              <w:t>18.3%</w:t>
            </w:r>
          </w:p>
        </w:tc>
        <w:tc>
          <w:tcPr>
            <w:tcW w:w="860" w:type="dxa"/>
            <w:vAlign w:val="bottom"/>
            <w:tcBorders>
              <w:bottom w:val="single" w:sz="8" w:color="auto"/>
            </w:tcBorders>
            <w:shd w:val="clear" w:color="auto" w:fill="CCEEFF"/>
          </w:tcPr>
          <w:p>
            <w:pPr>
              <w:jc w:val="right"/>
              <w:ind w:right="103"/>
              <w:spacing w:after="0" w:line="156" w:lineRule="exact"/>
              <w:rPr>
                <w:sz w:val="20"/>
                <w:szCs w:val="20"/>
                <w:color w:val="auto"/>
              </w:rPr>
            </w:pPr>
            <w:r>
              <w:rPr>
                <w:rFonts w:ascii="Arial" w:cs="Arial" w:eastAsia="Arial" w:hAnsi="Arial"/>
                <w:sz w:val="15"/>
                <w:szCs w:val="15"/>
                <w:color w:val="auto"/>
              </w:rPr>
              <w:t>(15.3%)</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29.9%</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change in the effective income tax rate in 2017 and the lower effective income tax rate in 2018, as compared with 2016, is attributable to the impact of the 2017 Tax Act. The statutory depletion deduction for all years is calculated as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percentage of sales, subject to certain limitations. Due to these limitations, the impact of changes in the sales volumes and earnings may not proportionately affect the Company’s statutory depletion deduction and the corresponding impact on the effective income tax rate.</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Company was entitled to receive a 9% tax deduction related to income from domestic (i.e., United States) production activities in 2017 and 2016. The deduction reduced income tax expense and increased consolidated net earnings by $15,461,000, or $0.25 per diluted share, in 2017 and $13,583,000, or $0.21 per diluted share, in 2016. The domestic production deduction was eliminated by the 2017 Tax Act and will not generate a tax benefit in 2018 and beyond.</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principal components of the Company’s deferred tax assets and liabilities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Deferred</w:t>
            </w:r>
          </w:p>
        </w:tc>
        <w:tc>
          <w:tcPr>
            <w:tcW w:w="700" w:type="dxa"/>
            <w:vAlign w:val="bottom"/>
          </w:tcPr>
          <w:p>
            <w:pPr>
              <w:spacing w:after="0"/>
              <w:rPr>
                <w:sz w:val="14"/>
                <w:szCs w:val="14"/>
                <w:color w:val="auto"/>
              </w:rPr>
            </w:pPr>
          </w:p>
        </w:tc>
      </w:tr>
      <w:tr>
        <w:trPr>
          <w:trHeight w:val="175"/>
        </w:trPr>
        <w:tc>
          <w:tcPr>
            <w:tcW w:w="338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4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303"/>
              <w:spacing w:after="0"/>
              <w:rPr>
                <w:sz w:val="20"/>
                <w:szCs w:val="20"/>
                <w:color w:val="auto"/>
              </w:rPr>
            </w:pPr>
            <w:r>
              <w:rPr>
                <w:rFonts w:ascii="Arial" w:cs="Arial" w:eastAsia="Arial" w:hAnsi="Arial"/>
                <w:sz w:val="14"/>
                <w:szCs w:val="14"/>
                <w:b w:val="1"/>
                <w:bCs w:val="1"/>
                <w:color w:val="auto"/>
              </w:rPr>
              <w:t>Assets (Liabilities)</w:t>
            </w:r>
          </w:p>
        </w:tc>
      </w:tr>
      <w:tr>
        <w:trPr>
          <w:trHeight w:val="156"/>
        </w:trPr>
        <w:tc>
          <w:tcPr>
            <w:tcW w:w="338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(add 000)</w:t>
            </w: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24"/>
              <w:spacing w:after="0" w:line="156" w:lineRule="exact"/>
              <w:rPr>
                <w:sz w:val="20"/>
                <w:szCs w:val="20"/>
                <w:color w:val="auto"/>
              </w:rPr>
            </w:pPr>
            <w:r>
              <w:rPr>
                <w:rFonts w:ascii="Arial" w:cs="Arial" w:eastAsia="Arial" w:hAnsi="Arial"/>
                <w:sz w:val="15"/>
                <w:szCs w:val="15"/>
                <w:b w:val="1"/>
                <w:bCs w:val="1"/>
                <w:color w:val="0085CD"/>
              </w:rPr>
              <w:t>2018</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2017</w:t>
            </w:r>
          </w:p>
        </w:tc>
      </w:tr>
      <w:tr>
        <w:trPr>
          <w:trHeight w:val="156"/>
        </w:trPr>
        <w:tc>
          <w:tcPr>
            <w:tcW w:w="33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Deferred tax assets related to:</w:t>
            </w: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62"/>
        </w:trPr>
        <w:tc>
          <w:tcPr>
            <w:tcW w:w="3380" w:type="dxa"/>
            <w:vAlign w:val="bottom"/>
          </w:tcPr>
          <w:p>
            <w:pPr>
              <w:ind w:left="160"/>
              <w:spacing w:after="0" w:line="162" w:lineRule="exact"/>
              <w:rPr>
                <w:sz w:val="20"/>
                <w:szCs w:val="20"/>
                <w:color w:val="auto"/>
              </w:rPr>
            </w:pPr>
            <w:r>
              <w:rPr>
                <w:rFonts w:ascii="Arial" w:cs="Arial" w:eastAsia="Arial" w:hAnsi="Arial"/>
                <w:sz w:val="15"/>
                <w:szCs w:val="15"/>
                <w:color w:val="auto"/>
              </w:rPr>
              <w:t>Employee benefits</w:t>
            </w:r>
          </w:p>
        </w:tc>
        <w:tc>
          <w:tcPr>
            <w:tcW w:w="4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820" w:type="dxa"/>
            <w:vAlign w:val="bottom"/>
          </w:tcPr>
          <w:p>
            <w:pPr>
              <w:jc w:val="right"/>
              <w:ind w:right="124"/>
              <w:spacing w:after="0" w:line="162" w:lineRule="exact"/>
              <w:rPr>
                <w:sz w:val="20"/>
                <w:szCs w:val="20"/>
                <w:color w:val="auto"/>
              </w:rPr>
            </w:pPr>
            <w:r>
              <w:rPr>
                <w:rFonts w:ascii="Arial" w:cs="Arial" w:eastAsia="Arial" w:hAnsi="Arial"/>
                <w:sz w:val="15"/>
                <w:szCs w:val="15"/>
                <w:b w:val="1"/>
                <w:bCs w:val="1"/>
                <w:color w:val="auto"/>
              </w:rPr>
              <w:t>–</w:t>
            </w:r>
          </w:p>
        </w:tc>
        <w:tc>
          <w:tcPr>
            <w:tcW w:w="2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16,059</w:t>
            </w:r>
          </w:p>
        </w:tc>
      </w:tr>
      <w:tr>
        <w:trPr>
          <w:trHeight w:val="162"/>
        </w:trPr>
        <w:tc>
          <w:tcPr>
            <w:tcW w:w="338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Inventories</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24"/>
              <w:spacing w:after="0" w:line="162" w:lineRule="exact"/>
              <w:rPr>
                <w:sz w:val="20"/>
                <w:szCs w:val="20"/>
                <w:color w:val="auto"/>
              </w:rPr>
            </w:pPr>
            <w:r>
              <w:rPr>
                <w:rFonts w:ascii="Arial" w:cs="Arial" w:eastAsia="Arial" w:hAnsi="Arial"/>
                <w:sz w:val="15"/>
                <w:szCs w:val="15"/>
                <w:b w:val="1"/>
                <w:bCs w:val="1"/>
                <w:color w:val="auto"/>
              </w:rPr>
              <w:t>52,618</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56,242</w:t>
            </w:r>
          </w:p>
        </w:tc>
      </w:tr>
      <w:tr>
        <w:trPr>
          <w:trHeight w:val="162"/>
        </w:trPr>
        <w:tc>
          <w:tcPr>
            <w:tcW w:w="3380" w:type="dxa"/>
            <w:vAlign w:val="bottom"/>
          </w:tcPr>
          <w:p>
            <w:pPr>
              <w:ind w:left="160"/>
              <w:spacing w:after="0" w:line="162" w:lineRule="exact"/>
              <w:rPr>
                <w:sz w:val="20"/>
                <w:szCs w:val="20"/>
                <w:color w:val="auto"/>
              </w:rPr>
            </w:pPr>
            <w:r>
              <w:rPr>
                <w:rFonts w:ascii="Arial" w:cs="Arial" w:eastAsia="Arial" w:hAnsi="Arial"/>
                <w:sz w:val="15"/>
                <w:szCs w:val="15"/>
                <w:color w:val="auto"/>
              </w:rPr>
              <w:t>Valuation and other reserves</w:t>
            </w:r>
          </w:p>
        </w:tc>
        <w:tc>
          <w:tcPr>
            <w:tcW w:w="420" w:type="dxa"/>
            <w:vAlign w:val="bottom"/>
          </w:tcPr>
          <w:p>
            <w:pPr>
              <w:spacing w:after="0"/>
              <w:rPr>
                <w:sz w:val="14"/>
                <w:szCs w:val="14"/>
                <w:color w:val="auto"/>
              </w:rPr>
            </w:pPr>
          </w:p>
        </w:tc>
        <w:tc>
          <w:tcPr>
            <w:tcW w:w="820" w:type="dxa"/>
            <w:vAlign w:val="bottom"/>
          </w:tcPr>
          <w:p>
            <w:pPr>
              <w:jc w:val="right"/>
              <w:ind w:right="124"/>
              <w:spacing w:after="0" w:line="162" w:lineRule="exact"/>
              <w:rPr>
                <w:sz w:val="20"/>
                <w:szCs w:val="20"/>
                <w:color w:val="auto"/>
              </w:rPr>
            </w:pPr>
            <w:r>
              <w:rPr>
                <w:rFonts w:ascii="Arial" w:cs="Arial" w:eastAsia="Arial" w:hAnsi="Arial"/>
                <w:sz w:val="15"/>
                <w:szCs w:val="15"/>
                <w:b w:val="1"/>
                <w:bCs w:val="1"/>
                <w:color w:val="auto"/>
              </w:rPr>
              <w:t>22,359</w:t>
            </w:r>
          </w:p>
        </w:tc>
        <w:tc>
          <w:tcPr>
            <w:tcW w:w="280" w:type="dxa"/>
            <w:vAlign w:val="bottom"/>
          </w:tcPr>
          <w:p>
            <w:pPr>
              <w:spacing w:after="0"/>
              <w:rPr>
                <w:sz w:val="14"/>
                <w:szCs w:val="14"/>
                <w:color w:val="auto"/>
              </w:rPr>
            </w:pPr>
          </w:p>
        </w:tc>
        <w:tc>
          <w:tcPr>
            <w:tcW w:w="7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22,989</w:t>
            </w:r>
          </w:p>
        </w:tc>
      </w:tr>
      <w:tr>
        <w:trPr>
          <w:trHeight w:val="162"/>
        </w:trPr>
        <w:tc>
          <w:tcPr>
            <w:tcW w:w="338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Net operating loss carryforwards</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24"/>
              <w:spacing w:after="0" w:line="162" w:lineRule="exact"/>
              <w:rPr>
                <w:sz w:val="20"/>
                <w:szCs w:val="20"/>
                <w:color w:val="auto"/>
              </w:rPr>
            </w:pPr>
            <w:r>
              <w:rPr>
                <w:rFonts w:ascii="Arial" w:cs="Arial" w:eastAsia="Arial" w:hAnsi="Arial"/>
                <w:sz w:val="15"/>
                <w:szCs w:val="15"/>
                <w:b w:val="1"/>
                <w:bCs w:val="1"/>
                <w:color w:val="auto"/>
              </w:rPr>
              <w:t>10,990</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11,780</w:t>
            </w:r>
          </w:p>
        </w:tc>
      </w:tr>
      <w:tr>
        <w:trPr>
          <w:trHeight w:val="162"/>
        </w:trPr>
        <w:tc>
          <w:tcPr>
            <w:tcW w:w="3380" w:type="dxa"/>
            <w:vAlign w:val="bottom"/>
          </w:tcPr>
          <w:p>
            <w:pPr>
              <w:ind w:left="160"/>
              <w:spacing w:after="0" w:line="162" w:lineRule="exact"/>
              <w:rPr>
                <w:sz w:val="20"/>
                <w:szCs w:val="20"/>
                <w:color w:val="auto"/>
              </w:rPr>
            </w:pPr>
            <w:r>
              <w:rPr>
                <w:rFonts w:ascii="Arial" w:cs="Arial" w:eastAsia="Arial" w:hAnsi="Arial"/>
                <w:sz w:val="15"/>
                <w:szCs w:val="15"/>
                <w:color w:val="auto"/>
              </w:rPr>
              <w:t>Accumulated other comprehensive loss</w:t>
            </w:r>
          </w:p>
        </w:tc>
        <w:tc>
          <w:tcPr>
            <w:tcW w:w="420" w:type="dxa"/>
            <w:vAlign w:val="bottom"/>
          </w:tcPr>
          <w:p>
            <w:pPr>
              <w:spacing w:after="0"/>
              <w:rPr>
                <w:sz w:val="14"/>
                <w:szCs w:val="14"/>
                <w:color w:val="auto"/>
              </w:rPr>
            </w:pPr>
          </w:p>
        </w:tc>
        <w:tc>
          <w:tcPr>
            <w:tcW w:w="820" w:type="dxa"/>
            <w:vAlign w:val="bottom"/>
          </w:tcPr>
          <w:p>
            <w:pPr>
              <w:jc w:val="right"/>
              <w:ind w:right="124"/>
              <w:spacing w:after="0" w:line="162" w:lineRule="exact"/>
              <w:rPr>
                <w:sz w:val="20"/>
                <w:szCs w:val="20"/>
                <w:color w:val="auto"/>
              </w:rPr>
            </w:pPr>
            <w:r>
              <w:rPr>
                <w:rFonts w:ascii="Arial" w:cs="Arial" w:eastAsia="Arial" w:hAnsi="Arial"/>
                <w:sz w:val="15"/>
                <w:szCs w:val="15"/>
                <w:b w:val="1"/>
                <w:bCs w:val="1"/>
                <w:color w:val="auto"/>
              </w:rPr>
              <w:t>84,207</w:t>
            </w:r>
          </w:p>
        </w:tc>
        <w:tc>
          <w:tcPr>
            <w:tcW w:w="280" w:type="dxa"/>
            <w:vAlign w:val="bottom"/>
          </w:tcPr>
          <w:p>
            <w:pPr>
              <w:spacing w:after="0"/>
              <w:rPr>
                <w:sz w:val="14"/>
                <w:szCs w:val="14"/>
                <w:color w:val="auto"/>
              </w:rPr>
            </w:pPr>
          </w:p>
        </w:tc>
        <w:tc>
          <w:tcPr>
            <w:tcW w:w="7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80,116</w:t>
            </w:r>
          </w:p>
        </w:tc>
      </w:tr>
      <w:tr>
        <w:trPr>
          <w:trHeight w:val="162"/>
        </w:trPr>
        <w:tc>
          <w:tcPr>
            <w:tcW w:w="3380" w:type="dxa"/>
            <w:vAlign w:val="bottom"/>
            <w:tcBorders>
              <w:bottom w:val="single" w:sz="8" w:color="auto"/>
            </w:tcBorders>
            <w:shd w:val="clear" w:color="auto" w:fill="CCEEFF"/>
          </w:tcPr>
          <w:p>
            <w:pPr>
              <w:ind w:left="160"/>
              <w:spacing w:after="0" w:line="162" w:lineRule="exact"/>
              <w:rPr>
                <w:sz w:val="20"/>
                <w:szCs w:val="20"/>
                <w:color w:val="auto"/>
              </w:rPr>
            </w:pPr>
            <w:r>
              <w:rPr>
                <w:rFonts w:ascii="Arial" w:cs="Arial" w:eastAsia="Arial" w:hAnsi="Arial"/>
                <w:sz w:val="15"/>
                <w:szCs w:val="15"/>
                <w:color w:val="auto"/>
              </w:rPr>
              <w:t>Other items, net</w:t>
            </w:r>
          </w:p>
        </w:tc>
        <w:tc>
          <w:tcPr>
            <w:tcW w:w="4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124"/>
              <w:spacing w:after="0" w:line="162" w:lineRule="exact"/>
              <w:rPr>
                <w:sz w:val="20"/>
                <w:szCs w:val="20"/>
                <w:color w:val="auto"/>
              </w:rPr>
            </w:pPr>
            <w:r>
              <w:rPr>
                <w:rFonts w:ascii="Arial" w:cs="Arial" w:eastAsia="Arial" w:hAnsi="Arial"/>
                <w:sz w:val="15"/>
                <w:szCs w:val="15"/>
                <w:b w:val="1"/>
                <w:bCs w:val="1"/>
                <w:color w:val="auto"/>
              </w:rPr>
              <w:t>3,052</w:t>
            </w:r>
          </w:p>
        </w:tc>
        <w:tc>
          <w:tcPr>
            <w:tcW w:w="2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3,963</w:t>
            </w:r>
          </w:p>
        </w:tc>
      </w:tr>
      <w:tr>
        <w:trPr>
          <w:trHeight w:val="156"/>
        </w:trPr>
        <w:tc>
          <w:tcPr>
            <w:tcW w:w="3380" w:type="dxa"/>
            <w:vAlign w:val="bottom"/>
          </w:tcPr>
          <w:p>
            <w:pPr>
              <w:spacing w:after="0" w:line="156" w:lineRule="exact"/>
              <w:rPr>
                <w:sz w:val="20"/>
                <w:szCs w:val="20"/>
                <w:color w:val="auto"/>
              </w:rPr>
            </w:pPr>
            <w:r>
              <w:rPr>
                <w:rFonts w:ascii="Arial" w:cs="Arial" w:eastAsia="Arial" w:hAnsi="Arial"/>
                <w:sz w:val="15"/>
                <w:szCs w:val="15"/>
                <w:color w:val="auto"/>
              </w:rPr>
              <w:t>Gross deferred tax assets</w:t>
            </w:r>
          </w:p>
        </w:tc>
        <w:tc>
          <w:tcPr>
            <w:tcW w:w="420" w:type="dxa"/>
            <w:vAlign w:val="bottom"/>
          </w:tcPr>
          <w:p>
            <w:pPr>
              <w:spacing w:after="0"/>
              <w:rPr>
                <w:sz w:val="13"/>
                <w:szCs w:val="13"/>
                <w:color w:val="auto"/>
              </w:rPr>
            </w:pPr>
          </w:p>
        </w:tc>
        <w:tc>
          <w:tcPr>
            <w:tcW w:w="820" w:type="dxa"/>
            <w:vAlign w:val="bottom"/>
          </w:tcPr>
          <w:p>
            <w:pPr>
              <w:jc w:val="right"/>
              <w:ind w:right="124"/>
              <w:spacing w:after="0" w:line="156" w:lineRule="exact"/>
              <w:rPr>
                <w:sz w:val="20"/>
                <w:szCs w:val="20"/>
                <w:color w:val="auto"/>
              </w:rPr>
            </w:pPr>
            <w:r>
              <w:rPr>
                <w:rFonts w:ascii="Arial" w:cs="Arial" w:eastAsia="Arial" w:hAnsi="Arial"/>
                <w:sz w:val="15"/>
                <w:szCs w:val="15"/>
                <w:b w:val="1"/>
                <w:bCs w:val="1"/>
                <w:color w:val="auto"/>
              </w:rPr>
              <w:t>173,226</w:t>
            </w:r>
          </w:p>
        </w:tc>
        <w:tc>
          <w:tcPr>
            <w:tcW w:w="280" w:type="dxa"/>
            <w:vAlign w:val="bottom"/>
          </w:tcPr>
          <w:p>
            <w:pPr>
              <w:spacing w:after="0"/>
              <w:rPr>
                <w:sz w:val="13"/>
                <w:szCs w:val="13"/>
                <w:color w:val="auto"/>
              </w:rPr>
            </w:pPr>
          </w:p>
        </w:tc>
        <w:tc>
          <w:tcPr>
            <w:tcW w:w="700" w:type="dxa"/>
            <w:vAlign w:val="bottom"/>
          </w:tcPr>
          <w:p>
            <w:pPr>
              <w:jc w:val="right"/>
              <w:ind w:right="23"/>
              <w:spacing w:after="0" w:line="156" w:lineRule="exact"/>
              <w:rPr>
                <w:sz w:val="20"/>
                <w:szCs w:val="20"/>
                <w:color w:val="auto"/>
              </w:rPr>
            </w:pPr>
            <w:r>
              <w:rPr>
                <w:rFonts w:ascii="Arial" w:cs="Arial" w:eastAsia="Arial" w:hAnsi="Arial"/>
                <w:sz w:val="15"/>
                <w:szCs w:val="15"/>
                <w:color w:val="auto"/>
              </w:rPr>
              <w:t>191,149</w:t>
            </w:r>
          </w:p>
        </w:tc>
      </w:tr>
      <w:tr>
        <w:trPr>
          <w:trHeight w:val="162"/>
        </w:trPr>
        <w:tc>
          <w:tcPr>
            <w:tcW w:w="338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5"/>
                <w:szCs w:val="15"/>
                <w:color w:val="auto"/>
              </w:rPr>
              <w:t>Valuation allowance on deferred tax assets</w:t>
            </w:r>
          </w:p>
        </w:tc>
        <w:tc>
          <w:tcPr>
            <w:tcW w:w="4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4"/>
              <w:spacing w:after="0" w:line="162" w:lineRule="exact"/>
              <w:rPr>
                <w:sz w:val="20"/>
                <w:szCs w:val="20"/>
                <w:color w:val="auto"/>
              </w:rPr>
            </w:pPr>
            <w:r>
              <w:rPr>
                <w:rFonts w:ascii="Arial" w:cs="Arial" w:eastAsia="Arial" w:hAnsi="Arial"/>
                <w:sz w:val="15"/>
                <w:szCs w:val="15"/>
                <w:b w:val="1"/>
                <w:bCs w:val="1"/>
                <w:color w:val="auto"/>
              </w:rPr>
              <w:t>(8,604)</w:t>
            </w:r>
          </w:p>
        </w:tc>
        <w:tc>
          <w:tcPr>
            <w:tcW w:w="2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(10,349)</w:t>
            </w:r>
          </w:p>
        </w:tc>
      </w:tr>
      <w:tr>
        <w:trPr>
          <w:trHeight w:val="156"/>
        </w:trPr>
        <w:tc>
          <w:tcPr>
            <w:tcW w:w="338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Total net deferred tax assets</w:t>
            </w: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24"/>
              <w:spacing w:after="0" w:line="156" w:lineRule="exact"/>
              <w:rPr>
                <w:sz w:val="20"/>
                <w:szCs w:val="20"/>
                <w:color w:val="auto"/>
              </w:rPr>
            </w:pPr>
            <w:r>
              <w:rPr>
                <w:rFonts w:ascii="Arial" w:cs="Arial" w:eastAsia="Arial" w:hAnsi="Arial"/>
                <w:sz w:val="15"/>
                <w:szCs w:val="15"/>
                <w:b w:val="1"/>
                <w:bCs w:val="1"/>
                <w:color w:val="auto"/>
              </w:rPr>
              <w:t>164,622</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180,800</w:t>
            </w:r>
          </w:p>
        </w:tc>
      </w:tr>
      <w:tr>
        <w:trPr>
          <w:trHeight w:val="156"/>
        </w:trPr>
        <w:tc>
          <w:tcPr>
            <w:tcW w:w="33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Deferred tax liabilities related to:</w:t>
            </w: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62"/>
        </w:trPr>
        <w:tc>
          <w:tcPr>
            <w:tcW w:w="3380" w:type="dxa"/>
            <w:vAlign w:val="bottom"/>
          </w:tcPr>
          <w:p>
            <w:pPr>
              <w:ind w:left="160"/>
              <w:spacing w:after="0" w:line="162" w:lineRule="exact"/>
              <w:rPr>
                <w:sz w:val="20"/>
                <w:szCs w:val="20"/>
                <w:color w:val="auto"/>
              </w:rPr>
            </w:pPr>
            <w:r>
              <w:rPr>
                <w:rFonts w:ascii="Arial" w:cs="Arial" w:eastAsia="Arial" w:hAnsi="Arial"/>
                <w:sz w:val="15"/>
                <w:szCs w:val="15"/>
                <w:color w:val="auto"/>
              </w:rPr>
              <w:t>Property, plant and equipment</w:t>
            </w:r>
          </w:p>
        </w:tc>
        <w:tc>
          <w:tcPr>
            <w:tcW w:w="420" w:type="dxa"/>
            <w:vAlign w:val="bottom"/>
          </w:tcPr>
          <w:p>
            <w:pPr>
              <w:spacing w:after="0"/>
              <w:rPr>
                <w:sz w:val="14"/>
                <w:szCs w:val="14"/>
                <w:color w:val="auto"/>
              </w:rPr>
            </w:pPr>
          </w:p>
        </w:tc>
        <w:tc>
          <w:tcPr>
            <w:tcW w:w="8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(478,329)</w:t>
            </w:r>
          </w:p>
        </w:tc>
        <w:tc>
          <w:tcPr>
            <w:tcW w:w="2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w w:val="99"/>
              </w:rPr>
              <w:t>(407,400)</w:t>
            </w:r>
          </w:p>
        </w:tc>
      </w:tr>
      <w:tr>
        <w:trPr>
          <w:trHeight w:val="162"/>
        </w:trPr>
        <w:tc>
          <w:tcPr>
            <w:tcW w:w="338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Partnerships and joint ventures</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b w:val="1"/>
                <w:bCs w:val="1"/>
                <w:color w:val="auto"/>
              </w:rPr>
              <w:t>(204,315)</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(15,617)</w:t>
            </w:r>
          </w:p>
        </w:tc>
      </w:tr>
      <w:tr>
        <w:trPr>
          <w:trHeight w:val="162"/>
        </w:trPr>
        <w:tc>
          <w:tcPr>
            <w:tcW w:w="3380" w:type="dxa"/>
            <w:vAlign w:val="bottom"/>
          </w:tcPr>
          <w:p>
            <w:pPr>
              <w:ind w:left="160"/>
              <w:spacing w:after="0" w:line="162" w:lineRule="exact"/>
              <w:rPr>
                <w:sz w:val="20"/>
                <w:szCs w:val="20"/>
                <w:color w:val="auto"/>
              </w:rPr>
            </w:pPr>
            <w:r>
              <w:rPr>
                <w:rFonts w:ascii="Arial" w:cs="Arial" w:eastAsia="Arial" w:hAnsi="Arial"/>
                <w:sz w:val="15"/>
                <w:szCs w:val="15"/>
                <w:color w:val="auto"/>
              </w:rPr>
              <w:t>Goodwill and other intangibles</w:t>
            </w:r>
          </w:p>
        </w:tc>
        <w:tc>
          <w:tcPr>
            <w:tcW w:w="420" w:type="dxa"/>
            <w:vAlign w:val="bottom"/>
          </w:tcPr>
          <w:p>
            <w:pPr>
              <w:spacing w:after="0"/>
              <w:rPr>
                <w:sz w:val="14"/>
                <w:szCs w:val="14"/>
                <w:color w:val="auto"/>
              </w:rPr>
            </w:pPr>
          </w:p>
        </w:tc>
        <w:tc>
          <w:tcPr>
            <w:tcW w:w="8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(170,538)</w:t>
            </w:r>
          </w:p>
        </w:tc>
        <w:tc>
          <w:tcPr>
            <w:tcW w:w="2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w w:val="99"/>
              </w:rPr>
              <w:t>(168,506)</w:t>
            </w:r>
          </w:p>
        </w:tc>
      </w:tr>
      <w:tr>
        <w:trPr>
          <w:trHeight w:val="162"/>
        </w:trPr>
        <w:tc>
          <w:tcPr>
            <w:tcW w:w="3380" w:type="dxa"/>
            <w:vAlign w:val="bottom"/>
            <w:tcBorders>
              <w:bottom w:val="single" w:sz="8" w:color="auto"/>
            </w:tcBorders>
            <w:shd w:val="clear" w:color="auto" w:fill="CCEEFF"/>
          </w:tcPr>
          <w:p>
            <w:pPr>
              <w:ind w:left="160"/>
              <w:spacing w:after="0" w:line="162" w:lineRule="exact"/>
              <w:rPr>
                <w:sz w:val="20"/>
                <w:szCs w:val="20"/>
                <w:color w:val="auto"/>
              </w:rPr>
            </w:pPr>
            <w:r>
              <w:rPr>
                <w:rFonts w:ascii="Arial" w:cs="Arial" w:eastAsia="Arial" w:hAnsi="Arial"/>
                <w:sz w:val="15"/>
                <w:szCs w:val="15"/>
                <w:color w:val="auto"/>
              </w:rPr>
              <w:t>Employee benefits</w:t>
            </w:r>
          </w:p>
        </w:tc>
        <w:tc>
          <w:tcPr>
            <w:tcW w:w="4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4"/>
              <w:spacing w:after="0" w:line="162" w:lineRule="exact"/>
              <w:rPr>
                <w:sz w:val="20"/>
                <w:szCs w:val="20"/>
                <w:color w:val="auto"/>
              </w:rPr>
            </w:pPr>
            <w:r>
              <w:rPr>
                <w:rFonts w:ascii="Arial" w:cs="Arial" w:eastAsia="Arial" w:hAnsi="Arial"/>
                <w:sz w:val="15"/>
                <w:szCs w:val="15"/>
                <w:b w:val="1"/>
                <w:bCs w:val="1"/>
                <w:color w:val="auto"/>
              </w:rPr>
              <w:t>(17,004)</w:t>
            </w:r>
          </w:p>
        </w:tc>
        <w:tc>
          <w:tcPr>
            <w:tcW w:w="2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w:t>
            </w:r>
          </w:p>
        </w:tc>
      </w:tr>
      <w:tr>
        <w:trPr>
          <w:trHeight w:val="156"/>
        </w:trPr>
        <w:tc>
          <w:tcPr>
            <w:tcW w:w="338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Total deferred tax liabilities</w:t>
            </w: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b w:val="1"/>
                <w:bCs w:val="1"/>
                <w:color w:val="auto"/>
              </w:rPr>
              <w:t>(870,186)</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9"/>
              </w:rPr>
              <w:t>(591,523)</w:t>
            </w:r>
          </w:p>
        </w:tc>
      </w:tr>
      <w:tr>
        <w:trPr>
          <w:trHeight w:val="163"/>
        </w:trPr>
        <w:tc>
          <w:tcPr>
            <w:tcW w:w="33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Deferred income taxes, net</w:t>
            </w:r>
          </w:p>
        </w:tc>
        <w:tc>
          <w:tcPr>
            <w:tcW w:w="4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shd w:val="clear" w:color="auto" w:fill="CCEEFF"/>
          </w:tcPr>
          <w:p>
            <w:pPr>
              <w:jc w:val="right"/>
              <w:ind w:right="64"/>
              <w:spacing w:after="0" w:line="156" w:lineRule="exact"/>
              <w:rPr>
                <w:sz w:val="20"/>
                <w:szCs w:val="20"/>
                <w:color w:val="auto"/>
              </w:rPr>
            </w:pPr>
            <w:r>
              <w:rPr>
                <w:rFonts w:ascii="Arial" w:cs="Arial" w:eastAsia="Arial" w:hAnsi="Arial"/>
                <w:sz w:val="15"/>
                <w:szCs w:val="15"/>
                <w:b w:val="1"/>
                <w:bCs w:val="1"/>
                <w:color w:val="auto"/>
              </w:rPr>
              <w:t>(705,564)</w:t>
            </w:r>
          </w:p>
        </w:tc>
        <w:tc>
          <w:tcPr>
            <w:tcW w:w="2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(410,723)</w:t>
            </w:r>
          </w:p>
        </w:tc>
      </w:tr>
    </w:tbl>
    <w:p>
      <w:pPr>
        <w:spacing w:after="0" w:line="21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Company had $3,219,000 of domestic federal NOL carryforwards at December 31, 2018. The Company had domestic state NOL carryforwards of $168,060,000 and $197,916,000 at December 31, 2018 and 2017, respectively. These carryforwards have various expiration dates through 2037. At December 31, 2018 and 2017, deferred tax assets associated with these carryforwards were $10,990,000 and $11,780,000, respectively, net of the federal benefit of the state deduction, for which valuation allowances of $8,576,000 and $10,085,000, respectively, were recorded. The Company also had domestic tax credit carryforwards of $993,000 and $1,342,000 at December 31, 2018 and 2017, respectively,</w:t>
      </w:r>
    </w:p>
    <w:p>
      <w:pPr>
        <w:spacing w:after="0" w:line="454"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28</w:t>
      </w:r>
    </w:p>
    <w:p>
      <w:pPr>
        <w:sectPr>
          <w:pgSz w:w="11900" w:h="16838" w:orient="portrait"/>
          <w:cols w:equalWidth="0" w:num="1">
            <w:col w:w="11420"/>
          </w:cols>
          <w:pgMar w:left="240" w:top="265" w:right="239" w:bottom="1440" w:gutter="0" w:footer="0" w:header="0"/>
          <w:type w:val="continuous"/>
        </w:sectPr>
      </w:pPr>
    </w:p>
    <w:bookmarkStart w:id="67" w:name="page68"/>
    <w:bookmarkEnd w:id="67"/>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which expire in 2036. At December 31, 2018 and 2017, deferred tax assets associated with these carryforwards were $784,000 and $1,060,000, respectively, net of the federal benefit of the state deduction, for which valuation allowances of $28,000 and $264,000, respectively, were recorded.</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Deferred tax liabilities for property, plant and equipment result from accelerated depreciation methods being used for income tax purposes as compared with the straight-line method for financial reporting purposes.</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Deferred tax liabilities for partnerships and joint ventures relate to the difference between the tax basis in partnerships and joint ventures when compared to the basis for financial reporting purposes. The increase in 2018 was a result of the Bluegrass acquisition, as this business is a partnership for income tax purposes.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298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90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0085CD"/>
              </w:rPr>
              <w:t>2018</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9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90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2017</w:t>
            </w: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2"/>
        </w:trPr>
        <w:tc>
          <w:tcPr>
            <w:tcW w:w="2980" w:type="dxa"/>
            <w:vAlign w:val="bottom"/>
            <w:shd w:val="clear" w:color="auto" w:fill="CCEEFF"/>
          </w:tcPr>
          <w:p>
            <w:pPr>
              <w:spacing w:after="0" w:line="152" w:lineRule="exact"/>
              <w:rPr>
                <w:sz w:val="20"/>
                <w:szCs w:val="20"/>
                <w:color w:val="auto"/>
              </w:rPr>
            </w:pPr>
            <w:r>
              <w:rPr>
                <w:rFonts w:ascii="Arial" w:cs="Arial" w:eastAsia="Arial" w:hAnsi="Arial"/>
                <w:sz w:val="15"/>
                <w:szCs w:val="15"/>
                <w:color w:val="auto"/>
              </w:rPr>
              <w:t>Unrecognized tax benefits at beginning of</w:t>
            </w:r>
          </w:p>
        </w:tc>
        <w:tc>
          <w:tcPr>
            <w:tcW w:w="9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$22,367</w:t>
            </w: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80" w:type="dxa"/>
            <w:vAlign w:val="bottom"/>
            <w:shd w:val="clear" w:color="auto" w:fill="CCEEFF"/>
          </w:tcPr>
          <w:p>
            <w:pPr>
              <w:ind w:left="160"/>
              <w:spacing w:after="0" w:line="166" w:lineRule="exact"/>
              <w:rPr>
                <w:sz w:val="20"/>
                <w:szCs w:val="20"/>
                <w:color w:val="auto"/>
              </w:rPr>
            </w:pPr>
            <w:r>
              <w:rPr>
                <w:rFonts w:ascii="Arial" w:cs="Arial" w:eastAsia="Arial" w:hAnsi="Arial"/>
                <w:sz w:val="15"/>
                <w:szCs w:val="15"/>
                <w:color w:val="auto"/>
              </w:rPr>
              <w:t>year</w:t>
            </w:r>
          </w:p>
        </w:tc>
        <w:tc>
          <w:tcPr>
            <w:tcW w:w="900" w:type="dxa"/>
            <w:vAlign w:val="bottom"/>
            <w:vMerge w:val="continue"/>
            <w:shd w:val="clear" w:color="auto" w:fill="CCEEFF"/>
          </w:tcPr>
          <w:p>
            <w:pPr>
              <w:spacing w:after="0"/>
              <w:rPr>
                <w:sz w:val="14"/>
                <w:szCs w:val="14"/>
                <w:color w:val="auto"/>
              </w:rPr>
            </w:pPr>
          </w:p>
        </w:tc>
        <w:tc>
          <w:tcPr>
            <w:tcW w:w="920" w:type="dxa"/>
            <w:vAlign w:val="bottom"/>
            <w:shd w:val="clear" w:color="auto" w:fill="CCEEFF"/>
          </w:tcPr>
          <w:p>
            <w:pPr>
              <w:jc w:val="right"/>
              <w:ind w:right="123"/>
              <w:spacing w:after="0" w:line="166" w:lineRule="exact"/>
              <w:rPr>
                <w:sz w:val="20"/>
                <w:szCs w:val="20"/>
                <w:color w:val="auto"/>
              </w:rPr>
            </w:pPr>
            <w:r>
              <w:rPr>
                <w:rFonts w:ascii="Arial" w:cs="Arial" w:eastAsia="Arial" w:hAnsi="Arial"/>
                <w:sz w:val="15"/>
                <w:szCs w:val="15"/>
                <w:color w:val="auto"/>
              </w:rPr>
              <w:t>$21,807</w:t>
            </w:r>
          </w:p>
        </w:tc>
        <w:tc>
          <w:tcPr>
            <w:tcW w:w="800" w:type="dxa"/>
            <w:vAlign w:val="bottom"/>
            <w:shd w:val="clear" w:color="auto" w:fill="CCEEFF"/>
          </w:tcPr>
          <w:p>
            <w:pPr>
              <w:jc w:val="right"/>
              <w:ind w:right="23"/>
              <w:spacing w:after="0" w:line="166" w:lineRule="exact"/>
              <w:rPr>
                <w:sz w:val="20"/>
                <w:szCs w:val="20"/>
                <w:color w:val="auto"/>
              </w:rPr>
            </w:pPr>
            <w:r>
              <w:rPr>
                <w:rFonts w:ascii="Arial" w:cs="Arial" w:eastAsia="Arial" w:hAnsi="Arial"/>
                <w:sz w:val="15"/>
                <w:szCs w:val="15"/>
                <w:color w:val="auto"/>
              </w:rPr>
              <w:t>$18,727</w:t>
            </w:r>
          </w:p>
        </w:tc>
        <w:tc>
          <w:tcPr>
            <w:tcW w:w="0" w:type="dxa"/>
            <w:vAlign w:val="bottom"/>
          </w:tcPr>
          <w:p>
            <w:pPr>
              <w:spacing w:after="0"/>
              <w:rPr>
                <w:sz w:val="1"/>
                <w:szCs w:val="1"/>
                <w:color w:val="auto"/>
              </w:rPr>
            </w:pPr>
          </w:p>
        </w:tc>
      </w:tr>
      <w:tr>
        <w:trPr>
          <w:trHeight w:val="159"/>
        </w:trPr>
        <w:tc>
          <w:tcPr>
            <w:tcW w:w="2980" w:type="dxa"/>
            <w:vAlign w:val="bottom"/>
          </w:tcPr>
          <w:p>
            <w:pPr>
              <w:spacing w:after="0" w:line="159" w:lineRule="exact"/>
              <w:rPr>
                <w:sz w:val="20"/>
                <w:szCs w:val="20"/>
                <w:color w:val="auto"/>
              </w:rPr>
            </w:pPr>
            <w:r>
              <w:rPr>
                <w:rFonts w:ascii="Arial" w:cs="Arial" w:eastAsia="Arial" w:hAnsi="Arial"/>
                <w:sz w:val="15"/>
                <w:szCs w:val="15"/>
                <w:color w:val="auto"/>
              </w:rPr>
              <w:t>Gross increases – tax positions in prior</w:t>
            </w:r>
          </w:p>
        </w:tc>
        <w:tc>
          <w:tcPr>
            <w:tcW w:w="90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944</w:t>
            </w: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80" w:type="dxa"/>
            <w:vAlign w:val="bottom"/>
          </w:tcPr>
          <w:p>
            <w:pPr>
              <w:ind w:left="160"/>
              <w:spacing w:after="0" w:line="166" w:lineRule="exact"/>
              <w:rPr>
                <w:sz w:val="20"/>
                <w:szCs w:val="20"/>
                <w:color w:val="auto"/>
              </w:rPr>
            </w:pPr>
            <w:r>
              <w:rPr>
                <w:rFonts w:ascii="Arial" w:cs="Arial" w:eastAsia="Arial" w:hAnsi="Arial"/>
                <w:sz w:val="15"/>
                <w:szCs w:val="15"/>
                <w:color w:val="auto"/>
              </w:rPr>
              <w:t>years</w:t>
            </w:r>
          </w:p>
        </w:tc>
        <w:tc>
          <w:tcPr>
            <w:tcW w:w="900" w:type="dxa"/>
            <w:vAlign w:val="bottom"/>
            <w:vMerge w:val="continue"/>
          </w:tcPr>
          <w:p>
            <w:pPr>
              <w:spacing w:after="0"/>
              <w:rPr>
                <w:sz w:val="14"/>
                <w:szCs w:val="14"/>
                <w:color w:val="auto"/>
              </w:rPr>
            </w:pPr>
          </w:p>
        </w:tc>
        <w:tc>
          <w:tcPr>
            <w:tcW w:w="920" w:type="dxa"/>
            <w:vAlign w:val="bottom"/>
          </w:tcPr>
          <w:p>
            <w:pPr>
              <w:jc w:val="right"/>
              <w:ind w:right="123"/>
              <w:spacing w:after="0" w:line="166" w:lineRule="exact"/>
              <w:rPr>
                <w:sz w:val="20"/>
                <w:szCs w:val="20"/>
                <w:color w:val="auto"/>
              </w:rPr>
            </w:pPr>
            <w:r>
              <w:rPr>
                <w:rFonts w:ascii="Arial" w:cs="Arial" w:eastAsia="Arial" w:hAnsi="Arial"/>
                <w:sz w:val="15"/>
                <w:szCs w:val="15"/>
                <w:color w:val="auto"/>
              </w:rPr>
              <w:t>1,396</w:t>
            </w:r>
          </w:p>
        </w:tc>
        <w:tc>
          <w:tcPr>
            <w:tcW w:w="800" w:type="dxa"/>
            <w:vAlign w:val="bottom"/>
          </w:tcPr>
          <w:p>
            <w:pPr>
              <w:jc w:val="right"/>
              <w:ind w:right="23"/>
              <w:spacing w:after="0" w:line="166" w:lineRule="exact"/>
              <w:rPr>
                <w:sz w:val="20"/>
                <w:szCs w:val="20"/>
                <w:color w:val="auto"/>
              </w:rPr>
            </w:pPr>
            <w:r>
              <w:rPr>
                <w:rFonts w:ascii="Arial" w:cs="Arial" w:eastAsia="Arial" w:hAnsi="Arial"/>
                <w:sz w:val="15"/>
                <w:szCs w:val="15"/>
                <w:color w:val="auto"/>
              </w:rPr>
              <w:t>2,401</w:t>
            </w:r>
          </w:p>
        </w:tc>
        <w:tc>
          <w:tcPr>
            <w:tcW w:w="0" w:type="dxa"/>
            <w:vAlign w:val="bottom"/>
          </w:tcPr>
          <w:p>
            <w:pPr>
              <w:spacing w:after="0"/>
              <w:rPr>
                <w:sz w:val="1"/>
                <w:szCs w:val="1"/>
                <w:color w:val="auto"/>
              </w:rPr>
            </w:pPr>
          </w:p>
        </w:tc>
      </w:tr>
      <w:tr>
        <w:trPr>
          <w:trHeight w:val="159"/>
        </w:trPr>
        <w:tc>
          <w:tcPr>
            <w:tcW w:w="298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Gross decreases – tax positions in prior</w:t>
            </w:r>
          </w:p>
        </w:tc>
        <w:tc>
          <w:tcPr>
            <w:tcW w:w="9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80" w:type="dxa"/>
            <w:vAlign w:val="bottom"/>
            <w:shd w:val="clear" w:color="auto" w:fill="CCEEFF"/>
          </w:tcPr>
          <w:p>
            <w:pPr>
              <w:ind w:left="160"/>
              <w:spacing w:after="0" w:line="166" w:lineRule="exact"/>
              <w:rPr>
                <w:sz w:val="20"/>
                <w:szCs w:val="20"/>
                <w:color w:val="auto"/>
              </w:rPr>
            </w:pPr>
            <w:r>
              <w:rPr>
                <w:rFonts w:ascii="Arial" w:cs="Arial" w:eastAsia="Arial" w:hAnsi="Arial"/>
                <w:sz w:val="15"/>
                <w:szCs w:val="15"/>
                <w:color w:val="auto"/>
              </w:rPr>
              <w:t>years</w:t>
            </w:r>
          </w:p>
        </w:tc>
        <w:tc>
          <w:tcPr>
            <w:tcW w:w="900" w:type="dxa"/>
            <w:vAlign w:val="bottom"/>
            <w:vMerge w:val="continue"/>
            <w:shd w:val="clear" w:color="auto" w:fill="CCEEFF"/>
          </w:tcPr>
          <w:p>
            <w:pPr>
              <w:spacing w:after="0"/>
              <w:rPr>
                <w:sz w:val="14"/>
                <w:szCs w:val="14"/>
                <w:color w:val="auto"/>
              </w:rPr>
            </w:pPr>
          </w:p>
        </w:tc>
        <w:tc>
          <w:tcPr>
            <w:tcW w:w="920" w:type="dxa"/>
            <w:vAlign w:val="bottom"/>
            <w:shd w:val="clear" w:color="auto" w:fill="CCEEFF"/>
          </w:tcPr>
          <w:p>
            <w:pPr>
              <w:jc w:val="right"/>
              <w:ind w:right="63"/>
              <w:spacing w:after="0" w:line="166" w:lineRule="exact"/>
              <w:rPr>
                <w:sz w:val="20"/>
                <w:szCs w:val="20"/>
                <w:color w:val="auto"/>
              </w:rPr>
            </w:pPr>
            <w:r>
              <w:rPr>
                <w:rFonts w:ascii="Arial" w:cs="Arial" w:eastAsia="Arial" w:hAnsi="Arial"/>
                <w:sz w:val="15"/>
                <w:szCs w:val="15"/>
                <w:color w:val="auto"/>
              </w:rPr>
              <w:t>(672)</w:t>
            </w:r>
          </w:p>
        </w:tc>
        <w:tc>
          <w:tcPr>
            <w:tcW w:w="8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(1,924)</w:t>
            </w:r>
          </w:p>
        </w:tc>
        <w:tc>
          <w:tcPr>
            <w:tcW w:w="0" w:type="dxa"/>
            <w:vAlign w:val="bottom"/>
          </w:tcPr>
          <w:p>
            <w:pPr>
              <w:spacing w:after="0"/>
              <w:rPr>
                <w:sz w:val="1"/>
                <w:szCs w:val="1"/>
                <w:color w:val="auto"/>
              </w:rPr>
            </w:pPr>
          </w:p>
        </w:tc>
      </w:tr>
      <w:tr>
        <w:trPr>
          <w:trHeight w:val="159"/>
        </w:trPr>
        <w:tc>
          <w:tcPr>
            <w:tcW w:w="2980" w:type="dxa"/>
            <w:vAlign w:val="bottom"/>
          </w:tcPr>
          <w:p>
            <w:pPr>
              <w:spacing w:after="0" w:line="159" w:lineRule="exact"/>
              <w:rPr>
                <w:sz w:val="20"/>
                <w:szCs w:val="20"/>
                <w:color w:val="auto"/>
              </w:rPr>
            </w:pPr>
            <w:r>
              <w:rPr>
                <w:rFonts w:ascii="Arial" w:cs="Arial" w:eastAsia="Arial" w:hAnsi="Arial"/>
                <w:sz w:val="15"/>
                <w:szCs w:val="15"/>
                <w:color w:val="auto"/>
              </w:rPr>
              <w:t>Gross increases – tax positions in current</w:t>
            </w:r>
          </w:p>
        </w:tc>
        <w:tc>
          <w:tcPr>
            <w:tcW w:w="90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1,802</w:t>
            </w: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80" w:type="dxa"/>
            <w:vAlign w:val="bottom"/>
          </w:tcPr>
          <w:p>
            <w:pPr>
              <w:ind w:left="160"/>
              <w:spacing w:after="0" w:line="166" w:lineRule="exact"/>
              <w:rPr>
                <w:sz w:val="20"/>
                <w:szCs w:val="20"/>
                <w:color w:val="auto"/>
              </w:rPr>
            </w:pPr>
            <w:r>
              <w:rPr>
                <w:rFonts w:ascii="Arial" w:cs="Arial" w:eastAsia="Arial" w:hAnsi="Arial"/>
                <w:sz w:val="15"/>
                <w:szCs w:val="15"/>
                <w:color w:val="auto"/>
              </w:rPr>
              <w:t>year</w:t>
            </w:r>
          </w:p>
        </w:tc>
        <w:tc>
          <w:tcPr>
            <w:tcW w:w="900" w:type="dxa"/>
            <w:vAlign w:val="bottom"/>
            <w:vMerge w:val="continue"/>
          </w:tcPr>
          <w:p>
            <w:pPr>
              <w:spacing w:after="0"/>
              <w:rPr>
                <w:sz w:val="14"/>
                <w:szCs w:val="14"/>
                <w:color w:val="auto"/>
              </w:rPr>
            </w:pPr>
          </w:p>
        </w:tc>
        <w:tc>
          <w:tcPr>
            <w:tcW w:w="920" w:type="dxa"/>
            <w:vAlign w:val="bottom"/>
          </w:tcPr>
          <w:p>
            <w:pPr>
              <w:jc w:val="right"/>
              <w:ind w:right="123"/>
              <w:spacing w:after="0" w:line="166" w:lineRule="exact"/>
              <w:rPr>
                <w:sz w:val="20"/>
                <w:szCs w:val="20"/>
                <w:color w:val="auto"/>
              </w:rPr>
            </w:pPr>
            <w:r>
              <w:rPr>
                <w:rFonts w:ascii="Arial" w:cs="Arial" w:eastAsia="Arial" w:hAnsi="Arial"/>
                <w:sz w:val="15"/>
                <w:szCs w:val="15"/>
                <w:color w:val="auto"/>
              </w:rPr>
              <w:t>4,961</w:t>
            </w:r>
          </w:p>
        </w:tc>
        <w:tc>
          <w:tcPr>
            <w:tcW w:w="800" w:type="dxa"/>
            <w:vAlign w:val="bottom"/>
          </w:tcPr>
          <w:p>
            <w:pPr>
              <w:jc w:val="right"/>
              <w:ind w:right="23"/>
              <w:spacing w:after="0" w:line="166" w:lineRule="exact"/>
              <w:rPr>
                <w:sz w:val="20"/>
                <w:szCs w:val="20"/>
                <w:color w:val="auto"/>
              </w:rPr>
            </w:pPr>
            <w:r>
              <w:rPr>
                <w:rFonts w:ascii="Arial" w:cs="Arial" w:eastAsia="Arial" w:hAnsi="Arial"/>
                <w:sz w:val="15"/>
                <w:szCs w:val="15"/>
                <w:color w:val="auto"/>
              </w:rPr>
              <w:t>4,650</w:t>
            </w:r>
          </w:p>
        </w:tc>
        <w:tc>
          <w:tcPr>
            <w:tcW w:w="0" w:type="dxa"/>
            <w:vAlign w:val="bottom"/>
          </w:tcPr>
          <w:p>
            <w:pPr>
              <w:spacing w:after="0"/>
              <w:rPr>
                <w:sz w:val="1"/>
                <w:szCs w:val="1"/>
                <w:color w:val="auto"/>
              </w:rPr>
            </w:pPr>
          </w:p>
        </w:tc>
      </w:tr>
      <w:tr>
        <w:trPr>
          <w:trHeight w:val="159"/>
        </w:trPr>
        <w:tc>
          <w:tcPr>
            <w:tcW w:w="298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Gross decreases – tax positions in</w:t>
            </w:r>
          </w:p>
        </w:tc>
        <w:tc>
          <w:tcPr>
            <w:tcW w:w="90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(1,013)</w:t>
            </w:r>
          </w:p>
        </w:tc>
        <w:tc>
          <w:tcPr>
            <w:tcW w:w="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80" w:type="dxa"/>
            <w:vAlign w:val="bottom"/>
            <w:shd w:val="clear" w:color="auto" w:fill="CCEEFF"/>
          </w:tcPr>
          <w:p>
            <w:pPr>
              <w:ind w:left="160"/>
              <w:spacing w:after="0" w:line="166" w:lineRule="exact"/>
              <w:rPr>
                <w:sz w:val="20"/>
                <w:szCs w:val="20"/>
                <w:color w:val="auto"/>
              </w:rPr>
            </w:pPr>
            <w:r>
              <w:rPr>
                <w:rFonts w:ascii="Arial" w:cs="Arial" w:eastAsia="Arial" w:hAnsi="Arial"/>
                <w:sz w:val="15"/>
                <w:szCs w:val="15"/>
                <w:color w:val="auto"/>
              </w:rPr>
              <w:t>current year</w:t>
            </w:r>
          </w:p>
        </w:tc>
        <w:tc>
          <w:tcPr>
            <w:tcW w:w="900" w:type="dxa"/>
            <w:vAlign w:val="bottom"/>
            <w:vMerge w:val="continue"/>
            <w:shd w:val="clear" w:color="auto" w:fill="CCEEFF"/>
          </w:tcPr>
          <w:p>
            <w:pPr>
              <w:spacing w:after="0"/>
              <w:rPr>
                <w:sz w:val="14"/>
                <w:szCs w:val="14"/>
                <w:color w:val="auto"/>
              </w:rPr>
            </w:pPr>
          </w:p>
        </w:tc>
        <w:tc>
          <w:tcPr>
            <w:tcW w:w="920" w:type="dxa"/>
            <w:vAlign w:val="bottom"/>
            <w:shd w:val="clear" w:color="auto" w:fill="CCEEFF"/>
          </w:tcPr>
          <w:p>
            <w:pPr>
              <w:jc w:val="right"/>
              <w:ind w:right="63"/>
              <w:spacing w:after="0" w:line="166" w:lineRule="exact"/>
              <w:rPr>
                <w:sz w:val="20"/>
                <w:szCs w:val="20"/>
                <w:color w:val="auto"/>
              </w:rPr>
            </w:pPr>
            <w:r>
              <w:rPr>
                <w:rFonts w:ascii="Arial" w:cs="Arial" w:eastAsia="Arial" w:hAnsi="Arial"/>
                <w:sz w:val="15"/>
                <w:szCs w:val="15"/>
                <w:color w:val="auto"/>
              </w:rPr>
              <w:t>(946)</w:t>
            </w:r>
          </w:p>
        </w:tc>
        <w:tc>
          <w:tcPr>
            <w:tcW w:w="8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(2,047)</w:t>
            </w:r>
          </w:p>
        </w:tc>
        <w:tc>
          <w:tcPr>
            <w:tcW w:w="0" w:type="dxa"/>
            <w:vAlign w:val="bottom"/>
          </w:tcPr>
          <w:p>
            <w:pPr>
              <w:spacing w:after="0"/>
              <w:rPr>
                <w:sz w:val="1"/>
                <w:szCs w:val="1"/>
                <w:color w:val="auto"/>
              </w:rPr>
            </w:pPr>
          </w:p>
        </w:tc>
      </w:tr>
      <w:tr>
        <w:trPr>
          <w:trHeight w:val="162"/>
        </w:trPr>
        <w:tc>
          <w:tcPr>
            <w:tcW w:w="298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Lapse of statute of limitations</w:t>
            </w:r>
          </w:p>
        </w:tc>
        <w:tc>
          <w:tcPr>
            <w:tcW w:w="90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(4,179)</w:t>
            </w:r>
          </w:p>
        </w:tc>
        <w:tc>
          <w:tcPr>
            <w:tcW w:w="80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3"/>
        </w:trPr>
        <w:tc>
          <w:tcPr>
            <w:tcW w:w="29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Unrecognized tax benefits at end of year</w:t>
            </w:r>
          </w:p>
        </w:tc>
        <w:tc>
          <w:tcPr>
            <w:tcW w:w="900" w:type="dxa"/>
            <w:vAlign w:val="bottom"/>
            <w:tcBorders>
              <w:bottom w:val="single" w:sz="8" w:color="auto"/>
            </w:tcBorders>
            <w:shd w:val="clear" w:color="auto" w:fill="CCEEFF"/>
          </w:tcPr>
          <w:p>
            <w:pPr>
              <w:jc w:val="right"/>
              <w:ind w:right="103"/>
              <w:spacing w:after="0" w:line="156" w:lineRule="exact"/>
              <w:rPr>
                <w:sz w:val="20"/>
                <w:szCs w:val="20"/>
                <w:color w:val="auto"/>
              </w:rPr>
            </w:pPr>
            <w:r>
              <w:rPr>
                <w:rFonts w:ascii="Arial" w:cs="Arial" w:eastAsia="Arial" w:hAnsi="Arial"/>
                <w:sz w:val="15"/>
                <w:szCs w:val="15"/>
                <w:b w:val="1"/>
                <w:bCs w:val="1"/>
                <w:color w:val="auto"/>
              </w:rPr>
              <w:t>$24,100</w:t>
            </w:r>
          </w:p>
        </w:tc>
        <w:tc>
          <w:tcPr>
            <w:tcW w:w="920" w:type="dxa"/>
            <w:vAlign w:val="bottom"/>
            <w:tcBorders>
              <w:bottom w:val="single" w:sz="8" w:color="auto"/>
            </w:tcBorders>
            <w:shd w:val="clear" w:color="auto" w:fill="CCEEFF"/>
          </w:tcPr>
          <w:p>
            <w:pPr>
              <w:jc w:val="right"/>
              <w:ind w:right="123"/>
              <w:spacing w:after="0" w:line="156" w:lineRule="exact"/>
              <w:rPr>
                <w:sz w:val="20"/>
                <w:szCs w:val="20"/>
                <w:color w:val="auto"/>
              </w:rPr>
            </w:pPr>
            <w:r>
              <w:rPr>
                <w:rFonts w:ascii="Arial" w:cs="Arial" w:eastAsia="Arial" w:hAnsi="Arial"/>
                <w:sz w:val="15"/>
                <w:szCs w:val="15"/>
                <w:color w:val="auto"/>
              </w:rPr>
              <w:t>$22,367</w:t>
            </w:r>
          </w:p>
        </w:tc>
        <w:tc>
          <w:tcPr>
            <w:tcW w:w="80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$21,807</w:t>
            </w:r>
          </w:p>
        </w:tc>
        <w:tc>
          <w:tcPr>
            <w:tcW w:w="0" w:type="dxa"/>
            <w:vAlign w:val="bottom"/>
          </w:tcPr>
          <w:p>
            <w:pPr>
              <w:spacing w:after="0"/>
              <w:rPr>
                <w:sz w:val="1"/>
                <w:szCs w:val="1"/>
                <w:color w:val="auto"/>
              </w:rPr>
            </w:pPr>
          </w:p>
        </w:tc>
      </w:tr>
      <w:tr>
        <w:trPr>
          <w:trHeight w:val="361"/>
        </w:trPr>
        <w:tc>
          <w:tcPr>
            <w:tcW w:w="2980" w:type="dxa"/>
            <w:vAlign w:val="bottom"/>
          </w:tcPr>
          <w:p>
            <w:pPr>
              <w:spacing w:after="0"/>
              <w:rPr>
                <w:sz w:val="20"/>
                <w:szCs w:val="20"/>
                <w:color w:val="auto"/>
              </w:rPr>
            </w:pPr>
            <w:r>
              <w:rPr>
                <w:rFonts w:ascii="Arial" w:cs="Arial" w:eastAsia="Arial" w:hAnsi="Arial"/>
                <w:sz w:val="15"/>
                <w:szCs w:val="15"/>
                <w:color w:val="auto"/>
              </w:rPr>
              <w:t>Amount that, if recognized, would</w:t>
            </w:r>
          </w:p>
        </w:tc>
        <w:tc>
          <w:tcPr>
            <w:tcW w:w="90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$12,820</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980" w:type="dxa"/>
            <w:vAlign w:val="bottom"/>
            <w:tcBorders>
              <w:bottom w:val="single" w:sz="8" w:color="auto"/>
            </w:tcBorders>
          </w:tcPr>
          <w:p>
            <w:pPr>
              <w:ind w:left="160"/>
              <w:spacing w:after="0" w:line="166" w:lineRule="exact"/>
              <w:rPr>
                <w:sz w:val="20"/>
                <w:szCs w:val="20"/>
                <w:color w:val="auto"/>
              </w:rPr>
            </w:pPr>
            <w:r>
              <w:rPr>
                <w:rFonts w:ascii="Arial" w:cs="Arial" w:eastAsia="Arial" w:hAnsi="Arial"/>
                <w:sz w:val="15"/>
                <w:szCs w:val="15"/>
                <w:color w:val="auto"/>
              </w:rPr>
              <w:t>favorably impact the effective tax rate</w:t>
            </w:r>
          </w:p>
        </w:tc>
        <w:tc>
          <w:tcPr>
            <w:tcW w:w="90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tcPr>
          <w:p>
            <w:pPr>
              <w:jc w:val="right"/>
              <w:ind w:right="123"/>
              <w:spacing w:after="0" w:line="166" w:lineRule="exact"/>
              <w:rPr>
                <w:sz w:val="20"/>
                <w:szCs w:val="20"/>
                <w:color w:val="auto"/>
              </w:rPr>
            </w:pPr>
            <w:r>
              <w:rPr>
                <w:rFonts w:ascii="Arial" w:cs="Arial" w:eastAsia="Arial" w:hAnsi="Arial"/>
                <w:sz w:val="15"/>
                <w:szCs w:val="15"/>
                <w:color w:val="auto"/>
              </w:rPr>
              <w:t>$10,399</w:t>
            </w:r>
          </w:p>
        </w:tc>
        <w:tc>
          <w:tcPr>
            <w:tcW w:w="800" w:type="dxa"/>
            <w:vAlign w:val="bottom"/>
            <w:tcBorders>
              <w:bottom w:val="single" w:sz="8" w:color="auto"/>
            </w:tcBorders>
          </w:tcPr>
          <w:p>
            <w:pPr>
              <w:jc w:val="right"/>
              <w:ind w:right="23"/>
              <w:spacing w:after="0" w:line="166" w:lineRule="exact"/>
              <w:rPr>
                <w:sz w:val="20"/>
                <w:szCs w:val="20"/>
                <w:color w:val="auto"/>
              </w:rPr>
            </w:pPr>
            <w:r>
              <w:rPr>
                <w:rFonts w:ascii="Arial" w:cs="Arial" w:eastAsia="Arial" w:hAnsi="Arial"/>
                <w:sz w:val="15"/>
                <w:szCs w:val="15"/>
                <w:color w:val="auto"/>
              </w:rPr>
              <w:t>$11,603</w:t>
            </w:r>
          </w:p>
        </w:tc>
        <w:tc>
          <w:tcPr>
            <w:tcW w:w="0" w:type="dxa"/>
            <w:vAlign w:val="bottom"/>
          </w:tcPr>
          <w:p>
            <w:pPr>
              <w:spacing w:after="0"/>
              <w:rPr>
                <w:sz w:val="1"/>
                <w:szCs w:val="1"/>
                <w:color w:val="auto"/>
              </w:rPr>
            </w:pPr>
          </w:p>
        </w:tc>
      </w:tr>
    </w:tbl>
    <w:p>
      <w:pPr>
        <w:spacing w:after="0" w:line="209"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Deferred tax liabilities related to goodwill and other intangibles reflect the cessation of goodwill amortization for financial reporting purposes, while amortization continues for income tax purposes.</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change in deferred taxes for employee benefits was primarily driven by the additional pension funding in 2018 for the 2017 plan year.</w:t>
      </w:r>
    </w:p>
    <w:p>
      <w:pPr>
        <w:spacing w:after="0" w:line="19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Company expects to permanently reinvest the earnings from its wholly-owned Canadian and Bahamian subsidiaries, and accordingly, has not provided deferred taxes on the subsidiaries’ undistributed net earnings or basis differences. The Company believes that the tax liability that would be incurred upon repatriation is immaterial at December 31, 2018.</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following table summarizes the Company’s unrecognized tax benefits, excluding interest and correlative effects:</w:t>
      </w:r>
    </w:p>
    <w:p>
      <w:pPr>
        <w:spacing w:after="0" w:line="20" w:lineRule="exact"/>
        <w:rPr>
          <w:sz w:val="20"/>
          <w:szCs w:val="20"/>
          <w:color w:val="auto"/>
        </w:rPr>
      </w:pPr>
      <w:r>
        <w:rPr>
          <w:sz w:val="20"/>
          <w:szCs w:val="20"/>
          <w:color w:val="auto"/>
        </w:rPr>
        <w:br w:type="column"/>
      </w:r>
    </w:p>
    <w:p>
      <w:pPr>
        <w:jc w:val="both"/>
        <w:spacing w:after="0" w:line="234" w:lineRule="auto"/>
        <w:rPr>
          <w:sz w:val="20"/>
          <w:szCs w:val="20"/>
          <w:color w:val="auto"/>
        </w:rPr>
      </w:pPr>
      <w:r>
        <w:rPr>
          <w:rFonts w:ascii="Arial" w:cs="Arial" w:eastAsia="Arial" w:hAnsi="Arial"/>
          <w:sz w:val="17"/>
          <w:szCs w:val="17"/>
          <w:color w:val="auto"/>
        </w:rPr>
        <w:t>Unrecognized tax benefits are reversed as a discrete event if an examination of applicable tax returns is not initiated by a federal or state tax authority within the statute of limitations or upon effective settlement with federal or state tax authorities. Management believes its accrual for unrecognized tax benefits is sufficient to cover uncertain tax positions reviewed during audits by taxing authorities. The accrual is not expected to materially change in the next twelve months.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For the year ended December 31, 2017, $3,922,000 was reversed into income upon the statute of limitations expiration for the 2010 through 2013 tax years.</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Company’s tax years subject to federal, state or foreign examinations are 2011 through 2018.</w:t>
      </w:r>
    </w:p>
    <w:p>
      <w:pPr>
        <w:spacing w:after="0" w:line="182"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b w:val="1"/>
          <w:bCs w:val="1"/>
          <w:color w:val="0085CD"/>
        </w:rPr>
        <w:t>Note K: Retirement Plans, Postretirement and Postemployment Benefits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Company sponsors defined benefit retirement plans that cover substantially all employees. Additionally, the Company provides other postretirement benefits for certain employees, including medical benefits for retirees and their spouses and retiree life insurance. Employees starting on or after January 1, 2002 are not eligible for postretirement welfare plans. The Company also provides certain benefits, such as disability benefits, to former or inactive employees after employment but before retirement.</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measurement date for the Company’s defined benefit plans, postretirement benefit plans and postemployment benefit plans is December 31.</w:t>
      </w:r>
    </w:p>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6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29</w:t>
      </w:r>
    </w:p>
    <w:p>
      <w:pPr>
        <w:sectPr>
          <w:pgSz w:w="11900" w:h="16838" w:orient="portrait"/>
          <w:cols w:equalWidth="0" w:num="1">
            <w:col w:w="11420"/>
          </w:cols>
          <w:pgMar w:left="240" w:top="265" w:right="239" w:bottom="1440" w:gutter="0" w:footer="0" w:header="0"/>
          <w:type w:val="continuous"/>
        </w:sectPr>
      </w:pPr>
    </w:p>
    <w:bookmarkStart w:id="68" w:name="page69"/>
    <w:bookmarkEnd w:id="68"/>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i w:val="1"/>
          <w:iCs w:val="1"/>
          <w:color w:val="49B28F"/>
        </w:rPr>
        <w:t xml:space="preserve">Defined Benefit Retirement Plans. </w:t>
      </w:r>
      <w:r>
        <w:rPr>
          <w:rFonts w:ascii="Arial" w:cs="Arial" w:eastAsia="Arial" w:hAnsi="Arial"/>
          <w:sz w:val="17"/>
          <w:szCs w:val="17"/>
          <w:color w:val="000000"/>
        </w:rPr>
        <w:t>Retirement plan assets are</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invested in listed stocks, bonds, hedge funds, real estate and cash equivalents. Defined retirement benefits for salaried employees are based on each employee’s years of service and average compensation for a specified period of time before retirement. Defined retirement benefits for hourly employees are generally stated amounts for specified periods of service.</w:t>
      </w:r>
    </w:p>
    <w:p>
      <w:pPr>
        <w:spacing w:after="0" w:line="203"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Company sponsors a Supplemental Excess Retirement Plan (SERP) that generally provides for the payment of retirement benefits in excess of allowable Internal Revenue Code limits. The SERP generally provides for a lump-sum payment of vested benefits. When these benefit payments exceed the sum of the service and interest costs for the SERP during a year, the Company recognizes a pro-rata portion of the SERP’s unrecognized actuarial loss as settlement expense.</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net periodic retirement benefit cost of defined benefit plans includes the following components: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300" w:type="dxa"/>
            <w:vAlign w:val="bottom"/>
          </w:tcPr>
          <w:p>
            <w:pPr>
              <w:ind w:left="20"/>
              <w:spacing w:after="0"/>
              <w:rPr>
                <w:sz w:val="20"/>
                <w:szCs w:val="20"/>
                <w:color w:val="auto"/>
              </w:rPr>
            </w:pPr>
            <w:r>
              <w:rPr>
                <w:rFonts w:ascii="Arial" w:cs="Arial" w:eastAsia="Arial" w:hAnsi="Arial"/>
                <w:sz w:val="14"/>
                <w:szCs w:val="14"/>
                <w:i w:val="1"/>
                <w:iCs w:val="1"/>
                <w:color w:val="auto"/>
              </w:rPr>
              <w:t>years ended December 31</w:t>
            </w:r>
          </w:p>
        </w:tc>
        <w:tc>
          <w:tcPr>
            <w:tcW w:w="1320" w:type="dxa"/>
            <w:vAlign w:val="bottom"/>
            <w:vMerge w:val="restart"/>
          </w:tcPr>
          <w:p>
            <w:pPr>
              <w:jc w:val="right"/>
              <w:ind w:right="123"/>
              <w:spacing w:after="0"/>
              <w:rPr>
                <w:sz w:val="20"/>
                <w:szCs w:val="20"/>
                <w:color w:val="auto"/>
              </w:rPr>
            </w:pPr>
            <w:r>
              <w:rPr>
                <w:rFonts w:ascii="Arial" w:cs="Arial" w:eastAsia="Arial" w:hAnsi="Arial"/>
                <w:sz w:val="15"/>
                <w:szCs w:val="15"/>
                <w:b w:val="1"/>
                <w:bCs w:val="1"/>
                <w:color w:val="0085CD"/>
              </w:rPr>
              <w:t>2018</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(add 000)</w:t>
            </w:r>
          </w:p>
        </w:tc>
        <w:tc>
          <w:tcPr>
            <w:tcW w:w="132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2017</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230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Service cost</w:t>
            </w:r>
          </w:p>
        </w:tc>
        <w:tc>
          <w:tcPr>
            <w:tcW w:w="1320" w:type="dxa"/>
            <w:vAlign w:val="bottom"/>
            <w:shd w:val="clear" w:color="auto" w:fill="CCEEFF"/>
          </w:tcPr>
          <w:p>
            <w:pPr>
              <w:jc w:val="right"/>
              <w:ind w:right="123"/>
              <w:spacing w:after="0" w:line="156" w:lineRule="exact"/>
              <w:rPr>
                <w:sz w:val="20"/>
                <w:szCs w:val="20"/>
                <w:color w:val="auto"/>
              </w:rPr>
            </w:pPr>
            <w:r>
              <w:rPr>
                <w:rFonts w:ascii="Arial" w:cs="Arial" w:eastAsia="Arial" w:hAnsi="Arial"/>
                <w:sz w:val="15"/>
                <w:szCs w:val="15"/>
                <w:b w:val="1"/>
                <w:bCs w:val="1"/>
                <w:color w:val="auto"/>
              </w:rPr>
              <w:t>$ 31,624</w:t>
            </w:r>
          </w:p>
        </w:tc>
        <w:tc>
          <w:tcPr>
            <w:tcW w:w="980" w:type="dxa"/>
            <w:vAlign w:val="bottom"/>
            <w:shd w:val="clear" w:color="auto" w:fill="CCEEFF"/>
          </w:tcPr>
          <w:p>
            <w:pPr>
              <w:jc w:val="right"/>
              <w:ind w:right="123"/>
              <w:spacing w:after="0" w:line="156" w:lineRule="exact"/>
              <w:rPr>
                <w:sz w:val="20"/>
                <w:szCs w:val="20"/>
                <w:color w:val="auto"/>
              </w:rPr>
            </w:pPr>
            <w:r>
              <w:rPr>
                <w:rFonts w:ascii="Arial" w:cs="Arial" w:eastAsia="Arial" w:hAnsi="Arial"/>
                <w:sz w:val="15"/>
                <w:szCs w:val="15"/>
                <w:color w:val="auto"/>
              </w:rPr>
              <w:t>$ 26,805</w:t>
            </w:r>
          </w:p>
        </w:tc>
        <w:tc>
          <w:tcPr>
            <w:tcW w:w="880" w:type="dxa"/>
            <w:vAlign w:val="bottom"/>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$ 22,167</w:t>
            </w: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5"/>
                <w:szCs w:val="15"/>
                <w:color w:val="auto"/>
              </w:rPr>
              <w:t>Interest cost</w:t>
            </w:r>
          </w:p>
        </w:tc>
        <w:tc>
          <w:tcPr>
            <w:tcW w:w="1320" w:type="dxa"/>
            <w:vAlign w:val="bottom"/>
          </w:tcPr>
          <w:p>
            <w:pPr>
              <w:jc w:val="right"/>
              <w:ind w:right="123"/>
              <w:spacing w:after="0" w:line="162" w:lineRule="exact"/>
              <w:rPr>
                <w:sz w:val="20"/>
                <w:szCs w:val="20"/>
                <w:color w:val="auto"/>
              </w:rPr>
            </w:pPr>
            <w:r>
              <w:rPr>
                <w:rFonts w:ascii="Arial" w:cs="Arial" w:eastAsia="Arial" w:hAnsi="Arial"/>
                <w:sz w:val="15"/>
                <w:szCs w:val="15"/>
                <w:b w:val="1"/>
                <w:bCs w:val="1"/>
                <w:color w:val="auto"/>
              </w:rPr>
              <w:t>33,209</w:t>
            </w:r>
          </w:p>
        </w:tc>
        <w:tc>
          <w:tcPr>
            <w:tcW w:w="98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36,101</w:t>
            </w:r>
          </w:p>
        </w:tc>
        <w:tc>
          <w:tcPr>
            <w:tcW w:w="8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35,879</w:t>
            </w: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Expected return on assets</w:t>
            </w:r>
          </w:p>
        </w:tc>
        <w:tc>
          <w:tcPr>
            <w:tcW w:w="132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b w:val="1"/>
                <w:bCs w:val="1"/>
                <w:color w:val="auto"/>
              </w:rPr>
              <w:t>(46,011)</w:t>
            </w:r>
          </w:p>
        </w:tc>
        <w:tc>
          <w:tcPr>
            <w:tcW w:w="98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(39,759)</w:t>
            </w: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(37,699)</w:t>
            </w: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5"/>
                <w:szCs w:val="15"/>
                <w:color w:val="auto"/>
              </w:rPr>
              <w:t>Amortization of:</w:t>
            </w: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Prior service cost</w:t>
            </w:r>
          </w:p>
        </w:tc>
        <w:tc>
          <w:tcPr>
            <w:tcW w:w="132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b w:val="1"/>
                <w:bCs w:val="1"/>
                <w:color w:val="auto"/>
              </w:rPr>
              <w:t>104</w:t>
            </w:r>
          </w:p>
        </w:tc>
        <w:tc>
          <w:tcPr>
            <w:tcW w:w="98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311</w:t>
            </w:r>
          </w:p>
        </w:tc>
        <w:tc>
          <w:tcPr>
            <w:tcW w:w="8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350</w:t>
            </w:r>
          </w:p>
        </w:tc>
        <w:tc>
          <w:tcPr>
            <w:tcW w:w="0" w:type="dxa"/>
            <w:vAlign w:val="bottom"/>
          </w:tcPr>
          <w:p>
            <w:pPr>
              <w:spacing w:after="0"/>
              <w:rPr>
                <w:sz w:val="1"/>
                <w:szCs w:val="1"/>
                <w:color w:val="auto"/>
              </w:rPr>
            </w:pPr>
          </w:p>
        </w:tc>
      </w:tr>
      <w:tr>
        <w:trPr>
          <w:trHeight w:val="162"/>
        </w:trPr>
        <w:tc>
          <w:tcPr>
            <w:tcW w:w="2300" w:type="dxa"/>
            <w:vAlign w:val="bottom"/>
          </w:tcPr>
          <w:p>
            <w:pPr>
              <w:ind w:left="160"/>
              <w:spacing w:after="0" w:line="162" w:lineRule="exact"/>
              <w:rPr>
                <w:sz w:val="20"/>
                <w:szCs w:val="20"/>
                <w:color w:val="auto"/>
              </w:rPr>
            </w:pPr>
            <w:r>
              <w:rPr>
                <w:rFonts w:ascii="Arial" w:cs="Arial" w:eastAsia="Arial" w:hAnsi="Arial"/>
                <w:sz w:val="15"/>
                <w:szCs w:val="15"/>
                <w:color w:val="auto"/>
              </w:rPr>
              <w:t>Actuarial loss</w:t>
            </w:r>
          </w:p>
        </w:tc>
        <w:tc>
          <w:tcPr>
            <w:tcW w:w="1320" w:type="dxa"/>
            <w:vAlign w:val="bottom"/>
          </w:tcPr>
          <w:p>
            <w:pPr>
              <w:jc w:val="right"/>
              <w:ind w:right="123"/>
              <w:spacing w:after="0" w:line="162" w:lineRule="exact"/>
              <w:rPr>
                <w:sz w:val="20"/>
                <w:szCs w:val="20"/>
                <w:color w:val="auto"/>
              </w:rPr>
            </w:pPr>
            <w:r>
              <w:rPr>
                <w:rFonts w:ascii="Arial" w:cs="Arial" w:eastAsia="Arial" w:hAnsi="Arial"/>
                <w:sz w:val="15"/>
                <w:szCs w:val="15"/>
                <w:b w:val="1"/>
                <w:bCs w:val="1"/>
                <w:color w:val="auto"/>
              </w:rPr>
              <w:t>12,830</w:t>
            </w:r>
          </w:p>
        </w:tc>
        <w:tc>
          <w:tcPr>
            <w:tcW w:w="98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14,138</w:t>
            </w:r>
          </w:p>
        </w:tc>
        <w:tc>
          <w:tcPr>
            <w:tcW w:w="8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12,074</w:t>
            </w: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Transition asset</w:t>
            </w:r>
          </w:p>
        </w:tc>
        <w:tc>
          <w:tcPr>
            <w:tcW w:w="132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b w:val="1"/>
                <w:bCs w:val="1"/>
                <w:color w:val="auto"/>
              </w:rPr>
              <w:t>(1)</w:t>
            </w:r>
          </w:p>
        </w:tc>
        <w:tc>
          <w:tcPr>
            <w:tcW w:w="98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(1)</w:t>
            </w: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5"/>
                <w:szCs w:val="15"/>
                <w:color w:val="auto"/>
              </w:rPr>
              <w:t>Settlement charge</w:t>
            </w:r>
          </w:p>
        </w:tc>
        <w:tc>
          <w:tcPr>
            <w:tcW w:w="1320" w:type="dxa"/>
            <w:vAlign w:val="bottom"/>
          </w:tcPr>
          <w:p>
            <w:pPr>
              <w:jc w:val="right"/>
              <w:ind w:right="123"/>
              <w:spacing w:after="0" w:line="162" w:lineRule="exact"/>
              <w:rPr>
                <w:sz w:val="20"/>
                <w:szCs w:val="20"/>
                <w:color w:val="auto"/>
              </w:rPr>
            </w:pPr>
            <w:r>
              <w:rPr>
                <w:rFonts w:ascii="Arial" w:cs="Arial" w:eastAsia="Arial" w:hAnsi="Arial"/>
                <w:sz w:val="15"/>
                <w:szCs w:val="15"/>
                <w:b w:val="1"/>
                <w:bCs w:val="1"/>
                <w:color w:val="auto"/>
              </w:rPr>
              <w:t>2,936</w:t>
            </w:r>
          </w:p>
        </w:tc>
        <w:tc>
          <w:tcPr>
            <w:tcW w:w="98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21</w:t>
            </w:r>
          </w:p>
        </w:tc>
        <w:tc>
          <w:tcPr>
            <w:tcW w:w="8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162"/>
        </w:trPr>
        <w:tc>
          <w:tcPr>
            <w:tcW w:w="2300" w:type="dxa"/>
            <w:vAlign w:val="bottom"/>
            <w:tcBorders>
              <w:bottom w:val="single" w:sz="8" w:color="auto"/>
            </w:tcBorders>
            <w:shd w:val="clear" w:color="auto" w:fill="CCEEFF"/>
          </w:tcPr>
          <w:p>
            <w:pPr>
              <w:ind w:left="20"/>
              <w:spacing w:after="0" w:line="162" w:lineRule="exact"/>
              <w:rPr>
                <w:sz w:val="20"/>
                <w:szCs w:val="20"/>
                <w:color w:val="auto"/>
              </w:rPr>
            </w:pPr>
            <w:r>
              <w:rPr>
                <w:rFonts w:ascii="Arial" w:cs="Arial" w:eastAsia="Arial" w:hAnsi="Arial"/>
                <w:sz w:val="15"/>
                <w:szCs w:val="15"/>
                <w:color w:val="auto"/>
              </w:rPr>
              <w:t>Termination benefit charge</w:t>
            </w:r>
          </w:p>
        </w:tc>
        <w:tc>
          <w:tcPr>
            <w:tcW w:w="1320" w:type="dxa"/>
            <w:vAlign w:val="bottom"/>
            <w:tcBorders>
              <w:bottom w:val="single" w:sz="8" w:color="auto"/>
            </w:tcBorders>
            <w:shd w:val="clear" w:color="auto" w:fill="CCEEFF"/>
          </w:tcPr>
          <w:p>
            <w:pPr>
              <w:jc w:val="right"/>
              <w:ind w:right="123"/>
              <w:spacing w:after="0" w:line="162" w:lineRule="exact"/>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764</w:t>
            </w:r>
          </w:p>
        </w:tc>
        <w:tc>
          <w:tcPr>
            <w:tcW w:w="0" w:type="dxa"/>
            <w:vAlign w:val="bottom"/>
          </w:tcPr>
          <w:p>
            <w:pPr>
              <w:spacing w:after="0"/>
              <w:rPr>
                <w:sz w:val="1"/>
                <w:szCs w:val="1"/>
                <w:color w:val="auto"/>
              </w:rPr>
            </w:pPr>
          </w:p>
        </w:tc>
      </w:tr>
      <w:tr>
        <w:trPr>
          <w:trHeight w:val="163"/>
        </w:trPr>
        <w:tc>
          <w:tcPr>
            <w:tcW w:w="2300" w:type="dxa"/>
            <w:vAlign w:val="bottom"/>
            <w:tcBorders>
              <w:bottom w:val="single" w:sz="8" w:color="auto"/>
            </w:tcBorders>
          </w:tcPr>
          <w:p>
            <w:pPr>
              <w:ind w:left="20"/>
              <w:spacing w:after="0" w:line="156" w:lineRule="exact"/>
              <w:rPr>
                <w:sz w:val="20"/>
                <w:szCs w:val="20"/>
                <w:color w:val="auto"/>
              </w:rPr>
            </w:pPr>
            <w:r>
              <w:rPr>
                <w:rFonts w:ascii="Arial" w:cs="Arial" w:eastAsia="Arial" w:hAnsi="Arial"/>
                <w:sz w:val="15"/>
                <w:szCs w:val="15"/>
                <w:color w:val="auto"/>
              </w:rPr>
              <w:t>Net periodic benefit cost</w:t>
            </w:r>
          </w:p>
        </w:tc>
        <w:tc>
          <w:tcPr>
            <w:tcW w:w="1320" w:type="dxa"/>
            <w:vAlign w:val="bottom"/>
            <w:tcBorders>
              <w:bottom w:val="single" w:sz="8" w:color="auto"/>
            </w:tcBorders>
          </w:tcPr>
          <w:p>
            <w:pPr>
              <w:jc w:val="right"/>
              <w:ind w:right="123"/>
              <w:spacing w:after="0" w:line="156" w:lineRule="exact"/>
              <w:rPr>
                <w:sz w:val="20"/>
                <w:szCs w:val="20"/>
                <w:color w:val="auto"/>
              </w:rPr>
            </w:pPr>
            <w:r>
              <w:rPr>
                <w:rFonts w:ascii="Arial" w:cs="Arial" w:eastAsia="Arial" w:hAnsi="Arial"/>
                <w:sz w:val="15"/>
                <w:szCs w:val="15"/>
                <w:b w:val="1"/>
                <w:bCs w:val="1"/>
                <w:color w:val="auto"/>
              </w:rPr>
              <w:t>$ 34,691</w:t>
            </w:r>
          </w:p>
        </w:tc>
        <w:tc>
          <w:tcPr>
            <w:tcW w:w="980" w:type="dxa"/>
            <w:vAlign w:val="bottom"/>
            <w:tcBorders>
              <w:bottom w:val="single" w:sz="8" w:color="auto"/>
            </w:tcBorders>
          </w:tcPr>
          <w:p>
            <w:pPr>
              <w:jc w:val="right"/>
              <w:ind w:right="123"/>
              <w:spacing w:after="0" w:line="156" w:lineRule="exact"/>
              <w:rPr>
                <w:sz w:val="20"/>
                <w:szCs w:val="20"/>
                <w:color w:val="auto"/>
              </w:rPr>
            </w:pPr>
            <w:r>
              <w:rPr>
                <w:rFonts w:ascii="Arial" w:cs="Arial" w:eastAsia="Arial" w:hAnsi="Arial"/>
                <w:sz w:val="15"/>
                <w:szCs w:val="15"/>
                <w:color w:val="auto"/>
              </w:rPr>
              <w:t>$ 37,616</w:t>
            </w:r>
          </w:p>
        </w:tc>
        <w:tc>
          <w:tcPr>
            <w:tcW w:w="88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$ 33,658</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 xml:space="preserve">The components of net periodic benefit cost other than service cost are included in the line item </w:t>
      </w:r>
      <w:r>
        <w:rPr>
          <w:rFonts w:ascii="Arial" w:cs="Arial" w:eastAsia="Arial" w:hAnsi="Arial"/>
          <w:sz w:val="17"/>
          <w:szCs w:val="17"/>
          <w:i w:val="1"/>
          <w:iCs w:val="1"/>
          <w:color w:val="auto"/>
        </w:rPr>
        <w:t>Other nonoperating (income) and expenses,</w:t>
      </w:r>
      <w:r>
        <w:rPr>
          <w:rFonts w:ascii="Arial" w:cs="Arial" w:eastAsia="Arial" w:hAnsi="Arial"/>
          <w:sz w:val="17"/>
          <w:szCs w:val="17"/>
          <w:color w:val="auto"/>
        </w:rPr>
        <w:t xml:space="preserve"> </w:t>
      </w:r>
      <w:r>
        <w:rPr>
          <w:rFonts w:ascii="Arial" w:cs="Arial" w:eastAsia="Arial" w:hAnsi="Arial"/>
          <w:sz w:val="17"/>
          <w:szCs w:val="17"/>
          <w:i w:val="1"/>
          <w:iCs w:val="1"/>
          <w:color w:val="auto"/>
        </w:rPr>
        <w:t>net</w:t>
      </w:r>
      <w:r>
        <w:rPr>
          <w:rFonts w:ascii="Arial" w:cs="Arial" w:eastAsia="Arial" w:hAnsi="Arial"/>
          <w:sz w:val="17"/>
          <w:szCs w:val="17"/>
          <w:color w:val="auto"/>
        </w:rPr>
        <w:t>, in the consolidated statements of earnings.</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expected return on assets is calculated by applying an annually selected expected rate of return assumption to the estimated fair value of the plan assets, giving consideration to contributions and benefits paid. The termination benefit charge represents the increased benefits payable to former Texas Industries, Inc. (TXI) executives as part of their change-in-control agreements.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Company recognized the following amounts in consolidated comprehensive earnings: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60" w:type="dxa"/>
            <w:vAlign w:val="bottom"/>
          </w:tcPr>
          <w:p>
            <w:pPr>
              <w:spacing w:after="0"/>
              <w:rPr>
                <w:sz w:val="20"/>
                <w:szCs w:val="20"/>
                <w:color w:val="auto"/>
              </w:rPr>
            </w:pPr>
            <w:r>
              <w:rPr>
                <w:rFonts w:ascii="Arial" w:cs="Arial" w:eastAsia="Arial" w:hAnsi="Arial"/>
                <w:sz w:val="15"/>
                <w:szCs w:val="15"/>
                <w:i w:val="1"/>
                <w:iCs w:val="1"/>
                <w:color w:val="auto"/>
              </w:rPr>
              <w:t>years ended December 31</w:t>
            </w:r>
          </w:p>
        </w:tc>
        <w:tc>
          <w:tcPr>
            <w:tcW w:w="1180" w:type="dxa"/>
            <w:vAlign w:val="bottom"/>
            <w:vMerge w:val="restart"/>
          </w:tcPr>
          <w:p>
            <w:pPr>
              <w:jc w:val="right"/>
              <w:ind w:right="123"/>
              <w:spacing w:after="0"/>
              <w:rPr>
                <w:sz w:val="20"/>
                <w:szCs w:val="20"/>
                <w:color w:val="auto"/>
              </w:rPr>
            </w:pPr>
            <w:r>
              <w:rPr>
                <w:rFonts w:ascii="Arial" w:cs="Arial" w:eastAsia="Arial" w:hAnsi="Arial"/>
                <w:sz w:val="15"/>
                <w:szCs w:val="15"/>
                <w:b w:val="1"/>
                <w:bCs w:val="1"/>
                <w:color w:val="0085CD"/>
              </w:rPr>
              <w:t>2018</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5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11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2017</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256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Actuarial loss</w:t>
            </w:r>
          </w:p>
        </w:tc>
        <w:tc>
          <w:tcPr>
            <w:tcW w:w="1180" w:type="dxa"/>
            <w:vAlign w:val="bottom"/>
            <w:shd w:val="clear" w:color="auto" w:fill="CCEEFF"/>
          </w:tcPr>
          <w:p>
            <w:pPr>
              <w:jc w:val="right"/>
              <w:ind w:right="123"/>
              <w:spacing w:after="0" w:line="156" w:lineRule="exact"/>
              <w:rPr>
                <w:sz w:val="20"/>
                <w:szCs w:val="20"/>
                <w:color w:val="auto"/>
              </w:rPr>
            </w:pPr>
            <w:r>
              <w:rPr>
                <w:rFonts w:ascii="Arial" w:cs="Arial" w:eastAsia="Arial" w:hAnsi="Arial"/>
                <w:sz w:val="15"/>
                <w:szCs w:val="15"/>
                <w:b w:val="1"/>
                <w:bCs w:val="1"/>
                <w:color w:val="auto"/>
              </w:rPr>
              <w:t>$ 32,214</w:t>
            </w:r>
          </w:p>
        </w:tc>
        <w:tc>
          <w:tcPr>
            <w:tcW w:w="2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123"/>
              <w:spacing w:after="0" w:line="156" w:lineRule="exact"/>
              <w:rPr>
                <w:sz w:val="20"/>
                <w:szCs w:val="20"/>
                <w:color w:val="auto"/>
              </w:rPr>
            </w:pPr>
            <w:r>
              <w:rPr>
                <w:rFonts w:ascii="Arial" w:cs="Arial" w:eastAsia="Arial" w:hAnsi="Arial"/>
                <w:sz w:val="15"/>
                <w:szCs w:val="15"/>
                <w:color w:val="auto"/>
              </w:rPr>
              <w:t>13,343</w:t>
            </w:r>
          </w:p>
        </w:tc>
        <w:tc>
          <w:tcPr>
            <w:tcW w:w="880" w:type="dxa"/>
            <w:vAlign w:val="bottom"/>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$ 52,028</w:t>
            </w:r>
          </w:p>
        </w:tc>
        <w:tc>
          <w:tcPr>
            <w:tcW w:w="0" w:type="dxa"/>
            <w:vAlign w:val="bottom"/>
          </w:tcPr>
          <w:p>
            <w:pPr>
              <w:spacing w:after="0"/>
              <w:rPr>
                <w:sz w:val="1"/>
                <w:szCs w:val="1"/>
                <w:color w:val="auto"/>
              </w:rPr>
            </w:pPr>
          </w:p>
        </w:tc>
      </w:tr>
      <w:tr>
        <w:trPr>
          <w:trHeight w:val="162"/>
        </w:trPr>
        <w:tc>
          <w:tcPr>
            <w:tcW w:w="2560" w:type="dxa"/>
            <w:vAlign w:val="bottom"/>
          </w:tcPr>
          <w:p>
            <w:pPr>
              <w:spacing w:after="0" w:line="162" w:lineRule="exact"/>
              <w:rPr>
                <w:sz w:val="20"/>
                <w:szCs w:val="20"/>
                <w:color w:val="auto"/>
              </w:rPr>
            </w:pPr>
            <w:r>
              <w:rPr>
                <w:rFonts w:ascii="Arial" w:cs="Arial" w:eastAsia="Arial" w:hAnsi="Arial"/>
                <w:sz w:val="15"/>
                <w:szCs w:val="15"/>
                <w:color w:val="auto"/>
              </w:rPr>
              <w:t>Net prior service cost</w:t>
            </w:r>
          </w:p>
        </w:tc>
        <w:tc>
          <w:tcPr>
            <w:tcW w:w="1180" w:type="dxa"/>
            <w:vAlign w:val="bottom"/>
          </w:tcPr>
          <w:p>
            <w:pPr>
              <w:jc w:val="right"/>
              <w:ind w:right="123"/>
              <w:spacing w:after="0" w:line="162" w:lineRule="exact"/>
              <w:rPr>
                <w:sz w:val="20"/>
                <w:szCs w:val="20"/>
                <w:color w:val="auto"/>
              </w:rPr>
            </w:pPr>
            <w:r>
              <w:rPr>
                <w:rFonts w:ascii="Arial" w:cs="Arial" w:eastAsia="Arial" w:hAnsi="Arial"/>
                <w:sz w:val="15"/>
                <w:szCs w:val="15"/>
                <w:b w:val="1"/>
                <w:bCs w:val="1"/>
                <w:color w:val="auto"/>
              </w:rPr>
              <w:t>3</w:t>
            </w:r>
          </w:p>
        </w:tc>
        <w:tc>
          <w:tcPr>
            <w:tcW w:w="260" w:type="dxa"/>
            <w:vAlign w:val="bottom"/>
          </w:tcPr>
          <w:p>
            <w:pPr>
              <w:spacing w:after="0"/>
              <w:rPr>
                <w:sz w:val="14"/>
                <w:szCs w:val="14"/>
                <w:color w:val="auto"/>
              </w:rPr>
            </w:pPr>
          </w:p>
        </w:tc>
        <w:tc>
          <w:tcPr>
            <w:tcW w:w="7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Amortization of:</w:t>
            </w: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160"/>
              <w:spacing w:after="0" w:line="162" w:lineRule="exact"/>
              <w:rPr>
                <w:sz w:val="20"/>
                <w:szCs w:val="20"/>
                <w:color w:val="auto"/>
              </w:rPr>
            </w:pPr>
            <w:r>
              <w:rPr>
                <w:rFonts w:ascii="Arial" w:cs="Arial" w:eastAsia="Arial" w:hAnsi="Arial"/>
                <w:sz w:val="15"/>
                <w:szCs w:val="15"/>
                <w:color w:val="auto"/>
              </w:rPr>
              <w:t>Prior service cost</w:t>
            </w:r>
          </w:p>
        </w:tc>
        <w:tc>
          <w:tcPr>
            <w:tcW w:w="1180" w:type="dxa"/>
            <w:vAlign w:val="bottom"/>
          </w:tcPr>
          <w:p>
            <w:pPr>
              <w:jc w:val="right"/>
              <w:ind w:right="83"/>
              <w:spacing w:after="0" w:line="162" w:lineRule="exact"/>
              <w:rPr>
                <w:sz w:val="20"/>
                <w:szCs w:val="20"/>
                <w:color w:val="auto"/>
              </w:rPr>
            </w:pPr>
            <w:r>
              <w:rPr>
                <w:rFonts w:ascii="Arial" w:cs="Arial" w:eastAsia="Arial" w:hAnsi="Arial"/>
                <w:sz w:val="15"/>
                <w:szCs w:val="15"/>
                <w:b w:val="1"/>
                <w:bCs w:val="1"/>
                <w:color w:val="auto"/>
              </w:rPr>
              <w:t>(104)</w:t>
            </w:r>
          </w:p>
        </w:tc>
        <w:tc>
          <w:tcPr>
            <w:tcW w:w="260" w:type="dxa"/>
            <w:vAlign w:val="bottom"/>
          </w:tcPr>
          <w:p>
            <w:pPr>
              <w:spacing w:after="0"/>
              <w:rPr>
                <w:sz w:val="14"/>
                <w:szCs w:val="14"/>
                <w:color w:val="auto"/>
              </w:rPr>
            </w:pPr>
          </w:p>
        </w:tc>
        <w:tc>
          <w:tcPr>
            <w:tcW w:w="720" w:type="dxa"/>
            <w:vAlign w:val="bottom"/>
          </w:tcPr>
          <w:p>
            <w:pPr>
              <w:jc w:val="right"/>
              <w:ind w:right="83"/>
              <w:spacing w:after="0" w:line="162" w:lineRule="exact"/>
              <w:rPr>
                <w:sz w:val="20"/>
                <w:szCs w:val="20"/>
                <w:color w:val="auto"/>
              </w:rPr>
            </w:pPr>
            <w:r>
              <w:rPr>
                <w:rFonts w:ascii="Arial" w:cs="Arial" w:eastAsia="Arial" w:hAnsi="Arial"/>
                <w:sz w:val="15"/>
                <w:szCs w:val="15"/>
                <w:color w:val="auto"/>
              </w:rPr>
              <w:t>(311)</w:t>
            </w:r>
          </w:p>
        </w:tc>
        <w:tc>
          <w:tcPr>
            <w:tcW w:w="880" w:type="dxa"/>
            <w:vAlign w:val="bottom"/>
          </w:tcPr>
          <w:p>
            <w:pPr>
              <w:jc w:val="right"/>
              <w:spacing w:after="0" w:line="162" w:lineRule="exact"/>
              <w:rPr>
                <w:sz w:val="20"/>
                <w:szCs w:val="20"/>
                <w:color w:val="auto"/>
              </w:rPr>
            </w:pPr>
            <w:r>
              <w:rPr>
                <w:rFonts w:ascii="Arial" w:cs="Arial" w:eastAsia="Arial" w:hAnsi="Arial"/>
                <w:sz w:val="15"/>
                <w:szCs w:val="15"/>
                <w:color w:val="auto"/>
              </w:rPr>
              <w:t>(350)</w:t>
            </w: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Actuarial loss</w:t>
            </w:r>
          </w:p>
        </w:tc>
        <w:tc>
          <w:tcPr>
            <w:tcW w:w="118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b w:val="1"/>
                <w:bCs w:val="1"/>
                <w:color w:val="auto"/>
              </w:rPr>
              <w:t>(12,830)</w:t>
            </w: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w w:val="96"/>
              </w:rPr>
              <w:t>(14,138)</w:t>
            </w: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(12,074)</w:t>
            </w:r>
          </w:p>
        </w:tc>
        <w:tc>
          <w:tcPr>
            <w:tcW w:w="0" w:type="dxa"/>
            <w:vAlign w:val="bottom"/>
          </w:tcPr>
          <w:p>
            <w:pPr>
              <w:spacing w:after="0"/>
              <w:rPr>
                <w:sz w:val="1"/>
                <w:szCs w:val="1"/>
                <w:color w:val="auto"/>
              </w:rPr>
            </w:pPr>
          </w:p>
        </w:tc>
      </w:tr>
      <w:tr>
        <w:trPr>
          <w:trHeight w:val="162"/>
        </w:trPr>
        <w:tc>
          <w:tcPr>
            <w:tcW w:w="2560" w:type="dxa"/>
            <w:vAlign w:val="bottom"/>
          </w:tcPr>
          <w:p>
            <w:pPr>
              <w:spacing w:after="0" w:line="162" w:lineRule="exact"/>
              <w:rPr>
                <w:sz w:val="20"/>
                <w:szCs w:val="20"/>
                <w:color w:val="auto"/>
              </w:rPr>
            </w:pPr>
            <w:r>
              <w:rPr>
                <w:rFonts w:ascii="Arial" w:cs="Arial" w:eastAsia="Arial" w:hAnsi="Arial"/>
                <w:sz w:val="15"/>
                <w:szCs w:val="15"/>
                <w:color w:val="auto"/>
              </w:rPr>
              <w:t>Transition asset</w:t>
            </w:r>
          </w:p>
        </w:tc>
        <w:tc>
          <w:tcPr>
            <w:tcW w:w="1180" w:type="dxa"/>
            <w:vAlign w:val="bottom"/>
          </w:tcPr>
          <w:p>
            <w:pPr>
              <w:jc w:val="right"/>
              <w:ind w:right="123"/>
              <w:spacing w:after="0" w:line="162" w:lineRule="exact"/>
              <w:rPr>
                <w:sz w:val="20"/>
                <w:szCs w:val="20"/>
                <w:color w:val="auto"/>
              </w:rPr>
            </w:pPr>
            <w:r>
              <w:rPr>
                <w:rFonts w:ascii="Arial" w:cs="Arial" w:eastAsia="Arial" w:hAnsi="Arial"/>
                <w:sz w:val="15"/>
                <w:szCs w:val="15"/>
                <w:b w:val="1"/>
                <w:bCs w:val="1"/>
                <w:color w:val="auto"/>
              </w:rPr>
              <w:t>1</w:t>
            </w:r>
          </w:p>
        </w:tc>
        <w:tc>
          <w:tcPr>
            <w:tcW w:w="260" w:type="dxa"/>
            <w:vAlign w:val="bottom"/>
          </w:tcPr>
          <w:p>
            <w:pPr>
              <w:spacing w:after="0"/>
              <w:rPr>
                <w:sz w:val="14"/>
                <w:szCs w:val="14"/>
                <w:color w:val="auto"/>
              </w:rPr>
            </w:pPr>
          </w:p>
        </w:tc>
        <w:tc>
          <w:tcPr>
            <w:tcW w:w="72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1</w:t>
            </w:r>
          </w:p>
        </w:tc>
        <w:tc>
          <w:tcPr>
            <w:tcW w:w="8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Special plan termination benefits</w:t>
            </w:r>
          </w:p>
        </w:tc>
        <w:tc>
          <w:tcPr>
            <w:tcW w:w="118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b w:val="1"/>
                <w:bCs w:val="1"/>
                <w:color w:val="auto"/>
              </w:rPr>
              <w:t>–</w:t>
            </w: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(764)</w:t>
            </w:r>
          </w:p>
        </w:tc>
        <w:tc>
          <w:tcPr>
            <w:tcW w:w="0" w:type="dxa"/>
            <w:vAlign w:val="bottom"/>
          </w:tcPr>
          <w:p>
            <w:pPr>
              <w:spacing w:after="0"/>
              <w:rPr>
                <w:sz w:val="1"/>
                <w:szCs w:val="1"/>
                <w:color w:val="auto"/>
              </w:rPr>
            </w:pPr>
          </w:p>
        </w:tc>
      </w:tr>
      <w:tr>
        <w:trPr>
          <w:trHeight w:val="162"/>
        </w:trPr>
        <w:tc>
          <w:tcPr>
            <w:tcW w:w="256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Settlement charge</w:t>
            </w:r>
          </w:p>
        </w:tc>
        <w:tc>
          <w:tcPr>
            <w:tcW w:w="118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b w:val="1"/>
                <w:bCs w:val="1"/>
                <w:color w:val="auto"/>
              </w:rPr>
              <w:t>(2,936)</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color w:val="auto"/>
              </w:rPr>
              <w:t>(21)</w:t>
            </w:r>
          </w:p>
        </w:tc>
        <w:tc>
          <w:tcPr>
            <w:tcW w:w="8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163"/>
        </w:trPr>
        <w:tc>
          <w:tcPr>
            <w:tcW w:w="25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Total</w:t>
            </w:r>
          </w:p>
        </w:tc>
        <w:tc>
          <w:tcPr>
            <w:tcW w:w="1180" w:type="dxa"/>
            <w:vAlign w:val="bottom"/>
            <w:tcBorders>
              <w:bottom w:val="single" w:sz="8" w:color="auto"/>
            </w:tcBorders>
            <w:shd w:val="clear" w:color="auto" w:fill="CCEEFF"/>
          </w:tcPr>
          <w:p>
            <w:pPr>
              <w:jc w:val="right"/>
              <w:ind w:right="123"/>
              <w:spacing w:after="0" w:line="156" w:lineRule="exact"/>
              <w:rPr>
                <w:sz w:val="20"/>
                <w:szCs w:val="20"/>
                <w:color w:val="auto"/>
              </w:rPr>
            </w:pPr>
            <w:r>
              <w:rPr>
                <w:rFonts w:ascii="Arial" w:cs="Arial" w:eastAsia="Arial" w:hAnsi="Arial"/>
                <w:sz w:val="15"/>
                <w:szCs w:val="15"/>
                <w:b w:val="1"/>
                <w:bCs w:val="1"/>
                <w:color w:val="auto"/>
              </w:rPr>
              <w:t>$ 16,348</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CCEEFF"/>
          </w:tcPr>
          <w:p>
            <w:pPr>
              <w:jc w:val="right"/>
              <w:ind w:right="83"/>
              <w:spacing w:after="0" w:line="156" w:lineRule="exact"/>
              <w:rPr>
                <w:sz w:val="20"/>
                <w:szCs w:val="20"/>
                <w:color w:val="auto"/>
              </w:rPr>
            </w:pPr>
            <w:r>
              <w:rPr>
                <w:rFonts w:ascii="Arial" w:cs="Arial" w:eastAsia="Arial" w:hAnsi="Arial"/>
                <w:sz w:val="15"/>
                <w:szCs w:val="15"/>
                <w:color w:val="auto"/>
              </w:rPr>
              <w:t>(1,126)</w:t>
            </w:r>
          </w:p>
        </w:tc>
        <w:tc>
          <w:tcPr>
            <w:tcW w:w="88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$ 38,717</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Accumulated other comprehensive loss includes the following amounts that have not yet been recognized in net periodic benefit cost: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80" w:type="dxa"/>
            <w:vAlign w:val="bottom"/>
          </w:tcPr>
          <w:p>
            <w:pPr>
              <w:spacing w:after="0"/>
              <w:rPr>
                <w:sz w:val="20"/>
                <w:szCs w:val="20"/>
                <w:color w:val="auto"/>
              </w:rPr>
            </w:pPr>
            <w:r>
              <w:rPr>
                <w:rFonts w:ascii="Arial" w:cs="Arial" w:eastAsia="Arial" w:hAnsi="Arial"/>
                <w:sz w:val="15"/>
                <w:szCs w:val="15"/>
                <w:i w:val="1"/>
                <w:iCs w:val="1"/>
                <w:color w:val="auto"/>
              </w:rPr>
              <w:t>December 31</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0085CD"/>
              </w:rPr>
              <w:t>2018</w:t>
            </w: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2017</w:t>
            </w:r>
          </w:p>
        </w:tc>
        <w:tc>
          <w:tcPr>
            <w:tcW w:w="700" w:type="dxa"/>
            <w:vAlign w:val="bottom"/>
            <w:tcBorders>
              <w:bottom w:val="single" w:sz="8" w:color="auto"/>
            </w:tcBorders>
          </w:tcPr>
          <w:p>
            <w:pPr>
              <w:spacing w:after="0"/>
              <w:rPr>
                <w:sz w:val="15"/>
                <w:szCs w:val="15"/>
                <w:color w:val="auto"/>
              </w:rPr>
            </w:pPr>
          </w:p>
        </w:tc>
      </w:tr>
      <w:tr>
        <w:trPr>
          <w:trHeight w:val="156"/>
        </w:trPr>
        <w:tc>
          <w:tcPr>
            <w:tcW w:w="188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(add 000)</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3"/>
              <w:spacing w:after="0" w:line="156" w:lineRule="exact"/>
              <w:rPr>
                <w:sz w:val="20"/>
                <w:szCs w:val="20"/>
                <w:color w:val="auto"/>
              </w:rPr>
            </w:pPr>
            <w:r>
              <w:rPr>
                <w:rFonts w:ascii="Arial" w:cs="Arial" w:eastAsia="Arial" w:hAnsi="Arial"/>
                <w:sz w:val="15"/>
                <w:szCs w:val="15"/>
                <w:b w:val="1"/>
                <w:bCs w:val="1"/>
                <w:color w:val="auto"/>
              </w:rPr>
              <w:t>Gross</w:t>
            </w:r>
          </w:p>
        </w:tc>
        <w:tc>
          <w:tcPr>
            <w:tcW w:w="940" w:type="dxa"/>
            <w:vAlign w:val="bottom"/>
            <w:tcBorders>
              <w:bottom w:val="single" w:sz="8" w:color="auto"/>
            </w:tcBorders>
            <w:gridSpan w:val="2"/>
          </w:tcPr>
          <w:p>
            <w:pPr>
              <w:jc w:val="right"/>
              <w:ind w:right="63"/>
              <w:spacing w:after="0" w:line="156" w:lineRule="exact"/>
              <w:rPr>
                <w:sz w:val="20"/>
                <w:szCs w:val="20"/>
                <w:color w:val="auto"/>
              </w:rPr>
            </w:pPr>
            <w:r>
              <w:rPr>
                <w:rFonts w:ascii="Arial" w:cs="Arial" w:eastAsia="Arial" w:hAnsi="Arial"/>
                <w:sz w:val="15"/>
                <w:szCs w:val="15"/>
                <w:b w:val="1"/>
                <w:bCs w:val="1"/>
                <w:color w:val="auto"/>
              </w:rPr>
              <w:t>Net of tax</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3"/>
              <w:spacing w:after="0" w:line="156" w:lineRule="exact"/>
              <w:rPr>
                <w:sz w:val="20"/>
                <w:szCs w:val="20"/>
                <w:color w:val="auto"/>
              </w:rPr>
            </w:pPr>
            <w:r>
              <w:rPr>
                <w:rFonts w:ascii="Arial" w:cs="Arial" w:eastAsia="Arial" w:hAnsi="Arial"/>
                <w:sz w:val="15"/>
                <w:szCs w:val="15"/>
                <w:color w:val="auto"/>
              </w:rPr>
              <w:t>Gross</w:t>
            </w:r>
          </w:p>
        </w:tc>
        <w:tc>
          <w:tcPr>
            <w:tcW w:w="900" w:type="dxa"/>
            <w:vAlign w:val="bottom"/>
            <w:tcBorders>
              <w:bottom w:val="single" w:sz="8" w:color="auto"/>
            </w:tcBorders>
            <w:gridSpan w:val="2"/>
          </w:tcPr>
          <w:p>
            <w:pPr>
              <w:jc w:val="right"/>
              <w:ind w:right="63"/>
              <w:spacing w:after="0" w:line="156" w:lineRule="exact"/>
              <w:rPr>
                <w:sz w:val="20"/>
                <w:szCs w:val="20"/>
                <w:color w:val="auto"/>
              </w:rPr>
            </w:pPr>
            <w:r>
              <w:rPr>
                <w:rFonts w:ascii="Arial" w:cs="Arial" w:eastAsia="Arial" w:hAnsi="Arial"/>
                <w:sz w:val="15"/>
                <w:szCs w:val="15"/>
                <w:color w:val="auto"/>
              </w:rPr>
              <w:t>Net of tax</w:t>
            </w:r>
          </w:p>
        </w:tc>
      </w:tr>
      <w:tr>
        <w:trPr>
          <w:trHeight w:val="156"/>
        </w:trPr>
        <w:tc>
          <w:tcPr>
            <w:tcW w:w="18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Prior service cost</w:t>
            </w: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740" w:type="dxa"/>
            <w:vAlign w:val="bottom"/>
            <w:shd w:val="clear" w:color="auto" w:fill="CCEEFF"/>
          </w:tcPr>
          <w:p>
            <w:pPr>
              <w:jc w:val="right"/>
              <w:ind w:right="43"/>
              <w:spacing w:after="0" w:line="156" w:lineRule="exact"/>
              <w:rPr>
                <w:sz w:val="20"/>
                <w:szCs w:val="20"/>
                <w:color w:val="auto"/>
              </w:rPr>
            </w:pPr>
            <w:r>
              <w:rPr>
                <w:rFonts w:ascii="Arial" w:cs="Arial" w:eastAsia="Arial" w:hAnsi="Arial"/>
                <w:sz w:val="15"/>
                <w:szCs w:val="15"/>
                <w:b w:val="1"/>
                <w:bCs w:val="1"/>
                <w:color w:val="auto"/>
              </w:rPr>
              <w:t>14</w:t>
            </w:r>
          </w:p>
        </w:tc>
        <w:tc>
          <w:tcPr>
            <w:tcW w:w="2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720" w:type="dxa"/>
            <w:vAlign w:val="bottom"/>
            <w:shd w:val="clear" w:color="auto" w:fill="CCEEFF"/>
          </w:tcPr>
          <w:p>
            <w:pPr>
              <w:jc w:val="right"/>
              <w:ind w:right="43"/>
              <w:spacing w:after="0" w:line="156" w:lineRule="exact"/>
              <w:rPr>
                <w:sz w:val="20"/>
                <w:szCs w:val="20"/>
                <w:color w:val="auto"/>
              </w:rPr>
            </w:pPr>
            <w:r>
              <w:rPr>
                <w:rFonts w:ascii="Arial" w:cs="Arial" w:eastAsia="Arial" w:hAnsi="Arial"/>
                <w:sz w:val="15"/>
                <w:szCs w:val="15"/>
                <w:b w:val="1"/>
                <w:bCs w:val="1"/>
                <w:color w:val="auto"/>
              </w:rPr>
              <w:t>9</w:t>
            </w: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115</w:t>
            </w: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71</w:t>
            </w:r>
          </w:p>
        </w:tc>
      </w:tr>
      <w:tr>
        <w:trPr>
          <w:trHeight w:val="162"/>
        </w:trPr>
        <w:tc>
          <w:tcPr>
            <w:tcW w:w="1880" w:type="dxa"/>
            <w:vAlign w:val="bottom"/>
          </w:tcPr>
          <w:p>
            <w:pPr>
              <w:spacing w:after="0" w:line="162" w:lineRule="exact"/>
              <w:rPr>
                <w:sz w:val="20"/>
                <w:szCs w:val="20"/>
                <w:color w:val="auto"/>
              </w:rPr>
            </w:pPr>
            <w:r>
              <w:rPr>
                <w:rFonts w:ascii="Arial" w:cs="Arial" w:eastAsia="Arial" w:hAnsi="Arial"/>
                <w:sz w:val="15"/>
                <w:szCs w:val="15"/>
                <w:color w:val="auto"/>
              </w:rPr>
              <w:t>Actuarial loss</w:t>
            </w:r>
          </w:p>
        </w:tc>
        <w:tc>
          <w:tcPr>
            <w:tcW w:w="200" w:type="dxa"/>
            <w:vAlign w:val="bottom"/>
          </w:tcPr>
          <w:p>
            <w:pPr>
              <w:spacing w:after="0"/>
              <w:rPr>
                <w:sz w:val="14"/>
                <w:szCs w:val="14"/>
                <w:color w:val="auto"/>
              </w:rPr>
            </w:pPr>
          </w:p>
        </w:tc>
        <w:tc>
          <w:tcPr>
            <w:tcW w:w="740" w:type="dxa"/>
            <w:vAlign w:val="bottom"/>
          </w:tcPr>
          <w:p>
            <w:pPr>
              <w:jc w:val="right"/>
              <w:ind w:right="43"/>
              <w:spacing w:after="0" w:line="162" w:lineRule="exact"/>
              <w:rPr>
                <w:sz w:val="20"/>
                <w:szCs w:val="20"/>
                <w:color w:val="auto"/>
              </w:rPr>
            </w:pPr>
            <w:r>
              <w:rPr>
                <w:rFonts w:ascii="Arial" w:cs="Arial" w:eastAsia="Arial" w:hAnsi="Arial"/>
                <w:sz w:val="15"/>
                <w:szCs w:val="15"/>
                <w:b w:val="1"/>
                <w:bCs w:val="1"/>
                <w:color w:val="auto"/>
              </w:rPr>
              <w:t>233,688</w:t>
            </w:r>
          </w:p>
        </w:tc>
        <w:tc>
          <w:tcPr>
            <w:tcW w:w="220" w:type="dxa"/>
            <w:vAlign w:val="bottom"/>
          </w:tcPr>
          <w:p>
            <w:pPr>
              <w:spacing w:after="0"/>
              <w:rPr>
                <w:sz w:val="14"/>
                <w:szCs w:val="14"/>
                <w:color w:val="auto"/>
              </w:rPr>
            </w:pPr>
          </w:p>
        </w:tc>
        <w:tc>
          <w:tcPr>
            <w:tcW w:w="720" w:type="dxa"/>
            <w:vAlign w:val="bottom"/>
          </w:tcPr>
          <w:p>
            <w:pPr>
              <w:jc w:val="right"/>
              <w:ind w:right="43"/>
              <w:spacing w:after="0" w:line="162" w:lineRule="exact"/>
              <w:rPr>
                <w:sz w:val="20"/>
                <w:szCs w:val="20"/>
                <w:color w:val="auto"/>
              </w:rPr>
            </w:pPr>
            <w:r>
              <w:rPr>
                <w:rFonts w:ascii="Arial" w:cs="Arial" w:eastAsia="Arial" w:hAnsi="Arial"/>
                <w:sz w:val="15"/>
                <w:szCs w:val="15"/>
                <w:b w:val="1"/>
                <w:bCs w:val="1"/>
                <w:color w:val="auto"/>
              </w:rPr>
              <w:t>146,588</w:t>
            </w:r>
          </w:p>
        </w:tc>
        <w:tc>
          <w:tcPr>
            <w:tcW w:w="200" w:type="dxa"/>
            <w:vAlign w:val="bottom"/>
          </w:tcPr>
          <w:p>
            <w:pPr>
              <w:spacing w:after="0"/>
              <w:rPr>
                <w:sz w:val="14"/>
                <w:szCs w:val="14"/>
                <w:color w:val="auto"/>
              </w:rPr>
            </w:pPr>
          </w:p>
        </w:tc>
        <w:tc>
          <w:tcPr>
            <w:tcW w:w="740" w:type="dxa"/>
            <w:vAlign w:val="bottom"/>
          </w:tcPr>
          <w:p>
            <w:pPr>
              <w:jc w:val="right"/>
              <w:ind w:right="43"/>
              <w:spacing w:after="0" w:line="162" w:lineRule="exact"/>
              <w:rPr>
                <w:sz w:val="20"/>
                <w:szCs w:val="20"/>
                <w:color w:val="auto"/>
              </w:rPr>
            </w:pPr>
            <w:r>
              <w:rPr>
                <w:rFonts w:ascii="Arial" w:cs="Arial" w:eastAsia="Arial" w:hAnsi="Arial"/>
                <w:sz w:val="15"/>
                <w:szCs w:val="15"/>
                <w:color w:val="auto"/>
              </w:rPr>
              <w:t>217,240</w:t>
            </w:r>
          </w:p>
        </w:tc>
        <w:tc>
          <w:tcPr>
            <w:tcW w:w="200" w:type="dxa"/>
            <w:vAlign w:val="bottom"/>
          </w:tcPr>
          <w:p>
            <w:pPr>
              <w:spacing w:after="0"/>
              <w:rPr>
                <w:sz w:val="14"/>
                <w:szCs w:val="14"/>
                <w:color w:val="auto"/>
              </w:rPr>
            </w:pPr>
          </w:p>
        </w:tc>
        <w:tc>
          <w:tcPr>
            <w:tcW w:w="7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134,066</w:t>
            </w:r>
          </w:p>
        </w:tc>
      </w:tr>
      <w:tr>
        <w:trPr>
          <w:trHeight w:val="162"/>
        </w:trPr>
        <w:tc>
          <w:tcPr>
            <w:tcW w:w="188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5"/>
                <w:szCs w:val="15"/>
                <w:color w:val="auto"/>
              </w:rPr>
              <w:t>Transition asset</w:t>
            </w: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(5)</w:t>
            </w: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(3)</w:t>
            </w: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(6)</w:t>
            </w: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w:t>
            </w:r>
          </w:p>
        </w:tc>
      </w:tr>
      <w:tr>
        <w:trPr>
          <w:trHeight w:val="163"/>
        </w:trPr>
        <w:tc>
          <w:tcPr>
            <w:tcW w:w="188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b w:val="1"/>
                <w:bCs w:val="1"/>
                <w:color w:val="auto"/>
              </w:rPr>
              <w:t>233,697</w:t>
            </w:r>
          </w:p>
        </w:tc>
        <w:tc>
          <w:tcPr>
            <w:tcW w:w="2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b w:val="1"/>
                <w:bCs w:val="1"/>
                <w:color w:val="auto"/>
              </w:rPr>
              <w:t>146,594</w:t>
            </w:r>
          </w:p>
        </w:tc>
        <w:tc>
          <w:tcPr>
            <w:tcW w:w="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217,349</w:t>
            </w:r>
          </w:p>
        </w:tc>
        <w:tc>
          <w:tcPr>
            <w:tcW w:w="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134,133</w:t>
            </w:r>
          </w:p>
        </w:tc>
      </w:tr>
    </w:tbl>
    <w:p>
      <w:pPr>
        <w:spacing w:after="0" w:line="21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prior service cost, actuarial loss and transition asset expected to be recognized in net periodic benefit cost during 2019 are $8,000 (net of deferred taxes of $2,000), $15,727,000 (net of deferred taxes of $3,893,000) and $1,000, respectively. These amounts are included in accumulated other comprehensive loss at December 31, 2018.</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defined benefit plans’ change in projected benefit obligation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8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380" w:type="dxa"/>
            <w:vAlign w:val="bottom"/>
          </w:tcPr>
          <w:p>
            <w:pPr>
              <w:spacing w:after="0"/>
              <w:rPr>
                <w:sz w:val="14"/>
                <w:szCs w:val="14"/>
                <w:color w:val="auto"/>
              </w:rPr>
            </w:pPr>
          </w:p>
        </w:tc>
        <w:tc>
          <w:tcPr>
            <w:tcW w:w="82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0085CD"/>
              </w:rPr>
              <w:t>2018</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3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2017</w:t>
            </w:r>
          </w:p>
        </w:tc>
        <w:tc>
          <w:tcPr>
            <w:tcW w:w="0" w:type="dxa"/>
            <w:vAlign w:val="bottom"/>
          </w:tcPr>
          <w:p>
            <w:pPr>
              <w:spacing w:after="0"/>
              <w:rPr>
                <w:sz w:val="1"/>
                <w:szCs w:val="1"/>
                <w:color w:val="auto"/>
              </w:rPr>
            </w:pPr>
          </w:p>
        </w:tc>
      </w:tr>
      <w:tr>
        <w:trPr>
          <w:trHeight w:val="152"/>
        </w:trPr>
        <w:tc>
          <w:tcPr>
            <w:tcW w:w="3380" w:type="dxa"/>
            <w:vAlign w:val="bottom"/>
            <w:shd w:val="clear" w:color="auto" w:fill="CCEEFF"/>
          </w:tcPr>
          <w:p>
            <w:pPr>
              <w:spacing w:after="0" w:line="152" w:lineRule="exact"/>
              <w:rPr>
                <w:sz w:val="20"/>
                <w:szCs w:val="20"/>
                <w:color w:val="auto"/>
              </w:rPr>
            </w:pPr>
            <w:r>
              <w:rPr>
                <w:rFonts w:ascii="Arial" w:cs="Arial" w:eastAsia="Arial" w:hAnsi="Arial"/>
                <w:sz w:val="15"/>
                <w:szCs w:val="15"/>
                <w:color w:val="auto"/>
              </w:rPr>
              <w:t>Net projected benefit obligation at beginning of</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2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879,335</w:t>
            </w: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380" w:type="dxa"/>
            <w:vAlign w:val="bottom"/>
            <w:shd w:val="clear" w:color="auto" w:fill="CCEEFF"/>
          </w:tcPr>
          <w:p>
            <w:pPr>
              <w:ind w:left="160"/>
              <w:spacing w:after="0" w:line="166" w:lineRule="exact"/>
              <w:rPr>
                <w:sz w:val="20"/>
                <w:szCs w:val="20"/>
                <w:color w:val="auto"/>
              </w:rPr>
            </w:pPr>
            <w:r>
              <w:rPr>
                <w:rFonts w:ascii="Arial" w:cs="Arial" w:eastAsia="Arial" w:hAnsi="Arial"/>
                <w:sz w:val="15"/>
                <w:szCs w:val="15"/>
                <w:color w:val="auto"/>
              </w:rPr>
              <w:t>year</w:t>
            </w:r>
          </w:p>
        </w:tc>
        <w:tc>
          <w:tcPr>
            <w:tcW w:w="38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23"/>
              <w:spacing w:after="0" w:line="166" w:lineRule="exact"/>
              <w:rPr>
                <w:sz w:val="20"/>
                <w:szCs w:val="20"/>
                <w:color w:val="auto"/>
              </w:rPr>
            </w:pPr>
            <w:r>
              <w:rPr>
                <w:rFonts w:ascii="Arial" w:cs="Arial" w:eastAsia="Arial" w:hAnsi="Arial"/>
                <w:sz w:val="15"/>
                <w:szCs w:val="15"/>
                <w:color w:val="auto"/>
              </w:rPr>
              <w:t>831,849</w:t>
            </w: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Service cost</w:t>
            </w:r>
          </w:p>
        </w:tc>
        <w:tc>
          <w:tcPr>
            <w:tcW w:w="380" w:type="dxa"/>
            <w:vAlign w:val="bottom"/>
          </w:tcPr>
          <w:p>
            <w:pPr>
              <w:spacing w:after="0"/>
              <w:rPr>
                <w:sz w:val="14"/>
                <w:szCs w:val="14"/>
                <w:color w:val="auto"/>
              </w:rPr>
            </w:pPr>
          </w:p>
        </w:tc>
        <w:tc>
          <w:tcPr>
            <w:tcW w:w="820" w:type="dxa"/>
            <w:vAlign w:val="bottom"/>
          </w:tcPr>
          <w:p>
            <w:pPr>
              <w:jc w:val="right"/>
              <w:ind w:right="143"/>
              <w:spacing w:after="0" w:line="162" w:lineRule="exact"/>
              <w:rPr>
                <w:sz w:val="20"/>
                <w:szCs w:val="20"/>
                <w:color w:val="auto"/>
              </w:rPr>
            </w:pPr>
            <w:r>
              <w:rPr>
                <w:rFonts w:ascii="Arial" w:cs="Arial" w:eastAsia="Arial" w:hAnsi="Arial"/>
                <w:sz w:val="15"/>
                <w:szCs w:val="15"/>
                <w:b w:val="1"/>
                <w:bCs w:val="1"/>
                <w:color w:val="auto"/>
              </w:rPr>
              <w:t>31,624</w:t>
            </w:r>
          </w:p>
        </w:tc>
        <w:tc>
          <w:tcPr>
            <w:tcW w:w="320" w:type="dxa"/>
            <w:vAlign w:val="bottom"/>
          </w:tcPr>
          <w:p>
            <w:pPr>
              <w:spacing w:after="0"/>
              <w:rPr>
                <w:sz w:val="14"/>
                <w:szCs w:val="14"/>
                <w:color w:val="auto"/>
              </w:rPr>
            </w:pPr>
          </w:p>
        </w:tc>
        <w:tc>
          <w:tcPr>
            <w:tcW w:w="7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26,805</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Interest cost</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43"/>
              <w:spacing w:after="0" w:line="162" w:lineRule="exact"/>
              <w:rPr>
                <w:sz w:val="20"/>
                <w:szCs w:val="20"/>
                <w:color w:val="auto"/>
              </w:rPr>
            </w:pPr>
            <w:r>
              <w:rPr>
                <w:rFonts w:ascii="Arial" w:cs="Arial" w:eastAsia="Arial" w:hAnsi="Arial"/>
                <w:sz w:val="15"/>
                <w:szCs w:val="15"/>
                <w:b w:val="1"/>
                <w:bCs w:val="1"/>
                <w:color w:val="auto"/>
              </w:rPr>
              <w:t>33,209</w:t>
            </w: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36,101</w:t>
            </w:r>
          </w:p>
        </w:tc>
        <w:tc>
          <w:tcPr>
            <w:tcW w:w="0" w:type="dxa"/>
            <w:vAlign w:val="bottom"/>
          </w:tcPr>
          <w:p>
            <w:pPr>
              <w:spacing w:after="0"/>
              <w:rPr>
                <w:sz w:val="1"/>
                <w:szCs w:val="1"/>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Actuarial (gain) loss</w:t>
            </w:r>
          </w:p>
        </w:tc>
        <w:tc>
          <w:tcPr>
            <w:tcW w:w="380" w:type="dxa"/>
            <w:vAlign w:val="bottom"/>
          </w:tcPr>
          <w:p>
            <w:pPr>
              <w:spacing w:after="0"/>
              <w:rPr>
                <w:sz w:val="14"/>
                <w:szCs w:val="14"/>
                <w:color w:val="auto"/>
              </w:rPr>
            </w:pPr>
          </w:p>
        </w:tc>
        <w:tc>
          <w:tcPr>
            <w:tcW w:w="820" w:type="dxa"/>
            <w:vAlign w:val="bottom"/>
          </w:tcPr>
          <w:p>
            <w:pPr>
              <w:jc w:val="right"/>
              <w:ind w:right="103"/>
              <w:spacing w:after="0" w:line="162" w:lineRule="exact"/>
              <w:rPr>
                <w:sz w:val="20"/>
                <w:szCs w:val="20"/>
                <w:color w:val="auto"/>
              </w:rPr>
            </w:pPr>
            <w:r>
              <w:rPr>
                <w:rFonts w:ascii="Arial" w:cs="Arial" w:eastAsia="Arial" w:hAnsi="Arial"/>
                <w:sz w:val="15"/>
                <w:szCs w:val="15"/>
                <w:b w:val="1"/>
                <w:bCs w:val="1"/>
                <w:color w:val="auto"/>
              </w:rPr>
              <w:t>(54,621)</w:t>
            </w:r>
          </w:p>
        </w:tc>
        <w:tc>
          <w:tcPr>
            <w:tcW w:w="320" w:type="dxa"/>
            <w:vAlign w:val="bottom"/>
          </w:tcPr>
          <w:p>
            <w:pPr>
              <w:spacing w:after="0"/>
              <w:rPr>
                <w:sz w:val="14"/>
                <w:szCs w:val="14"/>
                <w:color w:val="auto"/>
              </w:rPr>
            </w:pPr>
          </w:p>
        </w:tc>
        <w:tc>
          <w:tcPr>
            <w:tcW w:w="7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56,675</w:t>
            </w:r>
          </w:p>
        </w:tc>
        <w:tc>
          <w:tcPr>
            <w:tcW w:w="0" w:type="dxa"/>
            <w:vAlign w:val="bottom"/>
          </w:tcPr>
          <w:p>
            <w:pPr>
              <w:spacing w:after="0"/>
              <w:rPr>
                <w:sz w:val="1"/>
                <w:szCs w:val="1"/>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Plan amendment</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43"/>
              <w:spacing w:after="0" w:line="162" w:lineRule="exact"/>
              <w:rPr>
                <w:sz w:val="20"/>
                <w:szCs w:val="20"/>
                <w:color w:val="auto"/>
              </w:rPr>
            </w:pPr>
            <w:r>
              <w:rPr>
                <w:rFonts w:ascii="Arial" w:cs="Arial" w:eastAsia="Arial" w:hAnsi="Arial"/>
                <w:sz w:val="15"/>
                <w:szCs w:val="15"/>
                <w:b w:val="1"/>
                <w:bCs w:val="1"/>
                <w:color w:val="auto"/>
              </w:rPr>
              <w:t>3</w:t>
            </w: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38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Gross benefits paid</w:t>
            </w: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b w:val="1"/>
                <w:bCs w:val="1"/>
                <w:color w:val="auto"/>
              </w:rPr>
              <w:t>(41,654)</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(72,095)</w:t>
            </w:r>
          </w:p>
        </w:tc>
        <w:tc>
          <w:tcPr>
            <w:tcW w:w="0" w:type="dxa"/>
            <w:vAlign w:val="bottom"/>
          </w:tcPr>
          <w:p>
            <w:pPr>
              <w:spacing w:after="0"/>
              <w:rPr>
                <w:sz w:val="1"/>
                <w:szCs w:val="1"/>
                <w:color w:val="auto"/>
              </w:rPr>
            </w:pPr>
          </w:p>
        </w:tc>
      </w:tr>
      <w:tr>
        <w:trPr>
          <w:trHeight w:val="163"/>
        </w:trPr>
        <w:tc>
          <w:tcPr>
            <w:tcW w:w="33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Net projected benefit obligation at end of year</w:t>
            </w:r>
          </w:p>
        </w:tc>
        <w:tc>
          <w:tcPr>
            <w:tcW w:w="3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shd w:val="clear" w:color="auto" w:fill="CCEEFF"/>
          </w:tcPr>
          <w:p>
            <w:pPr>
              <w:jc w:val="right"/>
              <w:ind w:right="143"/>
              <w:spacing w:after="0" w:line="156" w:lineRule="exact"/>
              <w:rPr>
                <w:sz w:val="20"/>
                <w:szCs w:val="20"/>
                <w:color w:val="auto"/>
              </w:rPr>
            </w:pPr>
            <w:r>
              <w:rPr>
                <w:rFonts w:ascii="Arial" w:cs="Arial" w:eastAsia="Arial" w:hAnsi="Arial"/>
                <w:sz w:val="15"/>
                <w:szCs w:val="15"/>
                <w:b w:val="1"/>
                <w:bCs w:val="1"/>
                <w:color w:val="auto"/>
              </w:rPr>
              <w:t>847,896</w:t>
            </w:r>
          </w:p>
        </w:tc>
        <w:tc>
          <w:tcPr>
            <w:tcW w:w="3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879,335</w:t>
            </w:r>
          </w:p>
        </w:tc>
        <w:tc>
          <w:tcPr>
            <w:tcW w:w="0" w:type="dxa"/>
            <w:vAlign w:val="bottom"/>
          </w:tcPr>
          <w:p>
            <w:pPr>
              <w:spacing w:after="0"/>
              <w:rPr>
                <w:sz w:val="1"/>
                <w:szCs w:val="1"/>
                <w:color w:val="auto"/>
              </w:rPr>
            </w:pPr>
          </w:p>
        </w:tc>
      </w:tr>
    </w:tbl>
    <w:p>
      <w:pPr>
        <w:spacing w:after="0" w:line="261"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6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30</w:t>
      </w:r>
    </w:p>
    <w:p>
      <w:pPr>
        <w:sectPr>
          <w:pgSz w:w="11900" w:h="16838" w:orient="portrait"/>
          <w:cols w:equalWidth="0" w:num="1">
            <w:col w:w="11420"/>
          </w:cols>
          <w:pgMar w:left="240" w:top="265" w:right="239" w:bottom="1440" w:gutter="0" w:footer="0" w:header="0"/>
          <w:type w:val="continuous"/>
        </w:sectPr>
      </w:pPr>
    </w:p>
    <w:bookmarkStart w:id="69" w:name="page70"/>
    <w:bookmarkEnd w:id="69"/>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Company’s change in plan assets, funded status and amounts recognized on the Company’s consolidated balance sheets are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Weighted-average assumptions used to determine net periodic benefit cost for years ended December 31 are:</w:t>
      </w:r>
    </w:p>
    <w:p>
      <w:pPr>
        <w:spacing w:after="0" w:line="109" w:lineRule="exact"/>
        <w:rPr>
          <w:sz w:val="20"/>
          <w:szCs w:val="20"/>
          <w:color w:val="auto"/>
        </w:rPr>
      </w:pPr>
    </w:p>
    <w:p>
      <w:pPr>
        <w:ind w:left="3780"/>
        <w:spacing w:after="0"/>
        <w:tabs>
          <w:tab w:leader="none" w:pos="4460" w:val="left"/>
          <w:tab w:leader="none" w:pos="5180" w:val="left"/>
        </w:tabs>
        <w:rPr>
          <w:sz w:val="20"/>
          <w:szCs w:val="20"/>
          <w:color w:val="auto"/>
        </w:rPr>
      </w:pPr>
      <w:r>
        <w:rPr>
          <w:rFonts w:ascii="Arial" w:cs="Arial" w:eastAsia="Arial" w:hAnsi="Arial"/>
          <w:sz w:val="15"/>
          <w:szCs w:val="15"/>
          <w:b w:val="1"/>
          <w:bCs w:val="1"/>
          <w:color w:val="0085CD"/>
        </w:rPr>
        <w:t>2018</w:t>
      </w:r>
      <w:r>
        <w:rPr>
          <w:sz w:val="20"/>
          <w:szCs w:val="20"/>
          <w:color w:val="auto"/>
        </w:rPr>
        <w:tab/>
      </w:r>
      <w:r>
        <w:rPr>
          <w:rFonts w:ascii="Arial" w:cs="Arial" w:eastAsia="Arial" w:hAnsi="Arial"/>
          <w:sz w:val="15"/>
          <w:szCs w:val="15"/>
          <w:color w:val="auto"/>
        </w:rPr>
        <w:t>2017</w:t>
      </w:r>
      <w:r>
        <w:rPr>
          <w:sz w:val="20"/>
          <w:szCs w:val="20"/>
          <w:color w:val="auto"/>
        </w:rPr>
        <w:tab/>
      </w:r>
      <w:r>
        <w:rPr>
          <w:rFonts w:ascii="Arial" w:cs="Arial" w:eastAsia="Arial" w:hAnsi="Arial"/>
          <w:sz w:val="15"/>
          <w:szCs w:val="15"/>
          <w:color w:val="auto"/>
        </w:rPr>
        <w:t>2016</w:t>
      </w:r>
    </w:p>
    <w:p>
      <w:pPr>
        <w:spacing w:after="0" w:line="18"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40" w:type="dxa"/>
            <w:vAlign w:val="bottom"/>
          </w:tcPr>
          <w:p>
            <w:pPr>
              <w:ind w:left="20"/>
              <w:spacing w:after="0"/>
              <w:rPr>
                <w:sz w:val="20"/>
                <w:szCs w:val="20"/>
                <w:color w:val="auto"/>
              </w:rPr>
            </w:pPr>
            <w:r>
              <w:rPr>
                <w:rFonts w:ascii="Arial" w:cs="Arial" w:eastAsia="Arial" w:hAnsi="Arial"/>
                <w:sz w:val="14"/>
                <w:szCs w:val="14"/>
                <w:i w:val="1"/>
                <w:iCs w:val="1"/>
                <w:color w:val="auto"/>
              </w:rPr>
              <w:t>years ended December 31</w:t>
            </w:r>
          </w:p>
        </w:tc>
        <w:tc>
          <w:tcPr>
            <w:tcW w:w="340" w:type="dxa"/>
            <w:vAlign w:val="bottom"/>
          </w:tcPr>
          <w:p>
            <w:pPr>
              <w:spacing w:after="0"/>
              <w:rPr>
                <w:sz w:val="14"/>
                <w:szCs w:val="14"/>
                <w:color w:val="auto"/>
              </w:rPr>
            </w:pPr>
          </w:p>
        </w:tc>
        <w:tc>
          <w:tcPr>
            <w:tcW w:w="84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0085CD"/>
              </w:rPr>
              <w:t>2018</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(add 000)</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2017</w:t>
            </w: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Change in plan assets:</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line="162" w:lineRule="exact"/>
              <w:rPr>
                <w:sz w:val="20"/>
                <w:szCs w:val="20"/>
                <w:color w:val="auto"/>
              </w:rPr>
            </w:pPr>
            <w:r>
              <w:rPr>
                <w:rFonts w:ascii="Arial" w:cs="Arial" w:eastAsia="Arial" w:hAnsi="Arial"/>
                <w:sz w:val="15"/>
                <w:szCs w:val="15"/>
                <w:color w:val="auto"/>
              </w:rPr>
              <w:t>Fair value of plan assets at beginning of year</w:t>
            </w:r>
          </w:p>
        </w:tc>
        <w:tc>
          <w:tcPr>
            <w:tcW w:w="3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840" w:type="dxa"/>
            <w:vAlign w:val="bottom"/>
          </w:tcPr>
          <w:p>
            <w:pPr>
              <w:jc w:val="right"/>
              <w:ind w:right="143"/>
              <w:spacing w:after="0" w:line="162" w:lineRule="exact"/>
              <w:rPr>
                <w:sz w:val="20"/>
                <w:szCs w:val="20"/>
                <w:color w:val="auto"/>
              </w:rPr>
            </w:pPr>
            <w:r>
              <w:rPr>
                <w:rFonts w:ascii="Arial" w:cs="Arial" w:eastAsia="Arial" w:hAnsi="Arial"/>
                <w:sz w:val="15"/>
                <w:szCs w:val="15"/>
                <w:b w:val="1"/>
                <w:bCs w:val="1"/>
                <w:color w:val="auto"/>
              </w:rPr>
              <w:t>638,106</w:t>
            </w:r>
          </w:p>
        </w:tc>
        <w:tc>
          <w:tcPr>
            <w:tcW w:w="2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596,207</w:t>
            </w:r>
          </w:p>
        </w:tc>
        <w:tc>
          <w:tcPr>
            <w:tcW w:w="0" w:type="dxa"/>
            <w:vAlign w:val="bottom"/>
          </w:tcPr>
          <w:p>
            <w:pPr>
              <w:spacing w:after="0"/>
              <w:rPr>
                <w:sz w:val="1"/>
                <w:szCs w:val="1"/>
                <w:color w:val="auto"/>
              </w:rPr>
            </w:pPr>
          </w:p>
        </w:tc>
      </w:tr>
      <w:tr>
        <w:trPr>
          <w:trHeight w:val="162"/>
        </w:trPr>
        <w:tc>
          <w:tcPr>
            <w:tcW w:w="33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Actual return on plan assets, net</w:t>
            </w: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b w:val="1"/>
                <w:bCs w:val="1"/>
                <w:color w:val="auto"/>
              </w:rPr>
              <w:t>(40,823)</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83,091</w:t>
            </w: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line="162" w:lineRule="exact"/>
              <w:rPr>
                <w:sz w:val="20"/>
                <w:szCs w:val="20"/>
                <w:color w:val="auto"/>
              </w:rPr>
            </w:pPr>
            <w:r>
              <w:rPr>
                <w:rFonts w:ascii="Arial" w:cs="Arial" w:eastAsia="Arial" w:hAnsi="Arial"/>
                <w:sz w:val="15"/>
                <w:szCs w:val="15"/>
                <w:color w:val="auto"/>
              </w:rPr>
              <w:t>Employer contributions</w:t>
            </w:r>
          </w:p>
        </w:tc>
        <w:tc>
          <w:tcPr>
            <w:tcW w:w="340" w:type="dxa"/>
            <w:vAlign w:val="bottom"/>
          </w:tcPr>
          <w:p>
            <w:pPr>
              <w:spacing w:after="0"/>
              <w:rPr>
                <w:sz w:val="14"/>
                <w:szCs w:val="14"/>
                <w:color w:val="auto"/>
              </w:rPr>
            </w:pPr>
          </w:p>
        </w:tc>
        <w:tc>
          <w:tcPr>
            <w:tcW w:w="840" w:type="dxa"/>
            <w:vAlign w:val="bottom"/>
          </w:tcPr>
          <w:p>
            <w:pPr>
              <w:jc w:val="right"/>
              <w:ind w:right="143"/>
              <w:spacing w:after="0" w:line="162" w:lineRule="exact"/>
              <w:rPr>
                <w:sz w:val="20"/>
                <w:szCs w:val="20"/>
                <w:color w:val="auto"/>
              </w:rPr>
            </w:pPr>
            <w:r>
              <w:rPr>
                <w:rFonts w:ascii="Arial" w:cs="Arial" w:eastAsia="Arial" w:hAnsi="Arial"/>
                <w:sz w:val="15"/>
                <w:szCs w:val="15"/>
                <w:b w:val="1"/>
                <w:bCs w:val="1"/>
                <w:color w:val="auto"/>
              </w:rPr>
              <w:t>162,281</w:t>
            </w:r>
          </w:p>
        </w:tc>
        <w:tc>
          <w:tcPr>
            <w:tcW w:w="260" w:type="dxa"/>
            <w:vAlign w:val="bottom"/>
          </w:tcPr>
          <w:p>
            <w:pPr>
              <w:spacing w:after="0"/>
              <w:rPr>
                <w:sz w:val="14"/>
                <w:szCs w:val="14"/>
                <w:color w:val="auto"/>
              </w:rPr>
            </w:pPr>
          </w:p>
        </w:tc>
        <w:tc>
          <w:tcPr>
            <w:tcW w:w="7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30,903</w:t>
            </w:r>
          </w:p>
        </w:tc>
        <w:tc>
          <w:tcPr>
            <w:tcW w:w="0" w:type="dxa"/>
            <w:vAlign w:val="bottom"/>
          </w:tcPr>
          <w:p>
            <w:pPr>
              <w:spacing w:after="0"/>
              <w:rPr>
                <w:sz w:val="1"/>
                <w:szCs w:val="1"/>
                <w:color w:val="auto"/>
              </w:rPr>
            </w:pPr>
          </w:p>
        </w:tc>
      </w:tr>
      <w:tr>
        <w:trPr>
          <w:trHeight w:val="162"/>
        </w:trPr>
        <w:tc>
          <w:tcPr>
            <w:tcW w:w="3340" w:type="dxa"/>
            <w:vAlign w:val="bottom"/>
            <w:tcBorders>
              <w:bottom w:val="single" w:sz="8" w:color="auto"/>
            </w:tcBorders>
            <w:shd w:val="clear" w:color="auto" w:fill="CCEEFF"/>
          </w:tcPr>
          <w:p>
            <w:pPr>
              <w:ind w:left="20"/>
              <w:spacing w:after="0" w:line="162" w:lineRule="exact"/>
              <w:rPr>
                <w:sz w:val="20"/>
                <w:szCs w:val="20"/>
                <w:color w:val="auto"/>
              </w:rPr>
            </w:pPr>
            <w:r>
              <w:rPr>
                <w:rFonts w:ascii="Arial" w:cs="Arial" w:eastAsia="Arial" w:hAnsi="Arial"/>
                <w:sz w:val="15"/>
                <w:szCs w:val="15"/>
                <w:color w:val="auto"/>
              </w:rPr>
              <w:t>Gross benefits paid</w:t>
            </w:r>
          </w:p>
        </w:tc>
        <w:tc>
          <w:tcPr>
            <w:tcW w:w="3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03"/>
              <w:spacing w:after="0" w:line="162" w:lineRule="exact"/>
              <w:rPr>
                <w:sz w:val="20"/>
                <w:szCs w:val="20"/>
                <w:color w:val="auto"/>
              </w:rPr>
            </w:pPr>
            <w:r>
              <w:rPr>
                <w:rFonts w:ascii="Arial" w:cs="Arial" w:eastAsia="Arial" w:hAnsi="Arial"/>
                <w:sz w:val="15"/>
                <w:szCs w:val="15"/>
                <w:b w:val="1"/>
                <w:bCs w:val="1"/>
                <w:color w:val="auto"/>
              </w:rPr>
              <w:t>(41,654)</w:t>
            </w:r>
          </w:p>
        </w:tc>
        <w:tc>
          <w:tcPr>
            <w:tcW w:w="2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(72,095)</w:t>
            </w:r>
          </w:p>
        </w:tc>
        <w:tc>
          <w:tcPr>
            <w:tcW w:w="0" w:type="dxa"/>
            <w:vAlign w:val="bottom"/>
          </w:tcPr>
          <w:p>
            <w:pPr>
              <w:spacing w:after="0"/>
              <w:rPr>
                <w:sz w:val="1"/>
                <w:szCs w:val="1"/>
                <w:color w:val="auto"/>
              </w:rPr>
            </w:pPr>
          </w:p>
        </w:tc>
      </w:tr>
      <w:tr>
        <w:trPr>
          <w:trHeight w:val="163"/>
        </w:trPr>
        <w:tc>
          <w:tcPr>
            <w:tcW w:w="3340" w:type="dxa"/>
            <w:vAlign w:val="bottom"/>
            <w:tcBorders>
              <w:bottom w:val="single" w:sz="8" w:color="auto"/>
            </w:tcBorders>
          </w:tcPr>
          <w:p>
            <w:pPr>
              <w:ind w:left="20"/>
              <w:spacing w:after="0" w:line="156" w:lineRule="exact"/>
              <w:rPr>
                <w:sz w:val="20"/>
                <w:szCs w:val="20"/>
                <w:color w:val="auto"/>
              </w:rPr>
            </w:pPr>
            <w:r>
              <w:rPr>
                <w:rFonts w:ascii="Arial" w:cs="Arial" w:eastAsia="Arial" w:hAnsi="Arial"/>
                <w:sz w:val="15"/>
                <w:szCs w:val="15"/>
                <w:color w:val="auto"/>
              </w:rPr>
              <w:t>Fair value of plan assets at end of year</w:t>
            </w:r>
          </w:p>
        </w:tc>
        <w:tc>
          <w:tcPr>
            <w:tcW w:w="3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ind w:right="143"/>
              <w:spacing w:after="0" w:line="156" w:lineRule="exact"/>
              <w:rPr>
                <w:sz w:val="20"/>
                <w:szCs w:val="20"/>
                <w:color w:val="auto"/>
              </w:rPr>
            </w:pPr>
            <w:r>
              <w:rPr>
                <w:rFonts w:ascii="Arial" w:cs="Arial" w:eastAsia="Arial" w:hAnsi="Arial"/>
                <w:sz w:val="15"/>
                <w:szCs w:val="15"/>
                <w:b w:val="1"/>
                <w:bCs w:val="1"/>
                <w:color w:val="auto"/>
              </w:rPr>
              <w:t>717,910</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638,106</w:t>
            </w:r>
          </w:p>
        </w:tc>
        <w:tc>
          <w:tcPr>
            <w:tcW w:w="0" w:type="dxa"/>
            <w:vAlign w:val="bottom"/>
          </w:tcPr>
          <w:p>
            <w:pPr>
              <w:spacing w:after="0"/>
              <w:rPr>
                <w:sz w:val="1"/>
                <w:szCs w:val="1"/>
                <w:color w:val="auto"/>
              </w:rPr>
            </w:pPr>
          </w:p>
        </w:tc>
      </w:tr>
      <w:tr>
        <w:trPr>
          <w:trHeight w:val="321"/>
        </w:trPr>
        <w:tc>
          <w:tcPr>
            <w:tcW w:w="3340" w:type="dxa"/>
            <w:vAlign w:val="bottom"/>
          </w:tcPr>
          <w:p>
            <w:pPr>
              <w:ind w:left="20"/>
              <w:spacing w:after="0"/>
              <w:rPr>
                <w:sz w:val="20"/>
                <w:szCs w:val="20"/>
                <w:color w:val="auto"/>
              </w:rPr>
            </w:pPr>
            <w:r>
              <w:rPr>
                <w:rFonts w:ascii="Arial" w:cs="Arial" w:eastAsia="Arial" w:hAnsi="Arial"/>
                <w:sz w:val="14"/>
                <w:szCs w:val="14"/>
                <w:i w:val="1"/>
                <w:iCs w:val="1"/>
                <w:color w:val="auto"/>
              </w:rPr>
              <w:t>December 31</w:t>
            </w:r>
          </w:p>
        </w:tc>
        <w:tc>
          <w:tcPr>
            <w:tcW w:w="340" w:type="dxa"/>
            <w:vAlign w:val="bottom"/>
          </w:tcPr>
          <w:p>
            <w:pPr>
              <w:spacing w:after="0"/>
              <w:rPr>
                <w:sz w:val="24"/>
                <w:szCs w:val="24"/>
                <w:color w:val="auto"/>
              </w:rPr>
            </w:pPr>
          </w:p>
        </w:tc>
        <w:tc>
          <w:tcPr>
            <w:tcW w:w="84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0085CD"/>
              </w:rPr>
              <w:t>2018</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(add 000)</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2017</w:t>
            </w:r>
          </w:p>
        </w:tc>
        <w:tc>
          <w:tcPr>
            <w:tcW w:w="0" w:type="dxa"/>
            <w:vAlign w:val="bottom"/>
          </w:tcPr>
          <w:p>
            <w:pPr>
              <w:spacing w:after="0"/>
              <w:rPr>
                <w:sz w:val="1"/>
                <w:szCs w:val="1"/>
                <w:color w:val="auto"/>
              </w:rPr>
            </w:pPr>
          </w:p>
        </w:tc>
      </w:tr>
      <w:tr>
        <w:trPr>
          <w:trHeight w:val="156"/>
        </w:trPr>
        <w:tc>
          <w:tcPr>
            <w:tcW w:w="3340" w:type="dxa"/>
            <w:vAlign w:val="bottom"/>
            <w:tcBorders>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Funded status of the plan at end of year</w:t>
            </w:r>
          </w:p>
        </w:tc>
        <w:tc>
          <w:tcPr>
            <w:tcW w:w="3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ind w:right="103"/>
              <w:spacing w:after="0" w:line="156" w:lineRule="exact"/>
              <w:rPr>
                <w:sz w:val="20"/>
                <w:szCs w:val="20"/>
                <w:color w:val="auto"/>
              </w:rPr>
            </w:pPr>
            <w:r>
              <w:rPr>
                <w:rFonts w:ascii="Arial" w:cs="Arial" w:eastAsia="Arial" w:hAnsi="Arial"/>
                <w:sz w:val="15"/>
                <w:szCs w:val="15"/>
                <w:b w:val="1"/>
                <w:bCs w:val="1"/>
                <w:color w:val="auto"/>
                <w:w w:val="99"/>
              </w:rPr>
              <w:t>(129,986)</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(241,229)</w:t>
            </w:r>
          </w:p>
        </w:tc>
        <w:tc>
          <w:tcPr>
            <w:tcW w:w="0" w:type="dxa"/>
            <w:vAlign w:val="bottom"/>
          </w:tcPr>
          <w:p>
            <w:pPr>
              <w:spacing w:after="0"/>
              <w:rPr>
                <w:sz w:val="1"/>
                <w:szCs w:val="1"/>
                <w:color w:val="auto"/>
              </w:rPr>
            </w:pPr>
          </w:p>
        </w:tc>
      </w:tr>
      <w:tr>
        <w:trPr>
          <w:trHeight w:val="163"/>
        </w:trPr>
        <w:tc>
          <w:tcPr>
            <w:tcW w:w="3340" w:type="dxa"/>
            <w:vAlign w:val="bottom"/>
            <w:tcBorders>
              <w:bottom w:val="single" w:sz="8" w:color="auto"/>
            </w:tcBorders>
          </w:tcPr>
          <w:p>
            <w:pPr>
              <w:ind w:left="20"/>
              <w:spacing w:after="0" w:line="156" w:lineRule="exact"/>
              <w:rPr>
                <w:sz w:val="20"/>
                <w:szCs w:val="20"/>
                <w:color w:val="auto"/>
              </w:rPr>
            </w:pPr>
            <w:r>
              <w:rPr>
                <w:rFonts w:ascii="Arial" w:cs="Arial" w:eastAsia="Arial" w:hAnsi="Arial"/>
                <w:sz w:val="15"/>
                <w:szCs w:val="15"/>
                <w:color w:val="auto"/>
              </w:rPr>
              <w:t>Accrued benefit cost</w:t>
            </w:r>
          </w:p>
        </w:tc>
        <w:tc>
          <w:tcPr>
            <w:tcW w:w="3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ind w:right="103"/>
              <w:spacing w:after="0" w:line="156" w:lineRule="exact"/>
              <w:rPr>
                <w:sz w:val="20"/>
                <w:szCs w:val="20"/>
                <w:color w:val="auto"/>
              </w:rPr>
            </w:pPr>
            <w:r>
              <w:rPr>
                <w:rFonts w:ascii="Arial" w:cs="Arial" w:eastAsia="Arial" w:hAnsi="Arial"/>
                <w:sz w:val="15"/>
                <w:szCs w:val="15"/>
                <w:b w:val="1"/>
                <w:bCs w:val="1"/>
                <w:color w:val="auto"/>
                <w:w w:val="99"/>
              </w:rPr>
              <w:t>(129,986)</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9"/>
              </w:rPr>
              <w:t>(241,229)</w:t>
            </w:r>
          </w:p>
        </w:tc>
        <w:tc>
          <w:tcPr>
            <w:tcW w:w="0" w:type="dxa"/>
            <w:vAlign w:val="bottom"/>
          </w:tcPr>
          <w:p>
            <w:pPr>
              <w:spacing w:after="0"/>
              <w:rPr>
                <w:sz w:val="1"/>
                <w:szCs w:val="1"/>
                <w:color w:val="auto"/>
              </w:rPr>
            </w:pPr>
          </w:p>
        </w:tc>
      </w:tr>
      <w:tr>
        <w:trPr>
          <w:trHeight w:val="321"/>
        </w:trPr>
        <w:tc>
          <w:tcPr>
            <w:tcW w:w="3340" w:type="dxa"/>
            <w:vAlign w:val="bottom"/>
          </w:tcPr>
          <w:p>
            <w:pPr>
              <w:ind w:left="20"/>
              <w:spacing w:after="0"/>
              <w:rPr>
                <w:sz w:val="20"/>
                <w:szCs w:val="20"/>
                <w:color w:val="auto"/>
              </w:rPr>
            </w:pPr>
            <w:r>
              <w:rPr>
                <w:rFonts w:ascii="Arial" w:cs="Arial" w:eastAsia="Arial" w:hAnsi="Arial"/>
                <w:sz w:val="15"/>
                <w:szCs w:val="15"/>
                <w:i w:val="1"/>
                <w:iCs w:val="1"/>
                <w:color w:val="auto"/>
              </w:rPr>
              <w:t>December 31</w:t>
            </w:r>
          </w:p>
        </w:tc>
        <w:tc>
          <w:tcPr>
            <w:tcW w:w="340" w:type="dxa"/>
            <w:vAlign w:val="bottom"/>
          </w:tcPr>
          <w:p>
            <w:pPr>
              <w:spacing w:after="0"/>
              <w:rPr>
                <w:sz w:val="24"/>
                <w:szCs w:val="24"/>
                <w:color w:val="auto"/>
              </w:rPr>
            </w:pPr>
          </w:p>
        </w:tc>
        <w:tc>
          <w:tcPr>
            <w:tcW w:w="84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0085CD"/>
              </w:rPr>
              <w:t>2018</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(add 000)</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2017</w:t>
            </w:r>
          </w:p>
        </w:tc>
        <w:tc>
          <w:tcPr>
            <w:tcW w:w="0" w:type="dxa"/>
            <w:vAlign w:val="bottom"/>
          </w:tcPr>
          <w:p>
            <w:pPr>
              <w:spacing w:after="0"/>
              <w:rPr>
                <w:sz w:val="1"/>
                <w:szCs w:val="1"/>
                <w:color w:val="auto"/>
              </w:rPr>
            </w:pPr>
          </w:p>
        </w:tc>
      </w:tr>
      <w:tr>
        <w:trPr>
          <w:trHeight w:val="152"/>
        </w:trPr>
        <w:tc>
          <w:tcPr>
            <w:tcW w:w="334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rPr>
              <w:t>Amounts recognized on consolidated balance</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340" w:type="dxa"/>
            <w:vAlign w:val="bottom"/>
            <w:shd w:val="clear" w:color="auto" w:fill="CCEEFF"/>
          </w:tcPr>
          <w:p>
            <w:pPr>
              <w:ind w:left="160"/>
              <w:spacing w:after="0" w:line="166" w:lineRule="exact"/>
              <w:rPr>
                <w:sz w:val="20"/>
                <w:szCs w:val="20"/>
                <w:color w:val="auto"/>
              </w:rPr>
            </w:pPr>
            <w:r>
              <w:rPr>
                <w:rFonts w:ascii="Arial" w:cs="Arial" w:eastAsia="Arial" w:hAnsi="Arial"/>
                <w:sz w:val="15"/>
                <w:szCs w:val="15"/>
                <w:color w:val="auto"/>
              </w:rPr>
              <w:t>sheets consist of:</w:t>
            </w: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line="162" w:lineRule="exact"/>
              <w:rPr>
                <w:sz w:val="20"/>
                <w:szCs w:val="20"/>
                <w:color w:val="auto"/>
              </w:rPr>
            </w:pPr>
            <w:r>
              <w:rPr>
                <w:rFonts w:ascii="Arial" w:cs="Arial" w:eastAsia="Arial" w:hAnsi="Arial"/>
                <w:sz w:val="15"/>
                <w:szCs w:val="15"/>
                <w:color w:val="auto"/>
              </w:rPr>
              <w:t>Current liability</w:t>
            </w:r>
          </w:p>
        </w:tc>
        <w:tc>
          <w:tcPr>
            <w:tcW w:w="3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840" w:type="dxa"/>
            <w:vAlign w:val="bottom"/>
          </w:tcPr>
          <w:p>
            <w:pPr>
              <w:jc w:val="right"/>
              <w:ind w:right="103"/>
              <w:spacing w:after="0" w:line="162" w:lineRule="exact"/>
              <w:rPr>
                <w:sz w:val="20"/>
                <w:szCs w:val="20"/>
                <w:color w:val="auto"/>
              </w:rPr>
            </w:pPr>
            <w:r>
              <w:rPr>
                <w:rFonts w:ascii="Arial" w:cs="Arial" w:eastAsia="Arial" w:hAnsi="Arial"/>
                <w:sz w:val="15"/>
                <w:szCs w:val="15"/>
                <w:b w:val="1"/>
                <w:bCs w:val="1"/>
                <w:color w:val="auto"/>
              </w:rPr>
              <w:t>(8,992)</w:t>
            </w:r>
          </w:p>
        </w:tc>
        <w:tc>
          <w:tcPr>
            <w:tcW w:w="2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(11,092)</w:t>
            </w:r>
          </w:p>
        </w:tc>
        <w:tc>
          <w:tcPr>
            <w:tcW w:w="0" w:type="dxa"/>
            <w:vAlign w:val="bottom"/>
          </w:tcPr>
          <w:p>
            <w:pPr>
              <w:spacing w:after="0"/>
              <w:rPr>
                <w:sz w:val="1"/>
                <w:szCs w:val="1"/>
                <w:color w:val="auto"/>
              </w:rPr>
            </w:pPr>
          </w:p>
        </w:tc>
      </w:tr>
      <w:tr>
        <w:trPr>
          <w:trHeight w:val="162"/>
        </w:trPr>
        <w:tc>
          <w:tcPr>
            <w:tcW w:w="3340" w:type="dxa"/>
            <w:vAlign w:val="bottom"/>
            <w:tcBorders>
              <w:bottom w:val="single" w:sz="8" w:color="auto"/>
            </w:tcBorders>
            <w:shd w:val="clear" w:color="auto" w:fill="CCEEFF"/>
          </w:tcPr>
          <w:p>
            <w:pPr>
              <w:ind w:left="20"/>
              <w:spacing w:after="0" w:line="162" w:lineRule="exact"/>
              <w:rPr>
                <w:sz w:val="20"/>
                <w:szCs w:val="20"/>
                <w:color w:val="auto"/>
              </w:rPr>
            </w:pPr>
            <w:r>
              <w:rPr>
                <w:rFonts w:ascii="Arial" w:cs="Arial" w:eastAsia="Arial" w:hAnsi="Arial"/>
                <w:sz w:val="15"/>
                <w:szCs w:val="15"/>
                <w:color w:val="auto"/>
              </w:rPr>
              <w:t>Noncurrent liability</w:t>
            </w:r>
          </w:p>
        </w:tc>
        <w:tc>
          <w:tcPr>
            <w:tcW w:w="3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03"/>
              <w:spacing w:after="0" w:line="162" w:lineRule="exact"/>
              <w:rPr>
                <w:sz w:val="20"/>
                <w:szCs w:val="20"/>
                <w:color w:val="auto"/>
              </w:rPr>
            </w:pPr>
            <w:r>
              <w:rPr>
                <w:rFonts w:ascii="Arial" w:cs="Arial" w:eastAsia="Arial" w:hAnsi="Arial"/>
                <w:sz w:val="15"/>
                <w:szCs w:val="15"/>
                <w:b w:val="1"/>
                <w:bCs w:val="1"/>
                <w:color w:val="auto"/>
                <w:w w:val="99"/>
              </w:rPr>
              <w:t>(120,994)</w:t>
            </w:r>
          </w:p>
        </w:tc>
        <w:tc>
          <w:tcPr>
            <w:tcW w:w="2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9"/>
              </w:rPr>
              <w:t>(230,137)</w:t>
            </w:r>
          </w:p>
        </w:tc>
        <w:tc>
          <w:tcPr>
            <w:tcW w:w="0" w:type="dxa"/>
            <w:vAlign w:val="bottom"/>
          </w:tcPr>
          <w:p>
            <w:pPr>
              <w:spacing w:after="0"/>
              <w:rPr>
                <w:sz w:val="1"/>
                <w:szCs w:val="1"/>
                <w:color w:val="auto"/>
              </w:rPr>
            </w:pPr>
          </w:p>
        </w:tc>
      </w:tr>
      <w:tr>
        <w:trPr>
          <w:trHeight w:val="163"/>
        </w:trPr>
        <w:tc>
          <w:tcPr>
            <w:tcW w:w="3340" w:type="dxa"/>
            <w:vAlign w:val="bottom"/>
            <w:tcBorders>
              <w:bottom w:val="single" w:sz="8" w:color="auto"/>
            </w:tcBorders>
          </w:tcPr>
          <w:p>
            <w:pPr>
              <w:ind w:left="20"/>
              <w:spacing w:after="0" w:line="156" w:lineRule="exact"/>
              <w:rPr>
                <w:sz w:val="20"/>
                <w:szCs w:val="20"/>
                <w:color w:val="auto"/>
              </w:rPr>
            </w:pPr>
            <w:r>
              <w:rPr>
                <w:rFonts w:ascii="Arial" w:cs="Arial" w:eastAsia="Arial" w:hAnsi="Arial"/>
                <w:sz w:val="15"/>
                <w:szCs w:val="15"/>
                <w:color w:val="auto"/>
              </w:rPr>
              <w:t>Net amount recognized at end of year</w:t>
            </w:r>
          </w:p>
        </w:tc>
        <w:tc>
          <w:tcPr>
            <w:tcW w:w="3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ind w:right="103"/>
              <w:spacing w:after="0" w:line="156" w:lineRule="exact"/>
              <w:rPr>
                <w:sz w:val="20"/>
                <w:szCs w:val="20"/>
                <w:color w:val="auto"/>
              </w:rPr>
            </w:pPr>
            <w:r>
              <w:rPr>
                <w:rFonts w:ascii="Arial" w:cs="Arial" w:eastAsia="Arial" w:hAnsi="Arial"/>
                <w:sz w:val="15"/>
                <w:szCs w:val="15"/>
                <w:b w:val="1"/>
                <w:bCs w:val="1"/>
                <w:color w:val="auto"/>
                <w:w w:val="99"/>
              </w:rPr>
              <w:t>(129,986)</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9"/>
              </w:rPr>
              <w:t>(241,229)</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accumulated benefit obligation for all defined benefit pension plans was $771,921,000 and $792,912,000 at December 31, 2018 and 2017, respectively.</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Benefit obligations and fair value of plan assets for pension plans with accumulated benefit obligations in excess of plan assets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20" w:type="dxa"/>
            <w:vAlign w:val="bottom"/>
          </w:tcPr>
          <w:p>
            <w:pPr>
              <w:ind w:left="20"/>
              <w:spacing w:after="0"/>
              <w:rPr>
                <w:sz w:val="20"/>
                <w:szCs w:val="20"/>
                <w:color w:val="auto"/>
              </w:rPr>
            </w:pPr>
            <w:r>
              <w:rPr>
                <w:rFonts w:ascii="Arial" w:cs="Arial" w:eastAsia="Arial" w:hAnsi="Arial"/>
                <w:sz w:val="14"/>
                <w:szCs w:val="14"/>
                <w:i w:val="1"/>
                <w:iCs w:val="1"/>
                <w:color w:val="auto"/>
              </w:rPr>
              <w:t>December 31</w:t>
            </w:r>
          </w:p>
        </w:tc>
        <w:tc>
          <w:tcPr>
            <w:tcW w:w="940" w:type="dxa"/>
            <w:vAlign w:val="bottom"/>
          </w:tcPr>
          <w:p>
            <w:pPr>
              <w:spacing w:after="0"/>
              <w:rPr>
                <w:sz w:val="14"/>
                <w:szCs w:val="14"/>
                <w:color w:val="auto"/>
              </w:rPr>
            </w:pPr>
          </w:p>
        </w:tc>
        <w:tc>
          <w:tcPr>
            <w:tcW w:w="68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0085CD"/>
              </w:rPr>
              <w:t>2018</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(add 000)</w:t>
            </w:r>
          </w:p>
        </w:tc>
        <w:tc>
          <w:tcPr>
            <w:tcW w:w="9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2017</w:t>
            </w:r>
          </w:p>
        </w:tc>
        <w:tc>
          <w:tcPr>
            <w:tcW w:w="0" w:type="dxa"/>
            <w:vAlign w:val="bottom"/>
          </w:tcPr>
          <w:p>
            <w:pPr>
              <w:spacing w:after="0"/>
              <w:rPr>
                <w:sz w:val="1"/>
                <w:szCs w:val="1"/>
                <w:color w:val="auto"/>
              </w:rPr>
            </w:pPr>
          </w:p>
        </w:tc>
      </w:tr>
      <w:tr>
        <w:trPr>
          <w:trHeight w:val="156"/>
        </w:trPr>
        <w:tc>
          <w:tcPr>
            <w:tcW w:w="292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Projected benefit obligation</w:t>
            </w:r>
          </w:p>
        </w:tc>
        <w:tc>
          <w:tcPr>
            <w:tcW w:w="9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680" w:type="dxa"/>
            <w:vAlign w:val="bottom"/>
            <w:shd w:val="clear" w:color="auto" w:fill="CCEEFF"/>
          </w:tcPr>
          <w:p>
            <w:pPr>
              <w:jc w:val="right"/>
              <w:ind w:right="103"/>
              <w:spacing w:after="0" w:line="156" w:lineRule="exact"/>
              <w:rPr>
                <w:sz w:val="20"/>
                <w:szCs w:val="20"/>
                <w:color w:val="auto"/>
              </w:rPr>
            </w:pPr>
            <w:r>
              <w:rPr>
                <w:rFonts w:ascii="Arial" w:cs="Arial" w:eastAsia="Arial" w:hAnsi="Arial"/>
                <w:sz w:val="15"/>
                <w:szCs w:val="15"/>
                <w:b w:val="1"/>
                <w:bCs w:val="1"/>
                <w:color w:val="auto"/>
              </w:rPr>
              <w:t>98,729</w:t>
            </w:r>
          </w:p>
        </w:tc>
        <w:tc>
          <w:tcPr>
            <w:tcW w:w="9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$ 879,335</w:t>
            </w:r>
          </w:p>
        </w:tc>
        <w:tc>
          <w:tcPr>
            <w:tcW w:w="0" w:type="dxa"/>
            <w:vAlign w:val="bottom"/>
          </w:tcPr>
          <w:p>
            <w:pPr>
              <w:spacing w:after="0"/>
              <w:rPr>
                <w:sz w:val="1"/>
                <w:szCs w:val="1"/>
                <w:color w:val="auto"/>
              </w:rPr>
            </w:pPr>
          </w:p>
        </w:tc>
      </w:tr>
      <w:tr>
        <w:trPr>
          <w:trHeight w:val="162"/>
        </w:trPr>
        <w:tc>
          <w:tcPr>
            <w:tcW w:w="2920" w:type="dxa"/>
            <w:vAlign w:val="bottom"/>
          </w:tcPr>
          <w:p>
            <w:pPr>
              <w:ind w:left="20"/>
              <w:spacing w:after="0" w:line="162" w:lineRule="exact"/>
              <w:rPr>
                <w:sz w:val="20"/>
                <w:szCs w:val="20"/>
                <w:color w:val="auto"/>
              </w:rPr>
            </w:pPr>
            <w:r>
              <w:rPr>
                <w:rFonts w:ascii="Arial" w:cs="Arial" w:eastAsia="Arial" w:hAnsi="Arial"/>
                <w:sz w:val="15"/>
                <w:szCs w:val="15"/>
                <w:color w:val="auto"/>
              </w:rPr>
              <w:t>Accumulated benefit obligation</w:t>
            </w:r>
          </w:p>
        </w:tc>
        <w:tc>
          <w:tcPr>
            <w:tcW w:w="9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680" w:type="dxa"/>
            <w:vAlign w:val="bottom"/>
          </w:tcPr>
          <w:p>
            <w:pPr>
              <w:jc w:val="right"/>
              <w:ind w:right="103"/>
              <w:spacing w:after="0" w:line="162" w:lineRule="exact"/>
              <w:rPr>
                <w:sz w:val="20"/>
                <w:szCs w:val="20"/>
                <w:color w:val="auto"/>
              </w:rPr>
            </w:pPr>
            <w:r>
              <w:rPr>
                <w:rFonts w:ascii="Arial" w:cs="Arial" w:eastAsia="Arial" w:hAnsi="Arial"/>
                <w:sz w:val="15"/>
                <w:szCs w:val="15"/>
                <w:b w:val="1"/>
                <w:bCs w:val="1"/>
                <w:color w:val="auto"/>
              </w:rPr>
              <w:t>85,548</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$ 792,912</w:t>
            </w: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Fair value of plan assets</w:t>
            </w: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68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b w:val="1"/>
                <w:bCs w:val="1"/>
                <w:color w:val="auto"/>
              </w:rPr>
              <w:t>560</w:t>
            </w: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$ 638,106</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Weighted-average assumptions used to determine benefit obligations as of December 31 are: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0085CD"/>
              </w:rPr>
              <w:t>2018</w:t>
            </w:r>
          </w:p>
        </w:tc>
        <w:tc>
          <w:tcPr>
            <w:tcW w:w="6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2017</w:t>
            </w:r>
          </w:p>
        </w:tc>
      </w:tr>
      <w:tr>
        <w:trPr>
          <w:trHeight w:val="156"/>
        </w:trPr>
        <w:tc>
          <w:tcPr>
            <w:tcW w:w="366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Discount rate</w:t>
            </w:r>
          </w:p>
        </w:tc>
        <w:tc>
          <w:tcPr>
            <w:tcW w:w="1140" w:type="dxa"/>
            <w:vAlign w:val="bottom"/>
            <w:shd w:val="clear" w:color="auto" w:fill="CCEEFF"/>
          </w:tcPr>
          <w:p>
            <w:pPr>
              <w:jc w:val="right"/>
              <w:ind w:right="83"/>
              <w:spacing w:after="0" w:line="156" w:lineRule="exact"/>
              <w:rPr>
                <w:sz w:val="20"/>
                <w:szCs w:val="20"/>
                <w:color w:val="auto"/>
              </w:rPr>
            </w:pPr>
            <w:r>
              <w:rPr>
                <w:rFonts w:ascii="Arial" w:cs="Arial" w:eastAsia="Arial" w:hAnsi="Arial"/>
                <w:sz w:val="15"/>
                <w:szCs w:val="15"/>
                <w:b w:val="1"/>
                <w:bCs w:val="1"/>
                <w:color w:val="auto"/>
              </w:rPr>
              <w:t>4.38%</w:t>
            </w:r>
          </w:p>
        </w:tc>
        <w:tc>
          <w:tcPr>
            <w:tcW w:w="6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3.76%</w:t>
            </w:r>
          </w:p>
        </w:tc>
      </w:tr>
      <w:tr>
        <w:trPr>
          <w:trHeight w:val="202"/>
        </w:trPr>
        <w:tc>
          <w:tcPr>
            <w:tcW w:w="3660" w:type="dxa"/>
            <w:vAlign w:val="bottom"/>
          </w:tcPr>
          <w:p>
            <w:pPr>
              <w:ind w:left="20"/>
              <w:spacing w:after="0"/>
              <w:rPr>
                <w:sz w:val="20"/>
                <w:szCs w:val="20"/>
                <w:color w:val="auto"/>
              </w:rPr>
            </w:pPr>
            <w:r>
              <w:rPr>
                <w:rFonts w:ascii="Arial" w:cs="Arial" w:eastAsia="Arial" w:hAnsi="Arial"/>
                <w:sz w:val="15"/>
                <w:szCs w:val="15"/>
                <w:color w:val="auto"/>
              </w:rPr>
              <w:t>Rate of increase in future compensation levels</w:t>
            </w:r>
          </w:p>
        </w:tc>
        <w:tc>
          <w:tcPr>
            <w:tcW w:w="1140" w:type="dxa"/>
            <w:vAlign w:val="bottom"/>
          </w:tcPr>
          <w:p>
            <w:pPr>
              <w:jc w:val="right"/>
              <w:ind w:right="83"/>
              <w:spacing w:after="0"/>
              <w:rPr>
                <w:sz w:val="20"/>
                <w:szCs w:val="20"/>
                <w:color w:val="auto"/>
              </w:rPr>
            </w:pPr>
            <w:r>
              <w:rPr>
                <w:rFonts w:ascii="Arial" w:cs="Arial" w:eastAsia="Arial" w:hAnsi="Arial"/>
                <w:sz w:val="15"/>
                <w:szCs w:val="15"/>
                <w:b w:val="1"/>
                <w:bCs w:val="1"/>
                <w:color w:val="auto"/>
              </w:rPr>
              <w:t>4.50%</w:t>
            </w:r>
          </w:p>
        </w:tc>
        <w:tc>
          <w:tcPr>
            <w:tcW w:w="680" w:type="dxa"/>
            <w:vAlign w:val="bottom"/>
          </w:tcPr>
          <w:p>
            <w:pPr>
              <w:jc w:val="right"/>
              <w:spacing w:after="0"/>
              <w:rPr>
                <w:sz w:val="20"/>
                <w:szCs w:val="20"/>
                <w:color w:val="auto"/>
              </w:rPr>
            </w:pPr>
            <w:r>
              <w:rPr>
                <w:rFonts w:ascii="Arial" w:cs="Arial" w:eastAsia="Arial" w:hAnsi="Arial"/>
                <w:sz w:val="15"/>
                <w:szCs w:val="15"/>
                <w:color w:val="auto"/>
              </w:rPr>
              <w:t>4.50%</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34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Discount rate</w:t>
            </w:r>
          </w:p>
        </w:tc>
        <w:tc>
          <w:tcPr>
            <w:tcW w:w="840" w:type="dxa"/>
            <w:vAlign w:val="bottom"/>
            <w:tcBorders>
              <w:top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b w:val="1"/>
                <w:bCs w:val="1"/>
                <w:color w:val="auto"/>
              </w:rPr>
              <w:t>3.76%</w:t>
            </w:r>
          </w:p>
        </w:tc>
        <w:tc>
          <w:tcPr>
            <w:tcW w:w="720" w:type="dxa"/>
            <w:vAlign w:val="bottom"/>
            <w:tcBorders>
              <w:top w:val="single" w:sz="8" w:color="auto"/>
            </w:tcBorders>
            <w:shd w:val="clear" w:color="auto" w:fill="CCEEFF"/>
          </w:tcPr>
          <w:p>
            <w:pPr>
              <w:jc w:val="right"/>
              <w:ind w:right="83"/>
              <w:spacing w:after="0" w:line="156" w:lineRule="exact"/>
              <w:rPr>
                <w:sz w:val="20"/>
                <w:szCs w:val="20"/>
                <w:color w:val="auto"/>
              </w:rPr>
            </w:pPr>
            <w:r>
              <w:rPr>
                <w:rFonts w:ascii="Arial" w:cs="Arial" w:eastAsia="Arial" w:hAnsi="Arial"/>
                <w:sz w:val="15"/>
                <w:szCs w:val="15"/>
                <w:color w:val="auto"/>
              </w:rPr>
              <w:t>4.29%</w:t>
            </w: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4.67%</w:t>
            </w:r>
          </w:p>
        </w:tc>
      </w:tr>
      <w:tr>
        <w:trPr>
          <w:trHeight w:val="162"/>
        </w:trPr>
        <w:tc>
          <w:tcPr>
            <w:tcW w:w="3420" w:type="dxa"/>
            <w:vAlign w:val="bottom"/>
          </w:tcPr>
          <w:p>
            <w:pPr>
              <w:spacing w:after="0" w:line="162" w:lineRule="exact"/>
              <w:rPr>
                <w:sz w:val="20"/>
                <w:szCs w:val="20"/>
                <w:color w:val="auto"/>
              </w:rPr>
            </w:pPr>
            <w:r>
              <w:rPr>
                <w:rFonts w:ascii="Arial" w:cs="Arial" w:eastAsia="Arial" w:hAnsi="Arial"/>
                <w:sz w:val="15"/>
                <w:szCs w:val="15"/>
                <w:color w:val="auto"/>
              </w:rPr>
              <w:t>Rate of increase in future compensation levels</w:t>
            </w:r>
          </w:p>
        </w:tc>
        <w:tc>
          <w:tcPr>
            <w:tcW w:w="84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4.50%</w:t>
            </w:r>
          </w:p>
        </w:tc>
        <w:tc>
          <w:tcPr>
            <w:tcW w:w="720" w:type="dxa"/>
            <w:vAlign w:val="bottom"/>
          </w:tcPr>
          <w:p>
            <w:pPr>
              <w:jc w:val="right"/>
              <w:ind w:right="83"/>
              <w:spacing w:after="0" w:line="162" w:lineRule="exact"/>
              <w:rPr>
                <w:sz w:val="20"/>
                <w:szCs w:val="20"/>
                <w:color w:val="auto"/>
              </w:rPr>
            </w:pPr>
            <w:r>
              <w:rPr>
                <w:rFonts w:ascii="Arial" w:cs="Arial" w:eastAsia="Arial" w:hAnsi="Arial"/>
                <w:sz w:val="15"/>
                <w:szCs w:val="15"/>
                <w:color w:val="auto"/>
              </w:rPr>
              <w:t>4.50%</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4.50%</w:t>
            </w:r>
          </w:p>
        </w:tc>
      </w:tr>
      <w:tr>
        <w:trPr>
          <w:trHeight w:val="162"/>
        </w:trPr>
        <w:tc>
          <w:tcPr>
            <w:tcW w:w="34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Expected long-term rate of return on assets</w:t>
            </w:r>
          </w:p>
        </w:tc>
        <w:tc>
          <w:tcPr>
            <w:tcW w:w="84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b w:val="1"/>
                <w:bCs w:val="1"/>
                <w:color w:val="auto"/>
              </w:rPr>
              <w:t>6.75%</w:t>
            </w:r>
          </w:p>
        </w:tc>
        <w:tc>
          <w:tcPr>
            <w:tcW w:w="72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6.75%</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7.00%</w:t>
            </w:r>
          </w:p>
        </w:tc>
      </w:tr>
    </w:tbl>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expected long-term rate of return on assets is based on a building-block approach, whereby the components are weighted based on the allocation of pension plan assets.</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For 2018 and 2017, the Company estimated the remaining lives of participants in the pension plans using the RP-2014 Base Table. The no-collar table was used for salaried participants and the blue-collar table, reflecting the experience of the Company’s participants, was used for hourly participants. The Company used mortality improvement scales MP-2018 and MP-2017 for the years 2018 and 2017, respectively. The change in mortality improvement scale in 2018 did not have a material impact on the projected benefit obligation.</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target allocation for 2018 and the actual pension plan asset allocation by asset class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40" w:type="dxa"/>
            <w:vAlign w:val="bottom"/>
          </w:tcPr>
          <w:p>
            <w:pPr>
              <w:spacing w:after="0"/>
              <w:rPr>
                <w:sz w:val="15"/>
                <w:szCs w:val="15"/>
                <w:color w:val="auto"/>
              </w:rPr>
            </w:pPr>
          </w:p>
        </w:tc>
        <w:tc>
          <w:tcPr>
            <w:tcW w:w="2260" w:type="dxa"/>
            <w:vAlign w:val="bottom"/>
            <w:tcBorders>
              <w:bottom w:val="single" w:sz="8" w:color="auto"/>
            </w:tcBorders>
            <w:gridSpan w:val="3"/>
          </w:tcPr>
          <w:p>
            <w:pPr>
              <w:ind w:left="220"/>
              <w:spacing w:after="0"/>
              <w:rPr>
                <w:sz w:val="20"/>
                <w:szCs w:val="20"/>
                <w:color w:val="auto"/>
              </w:rPr>
            </w:pPr>
            <w:r>
              <w:rPr>
                <w:rFonts w:ascii="Arial" w:cs="Arial" w:eastAsia="Arial" w:hAnsi="Arial"/>
                <w:sz w:val="15"/>
                <w:szCs w:val="15"/>
                <w:b w:val="1"/>
                <w:bCs w:val="1"/>
                <w:color w:val="auto"/>
              </w:rPr>
              <w:t>Percentage of Plan Assets</w:t>
            </w: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940" w:type="dxa"/>
            <w:vAlign w:val="bottom"/>
          </w:tcPr>
          <w:p>
            <w:pPr>
              <w:jc w:val="right"/>
              <w:ind w:right="183"/>
              <w:spacing w:after="0" w:line="156" w:lineRule="exact"/>
              <w:rPr>
                <w:sz w:val="20"/>
                <w:szCs w:val="20"/>
                <w:color w:val="auto"/>
              </w:rPr>
            </w:pPr>
            <w:r>
              <w:rPr>
                <w:rFonts w:ascii="Arial" w:cs="Arial" w:eastAsia="Arial" w:hAnsi="Arial"/>
                <w:sz w:val="15"/>
                <w:szCs w:val="15"/>
                <w:b w:val="1"/>
                <w:bCs w:val="1"/>
                <w:color w:val="0085CD"/>
              </w:rPr>
              <w:t>2018</w:t>
            </w:r>
          </w:p>
        </w:tc>
        <w:tc>
          <w:tcPr>
            <w:tcW w:w="1320" w:type="dxa"/>
            <w:vAlign w:val="bottom"/>
            <w:tcBorders>
              <w:bottom w:val="single" w:sz="8" w:color="auto"/>
            </w:tcBorders>
            <w:gridSpan w:val="2"/>
          </w:tcPr>
          <w:p>
            <w:pPr>
              <w:ind w:left="240"/>
              <w:spacing w:after="0" w:line="156" w:lineRule="exact"/>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940" w:type="dxa"/>
            <w:vAlign w:val="bottom"/>
          </w:tcPr>
          <w:p>
            <w:pPr>
              <w:jc w:val="right"/>
              <w:ind w:right="143"/>
              <w:spacing w:after="0" w:line="152" w:lineRule="exact"/>
              <w:rPr>
                <w:sz w:val="20"/>
                <w:szCs w:val="20"/>
                <w:color w:val="auto"/>
              </w:rPr>
            </w:pPr>
            <w:r>
              <w:rPr>
                <w:rFonts w:ascii="Arial" w:cs="Arial" w:eastAsia="Arial" w:hAnsi="Arial"/>
                <w:sz w:val="15"/>
                <w:szCs w:val="15"/>
                <w:color w:val="auto"/>
              </w:rPr>
              <w:t>Target</w:t>
            </w:r>
          </w:p>
        </w:tc>
        <w:tc>
          <w:tcPr>
            <w:tcW w:w="740" w:type="dxa"/>
            <w:vAlign w:val="bottom"/>
            <w:vMerge w:val="restart"/>
          </w:tcPr>
          <w:p>
            <w:pPr>
              <w:ind w:left="240"/>
              <w:spacing w:after="0"/>
              <w:rPr>
                <w:sz w:val="20"/>
                <w:szCs w:val="20"/>
                <w:color w:val="auto"/>
              </w:rPr>
            </w:pPr>
            <w:r>
              <w:rPr>
                <w:rFonts w:ascii="Arial" w:cs="Arial" w:eastAsia="Arial" w:hAnsi="Arial"/>
                <w:sz w:val="15"/>
                <w:szCs w:val="15"/>
                <w:b w:val="1"/>
                <w:bCs w:val="1"/>
                <w:color w:val="0085CD"/>
              </w:rPr>
              <w:t>2018</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340" w:type="dxa"/>
            <w:vAlign w:val="bottom"/>
            <w:tcBorders>
              <w:bottom w:val="single" w:sz="8" w:color="auto"/>
            </w:tcBorders>
          </w:tcPr>
          <w:p>
            <w:pPr>
              <w:spacing w:after="0" w:line="166" w:lineRule="exact"/>
              <w:rPr>
                <w:sz w:val="20"/>
                <w:szCs w:val="20"/>
                <w:color w:val="auto"/>
              </w:rPr>
            </w:pPr>
            <w:r>
              <w:rPr>
                <w:rFonts w:ascii="Arial" w:cs="Arial" w:eastAsia="Arial" w:hAnsi="Arial"/>
                <w:sz w:val="15"/>
                <w:szCs w:val="15"/>
                <w:color w:val="auto"/>
              </w:rPr>
              <w:t>Asset Class</w:t>
            </w:r>
          </w:p>
        </w:tc>
        <w:tc>
          <w:tcPr>
            <w:tcW w:w="940" w:type="dxa"/>
            <w:vAlign w:val="bottom"/>
            <w:tcBorders>
              <w:bottom w:val="single" w:sz="8" w:color="auto"/>
            </w:tcBorders>
          </w:tcPr>
          <w:p>
            <w:pPr>
              <w:ind w:left="220"/>
              <w:spacing w:after="0" w:line="166" w:lineRule="exact"/>
              <w:rPr>
                <w:sz w:val="20"/>
                <w:szCs w:val="20"/>
                <w:color w:val="auto"/>
              </w:rPr>
            </w:pPr>
            <w:r>
              <w:rPr>
                <w:rFonts w:ascii="Arial" w:cs="Arial" w:eastAsia="Arial" w:hAnsi="Arial"/>
                <w:sz w:val="15"/>
                <w:szCs w:val="15"/>
                <w:color w:val="auto"/>
              </w:rPr>
              <w:t>Allocation</w:t>
            </w:r>
          </w:p>
        </w:tc>
        <w:tc>
          <w:tcPr>
            <w:tcW w:w="74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2017</w:t>
            </w: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Equity securities</w:t>
            </w:r>
          </w:p>
        </w:tc>
        <w:tc>
          <w:tcPr>
            <w:tcW w:w="9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56%</w:t>
            </w:r>
          </w:p>
        </w:tc>
        <w:tc>
          <w:tcPr>
            <w:tcW w:w="740" w:type="dxa"/>
            <w:vAlign w:val="bottom"/>
            <w:shd w:val="clear" w:color="auto" w:fill="CCEEFF"/>
          </w:tcPr>
          <w:p>
            <w:pPr>
              <w:jc w:val="right"/>
              <w:ind w:right="63"/>
              <w:spacing w:after="0" w:line="156" w:lineRule="exact"/>
              <w:rPr>
                <w:sz w:val="20"/>
                <w:szCs w:val="20"/>
                <w:color w:val="auto"/>
              </w:rPr>
            </w:pPr>
            <w:r>
              <w:rPr>
                <w:rFonts w:ascii="Arial" w:cs="Arial" w:eastAsia="Arial" w:hAnsi="Arial"/>
                <w:sz w:val="15"/>
                <w:szCs w:val="15"/>
                <w:b w:val="1"/>
                <w:bCs w:val="1"/>
                <w:color w:val="auto"/>
              </w:rPr>
              <w:t>57%</w:t>
            </w:r>
          </w:p>
        </w:tc>
        <w:tc>
          <w:tcPr>
            <w:tcW w:w="5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62"/>
        </w:trPr>
        <w:tc>
          <w:tcPr>
            <w:tcW w:w="3340" w:type="dxa"/>
            <w:vAlign w:val="bottom"/>
          </w:tcPr>
          <w:p>
            <w:pPr>
              <w:spacing w:after="0" w:line="162" w:lineRule="exact"/>
              <w:rPr>
                <w:sz w:val="20"/>
                <w:szCs w:val="20"/>
                <w:color w:val="auto"/>
              </w:rPr>
            </w:pPr>
            <w:r>
              <w:rPr>
                <w:rFonts w:ascii="Arial" w:cs="Arial" w:eastAsia="Arial" w:hAnsi="Arial"/>
                <w:sz w:val="15"/>
                <w:szCs w:val="15"/>
                <w:color w:val="auto"/>
              </w:rPr>
              <w:t>Debt securities</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30%</w:t>
            </w: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32%</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62"/>
        </w:trPr>
        <w:tc>
          <w:tcPr>
            <w:tcW w:w="3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Hedge funds</w:t>
            </w: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w:t>
            </w:r>
          </w:p>
        </w:tc>
        <w:tc>
          <w:tcPr>
            <w:tcW w:w="74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b w:val="1"/>
                <w:bCs w:val="1"/>
                <w:color w:val="auto"/>
              </w:rPr>
              <w:t>6%</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62"/>
        </w:trPr>
        <w:tc>
          <w:tcPr>
            <w:tcW w:w="334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Real estate</w:t>
            </w: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10%</w:t>
            </w:r>
          </w:p>
        </w:tc>
        <w:tc>
          <w:tcPr>
            <w:tcW w:w="74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b w:val="1"/>
                <w:bCs w:val="1"/>
                <w:color w:val="auto"/>
              </w:rPr>
              <w:t>5%</w:t>
            </w:r>
          </w:p>
        </w:tc>
        <w:tc>
          <w:tcPr>
            <w:tcW w:w="5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63"/>
        </w:trPr>
        <w:tc>
          <w:tcPr>
            <w:tcW w:w="33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Total</w:t>
            </w:r>
          </w:p>
        </w:tc>
        <w:tc>
          <w:tcPr>
            <w:tcW w:w="9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100%</w:t>
            </w:r>
          </w:p>
        </w:tc>
        <w:tc>
          <w:tcPr>
            <w:tcW w:w="740" w:type="dxa"/>
            <w:vAlign w:val="bottom"/>
            <w:tcBorders>
              <w:bottom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b w:val="1"/>
                <w:bCs w:val="1"/>
                <w:color w:val="auto"/>
              </w:rPr>
              <w:t>100%</w:t>
            </w: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Company’s investment strategy is for approximately 45% of equity securities, excluding hedge funds and real estate, to be invested in mid-sized to large capitalization U.S. funds, with the remaining invested in small capitalization, emerging markets and international funds. Debt securities, or fixed income investments, are invested in funds benchmarked to the Barclays U.S. Aggregate Bond Index.</w:t>
      </w:r>
    </w:p>
    <w:p>
      <w:pPr>
        <w:spacing w:after="0" w:line="732"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31</w:t>
      </w:r>
    </w:p>
    <w:p>
      <w:pPr>
        <w:sectPr>
          <w:pgSz w:w="11900" w:h="16838" w:orient="portrait"/>
          <w:cols w:equalWidth="0" w:num="1">
            <w:col w:w="11420"/>
          </w:cols>
          <w:pgMar w:left="240" w:top="265" w:right="239" w:bottom="1440" w:gutter="0" w:footer="0" w:header="0"/>
          <w:type w:val="continuous"/>
        </w:sectPr>
      </w:pPr>
    </w:p>
    <w:bookmarkStart w:id="70" w:name="page71"/>
    <w:bookmarkEnd w:id="70"/>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fair values of pension plan assets by asset class and fair value hierarchy level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3"/>
                <w:szCs w:val="13"/>
                <w:b w:val="1"/>
                <w:bCs w:val="1"/>
                <w:color w:val="auto"/>
              </w:rPr>
              <w:t>Fair Value Measurement</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760" w:type="dxa"/>
            <w:vAlign w:val="bottom"/>
            <w:gridSpan w:val="2"/>
          </w:tcPr>
          <w:p>
            <w:pPr>
              <w:jc w:val="center"/>
              <w:ind w:left="16"/>
              <w:spacing w:after="0" w:line="107" w:lineRule="exact"/>
              <w:rPr>
                <w:sz w:val="20"/>
                <w:szCs w:val="20"/>
                <w:color w:val="auto"/>
              </w:rPr>
            </w:pPr>
            <w:r>
              <w:rPr>
                <w:rFonts w:ascii="Arial" w:cs="Arial" w:eastAsia="Arial" w:hAnsi="Arial"/>
                <w:sz w:val="12"/>
                <w:szCs w:val="12"/>
                <w:b w:val="1"/>
                <w:bCs w:val="1"/>
                <w:color w:val="auto"/>
              </w:rPr>
              <w:t>Quoted</w:t>
            </w: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760" w:type="dxa"/>
            <w:vAlign w:val="bottom"/>
            <w:gridSpan w:val="2"/>
          </w:tcPr>
          <w:p>
            <w:pPr>
              <w:jc w:val="center"/>
              <w:ind w:left="16"/>
              <w:spacing w:after="0" w:line="135" w:lineRule="exact"/>
              <w:rPr>
                <w:sz w:val="20"/>
                <w:szCs w:val="20"/>
                <w:color w:val="auto"/>
              </w:rPr>
            </w:pPr>
            <w:r>
              <w:rPr>
                <w:rFonts w:ascii="Arial" w:cs="Arial" w:eastAsia="Arial" w:hAnsi="Arial"/>
                <w:sz w:val="13"/>
                <w:szCs w:val="13"/>
                <w:b w:val="1"/>
                <w:bCs w:val="1"/>
                <w:color w:val="auto"/>
                <w:w w:val="95"/>
              </w:rPr>
              <w:t>Prices in</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Active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760" w:type="dxa"/>
            <w:vAlign w:val="bottom"/>
            <w:gridSpan w:val="2"/>
          </w:tcPr>
          <w:p>
            <w:pPr>
              <w:jc w:val="center"/>
              <w:ind w:left="16"/>
              <w:spacing w:after="0" w:line="135" w:lineRule="exact"/>
              <w:rPr>
                <w:sz w:val="20"/>
                <w:szCs w:val="20"/>
                <w:color w:val="auto"/>
              </w:rPr>
            </w:pPr>
            <w:r>
              <w:rPr>
                <w:rFonts w:ascii="Arial" w:cs="Arial" w:eastAsia="Arial" w:hAnsi="Arial"/>
                <w:sz w:val="13"/>
                <w:szCs w:val="13"/>
                <w:b w:val="1"/>
                <w:bCs w:val="1"/>
                <w:color w:val="auto"/>
                <w:w w:val="97"/>
              </w:rPr>
              <w:t>Markets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jc w:val="center"/>
              <w:ind w:right="150"/>
              <w:spacing w:after="0" w:line="144" w:lineRule="exact"/>
              <w:rPr>
                <w:sz w:val="20"/>
                <w:szCs w:val="20"/>
                <w:color w:val="auto"/>
              </w:rPr>
            </w:pPr>
            <w:r>
              <w:rPr>
                <w:rFonts w:ascii="Arial" w:cs="Arial" w:eastAsia="Arial" w:hAnsi="Arial"/>
                <w:sz w:val="13"/>
                <w:szCs w:val="13"/>
                <w:b w:val="1"/>
                <w:bCs w:val="1"/>
                <w:color w:val="auto"/>
              </w:rPr>
              <w:t>for</w:t>
            </w:r>
          </w:p>
        </w:tc>
        <w:tc>
          <w:tcPr>
            <w:tcW w:w="8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6"/>
              </w:rPr>
              <w:t>Significant</w:t>
            </w:r>
          </w:p>
        </w:tc>
        <w:tc>
          <w:tcPr>
            <w:tcW w:w="180" w:type="dxa"/>
            <w:vAlign w:val="bottom"/>
          </w:tcPr>
          <w:p>
            <w:pPr>
              <w:spacing w:after="0"/>
              <w:rPr>
                <w:sz w:val="12"/>
                <w:szCs w:val="12"/>
                <w:color w:val="auto"/>
              </w:rPr>
            </w:pPr>
          </w:p>
        </w:tc>
        <w:tc>
          <w:tcPr>
            <w:tcW w:w="780" w:type="dxa"/>
            <w:vAlign w:val="bottom"/>
          </w:tcPr>
          <w:p>
            <w:pPr>
              <w:jc w:val="center"/>
              <w:ind w:right="30"/>
              <w:spacing w:after="0" w:line="144" w:lineRule="exact"/>
              <w:rPr>
                <w:sz w:val="20"/>
                <w:szCs w:val="20"/>
                <w:color w:val="auto"/>
              </w:rPr>
            </w:pPr>
            <w:r>
              <w:rPr>
                <w:rFonts w:ascii="Arial" w:cs="Arial" w:eastAsia="Arial" w:hAnsi="Arial"/>
                <w:sz w:val="13"/>
                <w:szCs w:val="13"/>
                <w:b w:val="1"/>
                <w:bCs w:val="1"/>
                <w:color w:val="auto"/>
                <w:w w:val="96"/>
              </w:rPr>
              <w:t>Significant</w:t>
            </w: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4"/>
              </w:rPr>
              <w:t>Identical</w:t>
            </w:r>
          </w:p>
        </w:tc>
        <w:tc>
          <w:tcPr>
            <w:tcW w:w="860" w:type="dxa"/>
            <w:vAlign w:val="bottom"/>
            <w:gridSpan w:val="2"/>
          </w:tcPr>
          <w:p>
            <w:pPr>
              <w:jc w:val="right"/>
              <w:ind w:right="10"/>
              <w:spacing w:after="0" w:line="135" w:lineRule="exact"/>
              <w:rPr>
                <w:sz w:val="20"/>
                <w:szCs w:val="20"/>
                <w:color w:val="auto"/>
              </w:rPr>
            </w:pPr>
            <w:r>
              <w:rPr>
                <w:rFonts w:ascii="Arial" w:cs="Arial" w:eastAsia="Arial" w:hAnsi="Arial"/>
                <w:sz w:val="13"/>
                <w:szCs w:val="13"/>
                <w:b w:val="1"/>
                <w:bCs w:val="1"/>
                <w:color w:val="auto"/>
              </w:rPr>
              <w:t>Observable</w:t>
            </w:r>
          </w:p>
        </w:tc>
        <w:tc>
          <w:tcPr>
            <w:tcW w:w="960" w:type="dxa"/>
            <w:vAlign w:val="bottom"/>
            <w:gridSpan w:val="2"/>
          </w:tcPr>
          <w:p>
            <w:pPr>
              <w:jc w:val="center"/>
              <w:ind w:left="11"/>
              <w:spacing w:after="0" w:line="135" w:lineRule="exact"/>
              <w:rPr>
                <w:sz w:val="20"/>
                <w:szCs w:val="20"/>
                <w:color w:val="auto"/>
              </w:rPr>
            </w:pPr>
            <w:r>
              <w:rPr>
                <w:rFonts w:ascii="Arial" w:cs="Arial" w:eastAsia="Arial" w:hAnsi="Arial"/>
                <w:sz w:val="13"/>
                <w:szCs w:val="13"/>
                <w:b w:val="1"/>
                <w:bCs w:val="1"/>
                <w:color w:val="auto"/>
                <w:w w:val="97"/>
              </w:rPr>
              <w:t>Unobservable</w:t>
            </w:r>
          </w:p>
        </w:tc>
        <w:tc>
          <w:tcPr>
            <w:tcW w:w="9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12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December 31</w:t>
            </w:r>
          </w:p>
        </w:tc>
        <w:tc>
          <w:tcPr>
            <w:tcW w:w="7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Assets</w:t>
            </w:r>
          </w:p>
        </w:tc>
        <w:tc>
          <w:tcPr>
            <w:tcW w:w="180" w:type="dxa"/>
            <w:vAlign w:val="bottom"/>
          </w:tcPr>
          <w:p>
            <w:pPr>
              <w:spacing w:after="0"/>
              <w:rPr>
                <w:sz w:val="11"/>
                <w:szCs w:val="11"/>
                <w:color w:val="auto"/>
              </w:rPr>
            </w:pPr>
          </w:p>
        </w:tc>
        <w:tc>
          <w:tcPr>
            <w:tcW w:w="68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w w:val="97"/>
              </w:rPr>
              <w:t>Inputs</w:t>
            </w:r>
          </w:p>
        </w:tc>
        <w:tc>
          <w:tcPr>
            <w:tcW w:w="180" w:type="dxa"/>
            <w:vAlign w:val="bottom"/>
          </w:tcPr>
          <w:p>
            <w:pPr>
              <w:spacing w:after="0"/>
              <w:rPr>
                <w:sz w:val="11"/>
                <w:szCs w:val="11"/>
                <w:color w:val="auto"/>
              </w:rPr>
            </w:pPr>
          </w:p>
        </w:tc>
        <w:tc>
          <w:tcPr>
            <w:tcW w:w="780" w:type="dxa"/>
            <w:vAlign w:val="bottom"/>
          </w:tcPr>
          <w:p>
            <w:pPr>
              <w:jc w:val="center"/>
              <w:ind w:right="50"/>
              <w:spacing w:after="0" w:line="135" w:lineRule="exact"/>
              <w:rPr>
                <w:sz w:val="20"/>
                <w:szCs w:val="20"/>
                <w:color w:val="auto"/>
              </w:rPr>
            </w:pPr>
            <w:r>
              <w:rPr>
                <w:rFonts w:ascii="Arial" w:cs="Arial" w:eastAsia="Arial" w:hAnsi="Arial"/>
                <w:sz w:val="13"/>
                <w:szCs w:val="13"/>
                <w:b w:val="1"/>
                <w:bCs w:val="1"/>
                <w:color w:val="auto"/>
                <w:w w:val="97"/>
              </w:rPr>
              <w:t>Inputs</w:t>
            </w:r>
          </w:p>
        </w:tc>
        <w:tc>
          <w:tcPr>
            <w:tcW w:w="900" w:type="dxa"/>
            <w:vAlign w:val="bottom"/>
          </w:tcPr>
          <w:p>
            <w:pPr>
              <w:jc w:val="right"/>
              <w:ind w:right="50"/>
              <w:spacing w:after="0" w:line="135" w:lineRule="exact"/>
              <w:rPr>
                <w:sz w:val="20"/>
                <w:szCs w:val="20"/>
                <w:color w:val="auto"/>
              </w:rPr>
            </w:pPr>
            <w:r>
              <w:rPr>
                <w:rFonts w:ascii="Arial" w:cs="Arial" w:eastAsia="Arial" w:hAnsi="Arial"/>
                <w:sz w:val="13"/>
                <w:szCs w:val="13"/>
                <w:b w:val="1"/>
                <w:bCs w:val="1"/>
                <w:color w:val="auto"/>
              </w:rPr>
              <w:t>Net Asset</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59"/>
        </w:trPr>
        <w:tc>
          <w:tcPr>
            <w:tcW w:w="1200" w:type="dxa"/>
            <w:vAlign w:val="bottom"/>
            <w:vMerge w:val="continue"/>
          </w:tcPr>
          <w:p>
            <w:pPr>
              <w:spacing w:after="0"/>
              <w:rPr>
                <w:sz w:val="13"/>
                <w:szCs w:val="13"/>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4"/>
              </w:rPr>
              <w:t>(Level 1)</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8"/>
              </w:rPr>
              <w:t>(Level 2)</w:t>
            </w: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8"/>
              </w:rPr>
              <w:t>(Level 3)</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Value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59"/>
        </w:trPr>
        <w:tc>
          <w:tcPr>
            <w:tcW w:w="120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5"/>
                <w:szCs w:val="15"/>
                <w:color w:val="auto"/>
              </w:rPr>
              <w:t>(add 000)</w:t>
            </w:r>
          </w:p>
        </w:tc>
        <w:tc>
          <w:tcPr>
            <w:tcW w:w="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10"/>
              <w:spacing w:after="0" w:line="159" w:lineRule="exact"/>
              <w:rPr>
                <w:sz w:val="20"/>
                <w:szCs w:val="20"/>
                <w:color w:val="auto"/>
              </w:rPr>
            </w:pPr>
            <w:r>
              <w:rPr>
                <w:rFonts w:ascii="Arial" w:cs="Arial" w:eastAsia="Arial" w:hAnsi="Arial"/>
                <w:sz w:val="15"/>
                <w:szCs w:val="15"/>
                <w:b w:val="1"/>
                <w:bCs w:val="1"/>
                <w:color w:val="0085CD"/>
              </w:rPr>
              <w:t>2018</w:t>
            </w:r>
          </w:p>
        </w:tc>
        <w:tc>
          <w:tcPr>
            <w:tcW w:w="9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shd w:val="clear" w:color="auto" w:fill="CCEEFF"/>
          </w:tcPr>
          <w:p>
            <w:pPr>
              <w:ind w:left="20"/>
              <w:spacing w:after="0" w:line="156" w:lineRule="exact"/>
              <w:rPr>
                <w:sz w:val="20"/>
                <w:szCs w:val="20"/>
                <w:color w:val="auto"/>
              </w:rPr>
            </w:pPr>
            <w:r>
              <w:rPr>
                <w:rFonts w:ascii="Arial" w:cs="Arial" w:eastAsia="Arial" w:hAnsi="Arial"/>
                <w:sz w:val="11"/>
                <w:szCs w:val="11"/>
                <w:color w:val="auto"/>
              </w:rPr>
              <w:t>Equity securities</w:t>
            </w:r>
            <w:r>
              <w:rPr>
                <w:rFonts w:ascii="Arial" w:cs="Arial" w:eastAsia="Arial" w:hAnsi="Arial"/>
                <w:sz w:val="18"/>
                <w:szCs w:val="18"/>
                <w:color w:val="auto"/>
                <w:vertAlign w:val="superscript"/>
              </w:rPr>
              <w:t>1</w:t>
            </w:r>
            <w:r>
              <w:rPr>
                <w:rFonts w:ascii="Arial" w:cs="Arial" w:eastAsia="Arial" w:hAnsi="Arial"/>
                <w:sz w:val="11"/>
                <w:szCs w:val="11"/>
                <w:color w:val="auto"/>
              </w:rPr>
              <w:t>:</w:t>
            </w: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00" w:type="dxa"/>
            <w:vAlign w:val="bottom"/>
          </w:tcPr>
          <w:p>
            <w:pPr>
              <w:ind w:left="100"/>
              <w:spacing w:after="0"/>
              <w:rPr>
                <w:sz w:val="20"/>
                <w:szCs w:val="20"/>
                <w:color w:val="auto"/>
              </w:rPr>
            </w:pPr>
            <w:r>
              <w:rPr>
                <w:rFonts w:ascii="Arial" w:cs="Arial" w:eastAsia="Arial" w:hAnsi="Arial"/>
                <w:sz w:val="14"/>
                <w:szCs w:val="14"/>
                <w:color w:val="auto"/>
              </w:rPr>
              <w:t>Mid-sized to</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rPr>
              <w:t>$ 196,475</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$ 196,475</w:t>
            </w:r>
          </w:p>
        </w:tc>
        <w:tc>
          <w:tcPr>
            <w:tcW w:w="0" w:type="dxa"/>
            <w:vAlign w:val="bottom"/>
          </w:tcPr>
          <w:p>
            <w:pPr>
              <w:spacing w:after="0"/>
              <w:rPr>
                <w:sz w:val="1"/>
                <w:szCs w:val="1"/>
                <w:color w:val="auto"/>
              </w:rPr>
            </w:pPr>
          </w:p>
        </w:tc>
      </w:tr>
      <w:tr>
        <w:trPr>
          <w:trHeight w:val="157"/>
        </w:trPr>
        <w:tc>
          <w:tcPr>
            <w:tcW w:w="1200" w:type="dxa"/>
            <w:vAlign w:val="bottom"/>
          </w:tcPr>
          <w:p>
            <w:pPr>
              <w:ind w:left="160"/>
              <w:spacing w:after="0" w:line="157" w:lineRule="exact"/>
              <w:rPr>
                <w:sz w:val="20"/>
                <w:szCs w:val="20"/>
                <w:color w:val="auto"/>
              </w:rPr>
            </w:pPr>
            <w:r>
              <w:rPr>
                <w:rFonts w:ascii="Arial" w:cs="Arial" w:eastAsia="Arial" w:hAnsi="Arial"/>
                <w:sz w:val="14"/>
                <w:szCs w:val="14"/>
                <w:color w:val="auto"/>
              </w:rPr>
              <w:t>large cap</w:t>
            </w:r>
          </w:p>
        </w:tc>
        <w:tc>
          <w:tcPr>
            <w:tcW w:w="28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Small cap,</w:t>
            </w: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international</w:t>
            </w: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and emerging</w:t>
            </w:r>
          </w:p>
        </w:tc>
        <w:tc>
          <w:tcPr>
            <w:tcW w:w="28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210,371</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210,371</w:t>
            </w:r>
          </w:p>
        </w:tc>
        <w:tc>
          <w:tcPr>
            <w:tcW w:w="0" w:type="dxa"/>
            <w:vAlign w:val="bottom"/>
          </w:tcPr>
          <w:p>
            <w:pPr>
              <w:spacing w:after="0"/>
              <w:rPr>
                <w:sz w:val="1"/>
                <w:szCs w:val="1"/>
                <w:color w:val="auto"/>
              </w:rPr>
            </w:pPr>
          </w:p>
        </w:tc>
      </w:tr>
      <w:tr>
        <w:trPr>
          <w:trHeight w:val="157"/>
        </w:trPr>
        <w:tc>
          <w:tcPr>
            <w:tcW w:w="12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growth funds</w:t>
            </w:r>
          </w:p>
        </w:tc>
        <w:tc>
          <w:tcPr>
            <w:tcW w:w="28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0" w:type="dxa"/>
            <w:vAlign w:val="bottom"/>
          </w:tcPr>
          <w:p>
            <w:pPr>
              <w:ind w:left="20"/>
              <w:spacing w:after="0" w:line="162" w:lineRule="exact"/>
              <w:rPr>
                <w:sz w:val="20"/>
                <w:szCs w:val="20"/>
                <w:color w:val="auto"/>
              </w:rPr>
            </w:pPr>
            <w:r>
              <w:rPr>
                <w:rFonts w:ascii="Arial" w:cs="Arial" w:eastAsia="Arial" w:hAnsi="Arial"/>
                <w:sz w:val="11"/>
                <w:szCs w:val="11"/>
                <w:color w:val="auto"/>
              </w:rPr>
              <w:t>Debt securities</w:t>
            </w:r>
            <w:r>
              <w:rPr>
                <w:rFonts w:ascii="Arial" w:cs="Arial" w:eastAsia="Arial" w:hAnsi="Arial"/>
                <w:sz w:val="18"/>
                <w:szCs w:val="18"/>
                <w:color w:val="auto"/>
                <w:vertAlign w:val="superscript"/>
              </w:rPr>
              <w:t>1</w:t>
            </w: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Core fixed</w:t>
            </w:r>
          </w:p>
        </w:tc>
        <w:tc>
          <w:tcPr>
            <w:tcW w:w="28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228,194</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228,194</w:t>
            </w:r>
          </w:p>
        </w:tc>
        <w:tc>
          <w:tcPr>
            <w:tcW w:w="0" w:type="dxa"/>
            <w:vAlign w:val="bottom"/>
          </w:tcPr>
          <w:p>
            <w:pPr>
              <w:spacing w:after="0"/>
              <w:rPr>
                <w:sz w:val="1"/>
                <w:szCs w:val="1"/>
                <w:color w:val="auto"/>
              </w:rPr>
            </w:pPr>
          </w:p>
        </w:tc>
      </w:tr>
      <w:tr>
        <w:trPr>
          <w:trHeight w:val="157"/>
        </w:trPr>
        <w:tc>
          <w:tcPr>
            <w:tcW w:w="12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income</w:t>
            </w:r>
          </w:p>
        </w:tc>
        <w:tc>
          <w:tcPr>
            <w:tcW w:w="28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0" w:type="dxa"/>
            <w:vAlign w:val="bottom"/>
          </w:tcPr>
          <w:p>
            <w:pPr>
              <w:ind w:left="20"/>
              <w:spacing w:after="0"/>
              <w:rPr>
                <w:sz w:val="20"/>
                <w:szCs w:val="20"/>
                <w:color w:val="auto"/>
              </w:rPr>
            </w:pPr>
            <w:r>
              <w:rPr>
                <w:rFonts w:ascii="Arial" w:cs="Arial" w:eastAsia="Arial" w:hAnsi="Arial"/>
                <w:sz w:val="14"/>
                <w:szCs w:val="14"/>
                <w:color w:val="auto"/>
              </w:rPr>
              <w:t>Real estate</w:t>
            </w:r>
          </w:p>
        </w:tc>
        <w:tc>
          <w:tcPr>
            <w:tcW w:w="280" w:type="dxa"/>
            <w:vAlign w:val="bottom"/>
          </w:tcPr>
          <w:p>
            <w:pPr>
              <w:spacing w:after="0"/>
              <w:rPr>
                <w:sz w:val="14"/>
                <w:szCs w:val="14"/>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b w:val="1"/>
                <w:bCs w:val="1"/>
                <w:color w:val="auto"/>
              </w:rPr>
              <w:t>35,553</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35,553</w:t>
            </w:r>
          </w:p>
        </w:tc>
        <w:tc>
          <w:tcPr>
            <w:tcW w:w="0" w:type="dxa"/>
            <w:vAlign w:val="bottom"/>
          </w:tcPr>
          <w:p>
            <w:pPr>
              <w:spacing w:after="0"/>
              <w:rPr>
                <w:sz w:val="1"/>
                <w:szCs w:val="1"/>
                <w:color w:val="auto"/>
              </w:rPr>
            </w:pPr>
          </w:p>
        </w:tc>
      </w:tr>
      <w:tr>
        <w:trPr>
          <w:trHeight w:val="162"/>
        </w:trPr>
        <w:tc>
          <w:tcPr>
            <w:tcW w:w="1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Hedge funds</w:t>
            </w: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44,453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44,453</w:t>
            </w:r>
          </w:p>
        </w:tc>
        <w:tc>
          <w:tcPr>
            <w:tcW w:w="0" w:type="dxa"/>
            <w:vAlign w:val="bottom"/>
          </w:tcPr>
          <w:p>
            <w:pPr>
              <w:spacing w:after="0"/>
              <w:rPr>
                <w:sz w:val="1"/>
                <w:szCs w:val="1"/>
                <w:color w:val="auto"/>
              </w:rPr>
            </w:pPr>
          </w:p>
        </w:tc>
      </w:tr>
      <w:tr>
        <w:trPr>
          <w:trHeight w:val="162"/>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equivalents</w:t>
            </w: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2,864</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2,864</w:t>
            </w:r>
          </w:p>
        </w:tc>
        <w:tc>
          <w:tcPr>
            <w:tcW w:w="0" w:type="dxa"/>
            <w:vAlign w:val="bottom"/>
          </w:tcPr>
          <w:p>
            <w:pPr>
              <w:spacing w:after="0"/>
              <w:rPr>
                <w:sz w:val="1"/>
                <w:szCs w:val="1"/>
                <w:color w:val="auto"/>
              </w:rPr>
            </w:pPr>
          </w:p>
        </w:tc>
      </w:tr>
      <w:tr>
        <w:trPr>
          <w:trHeight w:val="163"/>
        </w:trPr>
        <w:tc>
          <w:tcPr>
            <w:tcW w:w="1200" w:type="dxa"/>
            <w:vAlign w:val="bottom"/>
            <w:tcBorders>
              <w:bottom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CCEEFF"/>
          </w:tcPr>
          <w:p>
            <w:pPr>
              <w:jc w:val="right"/>
              <w:ind w:right="10"/>
              <w:spacing w:after="0" w:line="155" w:lineRule="exact"/>
              <w:rPr>
                <w:sz w:val="20"/>
                <w:szCs w:val="20"/>
                <w:color w:val="auto"/>
              </w:rPr>
            </w:pPr>
            <w:r>
              <w:rPr>
                <w:rFonts w:ascii="Arial" w:cs="Arial" w:eastAsia="Arial" w:hAnsi="Arial"/>
                <w:sz w:val="14"/>
                <w:szCs w:val="14"/>
                <w:b w:val="1"/>
                <w:bCs w:val="1"/>
                <w:color w:val="auto"/>
              </w:rPr>
              <w:t>2,864</w:t>
            </w:r>
          </w:p>
        </w:tc>
        <w:tc>
          <w:tcPr>
            <w:tcW w:w="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ind w:right="1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10"/>
              <w:spacing w:after="0" w:line="155" w:lineRule="exact"/>
              <w:rPr>
                <w:sz w:val="20"/>
                <w:szCs w:val="20"/>
                <w:color w:val="auto"/>
              </w:rPr>
            </w:pPr>
            <w:r>
              <w:rPr>
                <w:rFonts w:ascii="Arial" w:cs="Arial" w:eastAsia="Arial" w:hAnsi="Arial"/>
                <w:sz w:val="14"/>
                <w:szCs w:val="14"/>
                <w:b w:val="1"/>
                <w:bCs w:val="1"/>
                <w:color w:val="auto"/>
              </w:rPr>
              <w:t>$ 715,046</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$ 717,910</w:t>
            </w:r>
          </w:p>
        </w:tc>
        <w:tc>
          <w:tcPr>
            <w:tcW w:w="0" w:type="dxa"/>
            <w:vAlign w:val="bottom"/>
          </w:tcPr>
          <w:p>
            <w:pPr>
              <w:spacing w:after="0"/>
              <w:rPr>
                <w:sz w:val="1"/>
                <w:szCs w:val="1"/>
                <w:color w:val="auto"/>
              </w:rPr>
            </w:pPr>
          </w:p>
        </w:tc>
      </w:tr>
      <w:tr>
        <w:trPr>
          <w:trHeight w:val="257"/>
        </w:trPr>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2017</w:t>
            </w: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Real estate investments are stated at estimated fair value, which is the price that would be received to sell an asset or paid to transfer a liability in an orderly transaction between market participants at the measurement date. The fair values of real estate investments generally do not reflect transaction costs which may be incurred upon disposition of the real estate investments and do not necessarily represent the prices at which the real estate investments would be sold or repaid, since market prices of real estate investments can only be determined by negotiation between a willing buyer and seller. An independent valuation consultant is employed to determine the fair value of the real estate investments. The value of hedge funds is based on the values of the sub-fund investments. In determining the fair value of each sub-fund’s investment, the hedge funds’ Board of Trustees uses the values provided by the sub-funds and any other considerations that may, in its judgment, increase or decrease such estimated value.</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2018 and 2017, the Company made combined pension plan and SERP contributions of $162,281,000 and $30,903,000, respectively. The Company currently estimates that it will contribute $32,022,000 to its pension plans in 2019.</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expected benefit payments to be paid from plan assets for each of the next five years and the five-year period thereafter are as follows:</w:t>
      </w:r>
    </w:p>
    <w:p>
      <w:pPr>
        <w:spacing w:after="0" w:line="205"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126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1"/>
                <w:szCs w:val="11"/>
                <w:color w:val="auto"/>
              </w:rPr>
              <w:t>Equity securities</w:t>
            </w:r>
            <w:r>
              <w:rPr>
                <w:rFonts w:ascii="Arial" w:cs="Arial" w:eastAsia="Arial" w:hAnsi="Arial"/>
                <w:sz w:val="18"/>
                <w:szCs w:val="18"/>
                <w:color w:val="auto"/>
                <w:vertAlign w:val="superscript"/>
              </w:rPr>
              <w:t>1</w:t>
            </w:r>
            <w:r>
              <w:rPr>
                <w:rFonts w:ascii="Arial" w:cs="Arial" w:eastAsia="Arial" w:hAnsi="Arial"/>
                <w:sz w:val="11"/>
                <w:szCs w:val="11"/>
                <w:color w:val="auto"/>
              </w:rPr>
              <w:t>:</w:t>
            </w:r>
          </w:p>
        </w:tc>
        <w:tc>
          <w:tcPr>
            <w:tcW w:w="3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167"/>
        </w:trPr>
        <w:tc>
          <w:tcPr>
            <w:tcW w:w="1260" w:type="dxa"/>
            <w:vAlign w:val="bottom"/>
          </w:tcPr>
          <w:p>
            <w:pPr>
              <w:ind w:left="100"/>
              <w:spacing w:after="0"/>
              <w:rPr>
                <w:sz w:val="20"/>
                <w:szCs w:val="20"/>
                <w:color w:val="auto"/>
              </w:rPr>
            </w:pPr>
            <w:r>
              <w:rPr>
                <w:rFonts w:ascii="Arial" w:cs="Arial" w:eastAsia="Arial" w:hAnsi="Arial"/>
                <w:sz w:val="14"/>
                <w:szCs w:val="14"/>
                <w:color w:val="auto"/>
              </w:rPr>
              <w:t>Mid-sized to</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1260" w:type="dxa"/>
            <w:vAlign w:val="bottom"/>
          </w:tcPr>
          <w:p>
            <w:pPr>
              <w:ind w:left="160"/>
              <w:spacing w:after="0" w:line="157" w:lineRule="exact"/>
              <w:rPr>
                <w:sz w:val="20"/>
                <w:szCs w:val="20"/>
                <w:color w:val="auto"/>
              </w:rPr>
            </w:pPr>
            <w:r>
              <w:rPr>
                <w:rFonts w:ascii="Arial" w:cs="Arial" w:eastAsia="Arial" w:hAnsi="Arial"/>
                <w:sz w:val="14"/>
                <w:szCs w:val="14"/>
                <w:color w:val="auto"/>
              </w:rPr>
              <w:t>large cap</w:t>
            </w:r>
          </w:p>
        </w:tc>
        <w:tc>
          <w:tcPr>
            <w:tcW w:w="320" w:type="dxa"/>
            <w:vAlign w:val="bottom"/>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420" w:type="dxa"/>
            <w:vAlign w:val="bottom"/>
          </w:tcPr>
          <w:p>
            <w:pPr>
              <w:ind w:left="260"/>
              <w:spacing w:after="0" w:line="157"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268"/>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ind w:left="340"/>
              <w:spacing w:after="0" w:line="157"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$ 177,497</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$ 177,497</w:t>
            </w:r>
          </w:p>
        </w:tc>
      </w:tr>
      <w:tr>
        <w:trPr>
          <w:trHeight w:val="167"/>
        </w:trPr>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Small cap,</w:t>
            </w: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2"/>
        </w:trPr>
        <w:tc>
          <w:tcPr>
            <w:tcW w:w="1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international</w:t>
            </w: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2"/>
        </w:trPr>
        <w:tc>
          <w:tcPr>
            <w:tcW w:w="1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and emerging</w:t>
            </w: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57"/>
        </w:trPr>
        <w:tc>
          <w:tcPr>
            <w:tcW w:w="126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growth funds</w:t>
            </w: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3"/>
                <w:szCs w:val="13"/>
                <w:color w:val="auto"/>
              </w:rPr>
            </w:pPr>
          </w:p>
        </w:tc>
        <w:tc>
          <w:tcPr>
            <w:tcW w:w="42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3"/>
                <w:szCs w:val="13"/>
                <w:color w:val="auto"/>
              </w:rPr>
            </w:pPr>
          </w:p>
        </w:tc>
        <w:tc>
          <w:tcPr>
            <w:tcW w:w="500" w:type="dxa"/>
            <w:vAlign w:val="bottom"/>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186,272</w:t>
            </w: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186,272</w:t>
            </w:r>
          </w:p>
        </w:tc>
      </w:tr>
      <w:tr>
        <w:trPr>
          <w:trHeight w:val="162"/>
        </w:trPr>
        <w:tc>
          <w:tcPr>
            <w:tcW w:w="1260" w:type="dxa"/>
            <w:vAlign w:val="bottom"/>
          </w:tcPr>
          <w:p>
            <w:pPr>
              <w:ind w:left="20"/>
              <w:spacing w:after="0" w:line="162" w:lineRule="exact"/>
              <w:rPr>
                <w:sz w:val="20"/>
                <w:szCs w:val="20"/>
                <w:color w:val="auto"/>
              </w:rPr>
            </w:pPr>
            <w:r>
              <w:rPr>
                <w:rFonts w:ascii="Arial" w:cs="Arial" w:eastAsia="Arial" w:hAnsi="Arial"/>
                <w:sz w:val="11"/>
                <w:szCs w:val="11"/>
                <w:color w:val="auto"/>
              </w:rPr>
              <w:t>Debt securities</w:t>
            </w:r>
            <w:r>
              <w:rPr>
                <w:rFonts w:ascii="Arial" w:cs="Arial" w:eastAsia="Arial" w:hAnsi="Arial"/>
                <w:sz w:val="18"/>
                <w:szCs w:val="18"/>
                <w:color w:val="auto"/>
                <w:vertAlign w:val="superscript"/>
              </w:rPr>
              <w:t>1</w:t>
            </w: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Core fixed</w:t>
            </w: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57"/>
        </w:trPr>
        <w:tc>
          <w:tcPr>
            <w:tcW w:w="126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income</w:t>
            </w: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3"/>
                <w:szCs w:val="13"/>
                <w:color w:val="auto"/>
              </w:rPr>
            </w:pPr>
          </w:p>
        </w:tc>
        <w:tc>
          <w:tcPr>
            <w:tcW w:w="42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3"/>
                <w:szCs w:val="13"/>
                <w:color w:val="auto"/>
              </w:rPr>
            </w:pPr>
          </w:p>
        </w:tc>
        <w:tc>
          <w:tcPr>
            <w:tcW w:w="500" w:type="dxa"/>
            <w:vAlign w:val="bottom"/>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182,225</w:t>
            </w: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182,225</w:t>
            </w:r>
          </w:p>
        </w:tc>
      </w:tr>
      <w:tr>
        <w:trPr>
          <w:trHeight w:val="162"/>
        </w:trPr>
        <w:tc>
          <w:tcPr>
            <w:tcW w:w="1260" w:type="dxa"/>
            <w:vAlign w:val="bottom"/>
          </w:tcPr>
          <w:p>
            <w:pPr>
              <w:ind w:left="20"/>
              <w:spacing w:after="0"/>
              <w:rPr>
                <w:sz w:val="20"/>
                <w:szCs w:val="20"/>
                <w:color w:val="auto"/>
              </w:rPr>
            </w:pPr>
            <w:r>
              <w:rPr>
                <w:rFonts w:ascii="Arial" w:cs="Arial" w:eastAsia="Arial" w:hAnsi="Arial"/>
                <w:sz w:val="14"/>
                <w:szCs w:val="14"/>
                <w:color w:val="auto"/>
              </w:rPr>
              <w:t>Real estate</w:t>
            </w:r>
          </w:p>
        </w:tc>
        <w:tc>
          <w:tcPr>
            <w:tcW w:w="320" w:type="dxa"/>
            <w:vAlign w:val="bottom"/>
          </w:tcPr>
          <w:p>
            <w:pPr>
              <w:spacing w:after="0"/>
              <w:rPr>
                <w:sz w:val="14"/>
                <w:szCs w:val="14"/>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420" w:type="dxa"/>
            <w:vAlign w:val="bottom"/>
          </w:tcPr>
          <w:p>
            <w:pPr>
              <w:ind w:left="2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500" w:type="dxa"/>
            <w:vAlign w:val="bottom"/>
          </w:tcPr>
          <w:p>
            <w:pPr>
              <w:ind w:left="3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46,467</w:t>
            </w:r>
          </w:p>
        </w:tc>
        <w:tc>
          <w:tcPr>
            <w:tcW w:w="800" w:type="dxa"/>
            <w:vAlign w:val="bottom"/>
          </w:tcPr>
          <w:p>
            <w:pPr>
              <w:jc w:val="right"/>
              <w:spacing w:after="0"/>
              <w:rPr>
                <w:sz w:val="20"/>
                <w:szCs w:val="20"/>
                <w:color w:val="auto"/>
              </w:rPr>
            </w:pPr>
            <w:r>
              <w:rPr>
                <w:rFonts w:ascii="Arial" w:cs="Arial" w:eastAsia="Arial" w:hAnsi="Arial"/>
                <w:sz w:val="14"/>
                <w:szCs w:val="14"/>
                <w:color w:val="auto"/>
              </w:rPr>
              <w:t>46,467</w:t>
            </w:r>
          </w:p>
        </w:tc>
      </w:tr>
      <w:tr>
        <w:trPr>
          <w:trHeight w:val="162"/>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Hedge funds</w:t>
            </w: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4"/>
                <w:szCs w:val="14"/>
                <w:color w:val="auto"/>
              </w:rPr>
            </w:pPr>
          </w:p>
        </w:tc>
        <w:tc>
          <w:tcPr>
            <w:tcW w:w="5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45,604</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45,604</w:t>
            </w:r>
          </w:p>
        </w:tc>
      </w:tr>
      <w:tr>
        <w:trPr>
          <w:trHeight w:val="162"/>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equivalents</w:t>
            </w:r>
          </w:p>
        </w:tc>
        <w:tc>
          <w:tcPr>
            <w:tcW w:w="3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w:t>
            </w: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r>
      <w:tr>
        <w:trPr>
          <w:trHeight w:val="163"/>
        </w:trPr>
        <w:tc>
          <w:tcPr>
            <w:tcW w:w="1260" w:type="dxa"/>
            <w:vAlign w:val="bottom"/>
            <w:tcBorders>
              <w:bottom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41</w:t>
            </w:r>
          </w:p>
        </w:tc>
        <w:tc>
          <w:tcPr>
            <w:tcW w:w="440" w:type="dxa"/>
            <w:vAlign w:val="bottom"/>
            <w:tcBorders>
              <w:bottom w:val="single" w:sz="8" w:color="auto"/>
            </w:tcBorders>
            <w:shd w:val="clear" w:color="auto" w:fill="CCEEFF"/>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ind w:left="260"/>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268"/>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ind w:left="34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$ 638,065</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$ 638,106</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(add 000)</w:t>
      </w:r>
    </w:p>
    <w:tbl>
      <w:tblPr>
        <w:tblLayout w:type="fixed"/>
        <w:tblInd w:w="0" w:type="dxa"/>
        <w:tblCellMar>
          <w:top w:w="0" w:type="dxa"/>
          <w:left w:w="0" w:type="dxa"/>
          <w:bottom w:w="0" w:type="dxa"/>
          <w:right w:w="0" w:type="dxa"/>
        </w:tblCellMar>
      </w:tblPr>
      <w:tr>
        <w:trPr>
          <w:trHeight w:val="156"/>
        </w:trPr>
        <w:tc>
          <w:tcPr>
            <w:tcW w:w="30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2019</w:t>
            </w:r>
          </w:p>
        </w:tc>
        <w:tc>
          <w:tcPr>
            <w:tcW w:w="19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40,835</w:t>
            </w:r>
          </w:p>
        </w:tc>
      </w:tr>
      <w:tr>
        <w:trPr>
          <w:trHeight w:val="162"/>
        </w:trPr>
        <w:tc>
          <w:tcPr>
            <w:tcW w:w="3020" w:type="dxa"/>
            <w:vAlign w:val="bottom"/>
          </w:tcPr>
          <w:p>
            <w:pPr>
              <w:spacing w:after="0" w:line="162" w:lineRule="exact"/>
              <w:rPr>
                <w:sz w:val="20"/>
                <w:szCs w:val="20"/>
                <w:color w:val="auto"/>
              </w:rPr>
            </w:pPr>
            <w:r>
              <w:rPr>
                <w:rFonts w:ascii="Arial" w:cs="Arial" w:eastAsia="Arial" w:hAnsi="Arial"/>
                <w:sz w:val="15"/>
                <w:szCs w:val="15"/>
                <w:color w:val="auto"/>
              </w:rPr>
              <w:t>2020</w:t>
            </w:r>
          </w:p>
        </w:tc>
        <w:tc>
          <w:tcPr>
            <w:tcW w:w="19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42,908</w:t>
            </w:r>
          </w:p>
        </w:tc>
      </w:tr>
      <w:tr>
        <w:trPr>
          <w:trHeight w:val="162"/>
        </w:trPr>
        <w:tc>
          <w:tcPr>
            <w:tcW w:w="30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2021</w:t>
            </w:r>
          </w:p>
        </w:tc>
        <w:tc>
          <w:tcPr>
            <w:tcW w:w="1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44,237</w:t>
            </w:r>
          </w:p>
        </w:tc>
      </w:tr>
      <w:tr>
        <w:trPr>
          <w:trHeight w:val="162"/>
        </w:trPr>
        <w:tc>
          <w:tcPr>
            <w:tcW w:w="3020" w:type="dxa"/>
            <w:vAlign w:val="bottom"/>
          </w:tcPr>
          <w:p>
            <w:pPr>
              <w:spacing w:after="0" w:line="162" w:lineRule="exact"/>
              <w:rPr>
                <w:sz w:val="20"/>
                <w:szCs w:val="20"/>
                <w:color w:val="auto"/>
              </w:rPr>
            </w:pPr>
            <w:r>
              <w:rPr>
                <w:rFonts w:ascii="Arial" w:cs="Arial" w:eastAsia="Arial" w:hAnsi="Arial"/>
                <w:sz w:val="15"/>
                <w:szCs w:val="15"/>
                <w:color w:val="auto"/>
              </w:rPr>
              <w:t>2022</w:t>
            </w:r>
          </w:p>
        </w:tc>
        <w:tc>
          <w:tcPr>
            <w:tcW w:w="19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45,848</w:t>
            </w:r>
          </w:p>
        </w:tc>
      </w:tr>
      <w:tr>
        <w:trPr>
          <w:trHeight w:val="162"/>
        </w:trPr>
        <w:tc>
          <w:tcPr>
            <w:tcW w:w="30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2023</w:t>
            </w:r>
          </w:p>
        </w:tc>
        <w:tc>
          <w:tcPr>
            <w:tcW w:w="19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47,170</w:t>
            </w:r>
          </w:p>
        </w:tc>
      </w:tr>
      <w:tr>
        <w:trPr>
          <w:trHeight w:val="184"/>
        </w:trPr>
        <w:tc>
          <w:tcPr>
            <w:tcW w:w="3020" w:type="dxa"/>
            <w:vAlign w:val="bottom"/>
          </w:tcPr>
          <w:p>
            <w:pPr>
              <w:spacing w:after="0"/>
              <w:rPr>
                <w:sz w:val="20"/>
                <w:szCs w:val="20"/>
                <w:color w:val="auto"/>
              </w:rPr>
            </w:pPr>
            <w:r>
              <w:rPr>
                <w:rFonts w:ascii="Arial" w:cs="Arial" w:eastAsia="Arial" w:hAnsi="Arial"/>
                <w:sz w:val="15"/>
                <w:szCs w:val="15"/>
                <w:color w:val="auto"/>
              </w:rPr>
              <w:t>Years 2024 - 2028</w:t>
            </w:r>
          </w:p>
        </w:tc>
        <w:tc>
          <w:tcPr>
            <w:tcW w:w="19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260,117</w:t>
            </w:r>
          </w:p>
        </w:tc>
      </w:tr>
    </w:tbl>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49B28F"/>
        </w:rPr>
        <w:t xml:space="preserve">Postretirement Benefits. </w:t>
      </w:r>
      <w:r>
        <w:rPr>
          <w:rFonts w:ascii="Arial" w:cs="Arial" w:eastAsia="Arial" w:hAnsi="Arial"/>
          <w:sz w:val="17"/>
          <w:szCs w:val="17"/>
          <w:color w:val="000000"/>
        </w:rPr>
        <w:t>The net periodic postretirement benefit credit</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for postretirement plans includes the following components:</w:t>
      </w:r>
    </w:p>
    <w:p>
      <w:pPr>
        <w:spacing w:after="0" w:line="633"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jc w:val="both"/>
        <w:ind w:left="140" w:right="5960" w:hanging="132"/>
        <w:spacing w:after="0" w:line="204" w:lineRule="auto"/>
        <w:tabs>
          <w:tab w:leader="none" w:pos="140" w:val="left"/>
        </w:tabs>
        <w:numPr>
          <w:ilvl w:val="0"/>
          <w:numId w:val="58"/>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These investments are common collective investment trusts valued using the net asset value (NAV) unit price provided by the fund administrator. The NAV is based on the value of the underlying assets owned by the fund.</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32</w:t>
      </w:r>
    </w:p>
    <w:p>
      <w:pPr>
        <w:sectPr>
          <w:pgSz w:w="11900" w:h="16838" w:orient="portrait"/>
          <w:cols w:equalWidth="0" w:num="1">
            <w:col w:w="11420"/>
          </w:cols>
          <w:pgMar w:left="240" w:top="265" w:right="239" w:bottom="1440" w:gutter="0" w:footer="0" w:header="0"/>
          <w:type w:val="continuous"/>
        </w:sectPr>
      </w:pPr>
    </w:p>
    <w:bookmarkStart w:id="71" w:name="page72"/>
    <w:bookmarkEnd w:id="71"/>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480" w:type="dxa"/>
            <w:vAlign w:val="bottom"/>
          </w:tcPr>
          <w:p>
            <w:pPr>
              <w:ind w:left="20"/>
              <w:spacing w:after="0"/>
              <w:rPr>
                <w:sz w:val="20"/>
                <w:szCs w:val="20"/>
                <w:color w:val="auto"/>
              </w:rPr>
            </w:pPr>
            <w:r>
              <w:rPr>
                <w:rFonts w:ascii="Arial" w:cs="Arial" w:eastAsia="Arial" w:hAnsi="Arial"/>
                <w:sz w:val="14"/>
                <w:szCs w:val="14"/>
                <w:i w:val="1"/>
                <w:iCs w:val="1"/>
                <w:color w:val="auto"/>
              </w:rPr>
              <w:t>years ended December 31</w:t>
            </w:r>
          </w:p>
        </w:tc>
        <w:tc>
          <w:tcPr>
            <w:tcW w:w="520" w:type="dxa"/>
            <w:vAlign w:val="bottom"/>
          </w:tcPr>
          <w:p>
            <w:pPr>
              <w:spacing w:after="0"/>
              <w:rPr>
                <w:sz w:val="14"/>
                <w:szCs w:val="14"/>
                <w:color w:val="auto"/>
              </w:rPr>
            </w:pPr>
          </w:p>
        </w:tc>
        <w:tc>
          <w:tcPr>
            <w:tcW w:w="68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0085CD"/>
              </w:rPr>
              <w:t>2018</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80" w:type="dxa"/>
            <w:vAlign w:val="bottom"/>
            <w:tcBorders>
              <w:bottom w:val="single" w:sz="8" w:color="auto"/>
            </w:tcBorders>
          </w:tcPr>
          <w:p>
            <w:pPr>
              <w:ind w:left="20"/>
              <w:spacing w:after="0" w:line="166" w:lineRule="exact"/>
              <w:rPr>
                <w:sz w:val="20"/>
                <w:szCs w:val="20"/>
                <w:color w:val="auto"/>
              </w:rPr>
            </w:pPr>
            <w:r>
              <w:rPr>
                <w:rFonts w:ascii="Arial" w:cs="Arial" w:eastAsia="Arial" w:hAnsi="Arial"/>
                <w:sz w:val="15"/>
                <w:szCs w:val="15"/>
                <w:color w:val="auto"/>
              </w:rPr>
              <w:t>(add 000)</w:t>
            </w: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23"/>
              <w:spacing w:after="0" w:line="166" w:lineRule="exact"/>
              <w:rPr>
                <w:sz w:val="20"/>
                <w:szCs w:val="20"/>
                <w:color w:val="auto"/>
              </w:rPr>
            </w:pPr>
            <w:r>
              <w:rPr>
                <w:rFonts w:ascii="Arial" w:cs="Arial" w:eastAsia="Arial" w:hAnsi="Arial"/>
                <w:sz w:val="15"/>
                <w:szCs w:val="15"/>
                <w:color w:val="auto"/>
              </w:rPr>
              <w:t>2017</w:t>
            </w: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3"/>
              <w:spacing w:after="0" w:line="166" w:lineRule="exact"/>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248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Service cost</w:t>
            </w:r>
          </w:p>
        </w:tc>
        <w:tc>
          <w:tcPr>
            <w:tcW w:w="5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680" w:type="dxa"/>
            <w:vAlign w:val="bottom"/>
            <w:shd w:val="clear" w:color="auto" w:fill="CCEEFF"/>
          </w:tcPr>
          <w:p>
            <w:pPr>
              <w:jc w:val="right"/>
              <w:ind w:right="143"/>
              <w:spacing w:after="0" w:line="156" w:lineRule="exact"/>
              <w:rPr>
                <w:sz w:val="20"/>
                <w:szCs w:val="20"/>
                <w:color w:val="auto"/>
              </w:rPr>
            </w:pPr>
            <w:r>
              <w:rPr>
                <w:rFonts w:ascii="Arial" w:cs="Arial" w:eastAsia="Arial" w:hAnsi="Arial"/>
                <w:sz w:val="15"/>
                <w:szCs w:val="15"/>
                <w:b w:val="1"/>
                <w:bCs w:val="1"/>
                <w:color w:val="auto"/>
              </w:rPr>
              <w:t>77</w:t>
            </w:r>
          </w:p>
        </w:tc>
        <w:tc>
          <w:tcPr>
            <w:tcW w:w="2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123"/>
              <w:spacing w:after="0" w:line="156" w:lineRule="exact"/>
              <w:rPr>
                <w:sz w:val="20"/>
                <w:szCs w:val="20"/>
                <w:color w:val="auto"/>
              </w:rPr>
            </w:pPr>
            <w:r>
              <w:rPr>
                <w:rFonts w:ascii="Arial" w:cs="Arial" w:eastAsia="Arial" w:hAnsi="Arial"/>
                <w:sz w:val="15"/>
                <w:szCs w:val="15"/>
                <w:color w:val="auto"/>
              </w:rPr>
              <w:t>80</w:t>
            </w:r>
          </w:p>
        </w:tc>
        <w:tc>
          <w:tcPr>
            <w:tcW w:w="2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62"/>
        </w:trPr>
        <w:tc>
          <w:tcPr>
            <w:tcW w:w="2480" w:type="dxa"/>
            <w:vAlign w:val="bottom"/>
          </w:tcPr>
          <w:p>
            <w:pPr>
              <w:ind w:left="20"/>
              <w:spacing w:after="0" w:line="162" w:lineRule="exact"/>
              <w:rPr>
                <w:sz w:val="20"/>
                <w:szCs w:val="20"/>
                <w:color w:val="auto"/>
              </w:rPr>
            </w:pPr>
            <w:r>
              <w:rPr>
                <w:rFonts w:ascii="Arial" w:cs="Arial" w:eastAsia="Arial" w:hAnsi="Arial"/>
                <w:sz w:val="15"/>
                <w:szCs w:val="15"/>
                <w:color w:val="auto"/>
              </w:rPr>
              <w:t>Interest cost</w:t>
            </w:r>
          </w:p>
        </w:tc>
        <w:tc>
          <w:tcPr>
            <w:tcW w:w="520" w:type="dxa"/>
            <w:vAlign w:val="bottom"/>
          </w:tcPr>
          <w:p>
            <w:pPr>
              <w:spacing w:after="0"/>
              <w:rPr>
                <w:sz w:val="14"/>
                <w:szCs w:val="14"/>
                <w:color w:val="auto"/>
              </w:rPr>
            </w:pPr>
          </w:p>
        </w:tc>
        <w:tc>
          <w:tcPr>
            <w:tcW w:w="680" w:type="dxa"/>
            <w:vAlign w:val="bottom"/>
          </w:tcPr>
          <w:p>
            <w:pPr>
              <w:jc w:val="right"/>
              <w:ind w:right="143"/>
              <w:spacing w:after="0" w:line="162" w:lineRule="exact"/>
              <w:rPr>
                <w:sz w:val="20"/>
                <w:szCs w:val="20"/>
                <w:color w:val="auto"/>
              </w:rPr>
            </w:pPr>
            <w:r>
              <w:rPr>
                <w:rFonts w:ascii="Arial" w:cs="Arial" w:eastAsia="Arial" w:hAnsi="Arial"/>
                <w:sz w:val="15"/>
                <w:szCs w:val="15"/>
                <w:b w:val="1"/>
                <w:bCs w:val="1"/>
                <w:color w:val="auto"/>
              </w:rPr>
              <w:t>519</w:t>
            </w:r>
          </w:p>
        </w:tc>
        <w:tc>
          <w:tcPr>
            <w:tcW w:w="280" w:type="dxa"/>
            <w:vAlign w:val="bottom"/>
          </w:tcPr>
          <w:p>
            <w:pPr>
              <w:spacing w:after="0"/>
              <w:rPr>
                <w:sz w:val="14"/>
                <w:szCs w:val="14"/>
                <w:color w:val="auto"/>
              </w:rPr>
            </w:pPr>
          </w:p>
        </w:tc>
        <w:tc>
          <w:tcPr>
            <w:tcW w:w="66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727</w:t>
            </w:r>
          </w:p>
        </w:tc>
        <w:tc>
          <w:tcPr>
            <w:tcW w:w="280" w:type="dxa"/>
            <w:vAlign w:val="bottom"/>
          </w:tcPr>
          <w:p>
            <w:pPr>
              <w:spacing w:after="0"/>
              <w:rPr>
                <w:sz w:val="14"/>
                <w:szCs w:val="14"/>
                <w:color w:val="auto"/>
              </w:rPr>
            </w:pPr>
          </w:p>
        </w:tc>
        <w:tc>
          <w:tcPr>
            <w:tcW w:w="5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863</w:t>
            </w: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Amortization of:</w:t>
            </w: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100"/>
              <w:spacing w:after="0" w:line="162" w:lineRule="exact"/>
              <w:rPr>
                <w:sz w:val="20"/>
                <w:szCs w:val="20"/>
                <w:color w:val="auto"/>
              </w:rPr>
            </w:pPr>
            <w:r>
              <w:rPr>
                <w:rFonts w:ascii="Arial" w:cs="Arial" w:eastAsia="Arial" w:hAnsi="Arial"/>
                <w:sz w:val="15"/>
                <w:szCs w:val="15"/>
                <w:color w:val="auto"/>
              </w:rPr>
              <w:t>Prior service credit</w:t>
            </w:r>
          </w:p>
        </w:tc>
        <w:tc>
          <w:tcPr>
            <w:tcW w:w="520" w:type="dxa"/>
            <w:vAlign w:val="bottom"/>
          </w:tcPr>
          <w:p>
            <w:pPr>
              <w:spacing w:after="0"/>
              <w:rPr>
                <w:sz w:val="14"/>
                <w:szCs w:val="14"/>
                <w:color w:val="auto"/>
              </w:rPr>
            </w:pPr>
          </w:p>
        </w:tc>
        <w:tc>
          <w:tcPr>
            <w:tcW w:w="680" w:type="dxa"/>
            <w:vAlign w:val="bottom"/>
          </w:tcPr>
          <w:p>
            <w:pPr>
              <w:jc w:val="right"/>
              <w:ind w:right="83"/>
              <w:spacing w:after="0" w:line="162" w:lineRule="exact"/>
              <w:rPr>
                <w:sz w:val="20"/>
                <w:szCs w:val="20"/>
                <w:color w:val="auto"/>
              </w:rPr>
            </w:pPr>
            <w:r>
              <w:rPr>
                <w:rFonts w:ascii="Arial" w:cs="Arial" w:eastAsia="Arial" w:hAnsi="Arial"/>
                <w:sz w:val="15"/>
                <w:szCs w:val="15"/>
                <w:b w:val="1"/>
                <w:bCs w:val="1"/>
                <w:color w:val="auto"/>
              </w:rPr>
              <w:t>(2,074)</w:t>
            </w:r>
          </w:p>
        </w:tc>
        <w:tc>
          <w:tcPr>
            <w:tcW w:w="280" w:type="dxa"/>
            <w:vAlign w:val="bottom"/>
          </w:tcPr>
          <w:p>
            <w:pPr>
              <w:spacing w:after="0"/>
              <w:rPr>
                <w:sz w:val="14"/>
                <w:szCs w:val="14"/>
                <w:color w:val="auto"/>
              </w:rPr>
            </w:pPr>
          </w:p>
        </w:tc>
        <w:tc>
          <w:tcPr>
            <w:tcW w:w="660" w:type="dxa"/>
            <w:vAlign w:val="bottom"/>
          </w:tcPr>
          <w:p>
            <w:pPr>
              <w:jc w:val="right"/>
              <w:ind w:right="63"/>
              <w:spacing w:after="0" w:line="162" w:lineRule="exact"/>
              <w:rPr>
                <w:sz w:val="20"/>
                <w:szCs w:val="20"/>
                <w:color w:val="auto"/>
              </w:rPr>
            </w:pPr>
            <w:r>
              <w:rPr>
                <w:rFonts w:ascii="Arial" w:cs="Arial" w:eastAsia="Arial" w:hAnsi="Arial"/>
                <w:sz w:val="15"/>
                <w:szCs w:val="15"/>
                <w:color w:val="auto"/>
              </w:rPr>
              <w:t>(1,741)</w:t>
            </w:r>
          </w:p>
        </w:tc>
        <w:tc>
          <w:tcPr>
            <w:tcW w:w="2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(1,959)</w:t>
            </w: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Actuarial gain</w:t>
            </w: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b w:val="1"/>
                <w:bCs w:val="1"/>
                <w:color w:val="auto"/>
              </w:rPr>
              <w:t>(211)</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(364)</w:t>
            </w: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(499)</w:t>
            </w:r>
          </w:p>
        </w:tc>
        <w:tc>
          <w:tcPr>
            <w:tcW w:w="0" w:type="dxa"/>
            <w:vAlign w:val="bottom"/>
          </w:tcPr>
          <w:p>
            <w:pPr>
              <w:spacing w:after="0"/>
              <w:rPr>
                <w:sz w:val="1"/>
                <w:szCs w:val="1"/>
                <w:color w:val="auto"/>
              </w:rPr>
            </w:pPr>
          </w:p>
        </w:tc>
      </w:tr>
      <w:tr>
        <w:trPr>
          <w:trHeight w:val="162"/>
        </w:trPr>
        <w:tc>
          <w:tcPr>
            <w:tcW w:w="2480" w:type="dxa"/>
            <w:vAlign w:val="bottom"/>
            <w:tcBorders>
              <w:bottom w:val="single" w:sz="8" w:color="auto"/>
            </w:tcBorders>
          </w:tcPr>
          <w:p>
            <w:pPr>
              <w:ind w:left="100"/>
              <w:spacing w:after="0" w:line="162" w:lineRule="exact"/>
              <w:rPr>
                <w:sz w:val="20"/>
                <w:szCs w:val="20"/>
                <w:color w:val="auto"/>
              </w:rPr>
            </w:pPr>
            <w:r>
              <w:rPr>
                <w:rFonts w:ascii="Arial" w:cs="Arial" w:eastAsia="Arial" w:hAnsi="Arial"/>
                <w:sz w:val="15"/>
                <w:szCs w:val="15"/>
                <w:color w:val="auto"/>
              </w:rPr>
              <w:t>Settlement credit</w:t>
            </w: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3"/>
              <w:spacing w:after="0" w:line="162" w:lineRule="exact"/>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23"/>
              <w:spacing w:after="0" w:line="162"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63"/>
        </w:trPr>
        <w:tc>
          <w:tcPr>
            <w:tcW w:w="2480" w:type="dxa"/>
            <w:vAlign w:val="bottom"/>
            <w:tcBorders>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Total net periodic benefit credit</w:t>
            </w:r>
          </w:p>
        </w:tc>
        <w:tc>
          <w:tcPr>
            <w:tcW w:w="5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shd w:val="clear" w:color="auto" w:fill="CCEEFF"/>
          </w:tcPr>
          <w:p>
            <w:pPr>
              <w:jc w:val="right"/>
              <w:ind w:right="83"/>
              <w:spacing w:after="0" w:line="156" w:lineRule="exact"/>
              <w:rPr>
                <w:sz w:val="20"/>
                <w:szCs w:val="20"/>
                <w:color w:val="auto"/>
              </w:rPr>
            </w:pPr>
            <w:r>
              <w:rPr>
                <w:rFonts w:ascii="Arial" w:cs="Arial" w:eastAsia="Arial" w:hAnsi="Arial"/>
                <w:sz w:val="15"/>
                <w:szCs w:val="15"/>
                <w:b w:val="1"/>
                <w:bCs w:val="1"/>
                <w:color w:val="auto"/>
              </w:rPr>
              <w:t>(1,689)</w:t>
            </w:r>
          </w:p>
        </w:tc>
        <w:tc>
          <w:tcPr>
            <w:tcW w:w="2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(1,298)</w:t>
            </w:r>
          </w:p>
        </w:tc>
        <w:tc>
          <w:tcPr>
            <w:tcW w:w="2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(1,519)</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 xml:space="preserve">The components of net periodic benefit credit other than service cost are included in the line item </w:t>
      </w:r>
      <w:r>
        <w:rPr>
          <w:rFonts w:ascii="Arial" w:cs="Arial" w:eastAsia="Arial" w:hAnsi="Arial"/>
          <w:sz w:val="17"/>
          <w:szCs w:val="17"/>
          <w:i w:val="1"/>
          <w:iCs w:val="1"/>
          <w:color w:val="auto"/>
        </w:rPr>
        <w:t>Other nonoperating (income) and expenses,</w:t>
      </w:r>
      <w:r>
        <w:rPr>
          <w:rFonts w:ascii="Arial" w:cs="Arial" w:eastAsia="Arial" w:hAnsi="Arial"/>
          <w:sz w:val="17"/>
          <w:szCs w:val="17"/>
          <w:color w:val="auto"/>
        </w:rPr>
        <w:t xml:space="preserve"> </w:t>
      </w:r>
      <w:r>
        <w:rPr>
          <w:rFonts w:ascii="Arial" w:cs="Arial" w:eastAsia="Arial" w:hAnsi="Arial"/>
          <w:sz w:val="17"/>
          <w:szCs w:val="17"/>
          <w:i w:val="1"/>
          <w:iCs w:val="1"/>
          <w:color w:val="auto"/>
        </w:rPr>
        <w:t>net</w:t>
      </w:r>
      <w:r>
        <w:rPr>
          <w:rFonts w:ascii="Arial" w:cs="Arial" w:eastAsia="Arial" w:hAnsi="Arial"/>
          <w:sz w:val="17"/>
          <w:szCs w:val="17"/>
          <w:color w:val="auto"/>
        </w:rPr>
        <w:t>, in the consolidated statements of earnings.</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Company recognized the following amounts in consolidated comprehensive earnings: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380" w:type="dxa"/>
            <w:vAlign w:val="bottom"/>
          </w:tcPr>
          <w:p>
            <w:pPr>
              <w:ind w:left="20"/>
              <w:spacing w:after="0"/>
              <w:rPr>
                <w:sz w:val="20"/>
                <w:szCs w:val="20"/>
                <w:color w:val="auto"/>
              </w:rPr>
            </w:pPr>
            <w:r>
              <w:rPr>
                <w:rFonts w:ascii="Arial" w:cs="Arial" w:eastAsia="Arial" w:hAnsi="Arial"/>
                <w:sz w:val="14"/>
                <w:szCs w:val="14"/>
                <w:i w:val="1"/>
                <w:iCs w:val="1"/>
                <w:color w:val="auto"/>
              </w:rPr>
              <w:t>years ended December 31</w:t>
            </w:r>
          </w:p>
        </w:tc>
        <w:tc>
          <w:tcPr>
            <w:tcW w:w="760" w:type="dxa"/>
            <w:vAlign w:val="bottom"/>
          </w:tcPr>
          <w:p>
            <w:pPr>
              <w:spacing w:after="0"/>
              <w:rPr>
                <w:sz w:val="14"/>
                <w:szCs w:val="14"/>
                <w:color w:val="auto"/>
              </w:rPr>
            </w:pPr>
          </w:p>
        </w:tc>
        <w:tc>
          <w:tcPr>
            <w:tcW w:w="640" w:type="dxa"/>
            <w:vAlign w:val="bottom"/>
            <w:vMerge w:val="restart"/>
          </w:tcPr>
          <w:p>
            <w:pPr>
              <w:jc w:val="right"/>
              <w:ind w:right="123"/>
              <w:spacing w:after="0"/>
              <w:rPr>
                <w:sz w:val="20"/>
                <w:szCs w:val="20"/>
                <w:color w:val="auto"/>
              </w:rPr>
            </w:pPr>
            <w:r>
              <w:rPr>
                <w:rFonts w:ascii="Arial" w:cs="Arial" w:eastAsia="Arial" w:hAnsi="Arial"/>
                <w:sz w:val="15"/>
                <w:szCs w:val="15"/>
                <w:b w:val="1"/>
                <w:bCs w:val="1"/>
                <w:color w:val="0085CD"/>
              </w:rPr>
              <w:t>2018</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80" w:type="dxa"/>
            <w:vAlign w:val="bottom"/>
            <w:tcBorders>
              <w:bottom w:val="single" w:sz="8" w:color="auto"/>
            </w:tcBorders>
          </w:tcPr>
          <w:p>
            <w:pPr>
              <w:ind w:left="20"/>
              <w:spacing w:after="0" w:line="166" w:lineRule="exact"/>
              <w:rPr>
                <w:sz w:val="20"/>
                <w:szCs w:val="20"/>
                <w:color w:val="auto"/>
              </w:rPr>
            </w:pPr>
            <w:r>
              <w:rPr>
                <w:rFonts w:ascii="Arial" w:cs="Arial" w:eastAsia="Arial" w:hAnsi="Arial"/>
                <w:sz w:val="15"/>
                <w:szCs w:val="15"/>
                <w:color w:val="auto"/>
              </w:rPr>
              <w:t>(add 000)</w:t>
            </w:r>
          </w:p>
        </w:tc>
        <w:tc>
          <w:tcPr>
            <w:tcW w:w="7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3"/>
              <w:spacing w:after="0" w:line="166" w:lineRule="exact"/>
              <w:rPr>
                <w:sz w:val="20"/>
                <w:szCs w:val="20"/>
                <w:color w:val="auto"/>
              </w:rPr>
            </w:pPr>
            <w:r>
              <w:rPr>
                <w:rFonts w:ascii="Arial" w:cs="Arial" w:eastAsia="Arial" w:hAnsi="Arial"/>
                <w:sz w:val="15"/>
                <w:szCs w:val="15"/>
                <w:color w:val="auto"/>
              </w:rPr>
              <w:t>2017</w:t>
            </w: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3"/>
              <w:spacing w:after="0" w:line="166" w:lineRule="exact"/>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238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Actuarial (gain) loss</w:t>
            </w:r>
          </w:p>
        </w:tc>
        <w:tc>
          <w:tcPr>
            <w:tcW w:w="7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jc w:val="right"/>
              <w:ind w:right="83"/>
              <w:spacing w:after="0" w:line="156" w:lineRule="exact"/>
              <w:rPr>
                <w:sz w:val="20"/>
                <w:szCs w:val="20"/>
                <w:color w:val="auto"/>
              </w:rPr>
            </w:pPr>
            <w:r>
              <w:rPr>
                <w:rFonts w:ascii="Arial" w:cs="Arial" w:eastAsia="Arial" w:hAnsi="Arial"/>
                <w:sz w:val="15"/>
                <w:szCs w:val="15"/>
                <w:b w:val="1"/>
                <w:bCs w:val="1"/>
                <w:color w:val="auto"/>
                <w:w w:val="96"/>
              </w:rPr>
              <w:t>(1,700)</w:t>
            </w:r>
          </w:p>
        </w:tc>
        <w:tc>
          <w:tcPr>
            <w:tcW w:w="2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143"/>
              <w:spacing w:after="0" w:line="156" w:lineRule="exact"/>
              <w:rPr>
                <w:sz w:val="20"/>
                <w:szCs w:val="20"/>
                <w:color w:val="auto"/>
              </w:rPr>
            </w:pPr>
            <w:r>
              <w:rPr>
                <w:rFonts w:ascii="Arial" w:cs="Arial" w:eastAsia="Arial" w:hAnsi="Arial"/>
                <w:sz w:val="15"/>
                <w:szCs w:val="15"/>
                <w:color w:val="auto"/>
              </w:rPr>
              <w:t>1,236</w:t>
            </w:r>
          </w:p>
        </w:tc>
        <w:tc>
          <w:tcPr>
            <w:tcW w:w="2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686</w:t>
            </w: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line="162" w:lineRule="exact"/>
              <w:rPr>
                <w:sz w:val="20"/>
                <w:szCs w:val="20"/>
                <w:color w:val="auto"/>
              </w:rPr>
            </w:pPr>
            <w:r>
              <w:rPr>
                <w:rFonts w:ascii="Arial" w:cs="Arial" w:eastAsia="Arial" w:hAnsi="Arial"/>
                <w:sz w:val="15"/>
                <w:szCs w:val="15"/>
                <w:color w:val="auto"/>
              </w:rPr>
              <w:t>Net prior service credit</w:t>
            </w:r>
          </w:p>
        </w:tc>
        <w:tc>
          <w:tcPr>
            <w:tcW w:w="760" w:type="dxa"/>
            <w:vAlign w:val="bottom"/>
          </w:tcPr>
          <w:p>
            <w:pPr>
              <w:spacing w:after="0"/>
              <w:rPr>
                <w:sz w:val="14"/>
                <w:szCs w:val="14"/>
                <w:color w:val="auto"/>
              </w:rPr>
            </w:pPr>
          </w:p>
        </w:tc>
        <w:tc>
          <w:tcPr>
            <w:tcW w:w="640" w:type="dxa"/>
            <w:vAlign w:val="bottom"/>
          </w:tcPr>
          <w:p>
            <w:pPr>
              <w:jc w:val="right"/>
              <w:ind w:right="123"/>
              <w:spacing w:after="0" w:line="162" w:lineRule="exact"/>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4"/>
                <w:szCs w:val="14"/>
                <w:color w:val="auto"/>
              </w:rPr>
            </w:pPr>
          </w:p>
        </w:tc>
        <w:tc>
          <w:tcPr>
            <w:tcW w:w="660" w:type="dxa"/>
            <w:vAlign w:val="bottom"/>
          </w:tcPr>
          <w:p>
            <w:pPr>
              <w:jc w:val="right"/>
              <w:ind w:right="83"/>
              <w:spacing w:after="0" w:line="162" w:lineRule="exact"/>
              <w:rPr>
                <w:sz w:val="20"/>
                <w:szCs w:val="20"/>
                <w:color w:val="auto"/>
              </w:rPr>
            </w:pPr>
            <w:r>
              <w:rPr>
                <w:rFonts w:ascii="Arial" w:cs="Arial" w:eastAsia="Arial" w:hAnsi="Arial"/>
                <w:sz w:val="15"/>
                <w:szCs w:val="15"/>
                <w:color w:val="auto"/>
              </w:rPr>
              <w:t>(3,902)</w:t>
            </w:r>
          </w:p>
        </w:tc>
        <w:tc>
          <w:tcPr>
            <w:tcW w:w="24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(1,326)</w:t>
            </w: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Settlement credit</w:t>
            </w:r>
          </w:p>
        </w:tc>
        <w:tc>
          <w:tcPr>
            <w:tcW w:w="7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b w:val="1"/>
                <w:bCs w:val="1"/>
                <w:color w:val="auto"/>
              </w:rPr>
              <w:t>–</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43"/>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line="162" w:lineRule="exact"/>
              <w:rPr>
                <w:sz w:val="20"/>
                <w:szCs w:val="20"/>
                <w:color w:val="auto"/>
              </w:rPr>
            </w:pPr>
            <w:r>
              <w:rPr>
                <w:rFonts w:ascii="Arial" w:cs="Arial" w:eastAsia="Arial" w:hAnsi="Arial"/>
                <w:sz w:val="15"/>
                <w:szCs w:val="15"/>
                <w:color w:val="auto"/>
              </w:rPr>
              <w:t>Amortization of:</w:t>
            </w: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Prior service credit</w:t>
            </w:r>
          </w:p>
        </w:tc>
        <w:tc>
          <w:tcPr>
            <w:tcW w:w="7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b w:val="1"/>
                <w:bCs w:val="1"/>
                <w:color w:val="auto"/>
              </w:rPr>
              <w:t>2,074</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43"/>
              <w:spacing w:after="0" w:line="162" w:lineRule="exact"/>
              <w:rPr>
                <w:sz w:val="20"/>
                <w:szCs w:val="20"/>
                <w:color w:val="auto"/>
              </w:rPr>
            </w:pPr>
            <w:r>
              <w:rPr>
                <w:rFonts w:ascii="Arial" w:cs="Arial" w:eastAsia="Arial" w:hAnsi="Arial"/>
                <w:sz w:val="15"/>
                <w:szCs w:val="15"/>
                <w:color w:val="auto"/>
              </w:rPr>
              <w:t>1,741</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1,959</w:t>
            </w:r>
          </w:p>
        </w:tc>
        <w:tc>
          <w:tcPr>
            <w:tcW w:w="0" w:type="dxa"/>
            <w:vAlign w:val="bottom"/>
          </w:tcPr>
          <w:p>
            <w:pPr>
              <w:spacing w:after="0"/>
              <w:rPr>
                <w:sz w:val="1"/>
                <w:szCs w:val="1"/>
                <w:color w:val="auto"/>
              </w:rPr>
            </w:pPr>
          </w:p>
        </w:tc>
      </w:tr>
      <w:tr>
        <w:trPr>
          <w:trHeight w:val="162"/>
        </w:trPr>
        <w:tc>
          <w:tcPr>
            <w:tcW w:w="2380" w:type="dxa"/>
            <w:vAlign w:val="bottom"/>
            <w:tcBorders>
              <w:bottom w:val="single" w:sz="8" w:color="auto"/>
            </w:tcBorders>
          </w:tcPr>
          <w:p>
            <w:pPr>
              <w:ind w:left="80"/>
              <w:spacing w:after="0" w:line="162" w:lineRule="exact"/>
              <w:rPr>
                <w:sz w:val="20"/>
                <w:szCs w:val="20"/>
                <w:color w:val="auto"/>
              </w:rPr>
            </w:pPr>
            <w:r>
              <w:rPr>
                <w:rFonts w:ascii="Arial" w:cs="Arial" w:eastAsia="Arial" w:hAnsi="Arial"/>
                <w:sz w:val="15"/>
                <w:szCs w:val="15"/>
                <w:color w:val="auto"/>
              </w:rPr>
              <w:t>Actuarial gain</w:t>
            </w:r>
          </w:p>
        </w:tc>
        <w:tc>
          <w:tcPr>
            <w:tcW w:w="7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3"/>
              <w:spacing w:after="0" w:line="162" w:lineRule="exact"/>
              <w:rPr>
                <w:sz w:val="20"/>
                <w:szCs w:val="20"/>
                <w:color w:val="auto"/>
              </w:rPr>
            </w:pPr>
            <w:r>
              <w:rPr>
                <w:rFonts w:ascii="Arial" w:cs="Arial" w:eastAsia="Arial" w:hAnsi="Arial"/>
                <w:sz w:val="15"/>
                <w:szCs w:val="15"/>
                <w:b w:val="1"/>
                <w:bCs w:val="1"/>
                <w:color w:val="auto"/>
              </w:rPr>
              <w:t>211</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3"/>
              <w:spacing w:after="0" w:line="162" w:lineRule="exact"/>
              <w:rPr>
                <w:sz w:val="20"/>
                <w:szCs w:val="20"/>
                <w:color w:val="auto"/>
              </w:rPr>
            </w:pPr>
            <w:r>
              <w:rPr>
                <w:rFonts w:ascii="Arial" w:cs="Arial" w:eastAsia="Arial" w:hAnsi="Arial"/>
                <w:sz w:val="15"/>
                <w:szCs w:val="15"/>
                <w:color w:val="auto"/>
              </w:rPr>
              <w:t>364</w:t>
            </w: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499</w:t>
            </w:r>
          </w:p>
        </w:tc>
        <w:tc>
          <w:tcPr>
            <w:tcW w:w="0" w:type="dxa"/>
            <w:vAlign w:val="bottom"/>
          </w:tcPr>
          <w:p>
            <w:pPr>
              <w:spacing w:after="0"/>
              <w:rPr>
                <w:sz w:val="1"/>
                <w:szCs w:val="1"/>
                <w:color w:val="auto"/>
              </w:rPr>
            </w:pPr>
          </w:p>
        </w:tc>
      </w:tr>
      <w:tr>
        <w:trPr>
          <w:trHeight w:val="163"/>
        </w:trPr>
        <w:tc>
          <w:tcPr>
            <w:tcW w:w="2380" w:type="dxa"/>
            <w:vAlign w:val="bottom"/>
            <w:tcBorders>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Total</w:t>
            </w: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auto"/>
            </w:tcBorders>
            <w:shd w:val="clear" w:color="auto" w:fill="CCEEFF"/>
          </w:tcPr>
          <w:p>
            <w:pPr>
              <w:jc w:val="right"/>
              <w:ind w:right="123"/>
              <w:spacing w:after="0" w:line="156" w:lineRule="exact"/>
              <w:rPr>
                <w:sz w:val="20"/>
                <w:szCs w:val="20"/>
                <w:color w:val="auto"/>
              </w:rPr>
            </w:pPr>
            <w:r>
              <w:rPr>
                <w:rFonts w:ascii="Arial" w:cs="Arial" w:eastAsia="Arial" w:hAnsi="Arial"/>
                <w:sz w:val="15"/>
                <w:szCs w:val="15"/>
                <w:b w:val="1"/>
                <w:bCs w:val="1"/>
                <w:color w:val="auto"/>
              </w:rPr>
              <w:t>585</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ind w:right="83"/>
              <w:spacing w:after="0" w:line="156" w:lineRule="exact"/>
              <w:rPr>
                <w:sz w:val="20"/>
                <w:szCs w:val="20"/>
                <w:color w:val="auto"/>
              </w:rPr>
            </w:pPr>
            <w:r>
              <w:rPr>
                <w:rFonts w:ascii="Arial" w:cs="Arial" w:eastAsia="Arial" w:hAnsi="Arial"/>
                <w:sz w:val="15"/>
                <w:szCs w:val="15"/>
                <w:color w:val="auto"/>
              </w:rPr>
              <w:t>(561)</w:t>
            </w:r>
          </w:p>
        </w:tc>
        <w:tc>
          <w:tcPr>
            <w:tcW w:w="2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1,827</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Accumulated other comprehensive loss includes the following amounts that have not yet been recognized in net periodic benefit credit or cost: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860" w:type="dxa"/>
            <w:vAlign w:val="bottom"/>
          </w:tcPr>
          <w:p>
            <w:pPr>
              <w:ind w:left="20"/>
              <w:spacing w:after="0"/>
              <w:rPr>
                <w:sz w:val="20"/>
                <w:szCs w:val="20"/>
                <w:color w:val="auto"/>
              </w:rPr>
            </w:pPr>
            <w:r>
              <w:rPr>
                <w:rFonts w:ascii="Arial" w:cs="Arial" w:eastAsia="Arial" w:hAnsi="Arial"/>
                <w:sz w:val="15"/>
                <w:szCs w:val="15"/>
                <w:i w:val="1"/>
                <w:iCs w:val="1"/>
                <w:color w:val="auto"/>
              </w:rPr>
              <w:t>December 31</w:t>
            </w:r>
          </w:p>
        </w:tc>
        <w:tc>
          <w:tcPr>
            <w:tcW w:w="7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83"/>
              <w:spacing w:after="0"/>
              <w:rPr>
                <w:sz w:val="20"/>
                <w:szCs w:val="20"/>
                <w:color w:val="auto"/>
              </w:rPr>
            </w:pPr>
            <w:r>
              <w:rPr>
                <w:rFonts w:ascii="Arial" w:cs="Arial" w:eastAsia="Arial" w:hAnsi="Arial"/>
                <w:sz w:val="15"/>
                <w:szCs w:val="15"/>
                <w:b w:val="1"/>
                <w:bCs w:val="1"/>
                <w:color w:val="0085CD"/>
              </w:rPr>
              <w:t>2018</w:t>
            </w:r>
          </w:p>
        </w:tc>
        <w:tc>
          <w:tcPr>
            <w:tcW w:w="1580" w:type="dxa"/>
            <w:vAlign w:val="bottom"/>
            <w:tcBorders>
              <w:bottom w:val="single" w:sz="8" w:color="auto"/>
            </w:tcBorders>
            <w:gridSpan w:val="2"/>
          </w:tcPr>
          <w:p>
            <w:pPr>
              <w:jc w:val="right"/>
              <w:ind w:right="503"/>
              <w:spacing w:after="0"/>
              <w:rPr>
                <w:sz w:val="20"/>
                <w:szCs w:val="20"/>
                <w:color w:val="auto"/>
              </w:rPr>
            </w:pPr>
            <w:r>
              <w:rPr>
                <w:rFonts w:ascii="Arial" w:cs="Arial" w:eastAsia="Arial" w:hAnsi="Arial"/>
                <w:sz w:val="15"/>
                <w:szCs w:val="15"/>
                <w:color w:val="auto"/>
              </w:rPr>
              <w:t>2017</w:t>
            </w:r>
          </w:p>
        </w:tc>
        <w:tc>
          <w:tcPr>
            <w:tcW w:w="20" w:type="dxa"/>
            <w:vAlign w:val="bottom"/>
          </w:tcPr>
          <w:p>
            <w:pPr>
              <w:spacing w:after="0"/>
              <w:rPr>
                <w:sz w:val="15"/>
                <w:szCs w:val="15"/>
                <w:color w:val="auto"/>
              </w:rPr>
            </w:pPr>
          </w:p>
        </w:tc>
      </w:tr>
      <w:tr>
        <w:trPr>
          <w:trHeight w:val="156"/>
        </w:trPr>
        <w:tc>
          <w:tcPr>
            <w:tcW w:w="1860" w:type="dxa"/>
            <w:vAlign w:val="bottom"/>
            <w:tcBorders>
              <w:bottom w:val="single" w:sz="8" w:color="auto"/>
            </w:tcBorders>
          </w:tcPr>
          <w:p>
            <w:pPr>
              <w:ind w:left="20"/>
              <w:spacing w:after="0" w:line="156" w:lineRule="exact"/>
              <w:rPr>
                <w:sz w:val="20"/>
                <w:szCs w:val="20"/>
                <w:color w:val="auto"/>
              </w:rPr>
            </w:pPr>
            <w:r>
              <w:rPr>
                <w:rFonts w:ascii="Arial" w:cs="Arial" w:eastAsia="Arial" w:hAnsi="Arial"/>
                <w:sz w:val="15"/>
                <w:szCs w:val="15"/>
                <w:color w:val="auto"/>
              </w:rPr>
              <w:t>(add 000)</w:t>
            </w:r>
          </w:p>
        </w:tc>
        <w:tc>
          <w:tcPr>
            <w:tcW w:w="78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b w:val="1"/>
                <w:bCs w:val="1"/>
                <w:color w:val="auto"/>
              </w:rPr>
              <w:t>Gross</w:t>
            </w:r>
          </w:p>
        </w:tc>
        <w:tc>
          <w:tcPr>
            <w:tcW w:w="1260" w:type="dxa"/>
            <w:vAlign w:val="bottom"/>
            <w:tcBorders>
              <w:bottom w:val="single" w:sz="8" w:color="auto"/>
            </w:tcBorders>
          </w:tcPr>
          <w:p>
            <w:pPr>
              <w:jc w:val="right"/>
              <w:ind w:right="203"/>
              <w:spacing w:after="0" w:line="156" w:lineRule="exact"/>
              <w:rPr>
                <w:sz w:val="20"/>
                <w:szCs w:val="20"/>
                <w:color w:val="auto"/>
              </w:rPr>
            </w:pPr>
            <w:r>
              <w:rPr>
                <w:rFonts w:ascii="Arial" w:cs="Arial" w:eastAsia="Arial" w:hAnsi="Arial"/>
                <w:sz w:val="15"/>
                <w:szCs w:val="15"/>
                <w:b w:val="1"/>
                <w:bCs w:val="1"/>
                <w:color w:val="auto"/>
              </w:rPr>
              <w:t>Net of tax</w:t>
            </w:r>
          </w:p>
        </w:tc>
        <w:tc>
          <w:tcPr>
            <w:tcW w:w="780" w:type="dxa"/>
            <w:vAlign w:val="bottom"/>
            <w:tcBorders>
              <w:bottom w:val="single" w:sz="8" w:color="auto"/>
            </w:tcBorders>
          </w:tcPr>
          <w:p>
            <w:pPr>
              <w:jc w:val="right"/>
              <w:ind w:right="123"/>
              <w:spacing w:after="0" w:line="156" w:lineRule="exact"/>
              <w:rPr>
                <w:sz w:val="20"/>
                <w:szCs w:val="20"/>
                <w:color w:val="auto"/>
              </w:rPr>
            </w:pPr>
            <w:r>
              <w:rPr>
                <w:rFonts w:ascii="Arial" w:cs="Arial" w:eastAsia="Arial" w:hAnsi="Arial"/>
                <w:sz w:val="15"/>
                <w:szCs w:val="15"/>
                <w:color w:val="auto"/>
              </w:rPr>
              <w:t>Gross</w:t>
            </w:r>
          </w:p>
        </w:tc>
        <w:tc>
          <w:tcPr>
            <w:tcW w:w="8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Net of tax</w:t>
            </w:r>
          </w:p>
        </w:tc>
        <w:tc>
          <w:tcPr>
            <w:tcW w:w="20" w:type="dxa"/>
            <w:vAlign w:val="bottom"/>
          </w:tcPr>
          <w:p>
            <w:pPr>
              <w:spacing w:after="0"/>
              <w:rPr>
                <w:sz w:val="13"/>
                <w:szCs w:val="13"/>
                <w:color w:val="auto"/>
              </w:rPr>
            </w:pPr>
          </w:p>
        </w:tc>
      </w:tr>
      <w:tr>
        <w:trPr>
          <w:trHeight w:val="156"/>
        </w:trPr>
        <w:tc>
          <w:tcPr>
            <w:tcW w:w="186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Prior service credit</w:t>
            </w:r>
          </w:p>
        </w:tc>
        <w:tc>
          <w:tcPr>
            <w:tcW w:w="7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 (3,747)</w:t>
            </w:r>
          </w:p>
        </w:tc>
        <w:tc>
          <w:tcPr>
            <w:tcW w:w="1260" w:type="dxa"/>
            <w:vAlign w:val="bottom"/>
            <w:shd w:val="clear" w:color="auto" w:fill="CCEEFF"/>
          </w:tcPr>
          <w:p>
            <w:pPr>
              <w:jc w:val="right"/>
              <w:ind w:right="23"/>
              <w:spacing w:after="0" w:line="156" w:lineRule="exact"/>
              <w:rPr>
                <w:sz w:val="20"/>
                <w:szCs w:val="20"/>
                <w:color w:val="auto"/>
              </w:rPr>
            </w:pPr>
            <w:r>
              <w:rPr>
                <w:rFonts w:ascii="Arial" w:cs="Arial" w:eastAsia="Arial" w:hAnsi="Arial"/>
                <w:sz w:val="15"/>
                <w:szCs w:val="15"/>
                <w:b w:val="1"/>
                <w:bCs w:val="1"/>
                <w:color w:val="auto"/>
              </w:rPr>
              <w:t>$ (2,388)</w:t>
            </w:r>
          </w:p>
        </w:tc>
        <w:tc>
          <w:tcPr>
            <w:tcW w:w="780" w:type="dxa"/>
            <w:vAlign w:val="bottom"/>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$(6,314)</w:t>
            </w:r>
          </w:p>
        </w:tc>
        <w:tc>
          <w:tcPr>
            <w:tcW w:w="8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 (3,899)</w:t>
            </w:r>
          </w:p>
        </w:tc>
        <w:tc>
          <w:tcPr>
            <w:tcW w:w="20" w:type="dxa"/>
            <w:vAlign w:val="bottom"/>
          </w:tcPr>
          <w:p>
            <w:pPr>
              <w:spacing w:after="0"/>
              <w:rPr>
                <w:sz w:val="13"/>
                <w:szCs w:val="13"/>
                <w:color w:val="auto"/>
              </w:rPr>
            </w:pPr>
          </w:p>
        </w:tc>
      </w:tr>
      <w:tr>
        <w:trPr>
          <w:trHeight w:val="162"/>
        </w:trPr>
        <w:tc>
          <w:tcPr>
            <w:tcW w:w="1860" w:type="dxa"/>
            <w:vAlign w:val="bottom"/>
            <w:tcBorders>
              <w:bottom w:val="single" w:sz="8" w:color="auto"/>
            </w:tcBorders>
          </w:tcPr>
          <w:p>
            <w:pPr>
              <w:ind w:left="20"/>
              <w:spacing w:after="0" w:line="162" w:lineRule="exact"/>
              <w:rPr>
                <w:sz w:val="20"/>
                <w:szCs w:val="20"/>
                <w:color w:val="auto"/>
              </w:rPr>
            </w:pPr>
            <w:r>
              <w:rPr>
                <w:rFonts w:ascii="Arial" w:cs="Arial" w:eastAsia="Arial" w:hAnsi="Arial"/>
                <w:sz w:val="15"/>
                <w:szCs w:val="15"/>
                <w:color w:val="auto"/>
              </w:rPr>
              <w:t>Actuarial gain</w:t>
            </w:r>
          </w:p>
        </w:tc>
        <w:tc>
          <w:tcPr>
            <w:tcW w:w="7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(4,238)</w:t>
            </w:r>
          </w:p>
        </w:tc>
        <w:tc>
          <w:tcPr>
            <w:tcW w:w="126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b w:val="1"/>
                <w:bCs w:val="1"/>
                <w:color w:val="auto"/>
              </w:rPr>
              <w:t>(2,701)</w:t>
            </w:r>
          </w:p>
        </w:tc>
        <w:tc>
          <w:tcPr>
            <w:tcW w:w="78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(2,256)</w:t>
            </w:r>
          </w:p>
        </w:tc>
        <w:tc>
          <w:tcPr>
            <w:tcW w:w="8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(1,393)</w:t>
            </w:r>
          </w:p>
        </w:tc>
        <w:tc>
          <w:tcPr>
            <w:tcW w:w="20" w:type="dxa"/>
            <w:vAlign w:val="bottom"/>
          </w:tcPr>
          <w:p>
            <w:pPr>
              <w:spacing w:after="0"/>
              <w:rPr>
                <w:sz w:val="14"/>
                <w:szCs w:val="14"/>
                <w:color w:val="auto"/>
              </w:rPr>
            </w:pPr>
          </w:p>
        </w:tc>
      </w:tr>
      <w:tr>
        <w:trPr>
          <w:trHeight w:val="163"/>
        </w:trPr>
        <w:tc>
          <w:tcPr>
            <w:tcW w:w="1860" w:type="dxa"/>
            <w:vAlign w:val="bottom"/>
            <w:tcBorders>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Total</w:t>
            </w:r>
          </w:p>
        </w:tc>
        <w:tc>
          <w:tcPr>
            <w:tcW w:w="7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 (7,985)</w:t>
            </w:r>
          </w:p>
        </w:tc>
        <w:tc>
          <w:tcPr>
            <w:tcW w:w="126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b w:val="1"/>
                <w:bCs w:val="1"/>
                <w:color w:val="auto"/>
              </w:rPr>
              <w:t>$ (5,089)</w:t>
            </w:r>
          </w:p>
        </w:tc>
        <w:tc>
          <w:tcPr>
            <w:tcW w:w="78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$(8,570)</w:t>
            </w:r>
          </w:p>
        </w:tc>
        <w:tc>
          <w:tcPr>
            <w:tcW w:w="8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 (5,292)</w:t>
            </w:r>
          </w:p>
        </w:tc>
        <w:tc>
          <w:tcPr>
            <w:tcW w:w="20" w:type="dxa"/>
            <w:vAlign w:val="bottom"/>
          </w:tcPr>
          <w:p>
            <w:pPr>
              <w:spacing w:after="0"/>
              <w:rPr>
                <w:sz w:val="14"/>
                <w:szCs w:val="14"/>
                <w:color w:val="auto"/>
              </w:rPr>
            </w:pPr>
          </w:p>
        </w:tc>
      </w:tr>
    </w:tbl>
    <w:p>
      <w:pPr>
        <w:spacing w:after="0" w:line="21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prior service credit and actuarial gain expected to be recognized in net periodic benefit cost during 2019 is $762,000 (net of deferred taxes of $189,000) and $473,000 (net of deferred taxes of $117,000), respectively, and are included in accumulated other comprehensive loss at December 31, 2018.</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postretirement health care plans’ change in benefit obligation is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332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620" w:type="dxa"/>
            <w:vAlign w:val="bottom"/>
          </w:tcPr>
          <w:p>
            <w:pPr>
              <w:spacing w:after="0"/>
              <w:rPr>
                <w:sz w:val="14"/>
                <w:szCs w:val="14"/>
                <w:color w:val="auto"/>
              </w:rPr>
            </w:pPr>
          </w:p>
        </w:tc>
        <w:tc>
          <w:tcPr>
            <w:tcW w:w="74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0085CD"/>
              </w:rPr>
              <w:t>2018</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320" w:type="dxa"/>
            <w:vAlign w:val="bottom"/>
            <w:tcBorders>
              <w:bottom w:val="single" w:sz="8" w:color="auto"/>
            </w:tcBorders>
          </w:tcPr>
          <w:p>
            <w:pPr>
              <w:spacing w:after="0" w:line="166" w:lineRule="exact"/>
              <w:rPr>
                <w:sz w:val="20"/>
                <w:szCs w:val="20"/>
                <w:color w:val="auto"/>
              </w:rPr>
            </w:pPr>
            <w:r>
              <w:rPr>
                <w:rFonts w:ascii="Arial" w:cs="Arial" w:eastAsia="Arial" w:hAnsi="Arial"/>
                <w:sz w:val="15"/>
                <w:szCs w:val="15"/>
                <w:color w:val="auto"/>
              </w:rPr>
              <w:t>(add 000)</w:t>
            </w:r>
          </w:p>
        </w:tc>
        <w:tc>
          <w:tcPr>
            <w:tcW w:w="6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
              <w:spacing w:after="0" w:line="166" w:lineRule="exact"/>
              <w:rPr>
                <w:sz w:val="20"/>
                <w:szCs w:val="20"/>
                <w:color w:val="auto"/>
              </w:rPr>
            </w:pPr>
            <w:r>
              <w:rPr>
                <w:rFonts w:ascii="Arial" w:cs="Arial" w:eastAsia="Arial" w:hAnsi="Arial"/>
                <w:sz w:val="15"/>
                <w:szCs w:val="15"/>
                <w:color w:val="auto"/>
              </w:rPr>
              <w:t>2017</w:t>
            </w:r>
          </w:p>
        </w:tc>
        <w:tc>
          <w:tcPr>
            <w:tcW w:w="0" w:type="dxa"/>
            <w:vAlign w:val="bottom"/>
          </w:tcPr>
          <w:p>
            <w:pPr>
              <w:spacing w:after="0"/>
              <w:rPr>
                <w:sz w:val="1"/>
                <w:szCs w:val="1"/>
                <w:color w:val="auto"/>
              </w:rPr>
            </w:pPr>
          </w:p>
        </w:tc>
      </w:tr>
      <w:tr>
        <w:trPr>
          <w:trHeight w:val="156"/>
        </w:trPr>
        <w:tc>
          <w:tcPr>
            <w:tcW w:w="332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Change in benefit obligation:</w:t>
            </w:r>
          </w:p>
        </w:tc>
        <w:tc>
          <w:tcPr>
            <w:tcW w:w="6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line="162" w:lineRule="exact"/>
              <w:rPr>
                <w:sz w:val="20"/>
                <w:szCs w:val="20"/>
                <w:color w:val="auto"/>
              </w:rPr>
            </w:pPr>
            <w:r>
              <w:rPr>
                <w:rFonts w:ascii="Arial" w:cs="Arial" w:eastAsia="Arial" w:hAnsi="Arial"/>
                <w:sz w:val="15"/>
                <w:szCs w:val="15"/>
                <w:color w:val="auto"/>
              </w:rPr>
              <w:t>Net benefit obligation at beginning of year</w:t>
            </w:r>
          </w:p>
        </w:tc>
        <w:tc>
          <w:tcPr>
            <w:tcW w:w="6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740" w:type="dxa"/>
            <w:vAlign w:val="bottom"/>
          </w:tcPr>
          <w:p>
            <w:pPr>
              <w:jc w:val="right"/>
              <w:ind w:right="143"/>
              <w:spacing w:after="0" w:line="162" w:lineRule="exact"/>
              <w:rPr>
                <w:sz w:val="20"/>
                <w:szCs w:val="20"/>
                <w:color w:val="auto"/>
              </w:rPr>
            </w:pPr>
            <w:r>
              <w:rPr>
                <w:rFonts w:ascii="Arial" w:cs="Arial" w:eastAsia="Arial" w:hAnsi="Arial"/>
                <w:sz w:val="15"/>
                <w:szCs w:val="15"/>
                <w:b w:val="1"/>
                <w:bCs w:val="1"/>
                <w:color w:val="auto"/>
              </w:rPr>
              <w:t>15,347</w:t>
            </w: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6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20,591</w:t>
            </w: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Service cost</w:t>
            </w:r>
          </w:p>
        </w:tc>
        <w:tc>
          <w:tcPr>
            <w:tcW w:w="6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43"/>
              <w:spacing w:after="0" w:line="162" w:lineRule="exact"/>
              <w:rPr>
                <w:sz w:val="20"/>
                <w:szCs w:val="20"/>
                <w:color w:val="auto"/>
              </w:rPr>
            </w:pPr>
            <w:r>
              <w:rPr>
                <w:rFonts w:ascii="Arial" w:cs="Arial" w:eastAsia="Arial" w:hAnsi="Arial"/>
                <w:sz w:val="15"/>
                <w:szCs w:val="15"/>
                <w:b w:val="1"/>
                <w:bCs w:val="1"/>
                <w:color w:val="auto"/>
              </w:rPr>
              <w:t>77</w:t>
            </w: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62"/>
        </w:trPr>
        <w:tc>
          <w:tcPr>
            <w:tcW w:w="3320" w:type="dxa"/>
            <w:vAlign w:val="bottom"/>
          </w:tcPr>
          <w:p>
            <w:pPr>
              <w:spacing w:after="0" w:line="162" w:lineRule="exact"/>
              <w:rPr>
                <w:sz w:val="20"/>
                <w:szCs w:val="20"/>
                <w:color w:val="auto"/>
              </w:rPr>
            </w:pPr>
            <w:r>
              <w:rPr>
                <w:rFonts w:ascii="Arial" w:cs="Arial" w:eastAsia="Arial" w:hAnsi="Arial"/>
                <w:sz w:val="15"/>
                <w:szCs w:val="15"/>
                <w:color w:val="auto"/>
              </w:rPr>
              <w:t>Interest cost</w:t>
            </w:r>
          </w:p>
        </w:tc>
        <w:tc>
          <w:tcPr>
            <w:tcW w:w="620" w:type="dxa"/>
            <w:vAlign w:val="bottom"/>
          </w:tcPr>
          <w:p>
            <w:pPr>
              <w:spacing w:after="0"/>
              <w:rPr>
                <w:sz w:val="14"/>
                <w:szCs w:val="14"/>
                <w:color w:val="auto"/>
              </w:rPr>
            </w:pPr>
          </w:p>
        </w:tc>
        <w:tc>
          <w:tcPr>
            <w:tcW w:w="740" w:type="dxa"/>
            <w:vAlign w:val="bottom"/>
          </w:tcPr>
          <w:p>
            <w:pPr>
              <w:jc w:val="right"/>
              <w:ind w:right="143"/>
              <w:spacing w:after="0" w:line="162" w:lineRule="exact"/>
              <w:rPr>
                <w:sz w:val="20"/>
                <w:szCs w:val="20"/>
                <w:color w:val="auto"/>
              </w:rPr>
            </w:pPr>
            <w:r>
              <w:rPr>
                <w:rFonts w:ascii="Arial" w:cs="Arial" w:eastAsia="Arial" w:hAnsi="Arial"/>
                <w:sz w:val="15"/>
                <w:szCs w:val="15"/>
                <w:b w:val="1"/>
                <w:bCs w:val="1"/>
                <w:color w:val="auto"/>
              </w:rPr>
              <w:t>519</w:t>
            </w:r>
          </w:p>
        </w:tc>
        <w:tc>
          <w:tcPr>
            <w:tcW w:w="300" w:type="dxa"/>
            <w:vAlign w:val="bottom"/>
          </w:tcPr>
          <w:p>
            <w:pPr>
              <w:spacing w:after="0"/>
              <w:rPr>
                <w:sz w:val="14"/>
                <w:szCs w:val="14"/>
                <w:color w:val="auto"/>
              </w:rPr>
            </w:pPr>
          </w:p>
        </w:tc>
        <w:tc>
          <w:tcPr>
            <w:tcW w:w="6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727</w:t>
            </w: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Participants’ contributions</w:t>
            </w:r>
          </w:p>
        </w:tc>
        <w:tc>
          <w:tcPr>
            <w:tcW w:w="6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43"/>
              <w:spacing w:after="0" w:line="162" w:lineRule="exact"/>
              <w:rPr>
                <w:sz w:val="20"/>
                <w:szCs w:val="20"/>
                <w:color w:val="auto"/>
              </w:rPr>
            </w:pPr>
            <w:r>
              <w:rPr>
                <w:rFonts w:ascii="Arial" w:cs="Arial" w:eastAsia="Arial" w:hAnsi="Arial"/>
                <w:sz w:val="15"/>
                <w:szCs w:val="15"/>
                <w:b w:val="1"/>
                <w:bCs w:val="1"/>
                <w:color w:val="auto"/>
              </w:rPr>
              <w:t>312</w:t>
            </w: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3,421</w:t>
            </w:r>
          </w:p>
        </w:tc>
        <w:tc>
          <w:tcPr>
            <w:tcW w:w="0" w:type="dxa"/>
            <w:vAlign w:val="bottom"/>
          </w:tcPr>
          <w:p>
            <w:pPr>
              <w:spacing w:after="0"/>
              <w:rPr>
                <w:sz w:val="1"/>
                <w:szCs w:val="1"/>
                <w:color w:val="auto"/>
              </w:rPr>
            </w:pPr>
          </w:p>
        </w:tc>
      </w:tr>
      <w:tr>
        <w:trPr>
          <w:trHeight w:val="162"/>
        </w:trPr>
        <w:tc>
          <w:tcPr>
            <w:tcW w:w="3320" w:type="dxa"/>
            <w:vAlign w:val="bottom"/>
          </w:tcPr>
          <w:p>
            <w:pPr>
              <w:spacing w:after="0" w:line="162" w:lineRule="exact"/>
              <w:rPr>
                <w:sz w:val="20"/>
                <w:szCs w:val="20"/>
                <w:color w:val="auto"/>
              </w:rPr>
            </w:pPr>
            <w:r>
              <w:rPr>
                <w:rFonts w:ascii="Arial" w:cs="Arial" w:eastAsia="Arial" w:hAnsi="Arial"/>
                <w:sz w:val="15"/>
                <w:szCs w:val="15"/>
                <w:color w:val="auto"/>
              </w:rPr>
              <w:t>Actuarial (gain) loss</w:t>
            </w:r>
          </w:p>
        </w:tc>
        <w:tc>
          <w:tcPr>
            <w:tcW w:w="620" w:type="dxa"/>
            <w:vAlign w:val="bottom"/>
          </w:tcPr>
          <w:p>
            <w:pPr>
              <w:spacing w:after="0"/>
              <w:rPr>
                <w:sz w:val="14"/>
                <w:szCs w:val="14"/>
                <w:color w:val="auto"/>
              </w:rPr>
            </w:pPr>
          </w:p>
        </w:tc>
        <w:tc>
          <w:tcPr>
            <w:tcW w:w="740" w:type="dxa"/>
            <w:vAlign w:val="bottom"/>
          </w:tcPr>
          <w:p>
            <w:pPr>
              <w:jc w:val="right"/>
              <w:ind w:right="83"/>
              <w:spacing w:after="0" w:line="162" w:lineRule="exact"/>
              <w:rPr>
                <w:sz w:val="20"/>
                <w:szCs w:val="20"/>
                <w:color w:val="auto"/>
              </w:rPr>
            </w:pPr>
            <w:r>
              <w:rPr>
                <w:rFonts w:ascii="Arial" w:cs="Arial" w:eastAsia="Arial" w:hAnsi="Arial"/>
                <w:sz w:val="15"/>
                <w:szCs w:val="15"/>
                <w:b w:val="1"/>
                <w:bCs w:val="1"/>
                <w:color w:val="auto"/>
              </w:rPr>
              <w:t>(1,700)</w:t>
            </w:r>
          </w:p>
        </w:tc>
        <w:tc>
          <w:tcPr>
            <w:tcW w:w="300" w:type="dxa"/>
            <w:vAlign w:val="bottom"/>
          </w:tcPr>
          <w:p>
            <w:pPr>
              <w:spacing w:after="0"/>
              <w:rPr>
                <w:sz w:val="14"/>
                <w:szCs w:val="14"/>
                <w:color w:val="auto"/>
              </w:rPr>
            </w:pPr>
          </w:p>
        </w:tc>
        <w:tc>
          <w:tcPr>
            <w:tcW w:w="6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1,236</w:t>
            </w: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Gross benefits paid</w:t>
            </w:r>
          </w:p>
        </w:tc>
        <w:tc>
          <w:tcPr>
            <w:tcW w:w="6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b w:val="1"/>
                <w:bCs w:val="1"/>
                <w:color w:val="auto"/>
              </w:rPr>
              <w:t>(1,262)</w:t>
            </w: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(6,806)</w:t>
            </w:r>
          </w:p>
        </w:tc>
        <w:tc>
          <w:tcPr>
            <w:tcW w:w="0" w:type="dxa"/>
            <w:vAlign w:val="bottom"/>
          </w:tcPr>
          <w:p>
            <w:pPr>
              <w:spacing w:after="0"/>
              <w:rPr>
                <w:sz w:val="1"/>
                <w:szCs w:val="1"/>
                <w:color w:val="auto"/>
              </w:rPr>
            </w:pPr>
          </w:p>
        </w:tc>
      </w:tr>
      <w:tr>
        <w:trPr>
          <w:trHeight w:val="162"/>
        </w:trPr>
        <w:tc>
          <w:tcPr>
            <w:tcW w:w="332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Plan amendments</w:t>
            </w:r>
          </w:p>
        </w:tc>
        <w:tc>
          <w:tcPr>
            <w:tcW w:w="6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3"/>
              <w:spacing w:after="0" w:line="162" w:lineRule="exact"/>
              <w:rPr>
                <w:sz w:val="20"/>
                <w:szCs w:val="20"/>
                <w:color w:val="auto"/>
              </w:rPr>
            </w:pPr>
            <w:r>
              <w:rPr>
                <w:rFonts w:ascii="Arial" w:cs="Arial" w:eastAsia="Arial" w:hAnsi="Arial"/>
                <w:sz w:val="15"/>
                <w:szCs w:val="15"/>
                <w:b w:val="1"/>
                <w:bCs w:val="1"/>
                <w:color w:val="auto"/>
              </w:rPr>
              <w:t>–</w:t>
            </w: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(3,902)</w:t>
            </w:r>
          </w:p>
        </w:tc>
        <w:tc>
          <w:tcPr>
            <w:tcW w:w="0" w:type="dxa"/>
            <w:vAlign w:val="bottom"/>
          </w:tcPr>
          <w:p>
            <w:pPr>
              <w:spacing w:after="0"/>
              <w:rPr>
                <w:sz w:val="1"/>
                <w:szCs w:val="1"/>
                <w:color w:val="auto"/>
              </w:rPr>
            </w:pPr>
          </w:p>
        </w:tc>
      </w:tr>
      <w:tr>
        <w:trPr>
          <w:trHeight w:val="163"/>
        </w:trPr>
        <w:tc>
          <w:tcPr>
            <w:tcW w:w="332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Net benefit obligation at end of year</w:t>
            </w: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shd w:val="clear" w:color="auto" w:fill="CCEEFF"/>
          </w:tcPr>
          <w:p>
            <w:pPr>
              <w:jc w:val="right"/>
              <w:ind w:right="143"/>
              <w:spacing w:after="0" w:line="156" w:lineRule="exact"/>
              <w:rPr>
                <w:sz w:val="20"/>
                <w:szCs w:val="20"/>
                <w:color w:val="auto"/>
              </w:rPr>
            </w:pPr>
            <w:r>
              <w:rPr>
                <w:rFonts w:ascii="Arial" w:cs="Arial" w:eastAsia="Arial" w:hAnsi="Arial"/>
                <w:sz w:val="15"/>
                <w:szCs w:val="15"/>
                <w:b w:val="1"/>
                <w:bCs w:val="1"/>
                <w:color w:val="auto"/>
              </w:rPr>
              <w:t>13,293</w:t>
            </w:r>
          </w:p>
        </w:tc>
        <w:tc>
          <w:tcPr>
            <w:tcW w:w="3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15,347</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postretirement health care plans’ change in plan assets, funded status and amounts recognized on the Company’s consolidated balance sheets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6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240" w:type="dxa"/>
            <w:vAlign w:val="bottom"/>
          </w:tcPr>
          <w:p>
            <w:pPr>
              <w:spacing w:after="0"/>
              <w:rPr>
                <w:sz w:val="14"/>
                <w:szCs w:val="14"/>
                <w:color w:val="auto"/>
              </w:rPr>
            </w:pPr>
          </w:p>
        </w:tc>
        <w:tc>
          <w:tcPr>
            <w:tcW w:w="740" w:type="dxa"/>
            <w:vAlign w:val="bottom"/>
            <w:vMerge w:val="restart"/>
          </w:tcPr>
          <w:p>
            <w:pPr>
              <w:jc w:val="right"/>
              <w:ind w:right="123"/>
              <w:spacing w:after="0"/>
              <w:rPr>
                <w:sz w:val="20"/>
                <w:szCs w:val="20"/>
                <w:color w:val="auto"/>
              </w:rPr>
            </w:pPr>
            <w:r>
              <w:rPr>
                <w:rFonts w:ascii="Arial" w:cs="Arial" w:eastAsia="Arial" w:hAnsi="Arial"/>
                <w:sz w:val="15"/>
                <w:szCs w:val="15"/>
                <w:b w:val="1"/>
                <w:bCs w:val="1"/>
                <w:color w:val="0085CD"/>
              </w:rPr>
              <w:t>2018</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760" w:type="dxa"/>
            <w:vAlign w:val="bottom"/>
            <w:tcBorders>
              <w:bottom w:val="single" w:sz="8" w:color="auto"/>
            </w:tcBorders>
          </w:tcPr>
          <w:p>
            <w:pPr>
              <w:spacing w:after="0" w:line="166" w:lineRule="exact"/>
              <w:rPr>
                <w:sz w:val="20"/>
                <w:szCs w:val="20"/>
                <w:color w:val="auto"/>
              </w:rPr>
            </w:pPr>
            <w:r>
              <w:rPr>
                <w:rFonts w:ascii="Arial" w:cs="Arial" w:eastAsia="Arial" w:hAnsi="Arial"/>
                <w:sz w:val="15"/>
                <w:szCs w:val="15"/>
                <w:color w:val="auto"/>
              </w:rPr>
              <w:t>(add 000)</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
              <w:spacing w:after="0" w:line="166" w:lineRule="exact"/>
              <w:rPr>
                <w:sz w:val="20"/>
                <w:szCs w:val="20"/>
                <w:color w:val="auto"/>
              </w:rPr>
            </w:pPr>
            <w:r>
              <w:rPr>
                <w:rFonts w:ascii="Arial" w:cs="Arial" w:eastAsia="Arial" w:hAnsi="Arial"/>
                <w:sz w:val="15"/>
                <w:szCs w:val="15"/>
                <w:color w:val="auto"/>
              </w:rPr>
              <w:t>2017</w:t>
            </w:r>
          </w:p>
        </w:tc>
        <w:tc>
          <w:tcPr>
            <w:tcW w:w="0" w:type="dxa"/>
            <w:vAlign w:val="bottom"/>
          </w:tcPr>
          <w:p>
            <w:pPr>
              <w:spacing w:after="0"/>
              <w:rPr>
                <w:sz w:val="1"/>
                <w:szCs w:val="1"/>
                <w:color w:val="auto"/>
              </w:rPr>
            </w:pPr>
          </w:p>
        </w:tc>
      </w:tr>
      <w:tr>
        <w:trPr>
          <w:trHeight w:val="156"/>
        </w:trPr>
        <w:tc>
          <w:tcPr>
            <w:tcW w:w="376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Fair value of plan assets at beginning of year</w:t>
            </w:r>
          </w:p>
        </w:tc>
        <w:tc>
          <w:tcPr>
            <w:tcW w:w="2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740" w:type="dxa"/>
            <w:vAlign w:val="bottom"/>
            <w:shd w:val="clear" w:color="auto" w:fill="CCEEFF"/>
          </w:tcPr>
          <w:p>
            <w:pPr>
              <w:jc w:val="right"/>
              <w:ind w:right="123"/>
              <w:spacing w:after="0" w:line="156" w:lineRule="exact"/>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760" w:type="dxa"/>
            <w:vAlign w:val="bottom"/>
          </w:tcPr>
          <w:p>
            <w:pPr>
              <w:spacing w:after="0" w:line="162" w:lineRule="exact"/>
              <w:rPr>
                <w:sz w:val="20"/>
                <w:szCs w:val="20"/>
                <w:color w:val="auto"/>
              </w:rPr>
            </w:pPr>
            <w:r>
              <w:rPr>
                <w:rFonts w:ascii="Arial" w:cs="Arial" w:eastAsia="Arial" w:hAnsi="Arial"/>
                <w:sz w:val="15"/>
                <w:szCs w:val="15"/>
                <w:color w:val="auto"/>
              </w:rPr>
              <w:t>Employer contributions</w:t>
            </w:r>
          </w:p>
        </w:tc>
        <w:tc>
          <w:tcPr>
            <w:tcW w:w="240" w:type="dxa"/>
            <w:vAlign w:val="bottom"/>
          </w:tcPr>
          <w:p>
            <w:pPr>
              <w:spacing w:after="0"/>
              <w:rPr>
                <w:sz w:val="14"/>
                <w:szCs w:val="14"/>
                <w:color w:val="auto"/>
              </w:rPr>
            </w:pPr>
          </w:p>
        </w:tc>
        <w:tc>
          <w:tcPr>
            <w:tcW w:w="740" w:type="dxa"/>
            <w:vAlign w:val="bottom"/>
          </w:tcPr>
          <w:p>
            <w:pPr>
              <w:jc w:val="right"/>
              <w:ind w:right="123"/>
              <w:spacing w:after="0" w:line="162" w:lineRule="exact"/>
              <w:rPr>
                <w:sz w:val="20"/>
                <w:szCs w:val="20"/>
                <w:color w:val="auto"/>
              </w:rPr>
            </w:pPr>
            <w:r>
              <w:rPr>
                <w:rFonts w:ascii="Arial" w:cs="Arial" w:eastAsia="Arial" w:hAnsi="Arial"/>
                <w:sz w:val="15"/>
                <w:szCs w:val="15"/>
                <w:b w:val="1"/>
                <w:bCs w:val="1"/>
                <w:color w:val="auto"/>
              </w:rPr>
              <w:t>950</w:t>
            </w:r>
          </w:p>
        </w:tc>
        <w:tc>
          <w:tcPr>
            <w:tcW w:w="240" w:type="dxa"/>
            <w:vAlign w:val="bottom"/>
          </w:tcPr>
          <w:p>
            <w:pPr>
              <w:spacing w:after="0"/>
              <w:rPr>
                <w:sz w:val="14"/>
                <w:szCs w:val="14"/>
                <w:color w:val="auto"/>
              </w:rPr>
            </w:pPr>
          </w:p>
        </w:tc>
        <w:tc>
          <w:tcPr>
            <w:tcW w:w="6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3,385</w:t>
            </w:r>
          </w:p>
        </w:tc>
        <w:tc>
          <w:tcPr>
            <w:tcW w:w="0" w:type="dxa"/>
            <w:vAlign w:val="bottom"/>
          </w:tcPr>
          <w:p>
            <w:pPr>
              <w:spacing w:after="0"/>
              <w:rPr>
                <w:sz w:val="1"/>
                <w:szCs w:val="1"/>
                <w:color w:val="auto"/>
              </w:rPr>
            </w:pPr>
          </w:p>
        </w:tc>
      </w:tr>
      <w:tr>
        <w:trPr>
          <w:trHeight w:val="162"/>
        </w:trPr>
        <w:tc>
          <w:tcPr>
            <w:tcW w:w="37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Participants’ contributions</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b w:val="1"/>
                <w:bCs w:val="1"/>
                <w:color w:val="auto"/>
              </w:rPr>
              <w:t>312</w:t>
            </w: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3,421</w:t>
            </w:r>
          </w:p>
        </w:tc>
        <w:tc>
          <w:tcPr>
            <w:tcW w:w="0" w:type="dxa"/>
            <w:vAlign w:val="bottom"/>
          </w:tcPr>
          <w:p>
            <w:pPr>
              <w:spacing w:after="0"/>
              <w:rPr>
                <w:sz w:val="1"/>
                <w:szCs w:val="1"/>
                <w:color w:val="auto"/>
              </w:rPr>
            </w:pPr>
          </w:p>
        </w:tc>
      </w:tr>
      <w:tr>
        <w:trPr>
          <w:trHeight w:val="162"/>
        </w:trPr>
        <w:tc>
          <w:tcPr>
            <w:tcW w:w="376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Gross benefits paid</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b w:val="1"/>
                <w:bCs w:val="1"/>
                <w:color w:val="auto"/>
              </w:rPr>
              <w:t>(1,262)</w:t>
            </w: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(6,806)</w:t>
            </w:r>
          </w:p>
        </w:tc>
        <w:tc>
          <w:tcPr>
            <w:tcW w:w="0" w:type="dxa"/>
            <w:vAlign w:val="bottom"/>
          </w:tcPr>
          <w:p>
            <w:pPr>
              <w:spacing w:after="0"/>
              <w:rPr>
                <w:sz w:val="1"/>
                <w:szCs w:val="1"/>
                <w:color w:val="auto"/>
              </w:rPr>
            </w:pPr>
          </w:p>
        </w:tc>
      </w:tr>
      <w:tr>
        <w:trPr>
          <w:trHeight w:val="163"/>
        </w:trPr>
        <w:tc>
          <w:tcPr>
            <w:tcW w:w="37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Fair value of plan assets at end of year</w:t>
            </w:r>
          </w:p>
        </w:tc>
        <w:tc>
          <w:tcPr>
            <w:tcW w:w="2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shd w:val="clear" w:color="auto" w:fill="CCEEFF"/>
          </w:tcPr>
          <w:p>
            <w:pPr>
              <w:jc w:val="right"/>
              <w:ind w:right="123"/>
              <w:spacing w:after="0" w:line="156" w:lineRule="exact"/>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3"/>
        </w:trPr>
        <w:tc>
          <w:tcPr>
            <w:tcW w:w="376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240" w:type="dxa"/>
            <w:vAlign w:val="bottom"/>
          </w:tcPr>
          <w:p>
            <w:pPr>
              <w:spacing w:after="0"/>
              <w:rPr>
                <w:sz w:val="22"/>
                <w:szCs w:val="22"/>
                <w:color w:val="auto"/>
              </w:rPr>
            </w:pPr>
          </w:p>
        </w:tc>
        <w:tc>
          <w:tcPr>
            <w:tcW w:w="740" w:type="dxa"/>
            <w:vAlign w:val="bottom"/>
            <w:vMerge w:val="restart"/>
          </w:tcPr>
          <w:p>
            <w:pPr>
              <w:jc w:val="right"/>
              <w:ind w:right="123"/>
              <w:spacing w:after="0"/>
              <w:rPr>
                <w:sz w:val="20"/>
                <w:szCs w:val="20"/>
                <w:color w:val="auto"/>
              </w:rPr>
            </w:pPr>
            <w:r>
              <w:rPr>
                <w:rFonts w:ascii="Arial" w:cs="Arial" w:eastAsia="Arial" w:hAnsi="Arial"/>
                <w:sz w:val="15"/>
                <w:szCs w:val="15"/>
                <w:b w:val="1"/>
                <w:bCs w:val="1"/>
                <w:color w:val="0085CD"/>
              </w:rPr>
              <w:t>2018</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3760" w:type="dxa"/>
            <w:vAlign w:val="bottom"/>
            <w:tcBorders>
              <w:bottom w:val="single" w:sz="8" w:color="auto"/>
            </w:tcBorders>
          </w:tcPr>
          <w:p>
            <w:pPr>
              <w:spacing w:after="0" w:line="166" w:lineRule="exact"/>
              <w:rPr>
                <w:sz w:val="20"/>
                <w:szCs w:val="20"/>
                <w:color w:val="auto"/>
              </w:rPr>
            </w:pPr>
            <w:r>
              <w:rPr>
                <w:rFonts w:ascii="Arial" w:cs="Arial" w:eastAsia="Arial" w:hAnsi="Arial"/>
                <w:sz w:val="15"/>
                <w:szCs w:val="15"/>
                <w:color w:val="auto"/>
              </w:rPr>
              <w:t>(add 000)</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
              <w:spacing w:after="0" w:line="166" w:lineRule="exact"/>
              <w:rPr>
                <w:sz w:val="20"/>
                <w:szCs w:val="20"/>
                <w:color w:val="auto"/>
              </w:rPr>
            </w:pPr>
            <w:r>
              <w:rPr>
                <w:rFonts w:ascii="Arial" w:cs="Arial" w:eastAsia="Arial" w:hAnsi="Arial"/>
                <w:sz w:val="15"/>
                <w:szCs w:val="15"/>
                <w:color w:val="auto"/>
              </w:rPr>
              <w:t>2017</w:t>
            </w:r>
          </w:p>
        </w:tc>
        <w:tc>
          <w:tcPr>
            <w:tcW w:w="0" w:type="dxa"/>
            <w:vAlign w:val="bottom"/>
          </w:tcPr>
          <w:p>
            <w:pPr>
              <w:spacing w:after="0"/>
              <w:rPr>
                <w:sz w:val="1"/>
                <w:szCs w:val="1"/>
                <w:color w:val="auto"/>
              </w:rPr>
            </w:pPr>
          </w:p>
        </w:tc>
      </w:tr>
      <w:tr>
        <w:trPr>
          <w:trHeight w:val="156"/>
        </w:trPr>
        <w:tc>
          <w:tcPr>
            <w:tcW w:w="37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Funded status of the plan at end of year</w:t>
            </w:r>
          </w:p>
        </w:tc>
        <w:tc>
          <w:tcPr>
            <w:tcW w:w="2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shd w:val="clear" w:color="auto" w:fill="CCEEFF"/>
          </w:tcPr>
          <w:p>
            <w:pPr>
              <w:jc w:val="right"/>
              <w:ind w:right="83"/>
              <w:spacing w:after="0" w:line="156" w:lineRule="exact"/>
              <w:rPr>
                <w:sz w:val="20"/>
                <w:szCs w:val="20"/>
                <w:color w:val="auto"/>
              </w:rPr>
            </w:pPr>
            <w:r>
              <w:rPr>
                <w:rFonts w:ascii="Arial" w:cs="Arial" w:eastAsia="Arial" w:hAnsi="Arial"/>
                <w:sz w:val="15"/>
                <w:szCs w:val="15"/>
                <w:b w:val="1"/>
                <w:bCs w:val="1"/>
                <w:color w:val="auto"/>
              </w:rPr>
              <w:t>(13,293)</w:t>
            </w:r>
          </w:p>
        </w:tc>
        <w:tc>
          <w:tcPr>
            <w:tcW w:w="2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(15,347)</w:t>
            </w:r>
          </w:p>
        </w:tc>
        <w:tc>
          <w:tcPr>
            <w:tcW w:w="0" w:type="dxa"/>
            <w:vAlign w:val="bottom"/>
          </w:tcPr>
          <w:p>
            <w:pPr>
              <w:spacing w:after="0"/>
              <w:rPr>
                <w:sz w:val="1"/>
                <w:szCs w:val="1"/>
                <w:color w:val="auto"/>
              </w:rPr>
            </w:pPr>
          </w:p>
        </w:tc>
      </w:tr>
      <w:tr>
        <w:trPr>
          <w:trHeight w:val="163"/>
        </w:trPr>
        <w:tc>
          <w:tcPr>
            <w:tcW w:w="376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Accrued benefit cost</w:t>
            </w:r>
          </w:p>
        </w:tc>
        <w:tc>
          <w:tcPr>
            <w:tcW w:w="2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ind w:right="83"/>
              <w:spacing w:after="0" w:line="156" w:lineRule="exact"/>
              <w:rPr>
                <w:sz w:val="20"/>
                <w:szCs w:val="20"/>
                <w:color w:val="auto"/>
              </w:rPr>
            </w:pPr>
            <w:r>
              <w:rPr>
                <w:rFonts w:ascii="Arial" w:cs="Arial" w:eastAsia="Arial" w:hAnsi="Arial"/>
                <w:sz w:val="15"/>
                <w:szCs w:val="15"/>
                <w:b w:val="1"/>
                <w:bCs w:val="1"/>
                <w:color w:val="auto"/>
              </w:rPr>
              <w:t>(13,293)</w:t>
            </w:r>
          </w:p>
        </w:tc>
        <w:tc>
          <w:tcPr>
            <w:tcW w:w="2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(15,347)</w:t>
            </w:r>
          </w:p>
        </w:tc>
        <w:tc>
          <w:tcPr>
            <w:tcW w:w="0" w:type="dxa"/>
            <w:vAlign w:val="bottom"/>
          </w:tcPr>
          <w:p>
            <w:pPr>
              <w:spacing w:after="0"/>
              <w:rPr>
                <w:sz w:val="1"/>
                <w:szCs w:val="1"/>
                <w:color w:val="auto"/>
              </w:rPr>
            </w:pPr>
          </w:p>
        </w:tc>
      </w:tr>
      <w:tr>
        <w:trPr>
          <w:trHeight w:val="253"/>
        </w:trPr>
        <w:tc>
          <w:tcPr>
            <w:tcW w:w="376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240" w:type="dxa"/>
            <w:vAlign w:val="bottom"/>
          </w:tcPr>
          <w:p>
            <w:pPr>
              <w:spacing w:after="0"/>
              <w:rPr>
                <w:sz w:val="22"/>
                <w:szCs w:val="22"/>
                <w:color w:val="auto"/>
              </w:rPr>
            </w:pPr>
          </w:p>
        </w:tc>
        <w:tc>
          <w:tcPr>
            <w:tcW w:w="740" w:type="dxa"/>
            <w:vAlign w:val="bottom"/>
            <w:vMerge w:val="restart"/>
          </w:tcPr>
          <w:p>
            <w:pPr>
              <w:jc w:val="right"/>
              <w:ind w:right="123"/>
              <w:spacing w:after="0"/>
              <w:rPr>
                <w:sz w:val="20"/>
                <w:szCs w:val="20"/>
                <w:color w:val="auto"/>
              </w:rPr>
            </w:pPr>
            <w:r>
              <w:rPr>
                <w:rFonts w:ascii="Arial" w:cs="Arial" w:eastAsia="Arial" w:hAnsi="Arial"/>
                <w:sz w:val="15"/>
                <w:szCs w:val="15"/>
                <w:b w:val="1"/>
                <w:bCs w:val="1"/>
                <w:color w:val="0085CD"/>
              </w:rPr>
              <w:t>2018</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3760" w:type="dxa"/>
            <w:vAlign w:val="bottom"/>
            <w:tcBorders>
              <w:bottom w:val="single" w:sz="8" w:color="auto"/>
            </w:tcBorders>
          </w:tcPr>
          <w:p>
            <w:pPr>
              <w:spacing w:after="0" w:line="166" w:lineRule="exact"/>
              <w:rPr>
                <w:sz w:val="20"/>
                <w:szCs w:val="20"/>
                <w:color w:val="auto"/>
              </w:rPr>
            </w:pPr>
            <w:r>
              <w:rPr>
                <w:rFonts w:ascii="Arial" w:cs="Arial" w:eastAsia="Arial" w:hAnsi="Arial"/>
                <w:sz w:val="15"/>
                <w:szCs w:val="15"/>
                <w:color w:val="auto"/>
              </w:rPr>
              <w:t>(add 000)</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
              <w:spacing w:after="0" w:line="166" w:lineRule="exact"/>
              <w:rPr>
                <w:sz w:val="20"/>
                <w:szCs w:val="20"/>
                <w:color w:val="auto"/>
              </w:rPr>
            </w:pPr>
            <w:r>
              <w:rPr>
                <w:rFonts w:ascii="Arial" w:cs="Arial" w:eastAsia="Arial" w:hAnsi="Arial"/>
                <w:sz w:val="15"/>
                <w:szCs w:val="15"/>
                <w:color w:val="auto"/>
              </w:rPr>
              <w:t>2017</w:t>
            </w:r>
          </w:p>
        </w:tc>
        <w:tc>
          <w:tcPr>
            <w:tcW w:w="0" w:type="dxa"/>
            <w:vAlign w:val="bottom"/>
          </w:tcPr>
          <w:p>
            <w:pPr>
              <w:spacing w:after="0"/>
              <w:rPr>
                <w:sz w:val="1"/>
                <w:szCs w:val="1"/>
                <w:color w:val="auto"/>
              </w:rPr>
            </w:pPr>
          </w:p>
        </w:tc>
      </w:tr>
      <w:tr>
        <w:trPr>
          <w:trHeight w:val="152"/>
        </w:trPr>
        <w:tc>
          <w:tcPr>
            <w:tcW w:w="3760" w:type="dxa"/>
            <w:vAlign w:val="bottom"/>
            <w:shd w:val="clear" w:color="auto" w:fill="CCEEFF"/>
          </w:tcPr>
          <w:p>
            <w:pPr>
              <w:spacing w:after="0" w:line="152" w:lineRule="exact"/>
              <w:rPr>
                <w:sz w:val="20"/>
                <w:szCs w:val="20"/>
                <w:color w:val="auto"/>
              </w:rPr>
            </w:pPr>
            <w:r>
              <w:rPr>
                <w:rFonts w:ascii="Arial" w:cs="Arial" w:eastAsia="Arial" w:hAnsi="Arial"/>
                <w:sz w:val="15"/>
                <w:szCs w:val="15"/>
                <w:color w:val="auto"/>
              </w:rPr>
              <w:t>Amounts recognized on consolidated balance sheets</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760" w:type="dxa"/>
            <w:vAlign w:val="bottom"/>
            <w:shd w:val="clear" w:color="auto" w:fill="CCEEFF"/>
          </w:tcPr>
          <w:p>
            <w:pPr>
              <w:ind w:left="160"/>
              <w:spacing w:after="0" w:line="166" w:lineRule="exact"/>
              <w:rPr>
                <w:sz w:val="20"/>
                <w:szCs w:val="20"/>
                <w:color w:val="auto"/>
              </w:rPr>
            </w:pPr>
            <w:r>
              <w:rPr>
                <w:rFonts w:ascii="Arial" w:cs="Arial" w:eastAsia="Arial" w:hAnsi="Arial"/>
                <w:sz w:val="15"/>
                <w:szCs w:val="15"/>
                <w:color w:val="auto"/>
              </w:rPr>
              <w:t>consist of:</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line="162" w:lineRule="exact"/>
              <w:rPr>
                <w:sz w:val="20"/>
                <w:szCs w:val="20"/>
                <w:color w:val="auto"/>
              </w:rPr>
            </w:pPr>
            <w:r>
              <w:rPr>
                <w:rFonts w:ascii="Arial" w:cs="Arial" w:eastAsia="Arial" w:hAnsi="Arial"/>
                <w:sz w:val="15"/>
                <w:szCs w:val="15"/>
                <w:color w:val="auto"/>
              </w:rPr>
              <w:t>Current liability</w:t>
            </w:r>
          </w:p>
        </w:tc>
        <w:tc>
          <w:tcPr>
            <w:tcW w:w="2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740" w:type="dxa"/>
            <w:vAlign w:val="bottom"/>
          </w:tcPr>
          <w:p>
            <w:pPr>
              <w:jc w:val="right"/>
              <w:ind w:right="83"/>
              <w:spacing w:after="0" w:line="162" w:lineRule="exact"/>
              <w:rPr>
                <w:sz w:val="20"/>
                <w:szCs w:val="20"/>
                <w:color w:val="auto"/>
              </w:rPr>
            </w:pPr>
            <w:r>
              <w:rPr>
                <w:rFonts w:ascii="Arial" w:cs="Arial" w:eastAsia="Arial" w:hAnsi="Arial"/>
                <w:sz w:val="15"/>
                <w:szCs w:val="15"/>
                <w:b w:val="1"/>
                <w:bCs w:val="1"/>
                <w:color w:val="auto"/>
              </w:rPr>
              <w:t>(950)</w:t>
            </w:r>
          </w:p>
        </w:tc>
        <w:tc>
          <w:tcPr>
            <w:tcW w:w="2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(2,560)</w:t>
            </w:r>
          </w:p>
        </w:tc>
        <w:tc>
          <w:tcPr>
            <w:tcW w:w="0" w:type="dxa"/>
            <w:vAlign w:val="bottom"/>
          </w:tcPr>
          <w:p>
            <w:pPr>
              <w:spacing w:after="0"/>
              <w:rPr>
                <w:sz w:val="1"/>
                <w:szCs w:val="1"/>
                <w:color w:val="auto"/>
              </w:rPr>
            </w:pPr>
          </w:p>
        </w:tc>
      </w:tr>
      <w:tr>
        <w:trPr>
          <w:trHeight w:val="162"/>
        </w:trPr>
        <w:tc>
          <w:tcPr>
            <w:tcW w:w="376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5"/>
                <w:szCs w:val="15"/>
                <w:color w:val="auto"/>
              </w:rPr>
              <w:t>Noncurrent liability</w:t>
            </w:r>
          </w:p>
        </w:tc>
        <w:tc>
          <w:tcPr>
            <w:tcW w:w="2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83"/>
              <w:spacing w:after="0" w:line="162" w:lineRule="exact"/>
              <w:rPr>
                <w:sz w:val="20"/>
                <w:szCs w:val="20"/>
                <w:color w:val="auto"/>
              </w:rPr>
            </w:pPr>
            <w:r>
              <w:rPr>
                <w:rFonts w:ascii="Arial" w:cs="Arial" w:eastAsia="Arial" w:hAnsi="Arial"/>
                <w:sz w:val="15"/>
                <w:szCs w:val="15"/>
                <w:b w:val="1"/>
                <w:bCs w:val="1"/>
                <w:color w:val="auto"/>
              </w:rPr>
              <w:t>(12,343)</w:t>
            </w:r>
          </w:p>
        </w:tc>
        <w:tc>
          <w:tcPr>
            <w:tcW w:w="2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(12,787)</w:t>
            </w:r>
          </w:p>
        </w:tc>
        <w:tc>
          <w:tcPr>
            <w:tcW w:w="0" w:type="dxa"/>
            <w:vAlign w:val="bottom"/>
          </w:tcPr>
          <w:p>
            <w:pPr>
              <w:spacing w:after="0"/>
              <w:rPr>
                <w:sz w:val="1"/>
                <w:szCs w:val="1"/>
                <w:color w:val="auto"/>
              </w:rPr>
            </w:pPr>
          </w:p>
        </w:tc>
      </w:tr>
      <w:tr>
        <w:trPr>
          <w:trHeight w:val="163"/>
        </w:trPr>
        <w:tc>
          <w:tcPr>
            <w:tcW w:w="376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Net amount recognized at end of year</w:t>
            </w:r>
          </w:p>
        </w:tc>
        <w:tc>
          <w:tcPr>
            <w:tcW w:w="2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ind w:right="83"/>
              <w:spacing w:after="0" w:line="156" w:lineRule="exact"/>
              <w:rPr>
                <w:sz w:val="20"/>
                <w:szCs w:val="20"/>
                <w:color w:val="auto"/>
              </w:rPr>
            </w:pPr>
            <w:r>
              <w:rPr>
                <w:rFonts w:ascii="Arial" w:cs="Arial" w:eastAsia="Arial" w:hAnsi="Arial"/>
                <w:sz w:val="15"/>
                <w:szCs w:val="15"/>
                <w:b w:val="1"/>
                <w:bCs w:val="1"/>
                <w:color w:val="auto"/>
              </w:rPr>
              <w:t>(13,293)</w:t>
            </w:r>
          </w:p>
        </w:tc>
        <w:tc>
          <w:tcPr>
            <w:tcW w:w="2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(15,347)</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Weighted-average assumptions used to determine the post-retirement benefit obligation as of December 31 are: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6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0085CD"/>
              </w:rPr>
              <w:t>2018</w:t>
            </w:r>
          </w:p>
        </w:tc>
        <w:tc>
          <w:tcPr>
            <w:tcW w:w="7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2017</w:t>
            </w:r>
          </w:p>
        </w:tc>
      </w:tr>
      <w:tr>
        <w:trPr>
          <w:trHeight w:val="156"/>
        </w:trPr>
        <w:tc>
          <w:tcPr>
            <w:tcW w:w="26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Discount rate</w:t>
            </w:r>
          </w:p>
        </w:tc>
        <w:tc>
          <w:tcPr>
            <w:tcW w:w="2300" w:type="dxa"/>
            <w:vAlign w:val="bottom"/>
            <w:shd w:val="clear" w:color="auto" w:fill="CCEEFF"/>
          </w:tcPr>
          <w:p>
            <w:pPr>
              <w:jc w:val="right"/>
              <w:ind w:right="83"/>
              <w:spacing w:after="0" w:line="156" w:lineRule="exact"/>
              <w:rPr>
                <w:sz w:val="20"/>
                <w:szCs w:val="20"/>
                <w:color w:val="auto"/>
              </w:rPr>
            </w:pPr>
            <w:r>
              <w:rPr>
                <w:rFonts w:ascii="Arial" w:cs="Arial" w:eastAsia="Arial" w:hAnsi="Arial"/>
                <w:sz w:val="15"/>
                <w:szCs w:val="15"/>
                <w:b w:val="1"/>
                <w:bCs w:val="1"/>
                <w:color w:val="auto"/>
              </w:rPr>
              <w:t>4.15%</w:t>
            </w:r>
          </w:p>
        </w:tc>
        <w:tc>
          <w:tcPr>
            <w:tcW w:w="7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3.47%</w:t>
            </w:r>
          </w:p>
        </w:tc>
      </w:tr>
    </w:tbl>
    <w:p>
      <w:pPr>
        <w:spacing w:after="0" w:line="210"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Weighted-average assumptions used to determine net postretirement benefit credit for the years ended December 31 are: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1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0085CD"/>
              </w:rPr>
              <w:t>2018</w:t>
            </w:r>
          </w:p>
        </w:tc>
        <w:tc>
          <w:tcPr>
            <w:tcW w:w="8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2017</w:t>
            </w:r>
          </w:p>
        </w:tc>
        <w:tc>
          <w:tcPr>
            <w:tcW w:w="7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2016</w:t>
            </w:r>
          </w:p>
        </w:tc>
      </w:tr>
      <w:tr>
        <w:trPr>
          <w:trHeight w:val="156"/>
        </w:trPr>
        <w:tc>
          <w:tcPr>
            <w:tcW w:w="218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Discount rate</w:t>
            </w:r>
          </w:p>
        </w:tc>
        <w:tc>
          <w:tcPr>
            <w:tcW w:w="1920" w:type="dxa"/>
            <w:vAlign w:val="bottom"/>
            <w:shd w:val="clear" w:color="auto" w:fill="CCEEFF"/>
          </w:tcPr>
          <w:p>
            <w:pPr>
              <w:jc w:val="right"/>
              <w:ind w:right="103"/>
              <w:spacing w:after="0" w:line="156" w:lineRule="exact"/>
              <w:rPr>
                <w:sz w:val="20"/>
                <w:szCs w:val="20"/>
                <w:color w:val="auto"/>
              </w:rPr>
            </w:pPr>
            <w:r>
              <w:rPr>
                <w:rFonts w:ascii="Arial" w:cs="Arial" w:eastAsia="Arial" w:hAnsi="Arial"/>
                <w:sz w:val="15"/>
                <w:szCs w:val="15"/>
                <w:b w:val="1"/>
                <w:bCs w:val="1"/>
                <w:color w:val="auto"/>
              </w:rPr>
              <w:t>3.47%</w:t>
            </w:r>
          </w:p>
        </w:tc>
        <w:tc>
          <w:tcPr>
            <w:tcW w:w="800" w:type="dxa"/>
            <w:vAlign w:val="bottom"/>
            <w:shd w:val="clear" w:color="auto" w:fill="CCEEFF"/>
          </w:tcPr>
          <w:p>
            <w:pPr>
              <w:jc w:val="right"/>
              <w:ind w:right="83"/>
              <w:spacing w:after="0" w:line="156" w:lineRule="exact"/>
              <w:rPr>
                <w:sz w:val="20"/>
                <w:szCs w:val="20"/>
                <w:color w:val="auto"/>
              </w:rPr>
            </w:pPr>
            <w:r>
              <w:rPr>
                <w:rFonts w:ascii="Arial" w:cs="Arial" w:eastAsia="Arial" w:hAnsi="Arial"/>
                <w:sz w:val="15"/>
                <w:szCs w:val="15"/>
                <w:color w:val="auto"/>
              </w:rPr>
              <w:t>3.78%</w:t>
            </w:r>
          </w:p>
        </w:tc>
        <w:tc>
          <w:tcPr>
            <w:tcW w:w="7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4.25%</w:t>
            </w:r>
          </w:p>
        </w:tc>
      </w:tr>
    </w:tbl>
    <w:p>
      <w:pPr>
        <w:spacing w:after="0" w:line="21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For 2018 and 2017, the Company estimated the remaining lives of participants in the postretirement benefit plans using the RP-2014 Base Table. The no-collar table was used for salaried participants and the blue-collar table, reflecting the experience of the Company’s participants, was used for hourly</w:t>
      </w:r>
    </w:p>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33</w:t>
      </w:r>
    </w:p>
    <w:p>
      <w:pPr>
        <w:sectPr>
          <w:pgSz w:w="11900" w:h="16838" w:orient="portrait"/>
          <w:cols w:equalWidth="0" w:num="1">
            <w:col w:w="11420"/>
          </w:cols>
          <w:pgMar w:left="240" w:top="265" w:right="239" w:bottom="1440" w:gutter="0" w:footer="0" w:header="0"/>
          <w:type w:val="continuous"/>
        </w:sectPr>
      </w:pPr>
    </w:p>
    <w:bookmarkStart w:id="72" w:name="page73"/>
    <w:bookmarkEnd w:id="72"/>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participants. The Company used mortality improvement scales MP-2018 and MP-2017 for the years 2018 and 2017, respectively. The change in mortality improvement scale in 2018 did not have a material impact on the projected benefit obligation.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Assumed health care cost trend rates at December 31 are: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0085CD"/>
              </w:rPr>
              <w:t>2018</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2017</w:t>
            </w:r>
          </w:p>
        </w:tc>
      </w:tr>
      <w:tr>
        <w:trPr>
          <w:trHeight w:val="156"/>
        </w:trPr>
        <w:tc>
          <w:tcPr>
            <w:tcW w:w="396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Health care cost trend rate assumed for next year</w:t>
            </w:r>
          </w:p>
        </w:tc>
        <w:tc>
          <w:tcPr>
            <w:tcW w:w="980" w:type="dxa"/>
            <w:vAlign w:val="bottom"/>
            <w:shd w:val="clear" w:color="auto" w:fill="CCEEFF"/>
          </w:tcPr>
          <w:p>
            <w:pPr>
              <w:jc w:val="right"/>
              <w:ind w:right="63"/>
              <w:spacing w:after="0" w:line="156" w:lineRule="exact"/>
              <w:rPr>
                <w:sz w:val="20"/>
                <w:szCs w:val="20"/>
                <w:color w:val="auto"/>
              </w:rPr>
            </w:pPr>
            <w:r>
              <w:rPr>
                <w:rFonts w:ascii="Arial" w:cs="Arial" w:eastAsia="Arial" w:hAnsi="Arial"/>
                <w:sz w:val="15"/>
                <w:szCs w:val="15"/>
                <w:b w:val="1"/>
                <w:bCs w:val="1"/>
                <w:color w:val="auto"/>
              </w:rPr>
              <w:t>7.0%</w:t>
            </w:r>
          </w:p>
        </w:tc>
        <w:tc>
          <w:tcPr>
            <w:tcW w:w="5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7.0%</w:t>
            </w:r>
          </w:p>
        </w:tc>
      </w:tr>
      <w:tr>
        <w:trPr>
          <w:trHeight w:val="162"/>
        </w:trPr>
        <w:tc>
          <w:tcPr>
            <w:tcW w:w="3960" w:type="dxa"/>
            <w:vAlign w:val="bottom"/>
          </w:tcPr>
          <w:p>
            <w:pPr>
              <w:ind w:left="20"/>
              <w:spacing w:after="0" w:line="162" w:lineRule="exact"/>
              <w:rPr>
                <w:sz w:val="20"/>
                <w:szCs w:val="20"/>
                <w:color w:val="auto"/>
              </w:rPr>
            </w:pPr>
            <w:r>
              <w:rPr>
                <w:rFonts w:ascii="Arial" w:cs="Arial" w:eastAsia="Arial" w:hAnsi="Arial"/>
                <w:sz w:val="15"/>
                <w:szCs w:val="15"/>
                <w:color w:val="auto"/>
              </w:rPr>
              <w:t>Rate to which the cost trend rate gradually declines</w:t>
            </w:r>
          </w:p>
        </w:tc>
        <w:tc>
          <w:tcPr>
            <w:tcW w:w="98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5.0%</w:t>
            </w: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5.0%</w:t>
            </w:r>
          </w:p>
        </w:tc>
      </w:tr>
      <w:tr>
        <w:trPr>
          <w:trHeight w:val="162"/>
        </w:trPr>
        <w:tc>
          <w:tcPr>
            <w:tcW w:w="39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Year the rate reaches the ultimate rate</w:t>
            </w:r>
          </w:p>
        </w:tc>
        <w:tc>
          <w:tcPr>
            <w:tcW w:w="98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b w:val="1"/>
                <w:bCs w:val="1"/>
                <w:color w:val="auto"/>
              </w:rPr>
              <w:t>2023</w:t>
            </w: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2022</w:t>
            </w:r>
          </w:p>
        </w:tc>
      </w:tr>
    </w:tbl>
    <w:p>
      <w:pPr>
        <w:spacing w:after="0" w:line="21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Assumed health care cost trend rates have a significant effect on the amounts reported for the Company’s health care plans. A one percentage-point change in assumed health care cost trend rates would have the following effects: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vMerge w:val="restart"/>
          </w:tcPr>
          <w:p>
            <w:pPr>
              <w:ind w:left="20"/>
              <w:spacing w:after="0"/>
              <w:rPr>
                <w:sz w:val="20"/>
                <w:szCs w:val="20"/>
                <w:color w:val="auto"/>
              </w:rPr>
            </w:pPr>
            <w:r>
              <w:rPr>
                <w:rFonts w:ascii="Arial" w:cs="Arial" w:eastAsia="Arial" w:hAnsi="Arial"/>
                <w:sz w:val="15"/>
                <w:szCs w:val="15"/>
                <w:color w:val="auto"/>
              </w:rPr>
              <w:t>(add 000)</w:t>
            </w:r>
          </w:p>
        </w:tc>
        <w:tc>
          <w:tcPr>
            <w:tcW w:w="5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243"/>
              <w:spacing w:after="0"/>
              <w:rPr>
                <w:sz w:val="20"/>
                <w:szCs w:val="20"/>
                <w:color w:val="auto"/>
              </w:rPr>
            </w:pPr>
            <w:r>
              <w:rPr>
                <w:rFonts w:ascii="Arial" w:cs="Arial" w:eastAsia="Arial" w:hAnsi="Arial"/>
                <w:sz w:val="15"/>
                <w:szCs w:val="15"/>
                <w:color w:val="auto"/>
              </w:rPr>
              <w:t>One Percentage Point</w:t>
            </w:r>
          </w:p>
        </w:tc>
        <w:tc>
          <w:tcPr>
            <w:tcW w:w="0" w:type="dxa"/>
            <w:vAlign w:val="bottom"/>
          </w:tcPr>
          <w:p>
            <w:pPr>
              <w:spacing w:after="0"/>
              <w:rPr>
                <w:sz w:val="1"/>
                <w:szCs w:val="1"/>
                <w:color w:val="auto"/>
              </w:rPr>
            </w:pPr>
          </w:p>
        </w:tc>
      </w:tr>
      <w:tr>
        <w:trPr>
          <w:trHeight w:val="156"/>
        </w:trPr>
        <w:tc>
          <w:tcPr>
            <w:tcW w:w="288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83"/>
              <w:spacing w:after="0" w:line="156" w:lineRule="exact"/>
              <w:rPr>
                <w:sz w:val="20"/>
                <w:szCs w:val="20"/>
                <w:color w:val="auto"/>
              </w:rPr>
            </w:pPr>
            <w:r>
              <w:rPr>
                <w:rFonts w:ascii="Arial" w:cs="Arial" w:eastAsia="Arial" w:hAnsi="Arial"/>
                <w:sz w:val="15"/>
                <w:szCs w:val="15"/>
                <w:color w:val="auto"/>
              </w:rPr>
              <w:t>Increase</w:t>
            </w:r>
          </w:p>
        </w:tc>
        <w:tc>
          <w:tcPr>
            <w:tcW w:w="3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w w:val="99"/>
              </w:rPr>
              <w:t>(Decrease)</w:t>
            </w:r>
          </w:p>
        </w:tc>
        <w:tc>
          <w:tcPr>
            <w:tcW w:w="0" w:type="dxa"/>
            <w:vAlign w:val="bottom"/>
          </w:tcPr>
          <w:p>
            <w:pPr>
              <w:spacing w:after="0"/>
              <w:rPr>
                <w:sz w:val="1"/>
                <w:szCs w:val="1"/>
                <w:color w:val="auto"/>
              </w:rPr>
            </w:pPr>
          </w:p>
        </w:tc>
      </w:tr>
      <w:tr>
        <w:trPr>
          <w:trHeight w:val="152"/>
        </w:trPr>
        <w:tc>
          <w:tcPr>
            <w:tcW w:w="288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rPr>
              <w:t>Total service and interest cost</w:t>
            </w: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80" w:type="dxa"/>
            <w:vAlign w:val="bottom"/>
            <w:shd w:val="clear" w:color="auto" w:fill="CCEEFF"/>
          </w:tcPr>
          <w:p>
            <w:pPr>
              <w:ind w:left="160"/>
              <w:spacing w:after="0" w:line="166" w:lineRule="exact"/>
              <w:rPr>
                <w:sz w:val="20"/>
                <w:szCs w:val="20"/>
                <w:color w:val="auto"/>
              </w:rPr>
            </w:pPr>
            <w:r>
              <w:rPr>
                <w:rFonts w:ascii="Arial" w:cs="Arial" w:eastAsia="Arial" w:hAnsi="Arial"/>
                <w:sz w:val="15"/>
                <w:szCs w:val="15"/>
                <w:color w:val="auto"/>
              </w:rPr>
              <w:t>components</w:t>
            </w:r>
          </w:p>
        </w:tc>
        <w:tc>
          <w:tcPr>
            <w:tcW w:w="5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83"/>
              <w:spacing w:after="0" w:line="166" w:lineRule="exact"/>
              <w:rPr>
                <w:sz w:val="20"/>
                <w:szCs w:val="20"/>
                <w:color w:val="auto"/>
              </w:rPr>
            </w:pPr>
            <w:r>
              <w:rPr>
                <w:rFonts w:ascii="Arial" w:cs="Arial" w:eastAsia="Arial" w:hAnsi="Arial"/>
                <w:sz w:val="15"/>
                <w:szCs w:val="15"/>
                <w:color w:val="auto"/>
              </w:rPr>
              <w:t>25</w:t>
            </w:r>
          </w:p>
        </w:tc>
        <w:tc>
          <w:tcPr>
            <w:tcW w:w="3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84"/>
        </w:trPr>
        <w:tc>
          <w:tcPr>
            <w:tcW w:w="2880" w:type="dxa"/>
            <w:vAlign w:val="bottom"/>
          </w:tcPr>
          <w:p>
            <w:pPr>
              <w:ind w:left="20"/>
              <w:spacing w:after="0"/>
              <w:rPr>
                <w:sz w:val="20"/>
                <w:szCs w:val="20"/>
                <w:color w:val="auto"/>
              </w:rPr>
            </w:pPr>
            <w:r>
              <w:rPr>
                <w:rFonts w:ascii="Arial" w:cs="Arial" w:eastAsia="Arial" w:hAnsi="Arial"/>
                <w:sz w:val="15"/>
                <w:szCs w:val="15"/>
                <w:color w:val="auto"/>
              </w:rPr>
              <w:t>Postretirement benefit obligation</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83"/>
              <w:spacing w:after="0"/>
              <w:rPr>
                <w:sz w:val="20"/>
                <w:szCs w:val="20"/>
                <w:color w:val="auto"/>
              </w:rPr>
            </w:pPr>
            <w:r>
              <w:rPr>
                <w:rFonts w:ascii="Arial" w:cs="Arial" w:eastAsia="Arial" w:hAnsi="Arial"/>
                <w:sz w:val="15"/>
                <w:szCs w:val="15"/>
                <w:color w:val="auto"/>
              </w:rPr>
              <w:t>640</w:t>
            </w: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(575)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Company estimates that it will contribute $950,000 to its postretirement health care plans in 2019.</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total expected benefit payments to be paid by the Company, net of participant contributions, for each of the next five years and the five-year period thereafter are as follows:</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5"/>
          <w:szCs w:val="15"/>
          <w:color w:val="auto"/>
        </w:rPr>
        <w:t>(add 000)</w:t>
      </w:r>
    </w:p>
    <w:tbl>
      <w:tblPr>
        <w:tblLayout w:type="fixed"/>
        <w:tblInd w:w="0" w:type="dxa"/>
        <w:tblCellMar>
          <w:top w:w="0" w:type="dxa"/>
          <w:left w:w="0" w:type="dxa"/>
          <w:bottom w:w="0" w:type="dxa"/>
          <w:right w:w="0" w:type="dxa"/>
        </w:tblCellMar>
      </w:tblPr>
      <w:tr>
        <w:trPr>
          <w:trHeight w:val="156"/>
        </w:trPr>
        <w:tc>
          <w:tcPr>
            <w:tcW w:w="306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2019</w:t>
            </w:r>
          </w:p>
        </w:tc>
        <w:tc>
          <w:tcPr>
            <w:tcW w:w="19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4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950</w:t>
            </w:r>
          </w:p>
        </w:tc>
      </w:tr>
      <w:tr>
        <w:trPr>
          <w:trHeight w:val="162"/>
        </w:trPr>
        <w:tc>
          <w:tcPr>
            <w:tcW w:w="3060" w:type="dxa"/>
            <w:vAlign w:val="bottom"/>
          </w:tcPr>
          <w:p>
            <w:pPr>
              <w:ind w:left="20"/>
              <w:spacing w:after="0" w:line="162" w:lineRule="exact"/>
              <w:rPr>
                <w:sz w:val="20"/>
                <w:szCs w:val="20"/>
                <w:color w:val="auto"/>
              </w:rPr>
            </w:pPr>
            <w:r>
              <w:rPr>
                <w:rFonts w:ascii="Arial" w:cs="Arial" w:eastAsia="Arial" w:hAnsi="Arial"/>
                <w:sz w:val="15"/>
                <w:szCs w:val="15"/>
                <w:color w:val="auto"/>
              </w:rPr>
              <w:t>2020</w:t>
            </w:r>
          </w:p>
        </w:tc>
        <w:tc>
          <w:tcPr>
            <w:tcW w:w="1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1,492</w:t>
            </w:r>
          </w:p>
        </w:tc>
      </w:tr>
      <w:tr>
        <w:trPr>
          <w:trHeight w:val="162"/>
        </w:trPr>
        <w:tc>
          <w:tcPr>
            <w:tcW w:w="30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2021</w:t>
            </w:r>
          </w:p>
        </w:tc>
        <w:tc>
          <w:tcPr>
            <w:tcW w:w="1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1,419</w:t>
            </w:r>
          </w:p>
        </w:tc>
      </w:tr>
      <w:tr>
        <w:trPr>
          <w:trHeight w:val="162"/>
        </w:trPr>
        <w:tc>
          <w:tcPr>
            <w:tcW w:w="3060" w:type="dxa"/>
            <w:vAlign w:val="bottom"/>
          </w:tcPr>
          <w:p>
            <w:pPr>
              <w:ind w:left="20"/>
              <w:spacing w:after="0" w:line="162" w:lineRule="exact"/>
              <w:rPr>
                <w:sz w:val="20"/>
                <w:szCs w:val="20"/>
                <w:color w:val="auto"/>
              </w:rPr>
            </w:pPr>
            <w:r>
              <w:rPr>
                <w:rFonts w:ascii="Arial" w:cs="Arial" w:eastAsia="Arial" w:hAnsi="Arial"/>
                <w:sz w:val="15"/>
                <w:szCs w:val="15"/>
                <w:color w:val="auto"/>
              </w:rPr>
              <w:t>2022</w:t>
            </w:r>
          </w:p>
        </w:tc>
        <w:tc>
          <w:tcPr>
            <w:tcW w:w="1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1,344</w:t>
            </w:r>
          </w:p>
        </w:tc>
      </w:tr>
      <w:tr>
        <w:trPr>
          <w:trHeight w:val="162"/>
        </w:trPr>
        <w:tc>
          <w:tcPr>
            <w:tcW w:w="30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2023</w:t>
            </w:r>
          </w:p>
        </w:tc>
        <w:tc>
          <w:tcPr>
            <w:tcW w:w="1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1,254</w:t>
            </w:r>
          </w:p>
        </w:tc>
      </w:tr>
      <w:tr>
        <w:trPr>
          <w:trHeight w:val="184"/>
        </w:trPr>
        <w:tc>
          <w:tcPr>
            <w:tcW w:w="3060" w:type="dxa"/>
            <w:vAlign w:val="bottom"/>
          </w:tcPr>
          <w:p>
            <w:pPr>
              <w:ind w:left="20"/>
              <w:spacing w:after="0"/>
              <w:rPr>
                <w:sz w:val="20"/>
                <w:szCs w:val="20"/>
                <w:color w:val="auto"/>
              </w:rPr>
            </w:pPr>
            <w:r>
              <w:rPr>
                <w:rFonts w:ascii="Arial" w:cs="Arial" w:eastAsia="Arial" w:hAnsi="Arial"/>
                <w:sz w:val="15"/>
                <w:szCs w:val="15"/>
                <w:color w:val="auto"/>
              </w:rPr>
              <w:t>Years 2024 - 2028</w:t>
            </w:r>
          </w:p>
        </w:tc>
        <w:tc>
          <w:tcPr>
            <w:tcW w:w="1940" w:type="dxa"/>
            <w:vAlign w:val="bottom"/>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5,809</w:t>
            </w:r>
          </w:p>
        </w:tc>
      </w:tr>
    </w:tbl>
    <w:p>
      <w:pPr>
        <w:spacing w:after="0" w:line="16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i w:val="1"/>
          <w:iCs w:val="1"/>
          <w:color w:val="49B28F"/>
        </w:rPr>
        <w:t xml:space="preserve">Defined Contribution Plan. </w:t>
      </w:r>
      <w:r>
        <w:rPr>
          <w:rFonts w:ascii="Arial" w:cs="Arial" w:eastAsia="Arial" w:hAnsi="Arial"/>
          <w:sz w:val="17"/>
          <w:szCs w:val="17"/>
          <w:color w:val="000000"/>
        </w:rPr>
        <w:t>The Company maintains a defined</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contribution plan that covers substantially all employees. This plan, qualified under Section 401(a) of the Internal Revenue Code, is a retirement savings and investment plan for the Company’s salaried and hourly employees. Under certain provisions of the plan, the Company, at established rates, matches employees’ eligible contributions. The Company’s matching obligations were $16,545,000 in 2018, $14,893,000 in 2017 and $13,235,000 in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Note L: Stock-Based Compensation</w:t>
      </w:r>
    </w:p>
    <w:p>
      <w:pPr>
        <w:spacing w:after="0" w:line="1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On May 19, 2016, the Company’s shareholders approved the Martin Marietta Amended and Restated Stock-Based Award Plan. The Martin Marietta Materials, Inc. Stock-Based Award Plan, as amended from time to time (along with the Amended Omnibus Securities Award Plan, originally approved in 1994, the “Plans”) is still effective for awards made prior to 2017. The Company has been authorized by the Board of Directors to repurchase shares of the Company’s common stock for issuance under the stock-based award plans (see Note N).</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grants restricted stock awards under the Plans to a group of executive officers, key personnel and nonemployee members of the Board of Directors. The vesting of certain restricted stock awards is based on certain performance criteria over a specified period of time. The number of shares may be increased to the maximum or reduced to the minimum threshold based on the results of those criteria. In addition, certain awards are granted to individuals to encourage retention and motivate key employees. These awards generally vest if the employee is continuously employed over a specified period of time and require no payment from the employee. Awards granted to non-employee members of the Board of Directors vest immediately.</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fair value of stock-based award grants is amortized to expense over the vesting period. Awards to employees eligible for retirement prior to the award becoming fully vested are amortized to expense over the period through the date that the employee first becomes eligible to retire and is no longer required to provide service to earn the award. Awards granted to nonemployee members of the Board of Directors are expensed immediately.</w:t>
      </w:r>
    </w:p>
    <w:p>
      <w:pPr>
        <w:spacing w:after="0" w:line="20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Additionally, an incentive compensation stock plan has been adopted under the Plans whereby certain participants may elect to use up to 50% of their annual incentive compensation to acquire units representing shares of the Company’s common stock at a 20% discount to the market value on the date of the incentive compensation award. Certain executive officers are required to participate in the incentive compensation stock plan at certain minimum levels. Participants receive unrestricted shares of common stock in an amount equal to their respective units generally at the end of a 34-month period of additional employment from the date of award or at retirement beginning at age 62. All rights of ownership of the common stock convey to the participants upon the issuance of their respective shares at the end of the ownership-vesting period.</w:t>
      </w:r>
    </w:p>
    <w:p>
      <w:pPr>
        <w:spacing w:after="0" w:line="419"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34</w:t>
      </w:r>
    </w:p>
    <w:p>
      <w:pPr>
        <w:sectPr>
          <w:pgSz w:w="11900" w:h="16838" w:orient="portrait"/>
          <w:cols w:equalWidth="0" w:num="1">
            <w:col w:w="11420"/>
          </w:cols>
          <w:pgMar w:left="240" w:top="265" w:right="2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for restricted stock awards and incentive compensation stock awards for 2018:</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00" w:type="dxa"/>
            <w:vAlign w:val="bottom"/>
          </w:tcPr>
          <w:p>
            <w:pPr>
              <w:spacing w:after="0"/>
              <w:rPr>
                <w:sz w:val="14"/>
                <w:szCs w:val="14"/>
                <w:color w:val="auto"/>
              </w:rPr>
            </w:pPr>
          </w:p>
        </w:tc>
        <w:tc>
          <w:tcPr>
            <w:tcW w:w="3320" w:type="dxa"/>
            <w:vAlign w:val="bottom"/>
            <w:gridSpan w:val="3"/>
          </w:tcPr>
          <w:p>
            <w:pPr>
              <w:jc w:val="right"/>
              <w:ind w:right="509"/>
              <w:spacing w:after="0"/>
              <w:rPr>
                <w:sz w:val="20"/>
                <w:szCs w:val="20"/>
                <w:color w:val="auto"/>
              </w:rPr>
            </w:pPr>
            <w:r>
              <w:rPr>
                <w:rFonts w:ascii="Arial" w:cs="Arial" w:eastAsia="Arial" w:hAnsi="Arial"/>
                <w:sz w:val="15"/>
                <w:szCs w:val="15"/>
                <w:b w:val="1"/>
                <w:bCs w:val="1"/>
                <w:color w:val="auto"/>
              </w:rPr>
              <w:t>Restricted Stock –</w:t>
            </w:r>
          </w:p>
        </w:tc>
        <w:tc>
          <w:tcPr>
            <w:tcW w:w="2940" w:type="dxa"/>
            <w:vAlign w:val="bottom"/>
            <w:gridSpan w:val="3"/>
          </w:tcPr>
          <w:p>
            <w:pPr>
              <w:jc w:val="right"/>
              <w:ind w:right="509"/>
              <w:spacing w:after="0"/>
              <w:rPr>
                <w:sz w:val="20"/>
                <w:szCs w:val="20"/>
                <w:color w:val="auto"/>
              </w:rPr>
            </w:pPr>
            <w:r>
              <w:rPr>
                <w:rFonts w:ascii="Arial" w:cs="Arial" w:eastAsia="Arial" w:hAnsi="Arial"/>
                <w:sz w:val="15"/>
                <w:szCs w:val="15"/>
                <w:b w:val="1"/>
                <w:bCs w:val="1"/>
                <w:color w:val="auto"/>
              </w:rPr>
              <w:t>Restricted Stock –</w:t>
            </w:r>
          </w:p>
        </w:tc>
        <w:tc>
          <w:tcPr>
            <w:tcW w:w="1240" w:type="dxa"/>
            <w:vAlign w:val="bottom"/>
          </w:tcPr>
          <w:p>
            <w:pPr>
              <w:spacing w:after="0"/>
              <w:rPr>
                <w:sz w:val="14"/>
                <w:szCs w:val="14"/>
                <w:color w:val="auto"/>
              </w:rPr>
            </w:pPr>
          </w:p>
        </w:tc>
        <w:tc>
          <w:tcPr>
            <w:tcW w:w="1520" w:type="dxa"/>
            <w:vAlign w:val="bottom"/>
            <w:gridSpan w:val="2"/>
          </w:tcPr>
          <w:p>
            <w:pPr>
              <w:jc w:val="center"/>
              <w:ind w:right="709"/>
              <w:spacing w:after="0"/>
              <w:rPr>
                <w:sz w:val="20"/>
                <w:szCs w:val="20"/>
                <w:color w:val="auto"/>
              </w:rPr>
            </w:pPr>
            <w:r>
              <w:rPr>
                <w:rFonts w:ascii="Arial" w:cs="Arial" w:eastAsia="Arial" w:hAnsi="Arial"/>
                <w:sz w:val="15"/>
                <w:szCs w:val="15"/>
                <w:b w:val="1"/>
                <w:bCs w:val="1"/>
                <w:color w:val="auto"/>
              </w:rPr>
              <w:t>Incentive</w:t>
            </w:r>
          </w:p>
        </w:tc>
      </w:tr>
      <w:tr>
        <w:trPr>
          <w:trHeight w:val="183"/>
        </w:trPr>
        <w:tc>
          <w:tcPr>
            <w:tcW w:w="240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3"/>
          </w:tcPr>
          <w:p>
            <w:pPr>
              <w:jc w:val="right"/>
              <w:ind w:right="649"/>
              <w:spacing w:after="0"/>
              <w:rPr>
                <w:sz w:val="20"/>
                <w:szCs w:val="20"/>
                <w:color w:val="auto"/>
              </w:rPr>
            </w:pPr>
            <w:r>
              <w:rPr>
                <w:rFonts w:ascii="Arial" w:cs="Arial" w:eastAsia="Arial" w:hAnsi="Arial"/>
                <w:sz w:val="15"/>
                <w:szCs w:val="15"/>
                <w:b w:val="1"/>
                <w:bCs w:val="1"/>
                <w:color w:val="auto"/>
              </w:rPr>
              <w:t>Service Based</w:t>
            </w:r>
          </w:p>
        </w:tc>
        <w:tc>
          <w:tcPr>
            <w:tcW w:w="2940" w:type="dxa"/>
            <w:vAlign w:val="bottom"/>
            <w:tcBorders>
              <w:bottom w:val="single" w:sz="8" w:color="auto"/>
            </w:tcBorders>
            <w:gridSpan w:val="3"/>
          </w:tcPr>
          <w:p>
            <w:pPr>
              <w:jc w:val="right"/>
              <w:ind w:right="469"/>
              <w:spacing w:after="0"/>
              <w:rPr>
                <w:sz w:val="20"/>
                <w:szCs w:val="20"/>
                <w:color w:val="auto"/>
              </w:rPr>
            </w:pPr>
            <w:r>
              <w:rPr>
                <w:rFonts w:ascii="Arial" w:cs="Arial" w:eastAsia="Arial" w:hAnsi="Arial"/>
                <w:sz w:val="15"/>
                <w:szCs w:val="15"/>
                <w:b w:val="1"/>
                <w:bCs w:val="1"/>
                <w:color w:val="auto"/>
              </w:rPr>
              <w:t>Performance Based</w:t>
            </w:r>
          </w:p>
        </w:tc>
        <w:tc>
          <w:tcPr>
            <w:tcW w:w="2760" w:type="dxa"/>
            <w:vAlign w:val="bottom"/>
            <w:tcBorders>
              <w:bottom w:val="single" w:sz="8" w:color="auto"/>
            </w:tcBorders>
            <w:gridSpan w:val="3"/>
          </w:tcPr>
          <w:p>
            <w:pPr>
              <w:jc w:val="center"/>
              <w:ind w:left="409"/>
              <w:spacing w:after="0"/>
              <w:rPr>
                <w:sz w:val="20"/>
                <w:szCs w:val="20"/>
                <w:color w:val="auto"/>
              </w:rPr>
            </w:pPr>
            <w:r>
              <w:rPr>
                <w:rFonts w:ascii="Arial" w:cs="Arial" w:eastAsia="Arial" w:hAnsi="Arial"/>
                <w:sz w:val="15"/>
                <w:szCs w:val="15"/>
                <w:b w:val="1"/>
                <w:bCs w:val="1"/>
                <w:color w:val="auto"/>
              </w:rPr>
              <w:t>Compensation Stock</w:t>
            </w:r>
          </w:p>
        </w:tc>
      </w:tr>
      <w:tr>
        <w:trPr>
          <w:trHeight w:val="141"/>
        </w:trPr>
        <w:tc>
          <w:tcPr>
            <w:tcW w:w="2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8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Weighted-Average</w:t>
            </w:r>
          </w:p>
        </w:tc>
        <w:tc>
          <w:tcPr>
            <w:tcW w:w="1440" w:type="dxa"/>
            <w:vAlign w:val="bottom"/>
          </w:tcPr>
          <w:p>
            <w:pPr>
              <w:spacing w:after="0"/>
              <w:rPr>
                <w:sz w:val="12"/>
                <w:szCs w:val="12"/>
                <w:color w:val="auto"/>
              </w:rPr>
            </w:pPr>
          </w:p>
        </w:tc>
        <w:tc>
          <w:tcPr>
            <w:tcW w:w="150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Weighted-Average</w:t>
            </w:r>
          </w:p>
        </w:tc>
        <w:tc>
          <w:tcPr>
            <w:tcW w:w="1240" w:type="dxa"/>
            <w:vAlign w:val="bottom"/>
          </w:tcPr>
          <w:p>
            <w:pPr>
              <w:spacing w:after="0"/>
              <w:rPr>
                <w:sz w:val="12"/>
                <w:szCs w:val="12"/>
                <w:color w:val="auto"/>
              </w:rPr>
            </w:pPr>
          </w:p>
        </w:tc>
        <w:tc>
          <w:tcPr>
            <w:tcW w:w="152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Weighted-Average</w:t>
            </w:r>
          </w:p>
        </w:tc>
      </w:tr>
      <w:tr>
        <w:trPr>
          <w:trHeight w:val="149"/>
        </w:trPr>
        <w:tc>
          <w:tcPr>
            <w:tcW w:w="2400" w:type="dxa"/>
            <w:vAlign w:val="bottom"/>
          </w:tcPr>
          <w:p>
            <w:pPr>
              <w:spacing w:after="0"/>
              <w:rPr>
                <w:sz w:val="12"/>
                <w:szCs w:val="12"/>
                <w:color w:val="auto"/>
              </w:rPr>
            </w:pPr>
          </w:p>
        </w:tc>
        <w:tc>
          <w:tcPr>
            <w:tcW w:w="1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Number of</w:t>
            </w:r>
          </w:p>
        </w:tc>
        <w:tc>
          <w:tcPr>
            <w:tcW w:w="240" w:type="dxa"/>
            <w:vAlign w:val="bottom"/>
          </w:tcPr>
          <w:p>
            <w:pPr>
              <w:spacing w:after="0"/>
              <w:rPr>
                <w:sz w:val="12"/>
                <w:szCs w:val="12"/>
                <w:color w:val="auto"/>
              </w:rPr>
            </w:pPr>
          </w:p>
        </w:tc>
        <w:tc>
          <w:tcPr>
            <w:tcW w:w="1240" w:type="dxa"/>
            <w:vAlign w:val="bottom"/>
          </w:tcPr>
          <w:p>
            <w:pPr>
              <w:jc w:val="right"/>
              <w:ind w:right="429"/>
              <w:spacing w:after="0" w:line="149" w:lineRule="exact"/>
              <w:rPr>
                <w:sz w:val="20"/>
                <w:szCs w:val="20"/>
                <w:color w:val="auto"/>
              </w:rPr>
            </w:pPr>
            <w:r>
              <w:rPr>
                <w:rFonts w:ascii="Arial" w:cs="Arial" w:eastAsia="Arial" w:hAnsi="Arial"/>
                <w:sz w:val="14"/>
                <w:szCs w:val="14"/>
                <w:color w:val="auto"/>
              </w:rPr>
              <w:t>Grant-Date</w:t>
            </w:r>
          </w:p>
        </w:tc>
        <w:tc>
          <w:tcPr>
            <w:tcW w:w="14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Number of</w:t>
            </w:r>
          </w:p>
        </w:tc>
        <w:tc>
          <w:tcPr>
            <w:tcW w:w="260" w:type="dxa"/>
            <w:vAlign w:val="bottom"/>
          </w:tcPr>
          <w:p>
            <w:pPr>
              <w:spacing w:after="0"/>
              <w:rPr>
                <w:sz w:val="12"/>
                <w:szCs w:val="12"/>
                <w:color w:val="auto"/>
              </w:rPr>
            </w:pPr>
          </w:p>
        </w:tc>
        <w:tc>
          <w:tcPr>
            <w:tcW w:w="1240" w:type="dxa"/>
            <w:vAlign w:val="bottom"/>
          </w:tcPr>
          <w:p>
            <w:pPr>
              <w:jc w:val="right"/>
              <w:ind w:right="429"/>
              <w:spacing w:after="0" w:line="149" w:lineRule="exact"/>
              <w:rPr>
                <w:sz w:val="20"/>
                <w:szCs w:val="20"/>
                <w:color w:val="auto"/>
              </w:rPr>
            </w:pPr>
            <w:r>
              <w:rPr>
                <w:rFonts w:ascii="Arial" w:cs="Arial" w:eastAsia="Arial" w:hAnsi="Arial"/>
                <w:sz w:val="14"/>
                <w:szCs w:val="14"/>
                <w:color w:val="auto"/>
              </w:rPr>
              <w:t>Grant-Date</w:t>
            </w:r>
          </w:p>
        </w:tc>
        <w:tc>
          <w:tcPr>
            <w:tcW w:w="1240" w:type="dxa"/>
            <w:vAlign w:val="bottom"/>
          </w:tcPr>
          <w:p>
            <w:pPr>
              <w:jc w:val="right"/>
              <w:ind w:right="9"/>
              <w:spacing w:after="0" w:line="149" w:lineRule="exact"/>
              <w:rPr>
                <w:sz w:val="20"/>
                <w:szCs w:val="20"/>
                <w:color w:val="auto"/>
              </w:rPr>
            </w:pPr>
            <w:r>
              <w:rPr>
                <w:rFonts w:ascii="Arial" w:cs="Arial" w:eastAsia="Arial" w:hAnsi="Arial"/>
                <w:sz w:val="14"/>
                <w:szCs w:val="14"/>
                <w:color w:val="auto"/>
              </w:rPr>
              <w:t>Number of</w:t>
            </w:r>
          </w:p>
        </w:tc>
        <w:tc>
          <w:tcPr>
            <w:tcW w:w="500" w:type="dxa"/>
            <w:vAlign w:val="bottom"/>
          </w:tcPr>
          <w:p>
            <w:pPr>
              <w:spacing w:after="0"/>
              <w:rPr>
                <w:sz w:val="12"/>
                <w:szCs w:val="12"/>
                <w:color w:val="auto"/>
              </w:rPr>
            </w:pPr>
          </w:p>
        </w:tc>
        <w:tc>
          <w:tcPr>
            <w:tcW w:w="1020" w:type="dxa"/>
            <w:vAlign w:val="bottom"/>
          </w:tcPr>
          <w:p>
            <w:pPr>
              <w:jc w:val="right"/>
              <w:ind w:right="209"/>
              <w:spacing w:after="0" w:line="149" w:lineRule="exact"/>
              <w:rPr>
                <w:sz w:val="20"/>
                <w:szCs w:val="20"/>
                <w:color w:val="auto"/>
              </w:rPr>
            </w:pPr>
            <w:r>
              <w:rPr>
                <w:rFonts w:ascii="Arial" w:cs="Arial" w:eastAsia="Arial" w:hAnsi="Arial"/>
                <w:sz w:val="14"/>
                <w:szCs w:val="14"/>
                <w:color w:val="auto"/>
              </w:rPr>
              <w:t>Grant-Date</w:t>
            </w:r>
          </w:p>
        </w:tc>
      </w:tr>
      <w:tr>
        <w:trPr>
          <w:trHeight w:val="163"/>
        </w:trPr>
        <w:tc>
          <w:tcPr>
            <w:tcW w:w="24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Awards</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rPr>
              <w:t>Fair Value</w:t>
            </w:r>
          </w:p>
        </w:tc>
        <w:tc>
          <w:tcPr>
            <w:tcW w:w="1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Awards</w:t>
            </w: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Fair Value</w:t>
            </w:r>
          </w:p>
        </w:tc>
        <w:tc>
          <w:tcPr>
            <w:tcW w:w="12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Awards</w:t>
            </w: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Fair Value</w:t>
            </w:r>
          </w:p>
        </w:tc>
      </w:tr>
      <w:tr>
        <w:trPr>
          <w:trHeight w:val="156"/>
        </w:trPr>
        <w:tc>
          <w:tcPr>
            <w:tcW w:w="24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January 1, 2018</w:t>
            </w:r>
          </w:p>
        </w:tc>
        <w:tc>
          <w:tcPr>
            <w:tcW w:w="184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314,840</w:t>
            </w:r>
          </w:p>
        </w:tc>
        <w:tc>
          <w:tcPr>
            <w:tcW w:w="240" w:type="dxa"/>
            <w:vAlign w:val="bottom"/>
            <w:shd w:val="clear" w:color="auto" w:fill="CCEEFF"/>
          </w:tcPr>
          <w:p>
            <w:pPr>
              <w:ind w:left="80"/>
              <w:spacing w:after="0" w:line="155"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89"/>
              <w:spacing w:after="0" w:line="155" w:lineRule="exact"/>
              <w:rPr>
                <w:sz w:val="20"/>
                <w:szCs w:val="20"/>
                <w:color w:val="auto"/>
              </w:rPr>
            </w:pPr>
            <w:r>
              <w:rPr>
                <w:rFonts w:ascii="Arial" w:cs="Arial" w:eastAsia="Arial" w:hAnsi="Arial"/>
                <w:sz w:val="14"/>
                <w:szCs w:val="14"/>
                <w:color w:val="auto"/>
              </w:rPr>
              <w:t>151.84</w:t>
            </w:r>
          </w:p>
        </w:tc>
        <w:tc>
          <w:tcPr>
            <w:tcW w:w="14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139,999</w:t>
            </w:r>
          </w:p>
        </w:tc>
        <w:tc>
          <w:tcPr>
            <w:tcW w:w="26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09"/>
              <w:spacing w:after="0" w:line="155" w:lineRule="exact"/>
              <w:rPr>
                <w:sz w:val="20"/>
                <w:szCs w:val="20"/>
                <w:color w:val="auto"/>
              </w:rPr>
            </w:pPr>
            <w:r>
              <w:rPr>
                <w:rFonts w:ascii="Arial" w:cs="Arial" w:eastAsia="Arial" w:hAnsi="Arial"/>
                <w:sz w:val="14"/>
                <w:szCs w:val="14"/>
                <w:color w:val="auto"/>
              </w:rPr>
              <w:t>150.34</w:t>
            </w:r>
          </w:p>
        </w:tc>
        <w:tc>
          <w:tcPr>
            <w:tcW w:w="1240" w:type="dxa"/>
            <w:vAlign w:val="bottom"/>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38,510</w:t>
            </w:r>
          </w:p>
        </w:tc>
        <w:tc>
          <w:tcPr>
            <w:tcW w:w="500" w:type="dxa"/>
            <w:vAlign w:val="bottom"/>
            <w:shd w:val="clear" w:color="auto" w:fill="CCEEFF"/>
          </w:tcPr>
          <w:p>
            <w:pPr>
              <w:jc w:val="center"/>
              <w:ind w:left="188"/>
              <w:spacing w:after="0" w:line="155"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166.67</w:t>
            </w:r>
          </w:p>
        </w:tc>
      </w:tr>
      <w:tr>
        <w:trPr>
          <w:trHeight w:val="162"/>
        </w:trPr>
        <w:tc>
          <w:tcPr>
            <w:tcW w:w="2400" w:type="dxa"/>
            <w:vAlign w:val="bottom"/>
          </w:tcPr>
          <w:p>
            <w:pPr>
              <w:spacing w:after="0"/>
              <w:rPr>
                <w:sz w:val="20"/>
                <w:szCs w:val="20"/>
                <w:color w:val="auto"/>
              </w:rPr>
            </w:pPr>
            <w:r>
              <w:rPr>
                <w:rFonts w:ascii="Arial" w:cs="Arial" w:eastAsia="Arial" w:hAnsi="Arial"/>
                <w:sz w:val="14"/>
                <w:szCs w:val="14"/>
                <w:color w:val="auto"/>
              </w:rPr>
              <w:t>Awarded</w:t>
            </w: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64,352</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9"/>
              <w:spacing w:after="0"/>
              <w:rPr>
                <w:sz w:val="20"/>
                <w:szCs w:val="20"/>
                <w:color w:val="auto"/>
              </w:rPr>
            </w:pPr>
            <w:r>
              <w:rPr>
                <w:rFonts w:ascii="Arial" w:cs="Arial" w:eastAsia="Arial" w:hAnsi="Arial"/>
                <w:sz w:val="14"/>
                <w:szCs w:val="14"/>
                <w:color w:val="auto"/>
              </w:rPr>
              <w:t>211.03</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37,138</w:t>
            </w:r>
          </w:p>
        </w:tc>
        <w:tc>
          <w:tcPr>
            <w:tcW w:w="260" w:type="dxa"/>
            <w:vAlign w:val="bottom"/>
          </w:tcPr>
          <w:p>
            <w:pPr>
              <w:ind w:left="10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09"/>
              <w:spacing w:after="0"/>
              <w:rPr>
                <w:sz w:val="20"/>
                <w:szCs w:val="20"/>
                <w:color w:val="auto"/>
              </w:rPr>
            </w:pPr>
            <w:r>
              <w:rPr>
                <w:rFonts w:ascii="Arial" w:cs="Arial" w:eastAsia="Arial" w:hAnsi="Arial"/>
                <w:sz w:val="14"/>
                <w:szCs w:val="14"/>
                <w:color w:val="auto"/>
              </w:rPr>
              <w:t>212.12</w:t>
            </w:r>
          </w:p>
        </w:tc>
        <w:tc>
          <w:tcPr>
            <w:tcW w:w="1240" w:type="dxa"/>
            <w:vAlign w:val="bottom"/>
          </w:tcPr>
          <w:p>
            <w:pPr>
              <w:jc w:val="right"/>
              <w:ind w:right="9"/>
              <w:spacing w:after="0"/>
              <w:rPr>
                <w:sz w:val="20"/>
                <w:szCs w:val="20"/>
                <w:color w:val="auto"/>
              </w:rPr>
            </w:pPr>
            <w:r>
              <w:rPr>
                <w:rFonts w:ascii="Arial" w:cs="Arial" w:eastAsia="Arial" w:hAnsi="Arial"/>
                <w:sz w:val="14"/>
                <w:szCs w:val="14"/>
                <w:color w:val="auto"/>
              </w:rPr>
              <w:t>18,180</w:t>
            </w:r>
          </w:p>
        </w:tc>
        <w:tc>
          <w:tcPr>
            <w:tcW w:w="500" w:type="dxa"/>
            <w:vAlign w:val="bottom"/>
          </w:tcPr>
          <w:p>
            <w:pPr>
              <w:jc w:val="center"/>
              <w:ind w:left="1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212.12</w:t>
            </w:r>
          </w:p>
        </w:tc>
      </w:tr>
      <w:tr>
        <w:trPr>
          <w:trHeight w:val="162"/>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Distributed</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(88,674)</w:t>
            </w:r>
          </w:p>
        </w:tc>
        <w:tc>
          <w:tcPr>
            <w:tcW w:w="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159.04</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(20,219)</w:t>
            </w:r>
          </w:p>
        </w:tc>
        <w:tc>
          <w:tcPr>
            <w:tcW w:w="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126.01</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(20,992)</w:t>
            </w:r>
          </w:p>
        </w:tc>
        <w:tc>
          <w:tcPr>
            <w:tcW w:w="500" w:type="dxa"/>
            <w:vAlign w:val="bottom"/>
            <w:shd w:val="clear" w:color="auto" w:fill="CCEEFF"/>
          </w:tcPr>
          <w:p>
            <w:pPr>
              <w:jc w:val="center"/>
              <w:ind w:left="1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138.54</w:t>
            </w:r>
          </w:p>
        </w:tc>
      </w:tr>
      <w:tr>
        <w:trPr>
          <w:trHeight w:val="162"/>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Forfeited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(12,371)</w:t>
            </w:r>
          </w:p>
        </w:tc>
        <w:tc>
          <w:tcPr>
            <w:tcW w:w="24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tcPr>
          <w:p>
            <w:pPr>
              <w:jc w:val="right"/>
              <w:ind w:right="189"/>
              <w:spacing w:after="0"/>
              <w:rPr>
                <w:sz w:val="20"/>
                <w:szCs w:val="20"/>
                <w:color w:val="auto"/>
              </w:rPr>
            </w:pPr>
            <w:r>
              <w:rPr>
                <w:rFonts w:ascii="Arial" w:cs="Arial" w:eastAsia="Arial" w:hAnsi="Arial"/>
                <w:sz w:val="14"/>
                <w:szCs w:val="14"/>
                <w:color w:val="auto"/>
              </w:rPr>
              <w:t>211.63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(4,979)</w:t>
            </w:r>
          </w:p>
        </w:tc>
        <w:tc>
          <w:tcPr>
            <w:tcW w:w="2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tcPr>
          <w:p>
            <w:pPr>
              <w:jc w:val="right"/>
              <w:ind w:right="209"/>
              <w:spacing w:after="0"/>
              <w:rPr>
                <w:sz w:val="20"/>
                <w:szCs w:val="20"/>
                <w:color w:val="auto"/>
              </w:rPr>
            </w:pPr>
            <w:r>
              <w:rPr>
                <w:rFonts w:ascii="Arial" w:cs="Arial" w:eastAsia="Arial" w:hAnsi="Arial"/>
                <w:sz w:val="14"/>
                <w:szCs w:val="14"/>
                <w:color w:val="auto"/>
              </w:rPr>
              <w:t>182.90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w:t>
            </w:r>
          </w:p>
        </w:tc>
        <w:tc>
          <w:tcPr>
            <w:tcW w:w="500" w:type="dxa"/>
            <w:vAlign w:val="bottom"/>
            <w:tcBorders>
              <w:bottom w:val="single" w:sz="8" w:color="CCEEFF"/>
            </w:tcBorders>
          </w:tcPr>
          <w:p>
            <w:pPr>
              <w:jc w:val="center"/>
              <w:ind w:left="1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184.74</w:t>
            </w:r>
          </w:p>
        </w:tc>
      </w:tr>
      <w:tr>
        <w:trPr>
          <w:trHeight w:val="156"/>
        </w:trPr>
        <w:tc>
          <w:tcPr>
            <w:tcW w:w="24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December 31, 2018</w:t>
            </w:r>
          </w:p>
        </w:tc>
        <w:tc>
          <w:tcPr>
            <w:tcW w:w="184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278,147</w:t>
            </w:r>
          </w:p>
        </w:tc>
        <w:tc>
          <w:tcPr>
            <w:tcW w:w="240" w:type="dxa"/>
            <w:vAlign w:val="bottom"/>
            <w:shd w:val="clear" w:color="auto" w:fill="CCEEFF"/>
          </w:tcPr>
          <w:p>
            <w:pPr>
              <w:ind w:left="80"/>
              <w:spacing w:after="0" w:line="155"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89"/>
              <w:spacing w:after="0" w:line="155" w:lineRule="exact"/>
              <w:rPr>
                <w:sz w:val="20"/>
                <w:szCs w:val="20"/>
                <w:color w:val="auto"/>
              </w:rPr>
            </w:pPr>
            <w:r>
              <w:rPr>
                <w:rFonts w:ascii="Arial" w:cs="Arial" w:eastAsia="Arial" w:hAnsi="Arial"/>
                <w:sz w:val="14"/>
                <w:szCs w:val="14"/>
                <w:color w:val="auto"/>
              </w:rPr>
              <w:t>158.29</w:t>
            </w:r>
          </w:p>
        </w:tc>
        <w:tc>
          <w:tcPr>
            <w:tcW w:w="144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151,939</w:t>
            </w:r>
          </w:p>
        </w:tc>
        <w:tc>
          <w:tcPr>
            <w:tcW w:w="26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09"/>
              <w:spacing w:after="0" w:line="155" w:lineRule="exact"/>
              <w:rPr>
                <w:sz w:val="20"/>
                <w:szCs w:val="20"/>
                <w:color w:val="auto"/>
              </w:rPr>
            </w:pPr>
            <w:r>
              <w:rPr>
                <w:rFonts w:ascii="Arial" w:cs="Arial" w:eastAsia="Arial" w:hAnsi="Arial"/>
                <w:sz w:val="14"/>
                <w:szCs w:val="14"/>
                <w:color w:val="auto"/>
              </w:rPr>
              <w:t>174.74</w:t>
            </w:r>
          </w:p>
        </w:tc>
        <w:tc>
          <w:tcPr>
            <w:tcW w:w="1240" w:type="dxa"/>
            <w:vAlign w:val="bottom"/>
            <w:tcBorders>
              <w:bottom w:val="single" w:sz="8" w:color="auto"/>
            </w:tcBorders>
            <w:shd w:val="clear" w:color="auto" w:fill="CCEEFF"/>
          </w:tcPr>
          <w:p>
            <w:pPr>
              <w:jc w:val="right"/>
              <w:ind w:right="9"/>
              <w:spacing w:after="0" w:line="155" w:lineRule="exact"/>
              <w:rPr>
                <w:sz w:val="20"/>
                <w:szCs w:val="20"/>
                <w:color w:val="auto"/>
              </w:rPr>
            </w:pPr>
            <w:r>
              <w:rPr>
                <w:rFonts w:ascii="Arial" w:cs="Arial" w:eastAsia="Arial" w:hAnsi="Arial"/>
                <w:sz w:val="14"/>
                <w:szCs w:val="14"/>
                <w:color w:val="auto"/>
              </w:rPr>
              <w:t>35,376</w:t>
            </w:r>
          </w:p>
        </w:tc>
        <w:tc>
          <w:tcPr>
            <w:tcW w:w="500" w:type="dxa"/>
            <w:vAlign w:val="bottom"/>
            <w:shd w:val="clear" w:color="auto" w:fill="CCEEFF"/>
          </w:tcPr>
          <w:p>
            <w:pPr>
              <w:jc w:val="center"/>
              <w:ind w:left="188"/>
              <w:spacing w:after="0" w:line="155"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206.55</w:t>
            </w:r>
          </w:p>
        </w:tc>
      </w:tr>
    </w:tbl>
    <w:p>
      <w:pPr>
        <w:spacing w:after="0" w:line="200" w:lineRule="exact"/>
        <w:rPr>
          <w:sz w:val="20"/>
          <w:szCs w:val="20"/>
          <w:color w:val="auto"/>
        </w:rPr>
      </w:pPr>
    </w:p>
    <w:p>
      <w:pPr>
        <w:sectPr>
          <w:pgSz w:w="11900" w:h="16838" w:orient="portrait"/>
          <w:cols w:equalWidth="0" w:num="1">
            <w:col w:w="11420"/>
          </w:cols>
          <w:pgMar w:left="240" w:top="265" w:right="239" w:bottom="1440" w:gutter="0" w:footer="0" w:header="0"/>
        </w:sectPr>
      </w:pPr>
    </w:p>
    <w:p>
      <w:pPr>
        <w:spacing w:after="0" w:line="9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weighted-average grant-date fair value of service-based restricted stock awards granted during 2018, 2017 and 2016 was $211.03, $213.76 and $128.48, respectively. The weighted-average grant-date fair value of performance-based restricted stock awards granted during 2018, 2017 and 2016 was $212.12, $207.73 and $124.41, respectively. The weighted-average grant-date fair value of incentive compensation stock awards granted during 2018, 2017 and 2016 was $212.12, $208.68 and $124.41, respectively.</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aggregate intrinsic values for unvested restricted stock awards and unvested incentive compensation stock awards at December 31, 2018 were $73,919,000 and $234,000, respectively, and were based on the closing price of the Company’s common stock at December 31, 2018, which was $171.87. The aggregate intrinsic values of restricted stock awards distributed during the years ended December 31, 2018, 2017 and 2016 were $22,985,000, $15,771,000 and $9,738,000, respectively. The aggregate intrinsic values of incentive compensation stock awards distributed during the years ended December 31, 2018, 2017 and 2016 were $1,662,000, $2,601,000 and $1,941,000, respectively. The aggregate intrinsic values for distributed awards were based on the closing prices of the Company’s common stock on the dates of distribution.</w:t>
      </w:r>
    </w:p>
    <w:p>
      <w:pPr>
        <w:spacing w:after="0" w:line="207"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Under the Plans, prior to 2016, the Company granted options to employees to purchase its common stock at a price equal to the closing market value at the date of grant. Options become exercisable in four annual installments beginning one year after date of grant. Options granted starting in 2013 expire ten years after the grant date while outstanding options granted prior to 2013 expire eight years after the grant date.</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connection with the TXI acquisition, completed in 2014, the Company issued 821,282 Martin Marietta stock options (Replacement Options) to holders of outstanding TXI stock</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options at the acquisition date. The Company issued 0.7 Replacement Options for each outstanding TXI stock option, and the Replacement Option prices reflected the exchange ratio. The Replacement Options will expire on the original contractual dates when the TXI stock options were initially issued. Consistent with the terms of the Company’s other outstanding stock options, Replacement Options expire 90 days after employment is terminated.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includes summary information for stock options as of</w:t>
      </w:r>
    </w:p>
    <w:p>
      <w:pPr>
        <w:spacing w:after="0"/>
        <w:rPr>
          <w:sz w:val="20"/>
          <w:szCs w:val="20"/>
          <w:color w:val="auto"/>
        </w:rPr>
      </w:pPr>
      <w:r>
        <w:rPr>
          <w:rFonts w:ascii="Arial" w:cs="Arial" w:eastAsia="Arial" w:hAnsi="Arial"/>
          <w:sz w:val="17"/>
          <w:szCs w:val="17"/>
          <w:color w:val="auto"/>
        </w:rPr>
        <w:t>December 31, 2018:</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gridSpan w:val="2"/>
          </w:tcPr>
          <w:p>
            <w:pPr>
              <w:ind w:left="320"/>
              <w:spacing w:after="0"/>
              <w:rPr>
                <w:sz w:val="20"/>
                <w:szCs w:val="20"/>
                <w:color w:val="auto"/>
              </w:rPr>
            </w:pPr>
            <w:r>
              <w:rPr>
                <w:rFonts w:ascii="Arial" w:cs="Arial" w:eastAsia="Arial" w:hAnsi="Arial"/>
                <w:sz w:val="14"/>
                <w:szCs w:val="14"/>
                <w:b w:val="1"/>
                <w:bCs w:val="1"/>
                <w:color w:val="auto"/>
              </w:rPr>
              <w:t>Weighted-</w:t>
            </w:r>
          </w:p>
        </w:tc>
        <w:tc>
          <w:tcPr>
            <w:tcW w:w="1420" w:type="dxa"/>
            <w:vAlign w:val="bottom"/>
          </w:tcPr>
          <w:p>
            <w:pPr>
              <w:jc w:val="center"/>
              <w:ind w:left="49"/>
              <w:spacing w:after="0"/>
              <w:rPr>
                <w:sz w:val="20"/>
                <w:szCs w:val="20"/>
                <w:color w:val="auto"/>
              </w:rPr>
            </w:pPr>
            <w:r>
              <w:rPr>
                <w:rFonts w:ascii="Arial" w:cs="Arial" w:eastAsia="Arial" w:hAnsi="Arial"/>
                <w:sz w:val="14"/>
                <w:szCs w:val="14"/>
                <w:b w:val="1"/>
                <w:bCs w:val="1"/>
                <w:color w:val="auto"/>
                <w:w w:val="95"/>
              </w:rPr>
              <w:t>Weighted-Average</w:t>
            </w:r>
          </w:p>
        </w:tc>
      </w:tr>
      <w:tr>
        <w:trPr>
          <w:trHeight w:val="149"/>
        </w:trPr>
        <w:tc>
          <w:tcPr>
            <w:tcW w:w="2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gridSpan w:val="2"/>
          </w:tcPr>
          <w:p>
            <w:pPr>
              <w:jc w:val="center"/>
              <w:ind w:left="47"/>
              <w:spacing w:after="0" w:line="149" w:lineRule="exact"/>
              <w:rPr>
                <w:sz w:val="20"/>
                <w:szCs w:val="20"/>
                <w:color w:val="auto"/>
              </w:rPr>
            </w:pPr>
            <w:r>
              <w:rPr>
                <w:rFonts w:ascii="Arial" w:cs="Arial" w:eastAsia="Arial" w:hAnsi="Arial"/>
                <w:sz w:val="14"/>
                <w:szCs w:val="14"/>
                <w:b w:val="1"/>
                <w:bCs w:val="1"/>
                <w:color w:val="auto"/>
                <w:w w:val="97"/>
              </w:rPr>
              <w:t>Average</w:t>
            </w:r>
          </w:p>
        </w:tc>
        <w:tc>
          <w:tcPr>
            <w:tcW w:w="142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7"/>
              </w:rPr>
              <w:t>Remaining</w:t>
            </w:r>
          </w:p>
        </w:tc>
      </w:tr>
      <w:tr>
        <w:trPr>
          <w:trHeight w:val="149"/>
        </w:trPr>
        <w:tc>
          <w:tcPr>
            <w:tcW w:w="2000" w:type="dxa"/>
            <w:vAlign w:val="bottom"/>
          </w:tcPr>
          <w:p>
            <w:pPr>
              <w:spacing w:after="0"/>
              <w:rPr>
                <w:sz w:val="12"/>
                <w:szCs w:val="12"/>
                <w:color w:val="auto"/>
              </w:rPr>
            </w:pPr>
          </w:p>
        </w:tc>
        <w:tc>
          <w:tcPr>
            <w:tcW w:w="1000" w:type="dxa"/>
            <w:vAlign w:val="bottom"/>
          </w:tcPr>
          <w:p>
            <w:pPr>
              <w:jc w:val="right"/>
              <w:ind w:right="6"/>
              <w:spacing w:after="0" w:line="149" w:lineRule="exact"/>
              <w:rPr>
                <w:sz w:val="20"/>
                <w:szCs w:val="20"/>
                <w:color w:val="auto"/>
              </w:rPr>
            </w:pPr>
            <w:r>
              <w:rPr>
                <w:rFonts w:ascii="Arial" w:cs="Arial" w:eastAsia="Arial" w:hAnsi="Arial"/>
                <w:sz w:val="14"/>
                <w:szCs w:val="14"/>
                <w:b w:val="1"/>
                <w:bCs w:val="1"/>
                <w:color w:val="auto"/>
              </w:rPr>
              <w:t>Number of</w:t>
            </w:r>
          </w:p>
        </w:tc>
        <w:tc>
          <w:tcPr>
            <w:tcW w:w="1180" w:type="dxa"/>
            <w:vAlign w:val="bottom"/>
            <w:gridSpan w:val="2"/>
          </w:tcPr>
          <w:p>
            <w:pPr>
              <w:jc w:val="center"/>
              <w:ind w:left="47"/>
              <w:spacing w:after="0" w:line="149" w:lineRule="exact"/>
              <w:rPr>
                <w:sz w:val="20"/>
                <w:szCs w:val="20"/>
                <w:color w:val="auto"/>
              </w:rPr>
            </w:pPr>
            <w:r>
              <w:rPr>
                <w:rFonts w:ascii="Arial" w:cs="Arial" w:eastAsia="Arial" w:hAnsi="Arial"/>
                <w:sz w:val="14"/>
                <w:szCs w:val="14"/>
                <w:b w:val="1"/>
                <w:bCs w:val="1"/>
                <w:color w:val="auto"/>
                <w:w w:val="93"/>
              </w:rPr>
              <w:t>Exercise</w:t>
            </w:r>
          </w:p>
        </w:tc>
        <w:tc>
          <w:tcPr>
            <w:tcW w:w="142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5"/>
              </w:rPr>
              <w:t>Contractual</w:t>
            </w:r>
          </w:p>
        </w:tc>
      </w:tr>
      <w:tr>
        <w:trPr>
          <w:trHeight w:val="165"/>
        </w:trPr>
        <w:tc>
          <w:tcPr>
            <w:tcW w:w="20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rPr>
              <w:t>Options</w:t>
            </w: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45"/>
              <w:spacing w:after="0"/>
              <w:rPr>
                <w:sz w:val="20"/>
                <w:szCs w:val="20"/>
                <w:color w:val="auto"/>
              </w:rPr>
            </w:pPr>
            <w:r>
              <w:rPr>
                <w:rFonts w:ascii="Arial" w:cs="Arial" w:eastAsia="Arial" w:hAnsi="Arial"/>
                <w:sz w:val="14"/>
                <w:szCs w:val="14"/>
                <w:b w:val="1"/>
                <w:bCs w:val="1"/>
                <w:color w:val="auto"/>
                <w:w w:val="99"/>
              </w:rPr>
              <w:t>Price</w:t>
            </w:r>
          </w:p>
        </w:tc>
        <w:tc>
          <w:tcPr>
            <w:tcW w:w="1420" w:type="dxa"/>
            <w:vAlign w:val="bottom"/>
            <w:tcBorders>
              <w:bottom w:val="single" w:sz="8" w:color="auto"/>
            </w:tcBorders>
          </w:tcPr>
          <w:p>
            <w:pPr>
              <w:jc w:val="center"/>
              <w:ind w:left="69"/>
              <w:spacing w:after="0"/>
              <w:rPr>
                <w:sz w:val="20"/>
                <w:szCs w:val="20"/>
                <w:color w:val="auto"/>
              </w:rPr>
            </w:pPr>
            <w:r>
              <w:rPr>
                <w:rFonts w:ascii="Arial" w:cs="Arial" w:eastAsia="Arial" w:hAnsi="Arial"/>
                <w:sz w:val="14"/>
                <w:szCs w:val="14"/>
                <w:b w:val="1"/>
                <w:bCs w:val="1"/>
                <w:color w:val="auto"/>
                <w:w w:val="96"/>
              </w:rPr>
              <w:t>Life (years)</w:t>
            </w:r>
          </w:p>
        </w:tc>
      </w:tr>
      <w:tr>
        <w:trPr>
          <w:trHeight w:val="152"/>
        </w:trPr>
        <w:tc>
          <w:tcPr>
            <w:tcW w:w="2000" w:type="dxa"/>
            <w:vAlign w:val="bottom"/>
            <w:shd w:val="clear" w:color="auto" w:fill="CCEEFF"/>
          </w:tcPr>
          <w:p>
            <w:pPr>
              <w:spacing w:after="0" w:line="152" w:lineRule="exact"/>
              <w:rPr>
                <w:sz w:val="20"/>
                <w:szCs w:val="20"/>
                <w:color w:val="auto"/>
              </w:rPr>
            </w:pPr>
            <w:r>
              <w:rPr>
                <w:rFonts w:ascii="Arial" w:cs="Arial" w:eastAsia="Arial" w:hAnsi="Arial"/>
                <w:sz w:val="15"/>
                <w:szCs w:val="15"/>
                <w:color w:val="auto"/>
              </w:rPr>
              <w:t>Outstanding at January 1,</w:t>
            </w:r>
          </w:p>
        </w:tc>
        <w:tc>
          <w:tcPr>
            <w:tcW w:w="10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65"/>
        </w:trPr>
        <w:tc>
          <w:tcPr>
            <w:tcW w:w="2000" w:type="dxa"/>
            <w:vAlign w:val="bottom"/>
            <w:shd w:val="clear" w:color="auto" w:fill="CCEEFF"/>
          </w:tcPr>
          <w:p>
            <w:pPr>
              <w:ind w:left="160"/>
              <w:spacing w:after="0" w:line="166" w:lineRule="exact"/>
              <w:rPr>
                <w:sz w:val="20"/>
                <w:szCs w:val="20"/>
                <w:color w:val="auto"/>
              </w:rPr>
            </w:pPr>
            <w:r>
              <w:rPr>
                <w:rFonts w:ascii="Arial" w:cs="Arial" w:eastAsia="Arial" w:hAnsi="Arial"/>
                <w:sz w:val="15"/>
                <w:szCs w:val="15"/>
                <w:color w:val="auto"/>
              </w:rPr>
              <w:t>2018</w:t>
            </w:r>
          </w:p>
        </w:tc>
        <w:tc>
          <w:tcPr>
            <w:tcW w:w="1000" w:type="dxa"/>
            <w:vAlign w:val="bottom"/>
            <w:shd w:val="clear" w:color="auto" w:fill="CCEEFF"/>
          </w:tcPr>
          <w:p>
            <w:pPr>
              <w:jc w:val="right"/>
              <w:ind w:right="6"/>
              <w:spacing w:after="0" w:line="166" w:lineRule="exact"/>
              <w:rPr>
                <w:sz w:val="20"/>
                <w:szCs w:val="20"/>
                <w:color w:val="auto"/>
              </w:rPr>
            </w:pPr>
            <w:r>
              <w:rPr>
                <w:rFonts w:ascii="Arial" w:cs="Arial" w:eastAsia="Arial" w:hAnsi="Arial"/>
                <w:sz w:val="15"/>
                <w:szCs w:val="15"/>
                <w:color w:val="auto"/>
              </w:rPr>
              <w:t>301,958</w:t>
            </w:r>
          </w:p>
        </w:tc>
        <w:tc>
          <w:tcPr>
            <w:tcW w:w="440" w:type="dxa"/>
            <w:vAlign w:val="bottom"/>
            <w:shd w:val="clear" w:color="auto" w:fill="CCEEFF"/>
          </w:tcPr>
          <w:p>
            <w:pPr>
              <w:ind w:left="320"/>
              <w:spacing w:after="0" w:line="166"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125"/>
              <w:spacing w:after="0" w:line="166" w:lineRule="exact"/>
              <w:rPr>
                <w:sz w:val="20"/>
                <w:szCs w:val="20"/>
                <w:color w:val="auto"/>
              </w:rPr>
            </w:pPr>
            <w:r>
              <w:rPr>
                <w:rFonts w:ascii="Arial" w:cs="Arial" w:eastAsia="Arial" w:hAnsi="Arial"/>
                <w:sz w:val="15"/>
                <w:szCs w:val="15"/>
                <w:color w:val="auto"/>
              </w:rPr>
              <w:t>91.44</w:t>
            </w:r>
          </w:p>
        </w:tc>
        <w:tc>
          <w:tcPr>
            <w:tcW w:w="1420" w:type="dxa"/>
            <w:vAlign w:val="bottom"/>
            <w:shd w:val="clear" w:color="auto" w:fill="CCEEFF"/>
          </w:tcPr>
          <w:p>
            <w:pPr>
              <w:spacing w:after="0"/>
              <w:rPr>
                <w:sz w:val="14"/>
                <w:szCs w:val="14"/>
                <w:color w:val="auto"/>
              </w:rPr>
            </w:pPr>
          </w:p>
        </w:tc>
      </w:tr>
      <w:tr>
        <w:trPr>
          <w:trHeight w:val="162"/>
        </w:trPr>
        <w:tc>
          <w:tcPr>
            <w:tcW w:w="2000" w:type="dxa"/>
            <w:vAlign w:val="bottom"/>
          </w:tcPr>
          <w:p>
            <w:pPr>
              <w:spacing w:after="0" w:line="162" w:lineRule="exact"/>
              <w:rPr>
                <w:sz w:val="20"/>
                <w:szCs w:val="20"/>
                <w:color w:val="auto"/>
              </w:rPr>
            </w:pPr>
            <w:r>
              <w:rPr>
                <w:rFonts w:ascii="Arial" w:cs="Arial" w:eastAsia="Arial" w:hAnsi="Arial"/>
                <w:sz w:val="15"/>
                <w:szCs w:val="15"/>
                <w:color w:val="auto"/>
              </w:rPr>
              <w:t>Exercised</w:t>
            </w:r>
          </w:p>
        </w:tc>
        <w:tc>
          <w:tcPr>
            <w:tcW w:w="1000" w:type="dxa"/>
            <w:vAlign w:val="bottom"/>
          </w:tcPr>
          <w:p>
            <w:pPr>
              <w:jc w:val="right"/>
              <w:spacing w:after="0" w:line="162" w:lineRule="exact"/>
              <w:rPr>
                <w:sz w:val="20"/>
                <w:szCs w:val="20"/>
                <w:color w:val="auto"/>
              </w:rPr>
            </w:pPr>
            <w:r>
              <w:rPr>
                <w:rFonts w:ascii="Arial" w:cs="Arial" w:eastAsia="Arial" w:hAnsi="Arial"/>
                <w:sz w:val="15"/>
                <w:szCs w:val="15"/>
                <w:color w:val="auto"/>
              </w:rPr>
              <w:t>(89,557)</w:t>
            </w:r>
          </w:p>
        </w:tc>
        <w:tc>
          <w:tcPr>
            <w:tcW w:w="440" w:type="dxa"/>
            <w:vAlign w:val="bottom"/>
          </w:tcPr>
          <w:p>
            <w:pPr>
              <w:ind w:left="320"/>
              <w:spacing w:after="0" w:line="162"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125"/>
              <w:spacing w:after="0" w:line="162" w:lineRule="exact"/>
              <w:rPr>
                <w:sz w:val="20"/>
                <w:szCs w:val="20"/>
                <w:color w:val="auto"/>
              </w:rPr>
            </w:pPr>
            <w:r>
              <w:rPr>
                <w:rFonts w:ascii="Arial" w:cs="Arial" w:eastAsia="Arial" w:hAnsi="Arial"/>
                <w:sz w:val="15"/>
                <w:szCs w:val="15"/>
                <w:color w:val="auto"/>
              </w:rPr>
              <w:t>81.06</w:t>
            </w:r>
          </w:p>
        </w:tc>
        <w:tc>
          <w:tcPr>
            <w:tcW w:w="1420" w:type="dxa"/>
            <w:vAlign w:val="bottom"/>
          </w:tcPr>
          <w:p>
            <w:pPr>
              <w:spacing w:after="0"/>
              <w:rPr>
                <w:sz w:val="14"/>
                <w:szCs w:val="14"/>
                <w:color w:val="auto"/>
              </w:rPr>
            </w:pPr>
          </w:p>
        </w:tc>
      </w:tr>
      <w:tr>
        <w:trPr>
          <w:trHeight w:val="162"/>
        </w:trPr>
        <w:tc>
          <w:tcPr>
            <w:tcW w:w="200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5"/>
                <w:szCs w:val="15"/>
                <w:color w:val="auto"/>
              </w:rPr>
              <w:t>Terminated</w:t>
            </w:r>
          </w:p>
        </w:tc>
        <w:tc>
          <w:tcPr>
            <w:tcW w:w="10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(2,011)</w:t>
            </w:r>
          </w:p>
        </w:tc>
        <w:tc>
          <w:tcPr>
            <w:tcW w:w="44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125"/>
              <w:spacing w:after="0" w:line="162" w:lineRule="exact"/>
              <w:rPr>
                <w:sz w:val="20"/>
                <w:szCs w:val="20"/>
                <w:color w:val="auto"/>
              </w:rPr>
            </w:pPr>
            <w:r>
              <w:rPr>
                <w:rFonts w:ascii="Arial" w:cs="Arial" w:eastAsia="Arial" w:hAnsi="Arial"/>
                <w:sz w:val="15"/>
                <w:szCs w:val="15"/>
                <w:color w:val="auto"/>
              </w:rPr>
              <w:t>83.32</w:t>
            </w:r>
          </w:p>
        </w:tc>
        <w:tc>
          <w:tcPr>
            <w:tcW w:w="1420" w:type="dxa"/>
            <w:vAlign w:val="bottom"/>
            <w:shd w:val="clear" w:color="auto" w:fill="CCEEFF"/>
          </w:tcPr>
          <w:p>
            <w:pPr>
              <w:spacing w:after="0"/>
              <w:rPr>
                <w:sz w:val="14"/>
                <w:szCs w:val="14"/>
                <w:color w:val="auto"/>
              </w:rPr>
            </w:pPr>
          </w:p>
        </w:tc>
      </w:tr>
      <w:tr>
        <w:trPr>
          <w:trHeight w:val="152"/>
        </w:trPr>
        <w:tc>
          <w:tcPr>
            <w:tcW w:w="2000" w:type="dxa"/>
            <w:vAlign w:val="bottom"/>
          </w:tcPr>
          <w:p>
            <w:pPr>
              <w:spacing w:after="0" w:line="152" w:lineRule="exact"/>
              <w:rPr>
                <w:sz w:val="20"/>
                <w:szCs w:val="20"/>
                <w:color w:val="auto"/>
              </w:rPr>
            </w:pPr>
            <w:r>
              <w:rPr>
                <w:rFonts w:ascii="Arial" w:cs="Arial" w:eastAsia="Arial" w:hAnsi="Arial"/>
                <w:sz w:val="15"/>
                <w:szCs w:val="15"/>
                <w:color w:val="auto"/>
              </w:rPr>
              <w:t>Outstanding at</w:t>
            </w: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72"/>
        </w:trPr>
        <w:tc>
          <w:tcPr>
            <w:tcW w:w="2000" w:type="dxa"/>
            <w:vAlign w:val="bottom"/>
            <w:tcBorders>
              <w:bottom w:val="single" w:sz="8" w:color="auto"/>
            </w:tcBorders>
          </w:tcPr>
          <w:p>
            <w:pPr>
              <w:ind w:left="160"/>
              <w:spacing w:after="0" w:line="166" w:lineRule="exact"/>
              <w:rPr>
                <w:sz w:val="20"/>
                <w:szCs w:val="20"/>
                <w:color w:val="auto"/>
              </w:rPr>
            </w:pPr>
            <w:r>
              <w:rPr>
                <w:rFonts w:ascii="Arial" w:cs="Arial" w:eastAsia="Arial" w:hAnsi="Arial"/>
                <w:sz w:val="15"/>
                <w:szCs w:val="15"/>
                <w:color w:val="auto"/>
              </w:rPr>
              <w:t>December 31, 2018</w:t>
            </w:r>
          </w:p>
        </w:tc>
        <w:tc>
          <w:tcPr>
            <w:tcW w:w="1000" w:type="dxa"/>
            <w:vAlign w:val="bottom"/>
            <w:tcBorders>
              <w:bottom w:val="single" w:sz="8" w:color="auto"/>
            </w:tcBorders>
          </w:tcPr>
          <w:p>
            <w:pPr>
              <w:jc w:val="right"/>
              <w:ind w:right="6"/>
              <w:spacing w:after="0" w:line="166" w:lineRule="exact"/>
              <w:rPr>
                <w:sz w:val="20"/>
                <w:szCs w:val="20"/>
                <w:color w:val="auto"/>
              </w:rPr>
            </w:pPr>
            <w:r>
              <w:rPr>
                <w:rFonts w:ascii="Arial" w:cs="Arial" w:eastAsia="Arial" w:hAnsi="Arial"/>
                <w:sz w:val="15"/>
                <w:szCs w:val="15"/>
                <w:color w:val="auto"/>
              </w:rPr>
              <w:t>210,390</w:t>
            </w:r>
          </w:p>
        </w:tc>
        <w:tc>
          <w:tcPr>
            <w:tcW w:w="440" w:type="dxa"/>
            <w:vAlign w:val="bottom"/>
            <w:tcBorders>
              <w:bottom w:val="single" w:sz="8" w:color="CCEEFF"/>
            </w:tcBorders>
          </w:tcPr>
          <w:p>
            <w:pPr>
              <w:ind w:left="320"/>
              <w:spacing w:after="0" w:line="166"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CCEEFF"/>
            </w:tcBorders>
          </w:tcPr>
          <w:p>
            <w:pPr>
              <w:jc w:val="right"/>
              <w:ind w:right="125"/>
              <w:spacing w:after="0" w:line="166" w:lineRule="exact"/>
              <w:rPr>
                <w:sz w:val="20"/>
                <w:szCs w:val="20"/>
                <w:color w:val="auto"/>
              </w:rPr>
            </w:pPr>
            <w:r>
              <w:rPr>
                <w:rFonts w:ascii="Arial" w:cs="Arial" w:eastAsia="Arial" w:hAnsi="Arial"/>
                <w:sz w:val="15"/>
                <w:szCs w:val="15"/>
                <w:color w:val="auto"/>
              </w:rPr>
              <w:t>95.93</w:t>
            </w:r>
          </w:p>
        </w:tc>
        <w:tc>
          <w:tcPr>
            <w:tcW w:w="1420" w:type="dxa"/>
            <w:vAlign w:val="bottom"/>
            <w:tcBorders>
              <w:bottom w:val="single" w:sz="8" w:color="CCEEFF"/>
            </w:tcBorders>
          </w:tcPr>
          <w:p>
            <w:pPr>
              <w:jc w:val="right"/>
              <w:ind w:right="369"/>
              <w:spacing w:after="0" w:line="166" w:lineRule="exact"/>
              <w:rPr>
                <w:sz w:val="20"/>
                <w:szCs w:val="20"/>
                <w:color w:val="auto"/>
              </w:rPr>
            </w:pPr>
            <w:r>
              <w:rPr>
                <w:rFonts w:ascii="Arial" w:cs="Arial" w:eastAsia="Arial" w:hAnsi="Arial"/>
                <w:sz w:val="15"/>
                <w:szCs w:val="15"/>
                <w:color w:val="auto"/>
              </w:rPr>
              <w:t>3.6</w:t>
            </w:r>
          </w:p>
        </w:tc>
      </w:tr>
      <w:tr>
        <w:trPr>
          <w:trHeight w:val="159"/>
        </w:trPr>
        <w:tc>
          <w:tcPr>
            <w:tcW w:w="200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Exercisable at</w:t>
            </w:r>
          </w:p>
        </w:tc>
        <w:tc>
          <w:tcPr>
            <w:tcW w:w="10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72"/>
        </w:trPr>
        <w:tc>
          <w:tcPr>
            <w:tcW w:w="2000" w:type="dxa"/>
            <w:vAlign w:val="bottom"/>
            <w:tcBorders>
              <w:bottom w:val="single" w:sz="8" w:color="auto"/>
            </w:tcBorders>
            <w:shd w:val="clear" w:color="auto" w:fill="CCEEFF"/>
          </w:tcPr>
          <w:p>
            <w:pPr>
              <w:ind w:left="160"/>
              <w:spacing w:after="0" w:line="166" w:lineRule="exact"/>
              <w:rPr>
                <w:sz w:val="20"/>
                <w:szCs w:val="20"/>
                <w:color w:val="auto"/>
              </w:rPr>
            </w:pPr>
            <w:r>
              <w:rPr>
                <w:rFonts w:ascii="Arial" w:cs="Arial" w:eastAsia="Arial" w:hAnsi="Arial"/>
                <w:sz w:val="15"/>
                <w:szCs w:val="15"/>
                <w:color w:val="auto"/>
              </w:rPr>
              <w:t>December 31, 2018</w:t>
            </w:r>
          </w:p>
        </w:tc>
        <w:tc>
          <w:tcPr>
            <w:tcW w:w="1000" w:type="dxa"/>
            <w:vAlign w:val="bottom"/>
            <w:tcBorders>
              <w:bottom w:val="single" w:sz="8" w:color="auto"/>
            </w:tcBorders>
            <w:shd w:val="clear" w:color="auto" w:fill="CCEEFF"/>
          </w:tcPr>
          <w:p>
            <w:pPr>
              <w:jc w:val="right"/>
              <w:ind w:right="6"/>
              <w:spacing w:after="0" w:line="166" w:lineRule="exact"/>
              <w:rPr>
                <w:sz w:val="20"/>
                <w:szCs w:val="20"/>
                <w:color w:val="auto"/>
              </w:rPr>
            </w:pPr>
            <w:r>
              <w:rPr>
                <w:rFonts w:ascii="Arial" w:cs="Arial" w:eastAsia="Arial" w:hAnsi="Arial"/>
                <w:sz w:val="15"/>
                <w:szCs w:val="15"/>
                <w:color w:val="auto"/>
              </w:rPr>
              <w:t>197,241</w:t>
            </w:r>
          </w:p>
        </w:tc>
        <w:tc>
          <w:tcPr>
            <w:tcW w:w="440" w:type="dxa"/>
            <w:vAlign w:val="bottom"/>
            <w:tcBorders>
              <w:bottom w:val="single" w:sz="8" w:color="CCEEFF"/>
            </w:tcBorders>
            <w:shd w:val="clear" w:color="auto" w:fill="CCEEFF"/>
          </w:tcPr>
          <w:p>
            <w:pPr>
              <w:ind w:left="320"/>
              <w:spacing w:after="0" w:line="166"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CCEEFF"/>
            </w:tcBorders>
            <w:shd w:val="clear" w:color="auto" w:fill="CCEEFF"/>
          </w:tcPr>
          <w:p>
            <w:pPr>
              <w:jc w:val="right"/>
              <w:ind w:right="125"/>
              <w:spacing w:after="0" w:line="166" w:lineRule="exact"/>
              <w:rPr>
                <w:sz w:val="20"/>
                <w:szCs w:val="20"/>
                <w:color w:val="auto"/>
              </w:rPr>
            </w:pPr>
            <w:r>
              <w:rPr>
                <w:rFonts w:ascii="Arial" w:cs="Arial" w:eastAsia="Arial" w:hAnsi="Arial"/>
                <w:sz w:val="15"/>
                <w:szCs w:val="15"/>
                <w:color w:val="auto"/>
              </w:rPr>
              <w:t>92.02</w:t>
            </w:r>
          </w:p>
        </w:tc>
        <w:tc>
          <w:tcPr>
            <w:tcW w:w="1420" w:type="dxa"/>
            <w:vAlign w:val="bottom"/>
            <w:tcBorders>
              <w:bottom w:val="single" w:sz="8" w:color="CCEEFF"/>
            </w:tcBorders>
            <w:shd w:val="clear" w:color="auto" w:fill="CCEEFF"/>
          </w:tcPr>
          <w:p>
            <w:pPr>
              <w:jc w:val="right"/>
              <w:ind w:right="369"/>
              <w:spacing w:after="0" w:line="166" w:lineRule="exact"/>
              <w:rPr>
                <w:sz w:val="20"/>
                <w:szCs w:val="20"/>
                <w:color w:val="auto"/>
              </w:rPr>
            </w:pPr>
            <w:r>
              <w:rPr>
                <w:rFonts w:ascii="Arial" w:cs="Arial" w:eastAsia="Arial" w:hAnsi="Arial"/>
                <w:sz w:val="15"/>
                <w:szCs w:val="15"/>
                <w:color w:val="auto"/>
              </w:rPr>
              <w:t>3.4</w:t>
            </w:r>
          </w:p>
        </w:tc>
      </w:tr>
    </w:tbl>
    <w:p>
      <w:pPr>
        <w:spacing w:after="0" w:line="210"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aggregate intrinsic values of options exercised during the years ended December 31, 2018, 2017 and 2016 were $12,395,000, $13,247,000 and $22,571,000, respectively, and were based on the closing prices of the Company’s common stock on the dates of exercise. The aggregate intrinsic values for options outstanding and exercisable at December 31, 2018 were $15,977,000 and $15,750,000, respectively, and were based on the closing price of the Company’s common stock at December 31, 2018, which was $171.87. The excess tax benefits for stock options exercised during the years ended December 31, 2018, 2017 and 2016 were $1,741,000, $3,483,000 and $4,238,000, respectively.</w:t>
      </w:r>
    </w:p>
    <w:p>
      <w:pPr>
        <w:spacing w:after="0" w:line="34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At December 31, 2018, there are approximately 792,000 awards available for grant under the Plans. In 2016, the</w:t>
      </w:r>
    </w:p>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35</w:t>
      </w:r>
    </w:p>
    <w:p>
      <w:pPr>
        <w:sectPr>
          <w:pgSz w:w="11900" w:h="16838" w:orient="portrait"/>
          <w:cols w:equalWidth="0" w:num="1">
            <w:col w:w="11420"/>
          </w:cols>
          <w:pgMar w:left="240" w:top="265" w:right="239" w:bottom="1440" w:gutter="0" w:footer="0" w:header="0"/>
          <w:type w:val="continuous"/>
        </w:sectPr>
      </w:pPr>
    </w:p>
    <w:bookmarkStart w:id="74" w:name="page75"/>
    <w:bookmarkEnd w:id="74"/>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Company’s shareholders approved the issuance of an additional 800,000 shares of common stock under the Plans. As part of approving the additional shares, the Company agreed to not issue any additional awards under the legacy TXI plan. The awards available for grant under the Plans at December 31, 2018 reflect no awards available under the legacy TXI plan.</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In 1996, the Company adopted the Shareholder Value Achievement Plan to award shares of the Company’s common stock to key senior employees based on certain common stock performance criteria over a long-term period. Under the terms of this plan, 250,000 shares of common stock were reserved for issuance. Through December 31, 2018, 42,025 shares have been issued under this plan. No awards have been granted under this plan since 2000.</w:t>
      </w:r>
    </w:p>
    <w:p>
      <w:pPr>
        <w:spacing w:after="0" w:line="20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adopted and the shareholders approved the Common Stock Purchase Plan for Directors in 1996, which provides nonemployee members of the Board of Directors the election to receive all or a portion of their total fees in the form of the Company’s common stock. Beginning in 2016, members of the Board of Directors were not required to defer any of their fees in the form of the Company’s common stock. Under the terms of this plan, 300,000 shares of common stock were reserved for issuance. Nonemployee members of the Board of Directors elected to defer portions of their fees representing 3,105, 2,132 and 3,699 shares of the Company’s common stock under this plan during 2018, 2017 and 2016, respectively.</w:t>
      </w:r>
    </w:p>
    <w:p>
      <w:pPr>
        <w:spacing w:after="0" w:line="20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following table summarizes stock-based compensation expense for the years ended December 31, 2018, 2017 and 2016, unrecognized compensation cost for nonvested awards at December 31, 2018 and the weighted-average period over which unrecognized compensation cost will be recognized:</w:t>
      </w:r>
    </w:p>
    <w:p>
      <w:pPr>
        <w:spacing w:after="0" w:line="224" w:lineRule="exact"/>
        <w:rPr>
          <w:sz w:val="20"/>
          <w:szCs w:val="20"/>
          <w:color w:val="auto"/>
        </w:rPr>
      </w:pPr>
    </w:p>
    <w:p>
      <w:pPr>
        <w:ind w:left="3100"/>
        <w:spacing w:after="0"/>
        <w:rPr>
          <w:sz w:val="20"/>
          <w:szCs w:val="20"/>
          <w:color w:val="auto"/>
        </w:rPr>
      </w:pPr>
      <w:r>
        <w:rPr>
          <w:rFonts w:ascii="Arial" w:cs="Arial" w:eastAsia="Arial" w:hAnsi="Arial"/>
          <w:sz w:val="14"/>
          <w:szCs w:val="14"/>
          <w:b w:val="1"/>
          <w:bCs w:val="1"/>
          <w:color w:val="auto"/>
        </w:rPr>
        <w:t>Incentive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ind w:left="20"/>
              <w:spacing w:after="0"/>
              <w:rPr>
                <w:sz w:val="20"/>
                <w:szCs w:val="20"/>
                <w:color w:val="auto"/>
              </w:rPr>
            </w:pPr>
            <w:r>
              <w:rPr>
                <w:rFonts w:ascii="Arial" w:cs="Arial" w:eastAsia="Arial" w:hAnsi="Arial"/>
                <w:sz w:val="13"/>
                <w:szCs w:val="13"/>
                <w:color w:val="auto"/>
              </w:rPr>
              <w:t>(add 000,</w:t>
            </w:r>
          </w:p>
        </w:tc>
        <w:tc>
          <w:tcPr>
            <w:tcW w:w="120" w:type="dxa"/>
            <w:vAlign w:val="bottom"/>
          </w:tcPr>
          <w:p>
            <w:pPr>
              <w:spacing w:after="0"/>
              <w:rPr>
                <w:sz w:val="14"/>
                <w:szCs w:val="14"/>
                <w:color w:val="auto"/>
              </w:rPr>
            </w:pPr>
          </w:p>
        </w:tc>
        <w:tc>
          <w:tcPr>
            <w:tcW w:w="7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Stock</w:t>
            </w: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Restricted</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w:t>
            </w: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Directors’</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line="136" w:lineRule="exact"/>
              <w:rPr>
                <w:sz w:val="20"/>
                <w:szCs w:val="20"/>
                <w:color w:val="auto"/>
              </w:rPr>
            </w:pPr>
            <w:r>
              <w:rPr>
                <w:rFonts w:ascii="Arial" w:cs="Arial" w:eastAsia="Arial" w:hAnsi="Arial"/>
                <w:sz w:val="13"/>
                <w:szCs w:val="13"/>
                <w:color w:val="auto"/>
              </w:rPr>
              <w:t>except</w:t>
            </w: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center"/>
              <w:ind w:right="148"/>
              <w:spacing w:after="0" w:line="135" w:lineRule="exact"/>
              <w:rPr>
                <w:sz w:val="20"/>
                <w:szCs w:val="20"/>
                <w:color w:val="auto"/>
              </w:rPr>
            </w:pPr>
            <w:r>
              <w:rPr>
                <w:rFonts w:ascii="Arial" w:cs="Arial" w:eastAsia="Arial" w:hAnsi="Arial"/>
                <w:sz w:val="14"/>
                <w:szCs w:val="14"/>
                <w:b w:val="1"/>
                <w:bCs w:val="1"/>
                <w:color w:val="auto"/>
              </w:rPr>
              <w:t>sation</w:t>
            </w:r>
          </w:p>
        </w:tc>
        <w:tc>
          <w:tcPr>
            <w:tcW w:w="900" w:type="dxa"/>
            <w:vAlign w:val="bottom"/>
            <w:gridSpan w:val="2"/>
            <w:vMerge w:val="continue"/>
          </w:tcPr>
          <w:p>
            <w:pPr>
              <w:spacing w:after="0"/>
              <w:rPr>
                <w:sz w:val="11"/>
                <w:szCs w:val="11"/>
                <w:color w:val="auto"/>
              </w:rPr>
            </w:pPr>
          </w:p>
        </w:tc>
        <w:tc>
          <w:tcPr>
            <w:tcW w:w="7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year data)</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Options</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Stock</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9"/>
              </w:rPr>
              <w:t>Stock</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Awards</w:t>
            </w: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expense recognized for</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years ended</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2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December 31:</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20" w:type="dxa"/>
            <w:vAlign w:val="bottom"/>
          </w:tcPr>
          <w:p>
            <w:pPr>
              <w:ind w:left="20"/>
              <w:spacing w:after="0"/>
              <w:rPr>
                <w:sz w:val="20"/>
                <w:szCs w:val="20"/>
                <w:color w:val="auto"/>
              </w:rPr>
            </w:pPr>
            <w:r>
              <w:rPr>
                <w:rFonts w:ascii="Arial" w:cs="Arial" w:eastAsia="Arial" w:hAnsi="Arial"/>
                <w:sz w:val="14"/>
                <w:szCs w:val="14"/>
                <w:b w:val="1"/>
                <w:bCs w:val="1"/>
                <w:color w:val="0085CD"/>
              </w:rPr>
              <w:t>2018</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242</w:t>
            </w:r>
          </w:p>
        </w:tc>
        <w:tc>
          <w:tcPr>
            <w:tcW w:w="22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27,650</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729</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632</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$29,253</w:t>
            </w: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684</w:t>
            </w:r>
          </w:p>
        </w:tc>
        <w:tc>
          <w:tcPr>
            <w:tcW w:w="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28,657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661</w:t>
            </w:r>
          </w:p>
        </w:tc>
        <w:tc>
          <w:tcPr>
            <w:tcW w:w="2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$30,460</w:t>
            </w:r>
          </w:p>
        </w:tc>
        <w:tc>
          <w:tcPr>
            <w:tcW w:w="0" w:type="dxa"/>
            <w:vAlign w:val="bottom"/>
          </w:tcPr>
          <w:p>
            <w:pPr>
              <w:spacing w:after="0"/>
              <w:rPr>
                <w:sz w:val="1"/>
                <w:szCs w:val="1"/>
                <w:color w:val="auto"/>
              </w:rPr>
            </w:pPr>
          </w:p>
        </w:tc>
      </w:tr>
      <w:tr>
        <w:trPr>
          <w:trHeight w:val="169"/>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1,646</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17,747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442</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646</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$20,481</w:t>
            </w:r>
          </w:p>
        </w:tc>
        <w:tc>
          <w:tcPr>
            <w:tcW w:w="0" w:type="dxa"/>
            <w:vAlign w:val="bottom"/>
          </w:tcPr>
          <w:p>
            <w:pPr>
              <w:spacing w:after="0"/>
              <w:rPr>
                <w:sz w:val="1"/>
                <w:szCs w:val="1"/>
                <w:color w:val="auto"/>
              </w:rPr>
            </w:pPr>
          </w:p>
        </w:tc>
      </w:tr>
      <w:tr>
        <w:trPr>
          <w:trHeight w:val="162"/>
        </w:trPr>
        <w:tc>
          <w:tcPr>
            <w:tcW w:w="3880" w:type="dxa"/>
            <w:vAlign w:val="bottom"/>
            <w:gridSpan w:val="7"/>
            <w:shd w:val="clear" w:color="auto" w:fill="CCEEFF"/>
          </w:tcPr>
          <w:p>
            <w:pPr>
              <w:ind w:left="20"/>
              <w:spacing w:after="0"/>
              <w:rPr>
                <w:sz w:val="20"/>
                <w:szCs w:val="20"/>
                <w:color w:val="auto"/>
              </w:rPr>
            </w:pPr>
            <w:r>
              <w:rPr>
                <w:rFonts w:ascii="Arial" w:cs="Arial" w:eastAsia="Arial" w:hAnsi="Arial"/>
                <w:sz w:val="14"/>
                <w:szCs w:val="14"/>
                <w:color w:val="auto"/>
              </w:rPr>
              <w:t>Unrecognized compensation cost at December 31, 2018:</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50</w:t>
            </w:r>
          </w:p>
        </w:tc>
        <w:tc>
          <w:tcPr>
            <w:tcW w:w="22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21,992</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495</w:t>
            </w:r>
          </w:p>
        </w:tc>
        <w:tc>
          <w:tcPr>
            <w:tcW w:w="200" w:type="dxa"/>
            <w:vAlign w:val="bottom"/>
          </w:tcPr>
          <w:p>
            <w:pPr>
              <w:ind w:left="12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$22,537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3450" cy="2228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3473450" cy="222885"/>
                    </a:xfrm>
                    <a:prstGeom prst="rect">
                      <a:avLst/>
                    </a:prstGeom>
                    <a:noFill/>
                  </pic:spPr>
                </pic:pic>
              </a:graphicData>
            </a:graphic>
          </wp:anchor>
        </w:drawing>
      </w:r>
    </w:p>
    <w:p>
      <w:pPr>
        <w:ind w:left="160" w:right="240" w:hanging="152"/>
        <w:spacing w:after="0" w:line="225" w:lineRule="auto"/>
        <w:rPr>
          <w:sz w:val="20"/>
          <w:szCs w:val="20"/>
          <w:color w:val="auto"/>
        </w:rPr>
      </w:pPr>
      <w:r>
        <w:rPr>
          <w:rFonts w:ascii="Arial" w:cs="Arial" w:eastAsia="Arial" w:hAnsi="Arial"/>
          <w:sz w:val="15"/>
          <w:szCs w:val="15"/>
          <w:color w:val="auto"/>
        </w:rPr>
        <w:t>Weighted-average period over which unrecognized compensation cost will be recognized:</w:t>
      </w:r>
    </w:p>
    <w:p>
      <w:pPr>
        <w:spacing w:after="0" w:line="1" w:lineRule="exact"/>
        <w:rPr>
          <w:sz w:val="20"/>
          <w:szCs w:val="20"/>
          <w:color w:val="auto"/>
        </w:rPr>
      </w:pPr>
    </w:p>
    <w:p>
      <w:pPr>
        <w:ind w:left="1240"/>
        <w:spacing w:after="0"/>
        <w:tabs>
          <w:tab w:leader="none" w:pos="2180" w:val="left"/>
          <w:tab w:leader="none" w:pos="3120" w:val="left"/>
          <w:tab w:leader="none" w:pos="4560" w:val="left"/>
        </w:tabs>
        <w:rPr>
          <w:sz w:val="20"/>
          <w:szCs w:val="20"/>
          <w:color w:val="auto"/>
        </w:rPr>
      </w:pPr>
      <w:r>
        <w:rPr>
          <w:rFonts w:ascii="Arial" w:cs="Arial" w:eastAsia="Arial" w:hAnsi="Arial"/>
          <w:sz w:val="15"/>
          <w:szCs w:val="15"/>
          <w:color w:val="auto"/>
        </w:rPr>
        <w:t>0.4 years</w:t>
      </w:r>
      <w:r>
        <w:rPr>
          <w:sz w:val="20"/>
          <w:szCs w:val="20"/>
          <w:color w:val="auto"/>
        </w:rPr>
        <w:tab/>
      </w:r>
      <w:r>
        <w:rPr>
          <w:rFonts w:ascii="Arial" w:cs="Arial" w:eastAsia="Arial" w:hAnsi="Arial"/>
          <w:sz w:val="15"/>
          <w:szCs w:val="15"/>
          <w:color w:val="auto"/>
        </w:rPr>
        <w:t>1.6 years</w:t>
      </w:r>
      <w:r>
        <w:rPr>
          <w:sz w:val="20"/>
          <w:szCs w:val="20"/>
          <w:color w:val="auto"/>
        </w:rPr>
        <w:tab/>
      </w:r>
      <w:r>
        <w:rPr>
          <w:rFonts w:ascii="Arial" w:cs="Arial" w:eastAsia="Arial" w:hAnsi="Arial"/>
          <w:sz w:val="15"/>
          <w:szCs w:val="15"/>
          <w:color w:val="auto"/>
        </w:rPr>
        <w:t>1.6 years</w:t>
      </w:r>
      <w:r>
        <w:rPr>
          <w:sz w:val="20"/>
          <w:szCs w:val="20"/>
          <w:color w:val="auto"/>
        </w:rPr>
        <w:tab/>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347345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6">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The following presents expected stock-based compensation expense in future periods for outstanding awards as of December 31, 2018:</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(add 000)</w:t>
      </w:r>
    </w:p>
    <w:tbl>
      <w:tblPr>
        <w:tblLayout w:type="fixed"/>
        <w:tblInd w:w="0" w:type="dxa"/>
        <w:tblCellMar>
          <w:top w:w="0" w:type="dxa"/>
          <w:left w:w="0" w:type="dxa"/>
          <w:bottom w:w="0" w:type="dxa"/>
          <w:right w:w="0" w:type="dxa"/>
        </w:tblCellMar>
      </w:tblPr>
      <w:tr>
        <w:trPr>
          <w:trHeight w:val="156"/>
        </w:trPr>
        <w:tc>
          <w:tcPr>
            <w:tcW w:w="26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2019</w:t>
            </w:r>
          </w:p>
        </w:tc>
        <w:tc>
          <w:tcPr>
            <w:tcW w:w="24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16,191</w:t>
            </w:r>
          </w:p>
        </w:tc>
      </w:tr>
      <w:tr>
        <w:trPr>
          <w:trHeight w:val="162"/>
        </w:trPr>
        <w:tc>
          <w:tcPr>
            <w:tcW w:w="2620" w:type="dxa"/>
            <w:vAlign w:val="bottom"/>
          </w:tcPr>
          <w:p>
            <w:pPr>
              <w:spacing w:after="0" w:line="162" w:lineRule="exact"/>
              <w:rPr>
                <w:sz w:val="20"/>
                <w:szCs w:val="20"/>
                <w:color w:val="auto"/>
              </w:rPr>
            </w:pPr>
            <w:r>
              <w:rPr>
                <w:rFonts w:ascii="Arial" w:cs="Arial" w:eastAsia="Arial" w:hAnsi="Arial"/>
                <w:sz w:val="15"/>
                <w:szCs w:val="15"/>
                <w:color w:val="auto"/>
              </w:rPr>
              <w:t>2020</w:t>
            </w:r>
          </w:p>
        </w:tc>
        <w:tc>
          <w:tcPr>
            <w:tcW w:w="24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5,843</w:t>
            </w:r>
          </w:p>
        </w:tc>
      </w:tr>
      <w:tr>
        <w:trPr>
          <w:trHeight w:val="162"/>
        </w:trPr>
        <w:tc>
          <w:tcPr>
            <w:tcW w:w="26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2021</w:t>
            </w:r>
          </w:p>
        </w:tc>
        <w:tc>
          <w:tcPr>
            <w:tcW w:w="2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409</w:t>
            </w:r>
          </w:p>
        </w:tc>
      </w:tr>
      <w:tr>
        <w:trPr>
          <w:trHeight w:val="162"/>
        </w:trPr>
        <w:tc>
          <w:tcPr>
            <w:tcW w:w="262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2022</w:t>
            </w:r>
          </w:p>
        </w:tc>
        <w:tc>
          <w:tcPr>
            <w:tcW w:w="2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94</w:t>
            </w:r>
          </w:p>
        </w:tc>
      </w:tr>
      <w:tr>
        <w:trPr>
          <w:trHeight w:val="163"/>
        </w:trPr>
        <w:tc>
          <w:tcPr>
            <w:tcW w:w="262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Total</w:t>
            </w:r>
          </w:p>
        </w:tc>
        <w:tc>
          <w:tcPr>
            <w:tcW w:w="24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22,537</w:t>
            </w:r>
          </w:p>
        </w:tc>
      </w:tr>
    </w:tbl>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Stock-based compensation expense is included in selling, general and administrative expenses in the Company’s consolidated statements of earnings.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Note M: Leases</w:t>
      </w:r>
    </w:p>
    <w:p>
      <w:pPr>
        <w:spacing w:after="0" w:line="1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Total lease expense for operating leases was $122,545,000, $90,731,000 and $85,945,000 for the years ended December 31, 2018, 2017 and 2016, respectively. The Company’s operating leases generally contain renewal and/ or purchase options with varying terms. The Company has royalty agreements that generally require royalty payments based on tons produced or total sales dollars and also contain minimum payments. Total royalties, principally for leased properties, were $52,482,000, $51,827,000 and $55,257,000 for the years ended December 31, 2018, 2017 and 2016, respectively. The Company also has capital lease obligations for machinery and equipment.</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Future minimum lease and royalty commitments for all non-cancelable agreements and capital lease obligations as of December 31, 2018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vMerge w:val="restart"/>
          </w:tcPr>
          <w:p>
            <w:pPr>
              <w:spacing w:after="0"/>
              <w:rPr>
                <w:sz w:val="20"/>
                <w:szCs w:val="20"/>
                <w:color w:val="auto"/>
              </w:rPr>
            </w:pPr>
            <w:r>
              <w:rPr>
                <w:rFonts w:ascii="Arial" w:cs="Arial" w:eastAsia="Arial" w:hAnsi="Arial"/>
                <w:sz w:val="15"/>
                <w:szCs w:val="15"/>
                <w:color w:val="auto"/>
              </w:rPr>
              <w:t>(add 000)</w:t>
            </w:r>
          </w:p>
        </w:tc>
        <w:tc>
          <w:tcPr>
            <w:tcW w:w="1040" w:type="dxa"/>
            <w:vAlign w:val="bottom"/>
            <w:gridSpan w:val="2"/>
          </w:tcPr>
          <w:p>
            <w:pPr>
              <w:jc w:val="right"/>
              <w:ind w:right="83"/>
              <w:spacing w:after="0"/>
              <w:rPr>
                <w:sz w:val="20"/>
                <w:szCs w:val="20"/>
                <w:color w:val="auto"/>
              </w:rPr>
            </w:pPr>
            <w:r>
              <w:rPr>
                <w:rFonts w:ascii="Arial" w:cs="Arial" w:eastAsia="Arial" w:hAnsi="Arial"/>
                <w:sz w:val="14"/>
                <w:szCs w:val="14"/>
                <w:b w:val="1"/>
                <w:bCs w:val="1"/>
                <w:color w:val="auto"/>
              </w:rPr>
              <w:t>Capital</w:t>
            </w:r>
          </w:p>
        </w:tc>
        <w:tc>
          <w:tcPr>
            <w:tcW w:w="1220" w:type="dxa"/>
            <w:vAlign w:val="bottom"/>
          </w:tcPr>
          <w:p>
            <w:pPr>
              <w:jc w:val="right"/>
              <w:ind w:right="165"/>
              <w:spacing w:after="0"/>
              <w:rPr>
                <w:sz w:val="20"/>
                <w:szCs w:val="20"/>
                <w:color w:val="auto"/>
              </w:rPr>
            </w:pPr>
            <w:r>
              <w:rPr>
                <w:rFonts w:ascii="Arial" w:cs="Arial" w:eastAsia="Arial" w:hAnsi="Arial"/>
                <w:sz w:val="14"/>
                <w:szCs w:val="14"/>
                <w:b w:val="1"/>
                <w:bCs w:val="1"/>
                <w:color w:val="auto"/>
              </w:rPr>
              <w:t>Operating</w:t>
            </w:r>
          </w:p>
        </w:tc>
        <w:tc>
          <w:tcPr>
            <w:tcW w:w="360" w:type="dxa"/>
            <w:vAlign w:val="bottom"/>
          </w:tcPr>
          <w:p>
            <w:pPr>
              <w:spacing w:after="0"/>
              <w:rPr>
                <w:sz w:val="14"/>
                <w:szCs w:val="14"/>
                <w:color w:val="auto"/>
              </w:rPr>
            </w:pPr>
          </w:p>
        </w:tc>
        <w:tc>
          <w:tcPr>
            <w:tcW w:w="820" w:type="dxa"/>
            <w:vAlign w:val="bottom"/>
          </w:tcPr>
          <w:p>
            <w:pPr>
              <w:jc w:val="right"/>
              <w:ind w:right="185"/>
              <w:spacing w:after="0"/>
              <w:rPr>
                <w:sz w:val="20"/>
                <w:szCs w:val="20"/>
                <w:color w:val="auto"/>
              </w:rPr>
            </w:pPr>
            <w:r>
              <w:rPr>
                <w:rFonts w:ascii="Arial" w:cs="Arial" w:eastAsia="Arial" w:hAnsi="Arial"/>
                <w:sz w:val="14"/>
                <w:szCs w:val="14"/>
                <w:b w:val="1"/>
                <w:bCs w:val="1"/>
                <w:color w:val="auto"/>
              </w:rPr>
              <w:t>Royalty</w:t>
            </w:r>
          </w:p>
        </w:tc>
        <w:tc>
          <w:tcPr>
            <w:tcW w:w="0" w:type="dxa"/>
            <w:vAlign w:val="bottom"/>
          </w:tcPr>
          <w:p>
            <w:pPr>
              <w:spacing w:after="0"/>
              <w:rPr>
                <w:sz w:val="1"/>
                <w:szCs w:val="1"/>
                <w:color w:val="auto"/>
              </w:rPr>
            </w:pPr>
          </w:p>
        </w:tc>
      </w:tr>
      <w:tr>
        <w:trPr>
          <w:trHeight w:val="165"/>
        </w:trPr>
        <w:tc>
          <w:tcPr>
            <w:tcW w:w="216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4"/>
                <w:szCs w:val="14"/>
                <w:b w:val="1"/>
                <w:bCs w:val="1"/>
                <w:color w:val="auto"/>
              </w:rPr>
              <w:t>Leases</w:t>
            </w:r>
          </w:p>
        </w:tc>
        <w:tc>
          <w:tcPr>
            <w:tcW w:w="122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Leases</w:t>
            </w: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Commitments</w:t>
            </w:r>
          </w:p>
        </w:tc>
        <w:tc>
          <w:tcPr>
            <w:tcW w:w="0" w:type="dxa"/>
            <w:vAlign w:val="bottom"/>
          </w:tcPr>
          <w:p>
            <w:pPr>
              <w:spacing w:after="0"/>
              <w:rPr>
                <w:sz w:val="1"/>
                <w:szCs w:val="1"/>
                <w:color w:val="auto"/>
              </w:rPr>
            </w:pPr>
          </w:p>
        </w:tc>
      </w:tr>
      <w:tr>
        <w:trPr>
          <w:trHeight w:val="156"/>
        </w:trPr>
        <w:tc>
          <w:tcPr>
            <w:tcW w:w="216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2019</w:t>
            </w:r>
          </w:p>
        </w:tc>
        <w:tc>
          <w:tcPr>
            <w:tcW w:w="4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3,718</w:t>
            </w:r>
          </w:p>
        </w:tc>
        <w:tc>
          <w:tcPr>
            <w:tcW w:w="1220" w:type="dxa"/>
            <w:vAlign w:val="bottom"/>
            <w:shd w:val="clear" w:color="auto" w:fill="CCEEFF"/>
          </w:tcPr>
          <w:p>
            <w:pPr>
              <w:jc w:val="right"/>
              <w:ind w:right="145"/>
              <w:spacing w:after="0" w:line="156" w:lineRule="exact"/>
              <w:rPr>
                <w:sz w:val="20"/>
                <w:szCs w:val="20"/>
                <w:color w:val="auto"/>
              </w:rPr>
            </w:pPr>
            <w:r>
              <w:rPr>
                <w:rFonts w:ascii="Arial" w:cs="Arial" w:eastAsia="Arial" w:hAnsi="Arial"/>
                <w:sz w:val="15"/>
                <w:szCs w:val="15"/>
                <w:color w:val="auto"/>
              </w:rPr>
              <w:t>$105,955</w:t>
            </w:r>
          </w:p>
        </w:tc>
        <w:tc>
          <w:tcPr>
            <w:tcW w:w="360" w:type="dxa"/>
            <w:vAlign w:val="bottom"/>
            <w:shd w:val="clear" w:color="auto" w:fill="CCEEFF"/>
          </w:tcPr>
          <w:p>
            <w:pPr>
              <w:ind w:left="220"/>
              <w:spacing w:after="0" w:line="156"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14,614</w:t>
            </w:r>
          </w:p>
        </w:tc>
        <w:tc>
          <w:tcPr>
            <w:tcW w:w="0" w:type="dxa"/>
            <w:vAlign w:val="bottom"/>
          </w:tcPr>
          <w:p>
            <w:pPr>
              <w:spacing w:after="0"/>
              <w:rPr>
                <w:sz w:val="1"/>
                <w:szCs w:val="1"/>
                <w:color w:val="auto"/>
              </w:rPr>
            </w:pPr>
          </w:p>
        </w:tc>
      </w:tr>
      <w:tr>
        <w:trPr>
          <w:trHeight w:val="162"/>
        </w:trPr>
        <w:tc>
          <w:tcPr>
            <w:tcW w:w="2160" w:type="dxa"/>
            <w:vAlign w:val="bottom"/>
          </w:tcPr>
          <w:p>
            <w:pPr>
              <w:spacing w:after="0" w:line="162" w:lineRule="exact"/>
              <w:rPr>
                <w:sz w:val="20"/>
                <w:szCs w:val="20"/>
                <w:color w:val="auto"/>
              </w:rPr>
            </w:pPr>
            <w:r>
              <w:rPr>
                <w:rFonts w:ascii="Arial" w:cs="Arial" w:eastAsia="Arial" w:hAnsi="Arial"/>
                <w:sz w:val="15"/>
                <w:szCs w:val="15"/>
                <w:color w:val="auto"/>
              </w:rPr>
              <w:t>2020</w:t>
            </w:r>
          </w:p>
        </w:tc>
        <w:tc>
          <w:tcPr>
            <w:tcW w:w="460" w:type="dxa"/>
            <w:vAlign w:val="bottom"/>
          </w:tcPr>
          <w:p>
            <w:pPr>
              <w:spacing w:after="0"/>
              <w:rPr>
                <w:sz w:val="14"/>
                <w:szCs w:val="14"/>
                <w:color w:val="auto"/>
              </w:rPr>
            </w:pPr>
          </w:p>
        </w:tc>
        <w:tc>
          <w:tcPr>
            <w:tcW w:w="5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2,695</w:t>
            </w:r>
          </w:p>
        </w:tc>
        <w:tc>
          <w:tcPr>
            <w:tcW w:w="1220" w:type="dxa"/>
            <w:vAlign w:val="bottom"/>
          </w:tcPr>
          <w:p>
            <w:pPr>
              <w:jc w:val="right"/>
              <w:ind w:right="145"/>
              <w:spacing w:after="0" w:line="162" w:lineRule="exact"/>
              <w:rPr>
                <w:sz w:val="20"/>
                <w:szCs w:val="20"/>
                <w:color w:val="auto"/>
              </w:rPr>
            </w:pPr>
            <w:r>
              <w:rPr>
                <w:rFonts w:ascii="Arial" w:cs="Arial" w:eastAsia="Arial" w:hAnsi="Arial"/>
                <w:sz w:val="15"/>
                <w:szCs w:val="15"/>
                <w:color w:val="auto"/>
              </w:rPr>
              <w:t>70,478</w:t>
            </w:r>
          </w:p>
        </w:tc>
        <w:tc>
          <w:tcPr>
            <w:tcW w:w="36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11,364</w:t>
            </w:r>
          </w:p>
        </w:tc>
        <w:tc>
          <w:tcPr>
            <w:tcW w:w="0" w:type="dxa"/>
            <w:vAlign w:val="bottom"/>
          </w:tcPr>
          <w:p>
            <w:pPr>
              <w:spacing w:after="0"/>
              <w:rPr>
                <w:sz w:val="1"/>
                <w:szCs w:val="1"/>
                <w:color w:val="auto"/>
              </w:rPr>
            </w:pPr>
          </w:p>
        </w:tc>
      </w:tr>
      <w:tr>
        <w:trPr>
          <w:trHeight w:val="162"/>
        </w:trPr>
        <w:tc>
          <w:tcPr>
            <w:tcW w:w="21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2021</w:t>
            </w: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1,735</w:t>
            </w:r>
          </w:p>
        </w:tc>
        <w:tc>
          <w:tcPr>
            <w:tcW w:w="1220" w:type="dxa"/>
            <w:vAlign w:val="bottom"/>
            <w:shd w:val="clear" w:color="auto" w:fill="CCEEFF"/>
          </w:tcPr>
          <w:p>
            <w:pPr>
              <w:jc w:val="right"/>
              <w:ind w:right="145"/>
              <w:spacing w:after="0" w:line="162" w:lineRule="exact"/>
              <w:rPr>
                <w:sz w:val="20"/>
                <w:szCs w:val="20"/>
                <w:color w:val="auto"/>
              </w:rPr>
            </w:pPr>
            <w:r>
              <w:rPr>
                <w:rFonts w:ascii="Arial" w:cs="Arial" w:eastAsia="Arial" w:hAnsi="Arial"/>
                <w:sz w:val="15"/>
                <w:szCs w:val="15"/>
                <w:color w:val="auto"/>
              </w:rPr>
              <w:t>60,382</w:t>
            </w: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10,335</w:t>
            </w:r>
          </w:p>
        </w:tc>
        <w:tc>
          <w:tcPr>
            <w:tcW w:w="0" w:type="dxa"/>
            <w:vAlign w:val="bottom"/>
          </w:tcPr>
          <w:p>
            <w:pPr>
              <w:spacing w:after="0"/>
              <w:rPr>
                <w:sz w:val="1"/>
                <w:szCs w:val="1"/>
                <w:color w:val="auto"/>
              </w:rPr>
            </w:pPr>
          </w:p>
        </w:tc>
      </w:tr>
      <w:tr>
        <w:trPr>
          <w:trHeight w:val="162"/>
        </w:trPr>
        <w:tc>
          <w:tcPr>
            <w:tcW w:w="2160" w:type="dxa"/>
            <w:vAlign w:val="bottom"/>
          </w:tcPr>
          <w:p>
            <w:pPr>
              <w:spacing w:after="0" w:line="162" w:lineRule="exact"/>
              <w:rPr>
                <w:sz w:val="20"/>
                <w:szCs w:val="20"/>
                <w:color w:val="auto"/>
              </w:rPr>
            </w:pPr>
            <w:r>
              <w:rPr>
                <w:rFonts w:ascii="Arial" w:cs="Arial" w:eastAsia="Arial" w:hAnsi="Arial"/>
                <w:sz w:val="15"/>
                <w:szCs w:val="15"/>
                <w:color w:val="auto"/>
              </w:rPr>
              <w:t>2022</w:t>
            </w:r>
          </w:p>
        </w:tc>
        <w:tc>
          <w:tcPr>
            <w:tcW w:w="460" w:type="dxa"/>
            <w:vAlign w:val="bottom"/>
          </w:tcPr>
          <w:p>
            <w:pPr>
              <w:spacing w:after="0"/>
              <w:rPr>
                <w:sz w:val="14"/>
                <w:szCs w:val="14"/>
                <w:color w:val="auto"/>
              </w:rPr>
            </w:pPr>
          </w:p>
        </w:tc>
        <w:tc>
          <w:tcPr>
            <w:tcW w:w="5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1,004</w:t>
            </w:r>
          </w:p>
        </w:tc>
        <w:tc>
          <w:tcPr>
            <w:tcW w:w="1220" w:type="dxa"/>
            <w:vAlign w:val="bottom"/>
          </w:tcPr>
          <w:p>
            <w:pPr>
              <w:jc w:val="right"/>
              <w:ind w:right="145"/>
              <w:spacing w:after="0" w:line="162" w:lineRule="exact"/>
              <w:rPr>
                <w:sz w:val="20"/>
                <w:szCs w:val="20"/>
                <w:color w:val="auto"/>
              </w:rPr>
            </w:pPr>
            <w:r>
              <w:rPr>
                <w:rFonts w:ascii="Arial" w:cs="Arial" w:eastAsia="Arial" w:hAnsi="Arial"/>
                <w:sz w:val="15"/>
                <w:szCs w:val="15"/>
                <w:color w:val="auto"/>
              </w:rPr>
              <w:t>57,531</w:t>
            </w:r>
          </w:p>
        </w:tc>
        <w:tc>
          <w:tcPr>
            <w:tcW w:w="36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9,545</w:t>
            </w:r>
          </w:p>
        </w:tc>
        <w:tc>
          <w:tcPr>
            <w:tcW w:w="0" w:type="dxa"/>
            <w:vAlign w:val="bottom"/>
          </w:tcPr>
          <w:p>
            <w:pPr>
              <w:spacing w:after="0"/>
              <w:rPr>
                <w:sz w:val="1"/>
                <w:szCs w:val="1"/>
                <w:color w:val="auto"/>
              </w:rPr>
            </w:pPr>
          </w:p>
        </w:tc>
      </w:tr>
      <w:tr>
        <w:trPr>
          <w:trHeight w:val="162"/>
        </w:trPr>
        <w:tc>
          <w:tcPr>
            <w:tcW w:w="21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2023</w:t>
            </w: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713</w:t>
            </w:r>
          </w:p>
        </w:tc>
        <w:tc>
          <w:tcPr>
            <w:tcW w:w="1220" w:type="dxa"/>
            <w:vAlign w:val="bottom"/>
            <w:shd w:val="clear" w:color="auto" w:fill="CCEEFF"/>
          </w:tcPr>
          <w:p>
            <w:pPr>
              <w:jc w:val="right"/>
              <w:ind w:right="145"/>
              <w:spacing w:after="0" w:line="162" w:lineRule="exact"/>
              <w:rPr>
                <w:sz w:val="20"/>
                <w:szCs w:val="20"/>
                <w:color w:val="auto"/>
              </w:rPr>
            </w:pPr>
            <w:r>
              <w:rPr>
                <w:rFonts w:ascii="Arial" w:cs="Arial" w:eastAsia="Arial" w:hAnsi="Arial"/>
                <w:sz w:val="15"/>
                <w:szCs w:val="15"/>
                <w:color w:val="auto"/>
              </w:rPr>
              <w:t>56,511</w:t>
            </w: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8,109</w:t>
            </w:r>
          </w:p>
        </w:tc>
        <w:tc>
          <w:tcPr>
            <w:tcW w:w="0" w:type="dxa"/>
            <w:vAlign w:val="bottom"/>
          </w:tcPr>
          <w:p>
            <w:pPr>
              <w:spacing w:after="0"/>
              <w:rPr>
                <w:sz w:val="1"/>
                <w:szCs w:val="1"/>
                <w:color w:val="auto"/>
              </w:rPr>
            </w:pPr>
          </w:p>
        </w:tc>
      </w:tr>
      <w:tr>
        <w:trPr>
          <w:trHeight w:val="162"/>
        </w:trPr>
        <w:tc>
          <w:tcPr>
            <w:tcW w:w="216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Thereafter</w:t>
            </w: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3,893</w:t>
            </w:r>
          </w:p>
        </w:tc>
        <w:tc>
          <w:tcPr>
            <w:tcW w:w="1220" w:type="dxa"/>
            <w:vAlign w:val="bottom"/>
            <w:tcBorders>
              <w:bottom w:val="single" w:sz="8" w:color="auto"/>
            </w:tcBorders>
          </w:tcPr>
          <w:p>
            <w:pPr>
              <w:jc w:val="right"/>
              <w:ind w:right="145"/>
              <w:spacing w:after="0" w:line="162" w:lineRule="exact"/>
              <w:rPr>
                <w:sz w:val="20"/>
                <w:szCs w:val="20"/>
                <w:color w:val="auto"/>
              </w:rPr>
            </w:pPr>
            <w:r>
              <w:rPr>
                <w:rFonts w:ascii="Arial" w:cs="Arial" w:eastAsia="Arial" w:hAnsi="Arial"/>
                <w:sz w:val="15"/>
                <w:szCs w:val="15"/>
                <w:color w:val="auto"/>
              </w:rPr>
              <w:t>318,147</w:t>
            </w: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65,981</w:t>
            </w:r>
          </w:p>
        </w:tc>
        <w:tc>
          <w:tcPr>
            <w:tcW w:w="0" w:type="dxa"/>
            <w:vAlign w:val="bottom"/>
          </w:tcPr>
          <w:p>
            <w:pPr>
              <w:spacing w:after="0"/>
              <w:rPr>
                <w:sz w:val="1"/>
                <w:szCs w:val="1"/>
                <w:color w:val="auto"/>
              </w:rPr>
            </w:pPr>
          </w:p>
        </w:tc>
      </w:tr>
      <w:tr>
        <w:trPr>
          <w:trHeight w:val="176"/>
        </w:trPr>
        <w:tc>
          <w:tcPr>
            <w:tcW w:w="216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Total</w:t>
            </w:r>
          </w:p>
        </w:tc>
        <w:tc>
          <w:tcPr>
            <w:tcW w:w="4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13,758</w:t>
            </w:r>
          </w:p>
        </w:tc>
        <w:tc>
          <w:tcPr>
            <w:tcW w:w="1220" w:type="dxa"/>
            <w:vAlign w:val="bottom"/>
            <w:tcBorders>
              <w:bottom w:val="single" w:sz="8" w:color="auto"/>
            </w:tcBorders>
            <w:shd w:val="clear" w:color="auto" w:fill="CCEEFF"/>
          </w:tcPr>
          <w:p>
            <w:pPr>
              <w:jc w:val="right"/>
              <w:ind w:right="145"/>
              <w:spacing w:after="0" w:line="156" w:lineRule="exact"/>
              <w:rPr>
                <w:sz w:val="20"/>
                <w:szCs w:val="20"/>
                <w:color w:val="auto"/>
              </w:rPr>
            </w:pPr>
            <w:r>
              <w:rPr>
                <w:rFonts w:ascii="Arial" w:cs="Arial" w:eastAsia="Arial" w:hAnsi="Arial"/>
                <w:sz w:val="15"/>
                <w:szCs w:val="15"/>
                <w:color w:val="auto"/>
              </w:rPr>
              <w:t>$669,004</w:t>
            </w:r>
          </w:p>
        </w:tc>
        <w:tc>
          <w:tcPr>
            <w:tcW w:w="360" w:type="dxa"/>
            <w:vAlign w:val="bottom"/>
            <w:tcBorders>
              <w:bottom w:val="single" w:sz="8" w:color="auto"/>
            </w:tcBorders>
            <w:shd w:val="clear" w:color="auto" w:fill="CCEEFF"/>
          </w:tcPr>
          <w:p>
            <w:pPr>
              <w:ind w:left="220"/>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119,948</w:t>
            </w:r>
          </w:p>
        </w:tc>
        <w:tc>
          <w:tcPr>
            <w:tcW w:w="0" w:type="dxa"/>
            <w:vAlign w:val="bottom"/>
          </w:tcPr>
          <w:p>
            <w:pPr>
              <w:spacing w:after="0"/>
              <w:rPr>
                <w:sz w:val="1"/>
                <w:szCs w:val="1"/>
                <w:color w:val="auto"/>
              </w:rPr>
            </w:pPr>
          </w:p>
        </w:tc>
      </w:tr>
      <w:tr>
        <w:trPr>
          <w:trHeight w:val="149"/>
        </w:trPr>
        <w:tc>
          <w:tcPr>
            <w:tcW w:w="2160" w:type="dxa"/>
            <w:vAlign w:val="bottom"/>
            <w:tcBorders>
              <w:bottom w:val="single" w:sz="8" w:color="auto"/>
            </w:tcBorders>
          </w:tcPr>
          <w:p>
            <w:pPr>
              <w:spacing w:after="0" w:line="149" w:lineRule="exact"/>
              <w:rPr>
                <w:sz w:val="20"/>
                <w:szCs w:val="20"/>
                <w:color w:val="auto"/>
              </w:rPr>
            </w:pPr>
            <w:r>
              <w:rPr>
                <w:rFonts w:ascii="Arial" w:cs="Arial" w:eastAsia="Arial" w:hAnsi="Arial"/>
                <w:sz w:val="15"/>
                <w:szCs w:val="15"/>
                <w:color w:val="auto"/>
              </w:rPr>
              <w:t>Less: imputed interest</w:t>
            </w:r>
          </w:p>
        </w:tc>
        <w:tc>
          <w:tcPr>
            <w:tcW w:w="4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(2,879)</w:t>
            </w:r>
          </w:p>
        </w:tc>
        <w:tc>
          <w:tcPr>
            <w:tcW w:w="12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160" w:type="dxa"/>
            <w:vAlign w:val="bottom"/>
            <w:shd w:val="clear" w:color="auto" w:fill="CCEEFF"/>
          </w:tcPr>
          <w:p>
            <w:pPr>
              <w:spacing w:after="0" w:line="152" w:lineRule="exact"/>
              <w:rPr>
                <w:sz w:val="20"/>
                <w:szCs w:val="20"/>
                <w:color w:val="auto"/>
              </w:rPr>
            </w:pPr>
            <w:r>
              <w:rPr>
                <w:rFonts w:ascii="Arial" w:cs="Arial" w:eastAsia="Arial" w:hAnsi="Arial"/>
                <w:sz w:val="15"/>
                <w:szCs w:val="15"/>
                <w:color w:val="auto"/>
              </w:rPr>
              <w:t>Present value of minimum</w:t>
            </w: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160" w:type="dxa"/>
            <w:vAlign w:val="bottom"/>
            <w:shd w:val="clear" w:color="auto" w:fill="CCEEFF"/>
          </w:tcPr>
          <w:p>
            <w:pPr>
              <w:ind w:left="160"/>
              <w:spacing w:after="0" w:line="166" w:lineRule="exact"/>
              <w:rPr>
                <w:sz w:val="20"/>
                <w:szCs w:val="20"/>
                <w:color w:val="auto"/>
              </w:rPr>
            </w:pPr>
            <w:r>
              <w:rPr>
                <w:rFonts w:ascii="Arial" w:cs="Arial" w:eastAsia="Arial" w:hAnsi="Arial"/>
                <w:sz w:val="15"/>
                <w:szCs w:val="15"/>
                <w:color w:val="auto"/>
              </w:rPr>
              <w:t>lease payments</w:t>
            </w: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23"/>
              <w:spacing w:after="0" w:line="166" w:lineRule="exact"/>
              <w:rPr>
                <w:sz w:val="20"/>
                <w:szCs w:val="20"/>
                <w:color w:val="auto"/>
              </w:rPr>
            </w:pPr>
            <w:r>
              <w:rPr>
                <w:rFonts w:ascii="Arial" w:cs="Arial" w:eastAsia="Arial" w:hAnsi="Arial"/>
                <w:sz w:val="15"/>
                <w:szCs w:val="15"/>
                <w:color w:val="auto"/>
              </w:rPr>
              <w:t>10,879</w:t>
            </w:r>
          </w:p>
        </w:tc>
        <w:tc>
          <w:tcPr>
            <w:tcW w:w="1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160" w:type="dxa"/>
            <w:vAlign w:val="bottom"/>
          </w:tcPr>
          <w:p>
            <w:pPr>
              <w:spacing w:after="0" w:line="159" w:lineRule="exact"/>
              <w:rPr>
                <w:sz w:val="20"/>
                <w:szCs w:val="20"/>
                <w:color w:val="auto"/>
              </w:rPr>
            </w:pPr>
            <w:r>
              <w:rPr>
                <w:rFonts w:ascii="Arial" w:cs="Arial" w:eastAsia="Arial" w:hAnsi="Arial"/>
                <w:sz w:val="15"/>
                <w:szCs w:val="15"/>
                <w:color w:val="auto"/>
              </w:rPr>
              <w:t>Less: current capital lease</w:t>
            </w: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160" w:type="dxa"/>
            <w:vAlign w:val="bottom"/>
            <w:tcBorders>
              <w:bottom w:val="single" w:sz="8" w:color="auto"/>
            </w:tcBorders>
          </w:tcPr>
          <w:p>
            <w:pPr>
              <w:ind w:left="160"/>
              <w:spacing w:after="0" w:line="166" w:lineRule="exact"/>
              <w:rPr>
                <w:sz w:val="20"/>
                <w:szCs w:val="20"/>
                <w:color w:val="auto"/>
              </w:rPr>
            </w:pPr>
            <w:r>
              <w:rPr>
                <w:rFonts w:ascii="Arial" w:cs="Arial" w:eastAsia="Arial" w:hAnsi="Arial"/>
                <w:sz w:val="15"/>
                <w:szCs w:val="15"/>
                <w:color w:val="auto"/>
              </w:rPr>
              <w:t>obligations</w:t>
            </w: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(3,249)</w:t>
            </w:r>
          </w:p>
        </w:tc>
        <w:tc>
          <w:tcPr>
            <w:tcW w:w="12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160" w:type="dxa"/>
            <w:vAlign w:val="bottom"/>
            <w:shd w:val="clear" w:color="auto" w:fill="CCEEFF"/>
          </w:tcPr>
          <w:p>
            <w:pPr>
              <w:spacing w:after="0" w:line="152" w:lineRule="exact"/>
              <w:rPr>
                <w:sz w:val="20"/>
                <w:szCs w:val="20"/>
                <w:color w:val="auto"/>
              </w:rPr>
            </w:pPr>
            <w:r>
              <w:rPr>
                <w:rFonts w:ascii="Arial" w:cs="Arial" w:eastAsia="Arial" w:hAnsi="Arial"/>
                <w:sz w:val="15"/>
                <w:szCs w:val="15"/>
                <w:color w:val="auto"/>
              </w:rPr>
              <w:t>Long-term capital lease</w:t>
            </w:r>
          </w:p>
        </w:tc>
        <w:tc>
          <w:tcPr>
            <w:tcW w:w="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160" w:type="dxa"/>
            <w:vAlign w:val="bottom"/>
            <w:tcBorders>
              <w:bottom w:val="single" w:sz="8" w:color="auto"/>
            </w:tcBorders>
            <w:shd w:val="clear" w:color="auto" w:fill="CCEEFF"/>
          </w:tcPr>
          <w:p>
            <w:pPr>
              <w:ind w:left="160"/>
              <w:spacing w:after="0" w:line="166" w:lineRule="exact"/>
              <w:rPr>
                <w:sz w:val="20"/>
                <w:szCs w:val="20"/>
                <w:color w:val="auto"/>
              </w:rPr>
            </w:pPr>
            <w:r>
              <w:rPr>
                <w:rFonts w:ascii="Arial" w:cs="Arial" w:eastAsia="Arial" w:hAnsi="Arial"/>
                <w:sz w:val="15"/>
                <w:szCs w:val="15"/>
                <w:color w:val="auto"/>
              </w:rPr>
              <w:t>obligations</w:t>
            </w:r>
          </w:p>
        </w:tc>
        <w:tc>
          <w:tcPr>
            <w:tcW w:w="46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shd w:val="clear" w:color="auto" w:fill="CCEEFF"/>
          </w:tcPr>
          <w:p>
            <w:pPr>
              <w:jc w:val="right"/>
              <w:ind w:right="23"/>
              <w:spacing w:after="0" w:line="166" w:lineRule="exact"/>
              <w:rPr>
                <w:sz w:val="20"/>
                <w:szCs w:val="20"/>
                <w:color w:val="auto"/>
              </w:rPr>
            </w:pPr>
            <w:r>
              <w:rPr>
                <w:rFonts w:ascii="Arial" w:cs="Arial" w:eastAsia="Arial" w:hAnsi="Arial"/>
                <w:sz w:val="15"/>
                <w:szCs w:val="15"/>
                <w:color w:val="auto"/>
              </w:rPr>
              <w:t>7,630</w:t>
            </w:r>
          </w:p>
        </w:tc>
        <w:tc>
          <w:tcPr>
            <w:tcW w:w="12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Of the total future minimum commitments, $172,877,000 relates to the Company’s contracts of affreightment.</w:t>
      </w:r>
    </w:p>
    <w:p>
      <w:pPr>
        <w:spacing w:after="0" w:line="425"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9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36</w:t>
      </w:r>
    </w:p>
    <w:p>
      <w:pPr>
        <w:sectPr>
          <w:pgSz w:w="11900" w:h="16838" w:orient="portrait"/>
          <w:cols w:equalWidth="0" w:num="1">
            <w:col w:w="11420"/>
          </w:cols>
          <w:pgMar w:left="240" w:top="265" w:right="239" w:bottom="1440" w:gutter="0" w:footer="0" w:header="0"/>
          <w:type w:val="continuous"/>
        </w:sectPr>
      </w:pPr>
    </w:p>
    <w:bookmarkStart w:id="75" w:name="page76"/>
    <w:bookmarkEnd w:id="75"/>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Note N: Shareholders’ Equity</w:t>
      </w:r>
    </w:p>
    <w:p>
      <w:pPr>
        <w:spacing w:after="0" w:line="1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authorized capital structure of the Company includes 100,000,000 shares of common stock, with a par value of $0.01 a share. At December 31, 2018, approximately 1,819,000 common shares were reserved for issuance under stock-based award plans.</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Pursuant to authority granted by its Board of Directors, the Company can repurchase up to 20,000,000 shares of common stock. The Company repurchased 521,140, 457,742 and 1,587,987 shares of common stock during 2018, 2017 and 2016, respectively. At December 31, 2018, 14,147,751 shares of common stock were remaining under the Company’s repurchase authorization.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Note O: Commitments and Contingencies</w:t>
      </w:r>
    </w:p>
    <w:p>
      <w:pPr>
        <w:spacing w:after="0" w:line="1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b w:val="1"/>
          <w:bCs w:val="1"/>
          <w:i w:val="1"/>
          <w:iCs w:val="1"/>
          <w:color w:val="49B28F"/>
        </w:rPr>
        <w:t xml:space="preserve">Legal and Administrative Proceedings. </w:t>
      </w:r>
      <w:r>
        <w:rPr>
          <w:rFonts w:ascii="Arial" w:cs="Arial" w:eastAsia="Arial" w:hAnsi="Arial"/>
          <w:sz w:val="17"/>
          <w:szCs w:val="17"/>
          <w:color w:val="000000"/>
        </w:rPr>
        <w:t>The Company is engaged in</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certain legal and administrative proceedings incidental to its normal business activities. In the opinion of management and counsel, based upon currently-available facts, it is remote that the ultimate outcome of any litigation and other proceedings, including those pertaining to environmental matters (see Note A), relating to the Company and its subsidiaries, will have a material adverse effect on the overall results of the Company’s operations, its cash flows or its financial position.</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i w:val="1"/>
          <w:iCs w:val="1"/>
          <w:color w:val="49B28F"/>
        </w:rPr>
        <w:t xml:space="preserve">Asset Retirement Obligations. </w:t>
      </w:r>
      <w:r>
        <w:rPr>
          <w:rFonts w:ascii="Arial" w:cs="Arial" w:eastAsia="Arial" w:hAnsi="Arial"/>
          <w:sz w:val="17"/>
          <w:szCs w:val="17"/>
          <w:color w:val="000000"/>
        </w:rPr>
        <w:t>The Company incurs reclamation and</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 xml:space="preserve">teardown costs as part of its mining and production processes. Estimated future obligations are discounted to their present value and accreted to their projected future obligations via charges to operating expenses. Additionally, the fixed assets recorded concurrently with the liabilities are depreciated over the period until retirement activities are expected to occur. Total accretion and depreciation expenses for 2018, 2017 and 2016 were $8,015,000, $8,682,000 and $8,823,000, respectively, and are included in </w:t>
      </w:r>
      <w:r>
        <w:rPr>
          <w:rFonts w:ascii="Arial" w:cs="Arial" w:eastAsia="Arial" w:hAnsi="Arial"/>
          <w:sz w:val="17"/>
          <w:szCs w:val="17"/>
          <w:i w:val="1"/>
          <w:iCs w:val="1"/>
          <w:color w:val="000000"/>
        </w:rPr>
        <w:t>Other operating income and expenses,</w:t>
      </w:r>
      <w:r>
        <w:rPr>
          <w:rFonts w:ascii="Arial" w:cs="Arial" w:eastAsia="Arial" w:hAnsi="Arial"/>
          <w:sz w:val="17"/>
          <w:szCs w:val="17"/>
          <w:color w:val="000000"/>
        </w:rPr>
        <w:t xml:space="preserve"> </w:t>
      </w:r>
      <w:r>
        <w:rPr>
          <w:rFonts w:ascii="Arial" w:cs="Arial" w:eastAsia="Arial" w:hAnsi="Arial"/>
          <w:sz w:val="17"/>
          <w:szCs w:val="17"/>
          <w:i w:val="1"/>
          <w:iCs w:val="1"/>
          <w:color w:val="000000"/>
        </w:rPr>
        <w:t>net</w:t>
      </w:r>
      <w:r>
        <w:rPr>
          <w:rFonts w:ascii="Arial" w:cs="Arial" w:eastAsia="Arial" w:hAnsi="Arial"/>
          <w:sz w:val="17"/>
          <w:szCs w:val="17"/>
          <w:color w:val="000000"/>
        </w:rPr>
        <w:t>, in the consolidated statements of earnings.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shows the changes in the asset retirement obligations: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240" w:type="dxa"/>
            <w:vAlign w:val="bottom"/>
          </w:tcPr>
          <w:p>
            <w:pPr>
              <w:ind w:left="20"/>
              <w:spacing w:after="0"/>
              <w:rPr>
                <w:sz w:val="20"/>
                <w:szCs w:val="20"/>
                <w:color w:val="auto"/>
              </w:rPr>
            </w:pPr>
            <w:r>
              <w:rPr>
                <w:rFonts w:ascii="Arial" w:cs="Arial" w:eastAsia="Arial" w:hAnsi="Arial"/>
                <w:sz w:val="14"/>
                <w:szCs w:val="14"/>
                <w:i w:val="1"/>
                <w:iCs w:val="1"/>
                <w:color w:val="auto"/>
              </w:rPr>
              <w:t>years ended December 31</w:t>
            </w:r>
          </w:p>
        </w:tc>
        <w:tc>
          <w:tcPr>
            <w:tcW w:w="400" w:type="dxa"/>
            <w:vAlign w:val="bottom"/>
          </w:tcPr>
          <w:p>
            <w:pPr>
              <w:spacing w:after="0"/>
              <w:rPr>
                <w:sz w:val="14"/>
                <w:szCs w:val="14"/>
                <w:color w:val="auto"/>
              </w:rPr>
            </w:pPr>
          </w:p>
        </w:tc>
        <w:tc>
          <w:tcPr>
            <w:tcW w:w="84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0085CD"/>
              </w:rPr>
              <w:t>2018</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40" w:type="dxa"/>
            <w:vAlign w:val="bottom"/>
            <w:tcBorders>
              <w:bottom w:val="single" w:sz="8" w:color="auto"/>
            </w:tcBorders>
          </w:tcPr>
          <w:p>
            <w:pPr>
              <w:ind w:left="20"/>
              <w:spacing w:after="0" w:line="166" w:lineRule="exact"/>
              <w:rPr>
                <w:sz w:val="20"/>
                <w:szCs w:val="20"/>
                <w:color w:val="auto"/>
              </w:rPr>
            </w:pPr>
            <w:r>
              <w:rPr>
                <w:rFonts w:ascii="Arial" w:cs="Arial" w:eastAsia="Arial" w:hAnsi="Arial"/>
                <w:sz w:val="15"/>
                <w:szCs w:val="15"/>
                <w:color w:val="auto"/>
              </w:rPr>
              <w:t>(add 000)</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
              <w:spacing w:after="0" w:line="166" w:lineRule="exact"/>
              <w:rPr>
                <w:sz w:val="20"/>
                <w:szCs w:val="20"/>
                <w:color w:val="auto"/>
              </w:rPr>
            </w:pPr>
            <w:r>
              <w:rPr>
                <w:rFonts w:ascii="Arial" w:cs="Arial" w:eastAsia="Arial" w:hAnsi="Arial"/>
                <w:sz w:val="15"/>
                <w:szCs w:val="15"/>
                <w:color w:val="auto"/>
              </w:rPr>
              <w:t>2017</w:t>
            </w:r>
          </w:p>
        </w:tc>
        <w:tc>
          <w:tcPr>
            <w:tcW w:w="0" w:type="dxa"/>
            <w:vAlign w:val="bottom"/>
          </w:tcPr>
          <w:p>
            <w:pPr>
              <w:spacing w:after="0"/>
              <w:rPr>
                <w:sz w:val="1"/>
                <w:szCs w:val="1"/>
                <w:color w:val="auto"/>
              </w:rPr>
            </w:pPr>
          </w:p>
        </w:tc>
      </w:tr>
      <w:tr>
        <w:trPr>
          <w:trHeight w:val="156"/>
        </w:trPr>
        <w:tc>
          <w:tcPr>
            <w:tcW w:w="324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Balance at beginning of year</w:t>
            </w:r>
          </w:p>
        </w:tc>
        <w:tc>
          <w:tcPr>
            <w:tcW w:w="4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ind w:right="143"/>
              <w:spacing w:after="0" w:line="156" w:lineRule="exact"/>
              <w:rPr>
                <w:sz w:val="20"/>
                <w:szCs w:val="20"/>
                <w:color w:val="auto"/>
              </w:rPr>
            </w:pPr>
            <w:r>
              <w:rPr>
                <w:rFonts w:ascii="Arial" w:cs="Arial" w:eastAsia="Arial" w:hAnsi="Arial"/>
                <w:sz w:val="15"/>
                <w:szCs w:val="15"/>
                <w:b w:val="1"/>
                <w:bCs w:val="1"/>
                <w:color w:val="auto"/>
              </w:rPr>
              <w:t>109,653</w:t>
            </w:r>
          </w:p>
        </w:tc>
        <w:tc>
          <w:tcPr>
            <w:tcW w:w="3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101,106</w:t>
            </w:r>
          </w:p>
        </w:tc>
        <w:tc>
          <w:tcPr>
            <w:tcW w:w="0" w:type="dxa"/>
            <w:vAlign w:val="bottom"/>
          </w:tcPr>
          <w:p>
            <w:pPr>
              <w:spacing w:after="0"/>
              <w:rPr>
                <w:sz w:val="1"/>
                <w:szCs w:val="1"/>
                <w:color w:val="auto"/>
              </w:rPr>
            </w:pPr>
          </w:p>
        </w:tc>
      </w:tr>
      <w:tr>
        <w:trPr>
          <w:trHeight w:val="162"/>
        </w:trPr>
        <w:tc>
          <w:tcPr>
            <w:tcW w:w="3240" w:type="dxa"/>
            <w:vAlign w:val="bottom"/>
          </w:tcPr>
          <w:p>
            <w:pPr>
              <w:ind w:left="20"/>
              <w:spacing w:after="0" w:line="162" w:lineRule="exact"/>
              <w:rPr>
                <w:sz w:val="20"/>
                <w:szCs w:val="20"/>
                <w:color w:val="auto"/>
              </w:rPr>
            </w:pPr>
            <w:r>
              <w:rPr>
                <w:rFonts w:ascii="Arial" w:cs="Arial" w:eastAsia="Arial" w:hAnsi="Arial"/>
                <w:sz w:val="15"/>
                <w:szCs w:val="15"/>
                <w:color w:val="auto"/>
              </w:rPr>
              <w:t>Accretion expense</w:t>
            </w:r>
          </w:p>
        </w:tc>
        <w:tc>
          <w:tcPr>
            <w:tcW w:w="400" w:type="dxa"/>
            <w:vAlign w:val="bottom"/>
          </w:tcPr>
          <w:p>
            <w:pPr>
              <w:spacing w:after="0"/>
              <w:rPr>
                <w:sz w:val="14"/>
                <w:szCs w:val="14"/>
                <w:color w:val="auto"/>
              </w:rPr>
            </w:pPr>
          </w:p>
        </w:tc>
        <w:tc>
          <w:tcPr>
            <w:tcW w:w="840" w:type="dxa"/>
            <w:vAlign w:val="bottom"/>
          </w:tcPr>
          <w:p>
            <w:pPr>
              <w:jc w:val="right"/>
              <w:ind w:right="143"/>
              <w:spacing w:after="0" w:line="162" w:lineRule="exact"/>
              <w:rPr>
                <w:sz w:val="20"/>
                <w:szCs w:val="20"/>
                <w:color w:val="auto"/>
              </w:rPr>
            </w:pPr>
            <w:r>
              <w:rPr>
                <w:rFonts w:ascii="Arial" w:cs="Arial" w:eastAsia="Arial" w:hAnsi="Arial"/>
                <w:sz w:val="15"/>
                <w:szCs w:val="15"/>
                <w:b w:val="1"/>
                <w:bCs w:val="1"/>
                <w:color w:val="auto"/>
              </w:rPr>
              <w:t>5,074</w:t>
            </w:r>
          </w:p>
        </w:tc>
        <w:tc>
          <w:tcPr>
            <w:tcW w:w="300" w:type="dxa"/>
            <w:vAlign w:val="bottom"/>
          </w:tcPr>
          <w:p>
            <w:pPr>
              <w:spacing w:after="0"/>
              <w:rPr>
                <w:sz w:val="14"/>
                <w:szCs w:val="14"/>
                <w:color w:val="auto"/>
              </w:rPr>
            </w:pPr>
          </w:p>
        </w:tc>
        <w:tc>
          <w:tcPr>
            <w:tcW w:w="7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4,768</w:t>
            </w:r>
          </w:p>
        </w:tc>
        <w:tc>
          <w:tcPr>
            <w:tcW w:w="0" w:type="dxa"/>
            <w:vAlign w:val="bottom"/>
          </w:tcPr>
          <w:p>
            <w:pPr>
              <w:spacing w:after="0"/>
              <w:rPr>
                <w:sz w:val="1"/>
                <w:szCs w:val="1"/>
                <w:color w:val="auto"/>
              </w:rPr>
            </w:pPr>
          </w:p>
        </w:tc>
      </w:tr>
      <w:tr>
        <w:trPr>
          <w:trHeight w:val="159"/>
        </w:trPr>
        <w:tc>
          <w:tcPr>
            <w:tcW w:w="324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rPr>
              <w:t>Liabilities incurred and liabilities assumed in</w:t>
            </w:r>
          </w:p>
        </w:tc>
        <w:tc>
          <w:tcPr>
            <w:tcW w:w="4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4,692</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240" w:type="dxa"/>
            <w:vAlign w:val="bottom"/>
            <w:shd w:val="clear" w:color="auto" w:fill="CCEEFF"/>
          </w:tcPr>
          <w:p>
            <w:pPr>
              <w:ind w:left="160"/>
              <w:spacing w:after="0" w:line="166" w:lineRule="exact"/>
              <w:rPr>
                <w:sz w:val="20"/>
                <w:szCs w:val="20"/>
                <w:color w:val="auto"/>
              </w:rPr>
            </w:pPr>
            <w:r>
              <w:rPr>
                <w:rFonts w:ascii="Arial" w:cs="Arial" w:eastAsia="Arial" w:hAnsi="Arial"/>
                <w:sz w:val="15"/>
                <w:szCs w:val="15"/>
                <w:color w:val="auto"/>
              </w:rPr>
              <w:t>business combinations</w:t>
            </w:r>
          </w:p>
        </w:tc>
        <w:tc>
          <w:tcPr>
            <w:tcW w:w="4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3"/>
              <w:spacing w:after="0" w:line="166" w:lineRule="exact"/>
              <w:rPr>
                <w:sz w:val="20"/>
                <w:szCs w:val="20"/>
                <w:color w:val="auto"/>
              </w:rPr>
            </w:pPr>
            <w:r>
              <w:rPr>
                <w:rFonts w:ascii="Arial" w:cs="Arial" w:eastAsia="Arial" w:hAnsi="Arial"/>
                <w:sz w:val="15"/>
                <w:szCs w:val="15"/>
                <w:color w:val="auto"/>
              </w:rPr>
              <w:t>7,940</w:t>
            </w:r>
          </w:p>
        </w:tc>
        <w:tc>
          <w:tcPr>
            <w:tcW w:w="0" w:type="dxa"/>
            <w:vAlign w:val="bottom"/>
          </w:tcPr>
          <w:p>
            <w:pPr>
              <w:spacing w:after="0"/>
              <w:rPr>
                <w:sz w:val="1"/>
                <w:szCs w:val="1"/>
                <w:color w:val="auto"/>
              </w:rPr>
            </w:pPr>
          </w:p>
        </w:tc>
      </w:tr>
      <w:tr>
        <w:trPr>
          <w:trHeight w:val="162"/>
        </w:trPr>
        <w:tc>
          <w:tcPr>
            <w:tcW w:w="3240" w:type="dxa"/>
            <w:vAlign w:val="bottom"/>
          </w:tcPr>
          <w:p>
            <w:pPr>
              <w:ind w:left="20"/>
              <w:spacing w:after="0" w:line="162" w:lineRule="exact"/>
              <w:rPr>
                <w:sz w:val="20"/>
                <w:szCs w:val="20"/>
                <w:color w:val="auto"/>
              </w:rPr>
            </w:pPr>
            <w:r>
              <w:rPr>
                <w:rFonts w:ascii="Arial" w:cs="Arial" w:eastAsia="Arial" w:hAnsi="Arial"/>
                <w:sz w:val="15"/>
                <w:szCs w:val="15"/>
                <w:color w:val="auto"/>
              </w:rPr>
              <w:t>Liabilities settled</w:t>
            </w:r>
          </w:p>
        </w:tc>
        <w:tc>
          <w:tcPr>
            <w:tcW w:w="400" w:type="dxa"/>
            <w:vAlign w:val="bottom"/>
          </w:tcPr>
          <w:p>
            <w:pPr>
              <w:spacing w:after="0"/>
              <w:rPr>
                <w:sz w:val="14"/>
                <w:szCs w:val="14"/>
                <w:color w:val="auto"/>
              </w:rPr>
            </w:pPr>
          </w:p>
        </w:tc>
        <w:tc>
          <w:tcPr>
            <w:tcW w:w="840" w:type="dxa"/>
            <w:vAlign w:val="bottom"/>
          </w:tcPr>
          <w:p>
            <w:pPr>
              <w:jc w:val="right"/>
              <w:ind w:right="103"/>
              <w:spacing w:after="0" w:line="162" w:lineRule="exact"/>
              <w:rPr>
                <w:sz w:val="20"/>
                <w:szCs w:val="20"/>
                <w:color w:val="auto"/>
              </w:rPr>
            </w:pPr>
            <w:r>
              <w:rPr>
                <w:rFonts w:ascii="Arial" w:cs="Arial" w:eastAsia="Arial" w:hAnsi="Arial"/>
                <w:sz w:val="15"/>
                <w:szCs w:val="15"/>
                <w:b w:val="1"/>
                <w:bCs w:val="1"/>
                <w:color w:val="auto"/>
              </w:rPr>
              <w:t>(2,821)</w:t>
            </w:r>
          </w:p>
        </w:tc>
        <w:tc>
          <w:tcPr>
            <w:tcW w:w="30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(309)</w:t>
            </w:r>
          </w:p>
        </w:tc>
        <w:tc>
          <w:tcPr>
            <w:tcW w:w="0" w:type="dxa"/>
            <w:vAlign w:val="bottom"/>
          </w:tcPr>
          <w:p>
            <w:pPr>
              <w:spacing w:after="0"/>
              <w:rPr>
                <w:sz w:val="1"/>
                <w:szCs w:val="1"/>
                <w:color w:val="auto"/>
              </w:rPr>
            </w:pPr>
          </w:p>
        </w:tc>
      </w:tr>
      <w:tr>
        <w:trPr>
          <w:trHeight w:val="162"/>
        </w:trPr>
        <w:tc>
          <w:tcPr>
            <w:tcW w:w="3240" w:type="dxa"/>
            <w:vAlign w:val="bottom"/>
            <w:tcBorders>
              <w:bottom w:val="single" w:sz="8" w:color="auto"/>
            </w:tcBorders>
            <w:shd w:val="clear" w:color="auto" w:fill="CCEEFF"/>
          </w:tcPr>
          <w:p>
            <w:pPr>
              <w:ind w:left="20"/>
              <w:spacing w:after="0" w:line="162" w:lineRule="exact"/>
              <w:rPr>
                <w:sz w:val="20"/>
                <w:szCs w:val="20"/>
                <w:color w:val="auto"/>
              </w:rPr>
            </w:pPr>
            <w:r>
              <w:rPr>
                <w:rFonts w:ascii="Arial" w:cs="Arial" w:eastAsia="Arial" w:hAnsi="Arial"/>
                <w:sz w:val="15"/>
                <w:szCs w:val="15"/>
                <w:color w:val="auto"/>
              </w:rPr>
              <w:t>Revisions in estimated cash flows</w:t>
            </w:r>
          </w:p>
        </w:tc>
        <w:tc>
          <w:tcPr>
            <w:tcW w:w="4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43"/>
              <w:spacing w:after="0" w:line="162" w:lineRule="exact"/>
              <w:rPr>
                <w:sz w:val="20"/>
                <w:szCs w:val="20"/>
                <w:color w:val="auto"/>
              </w:rPr>
            </w:pPr>
            <w:r>
              <w:rPr>
                <w:rFonts w:ascii="Arial" w:cs="Arial" w:eastAsia="Arial" w:hAnsi="Arial"/>
                <w:sz w:val="15"/>
                <w:szCs w:val="15"/>
                <w:b w:val="1"/>
                <w:bCs w:val="1"/>
                <w:color w:val="auto"/>
              </w:rPr>
              <w:t>5,206</w:t>
            </w:r>
          </w:p>
        </w:tc>
        <w:tc>
          <w:tcPr>
            <w:tcW w:w="3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(3,852)</w:t>
            </w:r>
          </w:p>
        </w:tc>
        <w:tc>
          <w:tcPr>
            <w:tcW w:w="0" w:type="dxa"/>
            <w:vAlign w:val="bottom"/>
          </w:tcPr>
          <w:p>
            <w:pPr>
              <w:spacing w:after="0"/>
              <w:rPr>
                <w:sz w:val="1"/>
                <w:szCs w:val="1"/>
                <w:color w:val="auto"/>
              </w:rPr>
            </w:pPr>
          </w:p>
        </w:tc>
      </w:tr>
      <w:tr>
        <w:trPr>
          <w:trHeight w:val="163"/>
        </w:trPr>
        <w:tc>
          <w:tcPr>
            <w:tcW w:w="3240" w:type="dxa"/>
            <w:vAlign w:val="bottom"/>
            <w:tcBorders>
              <w:bottom w:val="single" w:sz="8" w:color="auto"/>
            </w:tcBorders>
          </w:tcPr>
          <w:p>
            <w:pPr>
              <w:ind w:left="20"/>
              <w:spacing w:after="0" w:line="156" w:lineRule="exact"/>
              <w:rPr>
                <w:sz w:val="20"/>
                <w:szCs w:val="20"/>
                <w:color w:val="auto"/>
              </w:rPr>
            </w:pPr>
            <w:r>
              <w:rPr>
                <w:rFonts w:ascii="Arial" w:cs="Arial" w:eastAsia="Arial" w:hAnsi="Arial"/>
                <w:sz w:val="15"/>
                <w:szCs w:val="15"/>
                <w:color w:val="auto"/>
              </w:rPr>
              <w:t>Balance at end of year</w:t>
            </w:r>
          </w:p>
        </w:tc>
        <w:tc>
          <w:tcPr>
            <w:tcW w:w="4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ind w:right="143"/>
              <w:spacing w:after="0" w:line="156" w:lineRule="exact"/>
              <w:rPr>
                <w:sz w:val="20"/>
                <w:szCs w:val="20"/>
                <w:color w:val="auto"/>
              </w:rPr>
            </w:pPr>
            <w:r>
              <w:rPr>
                <w:rFonts w:ascii="Arial" w:cs="Arial" w:eastAsia="Arial" w:hAnsi="Arial"/>
                <w:sz w:val="15"/>
                <w:szCs w:val="15"/>
                <w:b w:val="1"/>
                <w:bCs w:val="1"/>
                <w:color w:val="auto"/>
              </w:rPr>
              <w:t>121,804</w:t>
            </w:r>
          </w:p>
        </w:tc>
        <w:tc>
          <w:tcPr>
            <w:tcW w:w="3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109,653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b w:val="1"/>
          <w:bCs w:val="1"/>
          <w:i w:val="1"/>
          <w:iCs w:val="1"/>
          <w:color w:val="49B28F"/>
        </w:rPr>
        <w:t xml:space="preserve">Other Environmental Matters. </w:t>
      </w:r>
      <w:r>
        <w:rPr>
          <w:rFonts w:ascii="Arial" w:cs="Arial" w:eastAsia="Arial" w:hAnsi="Arial"/>
          <w:sz w:val="17"/>
          <w:szCs w:val="17"/>
          <w:color w:val="000000"/>
        </w:rPr>
        <w:t>The Company’s operations are subject to</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and affected by federal, state and local laws and regulations relating to the environment, health and safety and other regulatory matters. Certain of the Company’s operations may, from time to time, involve the use of substances that are classified as toxic or hazardous within the meaning of these laws and regulations. Environmental operating permits are, or may be, required for certain of the Company’s operations, and such permits are subject to modification, renewal and revocation. The Company regularly monitors and reviews its operations, procedures and policies for compliance with these laws and regulations. Despite these compliance efforts, risk of environmental remediation liability is inherent in the operation of the Company’s businesses, as it is with other companies engaged in similar businesses. The Company has no material provisions for environmental remediation liabilities and does not believe such liabilities will have a material adverse effect on the Company in the future.</w:t>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i w:val="1"/>
          <w:iCs w:val="1"/>
          <w:color w:val="49B28F"/>
        </w:rPr>
        <w:t xml:space="preserve">Insurance Reserves. </w:t>
      </w:r>
      <w:r>
        <w:rPr>
          <w:rFonts w:ascii="Arial" w:cs="Arial" w:eastAsia="Arial" w:hAnsi="Arial"/>
          <w:sz w:val="17"/>
          <w:szCs w:val="17"/>
          <w:color w:val="000000"/>
        </w:rPr>
        <w:t>The Company has insurance coverage with large</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deductibles for workers’ compensation, automobile liability, marine liability and general liability claims. The Company is also self-insured for health claims. At December 31, 2018 and 2017, reserves of $48,256,000 and $48,061,000, respectively, were recorded for all such insurance claims. The Company records the reserves based on an actuarial-determined analysis, which calculates development factors that are applied to total case reserves within the insurance programs. While the Company believes the assumptions used to calculate these liabilities are appropriate, significant differences in actual experience and/or significant changes in these assumptions may materially affect insurance costs.</w:t>
      </w:r>
    </w:p>
    <w:p>
      <w:pPr>
        <w:spacing w:after="0" w:line="18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b w:val="1"/>
          <w:bCs w:val="1"/>
          <w:i w:val="1"/>
          <w:iCs w:val="1"/>
          <w:color w:val="49B28F"/>
        </w:rPr>
        <w:t xml:space="preserve">Letters of Credit. </w:t>
      </w:r>
      <w:r>
        <w:rPr>
          <w:rFonts w:ascii="Arial" w:cs="Arial" w:eastAsia="Arial" w:hAnsi="Arial"/>
          <w:sz w:val="17"/>
          <w:szCs w:val="17"/>
          <w:color w:val="000000"/>
        </w:rPr>
        <w:t>In the normal course of business, the Company</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provides certain third parties with standby letter of credit agreements guaranteeing its payment for certain insurance claims, contract performance and permit requirements. At December 31, 2018, the Company was contingently liable for $36,081,000 in letters of credit, of which $2,301,000 were issued under the Company’s Revolving Facility.</w:t>
      </w:r>
    </w:p>
    <w:p>
      <w:pPr>
        <w:spacing w:after="0" w:line="18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b w:val="1"/>
          <w:bCs w:val="1"/>
          <w:i w:val="1"/>
          <w:iCs w:val="1"/>
          <w:color w:val="49B28F"/>
        </w:rPr>
        <w:t xml:space="preserve">Surety Bonds. </w:t>
      </w:r>
      <w:r>
        <w:rPr>
          <w:rFonts w:ascii="Arial" w:cs="Arial" w:eastAsia="Arial" w:hAnsi="Arial"/>
          <w:sz w:val="17"/>
          <w:szCs w:val="17"/>
          <w:color w:val="000000"/>
        </w:rPr>
        <w:t>In the normal course of business, at December 31, 2018,</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the Company was contingently liable for $375,561,000 in surety bonds required by certain states and municipalities and their related agencies. The bonds are principally for certain insurance claims, construction contracts, reclamation obligations and</w:t>
      </w:r>
    </w:p>
    <w:p>
      <w:pPr>
        <w:spacing w:after="0" w:line="932"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37</w:t>
      </w:r>
    </w:p>
    <w:p>
      <w:pPr>
        <w:sectPr>
          <w:pgSz w:w="11900" w:h="16838" w:orient="portrait"/>
          <w:cols w:equalWidth="0" w:num="1">
            <w:col w:w="11420"/>
          </w:cols>
          <w:pgMar w:left="240" w:top="265" w:right="239" w:bottom="1440" w:gutter="0" w:footer="0" w:header="0"/>
          <w:type w:val="continuous"/>
        </w:sectPr>
      </w:pPr>
    </w:p>
    <w:bookmarkStart w:id="76" w:name="page77"/>
    <w:bookmarkEnd w:id="76"/>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mining permits guaranteeing the Company’s own performance. Five of these bonds total $77,603,000, or 21%, of all outstanding surety bonds. The Company has indemnified the underwriting insurance companies, Liberty Mutual and W.R. Berkley, against any exposure under the surety bonds. In the Company’s past experience, no material claims have been made against these financial instruments.</w:t>
      </w:r>
    </w:p>
    <w:p>
      <w:pPr>
        <w:spacing w:after="0" w:line="18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i w:val="1"/>
          <w:iCs w:val="1"/>
          <w:color w:val="49B28F"/>
        </w:rPr>
        <w:t xml:space="preserve">Borrowing Arrangements with Affiliate. </w:t>
      </w:r>
      <w:r>
        <w:rPr>
          <w:rFonts w:ascii="Arial" w:cs="Arial" w:eastAsia="Arial" w:hAnsi="Arial"/>
          <w:sz w:val="17"/>
          <w:szCs w:val="17"/>
          <w:color w:val="000000"/>
        </w:rPr>
        <w:t>The Company is a</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co-borrower with an unconsolidated affiliate for a revolving line of credit agreement with BB&amp;T, of which $12,710,000 was outstanding as of December 31, 2018. The line of credit was amended in January 2018 to extend the maturity to March 2020 and reduce the line of credit from $25,000,000 to $15,500,000.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 2014, the Company loaned the unconsolidated affiliate a total of $6,000,000 as an interest-only note due December 31, 2022.</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b w:val="1"/>
          <w:bCs w:val="1"/>
          <w:i w:val="1"/>
          <w:iCs w:val="1"/>
          <w:color w:val="49B28F"/>
        </w:rPr>
        <w:t xml:space="preserve">Purchase Commitments. </w:t>
      </w:r>
      <w:r>
        <w:rPr>
          <w:rFonts w:ascii="Arial" w:cs="Arial" w:eastAsia="Arial" w:hAnsi="Arial"/>
          <w:sz w:val="17"/>
          <w:szCs w:val="17"/>
          <w:color w:val="000000"/>
        </w:rPr>
        <w:t>The Company had purchase commitments</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for property, plant and equipment of $118,664,000 as of December 31, 2018. The Company also had other purchase obligations related to energy and service contracts of $106,360,000 as of December 31, 2018. The Company’s contractual purchase commitments as of December 31, 2018 are as follows: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5"/>
          <w:szCs w:val="15"/>
          <w:color w:val="auto"/>
        </w:rPr>
        <w:t>(add 000)</w:t>
      </w:r>
    </w:p>
    <w:tbl>
      <w:tblPr>
        <w:tblLayout w:type="fixed"/>
        <w:tblInd w:w="0" w:type="dxa"/>
        <w:tblCellMar>
          <w:top w:w="0" w:type="dxa"/>
          <w:left w:w="0" w:type="dxa"/>
          <w:bottom w:w="0" w:type="dxa"/>
          <w:right w:w="0" w:type="dxa"/>
        </w:tblCellMar>
      </w:tblPr>
      <w:tr>
        <w:trPr>
          <w:trHeight w:val="156"/>
        </w:trPr>
        <w:tc>
          <w:tcPr>
            <w:tcW w:w="266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2019</w:t>
            </w:r>
          </w:p>
        </w:tc>
        <w:tc>
          <w:tcPr>
            <w:tcW w:w="20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181,768</w:t>
            </w:r>
          </w:p>
        </w:tc>
      </w:tr>
      <w:tr>
        <w:trPr>
          <w:trHeight w:val="162"/>
        </w:trPr>
        <w:tc>
          <w:tcPr>
            <w:tcW w:w="2660" w:type="dxa"/>
            <w:vAlign w:val="bottom"/>
          </w:tcPr>
          <w:p>
            <w:pPr>
              <w:ind w:left="20"/>
              <w:spacing w:after="0" w:line="162" w:lineRule="exact"/>
              <w:rPr>
                <w:sz w:val="20"/>
                <w:szCs w:val="20"/>
                <w:color w:val="auto"/>
              </w:rPr>
            </w:pPr>
            <w:r>
              <w:rPr>
                <w:rFonts w:ascii="Arial" w:cs="Arial" w:eastAsia="Arial" w:hAnsi="Arial"/>
                <w:sz w:val="15"/>
                <w:szCs w:val="15"/>
                <w:color w:val="auto"/>
              </w:rPr>
              <w:t>2020</w:t>
            </w:r>
          </w:p>
        </w:tc>
        <w:tc>
          <w:tcPr>
            <w:tcW w:w="2080" w:type="dxa"/>
            <w:vAlign w:val="bottom"/>
          </w:tcPr>
          <w:p>
            <w:pPr>
              <w:spacing w:after="0"/>
              <w:rPr>
                <w:sz w:val="14"/>
                <w:szCs w:val="14"/>
                <w:color w:val="auto"/>
              </w:rPr>
            </w:pP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14,177</w:t>
            </w:r>
          </w:p>
        </w:tc>
      </w:tr>
      <w:tr>
        <w:trPr>
          <w:trHeight w:val="162"/>
        </w:trPr>
        <w:tc>
          <w:tcPr>
            <w:tcW w:w="26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2021</w:t>
            </w:r>
          </w:p>
        </w:tc>
        <w:tc>
          <w:tcPr>
            <w:tcW w:w="20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6,264</w:t>
            </w:r>
          </w:p>
        </w:tc>
      </w:tr>
      <w:tr>
        <w:trPr>
          <w:trHeight w:val="162"/>
        </w:trPr>
        <w:tc>
          <w:tcPr>
            <w:tcW w:w="2660" w:type="dxa"/>
            <w:vAlign w:val="bottom"/>
          </w:tcPr>
          <w:p>
            <w:pPr>
              <w:ind w:left="20"/>
              <w:spacing w:after="0" w:line="162" w:lineRule="exact"/>
              <w:rPr>
                <w:sz w:val="20"/>
                <w:szCs w:val="20"/>
                <w:color w:val="auto"/>
              </w:rPr>
            </w:pPr>
            <w:r>
              <w:rPr>
                <w:rFonts w:ascii="Arial" w:cs="Arial" w:eastAsia="Arial" w:hAnsi="Arial"/>
                <w:sz w:val="15"/>
                <w:szCs w:val="15"/>
                <w:color w:val="auto"/>
              </w:rPr>
              <w:t>2022</w:t>
            </w:r>
          </w:p>
        </w:tc>
        <w:tc>
          <w:tcPr>
            <w:tcW w:w="2080" w:type="dxa"/>
            <w:vAlign w:val="bottom"/>
          </w:tcPr>
          <w:p>
            <w:pPr>
              <w:spacing w:after="0"/>
              <w:rPr>
                <w:sz w:val="14"/>
                <w:szCs w:val="14"/>
                <w:color w:val="auto"/>
              </w:rPr>
            </w:pPr>
          </w:p>
        </w:tc>
        <w:tc>
          <w:tcPr>
            <w:tcW w:w="7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3,689</w:t>
            </w:r>
          </w:p>
        </w:tc>
      </w:tr>
      <w:tr>
        <w:trPr>
          <w:trHeight w:val="162"/>
        </w:trPr>
        <w:tc>
          <w:tcPr>
            <w:tcW w:w="26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2023</w:t>
            </w:r>
          </w:p>
        </w:tc>
        <w:tc>
          <w:tcPr>
            <w:tcW w:w="20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1,931</w:t>
            </w:r>
          </w:p>
        </w:tc>
      </w:tr>
      <w:tr>
        <w:trPr>
          <w:trHeight w:val="162"/>
        </w:trPr>
        <w:tc>
          <w:tcPr>
            <w:tcW w:w="2660" w:type="dxa"/>
            <w:vAlign w:val="bottom"/>
            <w:tcBorders>
              <w:bottom w:val="single" w:sz="8" w:color="auto"/>
            </w:tcBorders>
          </w:tcPr>
          <w:p>
            <w:pPr>
              <w:ind w:left="20"/>
              <w:spacing w:after="0" w:line="162" w:lineRule="exact"/>
              <w:rPr>
                <w:sz w:val="20"/>
                <w:szCs w:val="20"/>
                <w:color w:val="auto"/>
              </w:rPr>
            </w:pPr>
            <w:r>
              <w:rPr>
                <w:rFonts w:ascii="Arial" w:cs="Arial" w:eastAsia="Arial" w:hAnsi="Arial"/>
                <w:sz w:val="15"/>
                <w:szCs w:val="15"/>
                <w:color w:val="auto"/>
              </w:rPr>
              <w:t>Thereafter</w:t>
            </w:r>
          </w:p>
        </w:tc>
        <w:tc>
          <w:tcPr>
            <w:tcW w:w="20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17,195</w:t>
            </w:r>
          </w:p>
        </w:tc>
      </w:tr>
      <w:tr>
        <w:trPr>
          <w:trHeight w:val="163"/>
        </w:trPr>
        <w:tc>
          <w:tcPr>
            <w:tcW w:w="2660" w:type="dxa"/>
            <w:vAlign w:val="bottom"/>
            <w:tcBorders>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Total</w:t>
            </w:r>
          </w:p>
        </w:tc>
        <w:tc>
          <w:tcPr>
            <w:tcW w:w="20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225,024</w:t>
            </w:r>
          </w:p>
        </w:tc>
      </w:tr>
    </w:tbl>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Capital expenditures in 2018, 2017 and 2016 that were purchase commitments as of the prior year end were $79,345,000, $83,748,000 and $62,927,000, respectively.</w:t>
      </w:r>
    </w:p>
    <w:p>
      <w:pPr>
        <w:spacing w:after="0" w:line="18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b w:val="1"/>
          <w:bCs w:val="1"/>
          <w:i w:val="1"/>
          <w:iCs w:val="1"/>
          <w:color w:val="49B28F"/>
        </w:rPr>
        <w:t xml:space="preserve">Employees. </w:t>
      </w:r>
      <w:r>
        <w:rPr>
          <w:rFonts w:ascii="Arial" w:cs="Arial" w:eastAsia="Arial" w:hAnsi="Arial"/>
          <w:sz w:val="17"/>
          <w:szCs w:val="17"/>
          <w:color w:val="000000"/>
        </w:rPr>
        <w:t>Approximately 11% of the Company’s employees are</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represented by a labor union. All such employees are hourly employees. The Company maintains collective bargaining agreements relating to the union employees within the Building Materials business and Magnesia Specialties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Of the Magnesia Specialties segment, located in Manistee, Michigan and Woodville, Ohio, 100% of its hourly employees are represented by labor unions. The Manistee collective bargaining agreement expires in August 2019. The Woodville collective bargaining agreement expires in June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Note P: Segments</w:t>
      </w:r>
    </w:p>
    <w:p>
      <w:pPr>
        <w:spacing w:after="0" w:line="53"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Building Materials business is comprised of divisions which represent operating segments. Certain divisions are consolidated into reportable segments for financial reporting purposes as they meet the aggregation criteria. The Building Materials business contains three reportable segments: Mid-America Group, Southeast Group and West Group. The Magnesia Specialties business represents an individual operating and reportable segment. The accounting policies used for segment reporting are the same as those described in Note A.</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Company’s evaluation of performance and allocation of resources are based primarily on earnings from operations. Consolidated earnings from operations include total revenues less cost of revenues; selling, general and administrative expenses; acquisition-related expenses, net; other operating income and expenses, net; and exclude interest expense; other nonoperating income, net; and income tax expense (benefit). Corporate loss from operations primarily includes depreciation on capitalized interest; expenses for corporate administrative functions; acquisition-related expenses, net; and other nonrecurring and/or non-operational income and expenses excluded from the Company’s evaluation of segment performance and resource allocation. All long-term debt and related interest expense are held at Corporate.</w:t>
      </w:r>
    </w:p>
    <w:p>
      <w:pPr>
        <w:spacing w:after="0" w:line="20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Assets employed by segment include assets directly identified with those operations. Corporate assets consist primarily of cash and cash equivalents; property, plant and equipment for corporate operations; investments and other assets not directly identifiable with a reportable segment.</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following tables display selected financial data for the Company’s reportable segments. The acquired Bluegrass operations are located in the Mid-America Group and Southeast Group. Total revenues, as well as the consolidated statements of earnings and comprehensive earnings, exclude intersegment revenues which represent sales from one segment to another segment, which are eliminated. Prior-year information has been reclassified to conform to current year revenue presentation.</w:t>
      </w:r>
    </w:p>
    <w:p>
      <w:pPr>
        <w:spacing w:after="0" w:line="826"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6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38</w:t>
      </w:r>
    </w:p>
    <w:p>
      <w:pPr>
        <w:sectPr>
          <w:pgSz w:w="11900" w:h="16838" w:orient="portrait"/>
          <w:cols w:equalWidth="0" w:num="1">
            <w:col w:w="11420"/>
          </w:cols>
          <w:pgMar w:left="240" w:top="265" w:right="239" w:bottom="1440" w:gutter="0" w:footer="0" w:header="0"/>
          <w:type w:val="continuous"/>
        </w:sectPr>
      </w:pPr>
    </w:p>
    <w:bookmarkStart w:id="77" w:name="page78"/>
    <w:bookmarkEnd w:id="77"/>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60" w:type="dxa"/>
            <w:vAlign w:val="bottom"/>
            <w:gridSpan w:val="2"/>
          </w:tcPr>
          <w:p>
            <w:pPr>
              <w:spacing w:after="0"/>
              <w:rPr>
                <w:sz w:val="20"/>
                <w:szCs w:val="20"/>
                <w:color w:val="auto"/>
              </w:rPr>
            </w:pPr>
            <w:r>
              <w:rPr>
                <w:rFonts w:ascii="Arial" w:cs="Arial" w:eastAsia="Arial" w:hAnsi="Arial"/>
                <w:sz w:val="14"/>
                <w:szCs w:val="14"/>
                <w:i w:val="1"/>
                <w:iCs w:val="1"/>
                <w:color w:val="auto"/>
              </w:rPr>
              <w:t>years ended December 31</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(add 000)</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460" w:type="dxa"/>
            <w:vAlign w:val="bottom"/>
            <w:gridSpan w:val="2"/>
          </w:tcPr>
          <w:p>
            <w:pPr>
              <w:spacing w:after="0"/>
              <w:rPr>
                <w:sz w:val="20"/>
                <w:szCs w:val="20"/>
                <w:color w:val="auto"/>
              </w:rPr>
            </w:pPr>
            <w:r>
              <w:rPr>
                <w:rFonts w:ascii="Arial" w:cs="Arial" w:eastAsia="Arial" w:hAnsi="Arial"/>
                <w:sz w:val="15"/>
                <w:szCs w:val="15"/>
                <w:b w:val="1"/>
                <w:bCs w:val="1"/>
                <w:color w:val="auto"/>
              </w:rPr>
              <w:t>Total revenues</w:t>
            </w:r>
          </w:p>
        </w:tc>
        <w:tc>
          <w:tcPr>
            <w:tcW w:w="180" w:type="dxa"/>
            <w:vAlign w:val="bottom"/>
          </w:tcPr>
          <w:p>
            <w:pPr>
              <w:spacing w:after="0"/>
              <w:rPr>
                <w:sz w:val="15"/>
                <w:szCs w:val="15"/>
                <w:color w:val="auto"/>
              </w:rPr>
            </w:pPr>
          </w:p>
        </w:tc>
        <w:tc>
          <w:tcPr>
            <w:tcW w:w="840" w:type="dxa"/>
            <w:vAlign w:val="bottom"/>
          </w:tcPr>
          <w:p>
            <w:pPr>
              <w:jc w:val="right"/>
              <w:ind w:right="43"/>
              <w:spacing w:after="0"/>
              <w:rPr>
                <w:sz w:val="20"/>
                <w:szCs w:val="20"/>
                <w:color w:val="auto"/>
              </w:rPr>
            </w:pPr>
            <w:r>
              <w:rPr>
                <w:rFonts w:ascii="Arial" w:cs="Arial" w:eastAsia="Arial" w:hAnsi="Arial"/>
                <w:sz w:val="15"/>
                <w:szCs w:val="15"/>
                <w:b w:val="1"/>
                <w:bCs w:val="1"/>
                <w:color w:val="0085CD"/>
              </w:rPr>
              <w:t>2018</w:t>
            </w:r>
          </w:p>
        </w:tc>
        <w:tc>
          <w:tcPr>
            <w:tcW w:w="160" w:type="dxa"/>
            <w:vAlign w:val="bottom"/>
          </w:tcPr>
          <w:p>
            <w:pPr>
              <w:spacing w:after="0"/>
              <w:rPr>
                <w:sz w:val="15"/>
                <w:szCs w:val="15"/>
                <w:color w:val="auto"/>
              </w:rPr>
            </w:pPr>
          </w:p>
        </w:tc>
        <w:tc>
          <w:tcPr>
            <w:tcW w:w="820" w:type="dxa"/>
            <w:vAlign w:val="bottom"/>
          </w:tcPr>
          <w:p>
            <w:pPr>
              <w:jc w:val="right"/>
              <w:ind w:right="63"/>
              <w:spacing w:after="0"/>
              <w:rPr>
                <w:sz w:val="20"/>
                <w:szCs w:val="20"/>
                <w:color w:val="auto"/>
              </w:rPr>
            </w:pPr>
            <w:r>
              <w:rPr>
                <w:rFonts w:ascii="Arial" w:cs="Arial" w:eastAsia="Arial" w:hAnsi="Arial"/>
                <w:sz w:val="15"/>
                <w:szCs w:val="15"/>
                <w:color w:val="auto"/>
              </w:rPr>
              <w:t>2017</w:t>
            </w:r>
          </w:p>
        </w:tc>
        <w:tc>
          <w:tcPr>
            <w:tcW w:w="200" w:type="dxa"/>
            <w:vAlign w:val="bottom"/>
          </w:tcPr>
          <w:p>
            <w:pPr>
              <w:spacing w:after="0"/>
              <w:rPr>
                <w:sz w:val="15"/>
                <w:szCs w:val="15"/>
                <w:color w:val="auto"/>
              </w:rPr>
            </w:pPr>
          </w:p>
        </w:tc>
        <w:tc>
          <w:tcPr>
            <w:tcW w:w="820" w:type="dxa"/>
            <w:vAlign w:val="bottom"/>
          </w:tcPr>
          <w:p>
            <w:pPr>
              <w:jc w:val="right"/>
              <w:ind w:right="23"/>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Mid-America Group</w:t>
            </w:r>
          </w:p>
        </w:tc>
        <w:tc>
          <w:tcPr>
            <w:tcW w:w="1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b w:val="1"/>
                <w:bCs w:val="1"/>
                <w:color w:val="auto"/>
              </w:rPr>
              <w:t>1,223,236</w:t>
            </w: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w w:val="98"/>
              </w:rPr>
              <w:t>1,053,326</w:t>
            </w:r>
          </w:p>
        </w:tc>
        <w:tc>
          <w:tcPr>
            <w:tcW w:w="2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1,017,098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line="162" w:lineRule="exact"/>
              <w:rPr>
                <w:sz w:val="20"/>
                <w:szCs w:val="20"/>
                <w:color w:val="auto"/>
              </w:rPr>
            </w:pPr>
            <w:r>
              <w:rPr>
                <w:rFonts w:ascii="Arial" w:cs="Arial" w:eastAsia="Arial" w:hAnsi="Arial"/>
                <w:sz w:val="15"/>
                <w:szCs w:val="15"/>
                <w:color w:val="auto"/>
              </w:rPr>
              <w:t>Southeast Group</w:t>
            </w:r>
          </w:p>
        </w:tc>
        <w:tc>
          <w:tcPr>
            <w:tcW w:w="180" w:type="dxa"/>
            <w:vAlign w:val="bottom"/>
          </w:tcPr>
          <w:p>
            <w:pPr>
              <w:spacing w:after="0"/>
              <w:rPr>
                <w:sz w:val="14"/>
                <w:szCs w:val="14"/>
                <w:color w:val="auto"/>
              </w:rPr>
            </w:pPr>
          </w:p>
        </w:tc>
        <w:tc>
          <w:tcPr>
            <w:tcW w:w="840" w:type="dxa"/>
            <w:vAlign w:val="bottom"/>
          </w:tcPr>
          <w:p>
            <w:pPr>
              <w:jc w:val="right"/>
              <w:ind w:right="43"/>
              <w:spacing w:after="0" w:line="162" w:lineRule="exact"/>
              <w:rPr>
                <w:sz w:val="20"/>
                <w:szCs w:val="20"/>
                <w:color w:val="auto"/>
              </w:rPr>
            </w:pPr>
            <w:r>
              <w:rPr>
                <w:rFonts w:ascii="Arial" w:cs="Arial" w:eastAsia="Arial" w:hAnsi="Arial"/>
                <w:sz w:val="15"/>
                <w:szCs w:val="15"/>
                <w:b w:val="1"/>
                <w:bCs w:val="1"/>
                <w:color w:val="auto"/>
              </w:rPr>
              <w:t>423,382</w:t>
            </w:r>
          </w:p>
        </w:tc>
        <w:tc>
          <w:tcPr>
            <w:tcW w:w="160" w:type="dxa"/>
            <w:vAlign w:val="bottom"/>
          </w:tcPr>
          <w:p>
            <w:pPr>
              <w:spacing w:after="0"/>
              <w:rPr>
                <w:sz w:val="14"/>
                <w:szCs w:val="14"/>
                <w:color w:val="auto"/>
              </w:rPr>
            </w:pPr>
          </w:p>
        </w:tc>
        <w:tc>
          <w:tcPr>
            <w:tcW w:w="820" w:type="dxa"/>
            <w:vAlign w:val="bottom"/>
          </w:tcPr>
          <w:p>
            <w:pPr>
              <w:jc w:val="right"/>
              <w:ind w:right="63"/>
              <w:spacing w:after="0" w:line="162" w:lineRule="exact"/>
              <w:rPr>
                <w:sz w:val="20"/>
                <w:szCs w:val="20"/>
                <w:color w:val="auto"/>
              </w:rPr>
            </w:pPr>
            <w:r>
              <w:rPr>
                <w:rFonts w:ascii="Arial" w:cs="Arial" w:eastAsia="Arial" w:hAnsi="Arial"/>
                <w:sz w:val="15"/>
                <w:szCs w:val="15"/>
                <w:color w:val="auto"/>
              </w:rPr>
              <w:t>362,555</w:t>
            </w:r>
          </w:p>
        </w:tc>
        <w:tc>
          <w:tcPr>
            <w:tcW w:w="200" w:type="dxa"/>
            <w:vAlign w:val="bottom"/>
          </w:tcPr>
          <w:p>
            <w:pPr>
              <w:spacing w:after="0"/>
              <w:rPr>
                <w:sz w:val="14"/>
                <w:szCs w:val="14"/>
                <w:color w:val="auto"/>
              </w:rPr>
            </w:pPr>
          </w:p>
        </w:tc>
        <w:tc>
          <w:tcPr>
            <w:tcW w:w="8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321,078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5"/>
                <w:szCs w:val="15"/>
                <w:color w:val="auto"/>
              </w:rPr>
              <w:t>West Group</w:t>
            </w: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3"/>
              <w:spacing w:after="0" w:line="162" w:lineRule="exact"/>
              <w:rPr>
                <w:sz w:val="20"/>
                <w:szCs w:val="20"/>
                <w:color w:val="auto"/>
              </w:rPr>
            </w:pPr>
            <w:r>
              <w:rPr>
                <w:rFonts w:ascii="Arial" w:cs="Arial" w:eastAsia="Arial" w:hAnsi="Arial"/>
                <w:sz w:val="15"/>
                <w:szCs w:val="15"/>
                <w:b w:val="1"/>
                <w:bCs w:val="1"/>
                <w:color w:val="auto"/>
              </w:rPr>
              <w:t>2,309,924</w:t>
            </w: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w w:val="98"/>
              </w:rPr>
              <w:t>2,279,723</w:t>
            </w: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2,223,515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40" w:type="dxa"/>
            <w:vAlign w:val="bottom"/>
          </w:tcPr>
          <w:p>
            <w:pPr>
              <w:spacing w:after="0" w:line="152" w:lineRule="exact"/>
              <w:rPr>
                <w:sz w:val="20"/>
                <w:szCs w:val="20"/>
                <w:color w:val="auto"/>
              </w:rPr>
            </w:pPr>
            <w:r>
              <w:rPr>
                <w:rFonts w:ascii="Arial" w:cs="Arial" w:eastAsia="Arial" w:hAnsi="Arial"/>
                <w:sz w:val="15"/>
                <w:szCs w:val="15"/>
                <w:color w:val="auto"/>
              </w:rPr>
              <w:t>Total Building</w:t>
            </w:r>
          </w:p>
        </w:tc>
        <w:tc>
          <w:tcPr>
            <w:tcW w:w="180" w:type="dxa"/>
            <w:vAlign w:val="bottom"/>
          </w:tcPr>
          <w:p>
            <w:pPr>
              <w:spacing w:after="0"/>
              <w:rPr>
                <w:sz w:val="13"/>
                <w:szCs w:val="13"/>
                <w:color w:val="auto"/>
              </w:rPr>
            </w:pPr>
          </w:p>
        </w:tc>
        <w:tc>
          <w:tcPr>
            <w:tcW w:w="84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3,956,542</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40" w:type="dxa"/>
            <w:vAlign w:val="bottom"/>
          </w:tcPr>
          <w:p>
            <w:pPr>
              <w:ind w:left="140"/>
              <w:spacing w:after="0" w:line="166" w:lineRule="exact"/>
              <w:rPr>
                <w:sz w:val="20"/>
                <w:szCs w:val="20"/>
                <w:color w:val="auto"/>
              </w:rPr>
            </w:pPr>
            <w:r>
              <w:rPr>
                <w:rFonts w:ascii="Arial" w:cs="Arial" w:eastAsia="Arial" w:hAnsi="Arial"/>
                <w:sz w:val="15"/>
                <w:szCs w:val="15"/>
                <w:color w:val="auto"/>
              </w:rPr>
              <w:t>Materials Business</w:t>
            </w: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63"/>
              <w:spacing w:after="0" w:line="166" w:lineRule="exact"/>
              <w:rPr>
                <w:sz w:val="20"/>
                <w:szCs w:val="20"/>
                <w:color w:val="auto"/>
              </w:rPr>
            </w:pPr>
            <w:r>
              <w:rPr>
                <w:rFonts w:ascii="Arial" w:cs="Arial" w:eastAsia="Arial" w:hAnsi="Arial"/>
                <w:sz w:val="15"/>
                <w:szCs w:val="15"/>
                <w:color w:val="auto"/>
                <w:w w:val="98"/>
              </w:rPr>
              <w:t>3,695,604</w:t>
            </w:r>
          </w:p>
        </w:tc>
        <w:tc>
          <w:tcPr>
            <w:tcW w:w="200" w:type="dxa"/>
            <w:vAlign w:val="bottom"/>
          </w:tcPr>
          <w:p>
            <w:pPr>
              <w:spacing w:after="0"/>
              <w:rPr>
                <w:sz w:val="14"/>
                <w:szCs w:val="14"/>
                <w:color w:val="auto"/>
              </w:rPr>
            </w:pPr>
          </w:p>
        </w:tc>
        <w:tc>
          <w:tcPr>
            <w:tcW w:w="820" w:type="dxa"/>
            <w:vAlign w:val="bottom"/>
          </w:tcPr>
          <w:p>
            <w:pPr>
              <w:jc w:val="right"/>
              <w:ind w:right="23"/>
              <w:spacing w:after="0" w:line="166" w:lineRule="exact"/>
              <w:rPr>
                <w:sz w:val="20"/>
                <w:szCs w:val="20"/>
                <w:color w:val="auto"/>
              </w:rPr>
            </w:pPr>
            <w:r>
              <w:rPr>
                <w:rFonts w:ascii="Arial" w:cs="Arial" w:eastAsia="Arial" w:hAnsi="Arial"/>
                <w:sz w:val="15"/>
                <w:szCs w:val="15"/>
                <w:color w:val="auto"/>
              </w:rPr>
              <w:t>3,561,691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5"/>
                <w:szCs w:val="15"/>
                <w:color w:val="auto"/>
              </w:rPr>
              <w:t>Magnesia Specialties</w:t>
            </w: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3"/>
              <w:spacing w:after="0" w:line="162" w:lineRule="exact"/>
              <w:rPr>
                <w:sz w:val="20"/>
                <w:szCs w:val="20"/>
                <w:color w:val="auto"/>
              </w:rPr>
            </w:pPr>
            <w:r>
              <w:rPr>
                <w:rFonts w:ascii="Arial" w:cs="Arial" w:eastAsia="Arial" w:hAnsi="Arial"/>
                <w:sz w:val="15"/>
                <w:szCs w:val="15"/>
                <w:b w:val="1"/>
                <w:bCs w:val="1"/>
                <w:color w:val="auto"/>
              </w:rPr>
              <w:t>287,723</w:t>
            </w: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269,990</w:t>
            </w: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257,058</w:t>
            </w:r>
          </w:p>
        </w:tc>
        <w:tc>
          <w:tcPr>
            <w:tcW w:w="0" w:type="dxa"/>
            <w:vAlign w:val="bottom"/>
          </w:tcPr>
          <w:p>
            <w:pPr>
              <w:spacing w:after="0"/>
              <w:rPr>
                <w:sz w:val="1"/>
                <w:szCs w:val="1"/>
                <w:color w:val="auto"/>
              </w:rPr>
            </w:pPr>
          </w:p>
        </w:tc>
      </w:tr>
      <w:tr>
        <w:trPr>
          <w:trHeight w:val="163"/>
        </w:trPr>
        <w:tc>
          <w:tcPr>
            <w:tcW w:w="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b w:val="1"/>
                <w:bCs w:val="1"/>
                <w:color w:val="auto"/>
              </w:rPr>
              <w:t>4,244,265</w:t>
            </w:r>
          </w:p>
        </w:tc>
        <w:tc>
          <w:tcPr>
            <w:tcW w:w="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color w:val="auto"/>
                <w:w w:val="98"/>
              </w:rPr>
              <w:t>3,965,594</w:t>
            </w:r>
          </w:p>
        </w:tc>
        <w:tc>
          <w:tcPr>
            <w:tcW w:w="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3,818,749</w:t>
            </w:r>
          </w:p>
        </w:tc>
        <w:tc>
          <w:tcPr>
            <w:tcW w:w="0" w:type="dxa"/>
            <w:vAlign w:val="bottom"/>
          </w:tcPr>
          <w:p>
            <w:pPr>
              <w:spacing w:after="0"/>
              <w:rPr>
                <w:sz w:val="1"/>
                <w:szCs w:val="1"/>
                <w:color w:val="auto"/>
              </w:rPr>
            </w:pPr>
          </w:p>
        </w:tc>
      </w:tr>
      <w:tr>
        <w:trPr>
          <w:trHeight w:val="365"/>
        </w:trPr>
        <w:tc>
          <w:tcPr>
            <w:tcW w:w="2460" w:type="dxa"/>
            <w:vAlign w:val="bottom"/>
            <w:gridSpan w:val="2"/>
          </w:tcPr>
          <w:p>
            <w:pPr>
              <w:spacing w:after="0"/>
              <w:rPr>
                <w:sz w:val="20"/>
                <w:szCs w:val="20"/>
                <w:color w:val="auto"/>
              </w:rPr>
            </w:pPr>
            <w:r>
              <w:rPr>
                <w:rFonts w:ascii="Arial" w:cs="Arial" w:eastAsia="Arial" w:hAnsi="Arial"/>
                <w:sz w:val="15"/>
                <w:szCs w:val="15"/>
                <w:b w:val="1"/>
                <w:bCs w:val="1"/>
                <w:color w:val="auto"/>
              </w:rPr>
              <w:t>Gross profit (loss)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Mid-America Group</w:t>
            </w:r>
          </w:p>
        </w:tc>
        <w:tc>
          <w:tcPr>
            <w:tcW w:w="1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b w:val="1"/>
                <w:bCs w:val="1"/>
                <w:color w:val="auto"/>
              </w:rPr>
              <w:t>366,918</w:t>
            </w: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335,394</w:t>
            </w:r>
          </w:p>
        </w:tc>
        <w:tc>
          <w:tcPr>
            <w:tcW w:w="2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306,560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line="162" w:lineRule="exact"/>
              <w:rPr>
                <w:sz w:val="20"/>
                <w:szCs w:val="20"/>
                <w:color w:val="auto"/>
              </w:rPr>
            </w:pPr>
            <w:r>
              <w:rPr>
                <w:rFonts w:ascii="Arial" w:cs="Arial" w:eastAsia="Arial" w:hAnsi="Arial"/>
                <w:sz w:val="15"/>
                <w:szCs w:val="15"/>
                <w:color w:val="auto"/>
              </w:rPr>
              <w:t>Southeast Group</w:t>
            </w:r>
          </w:p>
        </w:tc>
        <w:tc>
          <w:tcPr>
            <w:tcW w:w="180" w:type="dxa"/>
            <w:vAlign w:val="bottom"/>
          </w:tcPr>
          <w:p>
            <w:pPr>
              <w:spacing w:after="0"/>
              <w:rPr>
                <w:sz w:val="14"/>
                <w:szCs w:val="14"/>
                <w:color w:val="auto"/>
              </w:rPr>
            </w:pPr>
          </w:p>
        </w:tc>
        <w:tc>
          <w:tcPr>
            <w:tcW w:w="840" w:type="dxa"/>
            <w:vAlign w:val="bottom"/>
          </w:tcPr>
          <w:p>
            <w:pPr>
              <w:jc w:val="right"/>
              <w:ind w:right="43"/>
              <w:spacing w:after="0" w:line="162" w:lineRule="exact"/>
              <w:rPr>
                <w:sz w:val="20"/>
                <w:szCs w:val="20"/>
                <w:color w:val="auto"/>
              </w:rPr>
            </w:pPr>
            <w:r>
              <w:rPr>
                <w:rFonts w:ascii="Arial" w:cs="Arial" w:eastAsia="Arial" w:hAnsi="Arial"/>
                <w:sz w:val="15"/>
                <w:szCs w:val="15"/>
                <w:b w:val="1"/>
                <w:bCs w:val="1"/>
                <w:color w:val="auto"/>
              </w:rPr>
              <w:t>77,193</w:t>
            </w:r>
          </w:p>
        </w:tc>
        <w:tc>
          <w:tcPr>
            <w:tcW w:w="160" w:type="dxa"/>
            <w:vAlign w:val="bottom"/>
          </w:tcPr>
          <w:p>
            <w:pPr>
              <w:spacing w:after="0"/>
              <w:rPr>
                <w:sz w:val="14"/>
                <w:szCs w:val="14"/>
                <w:color w:val="auto"/>
              </w:rPr>
            </w:pPr>
          </w:p>
        </w:tc>
        <w:tc>
          <w:tcPr>
            <w:tcW w:w="820" w:type="dxa"/>
            <w:vAlign w:val="bottom"/>
          </w:tcPr>
          <w:p>
            <w:pPr>
              <w:jc w:val="right"/>
              <w:ind w:right="63"/>
              <w:spacing w:after="0" w:line="162" w:lineRule="exact"/>
              <w:rPr>
                <w:sz w:val="20"/>
                <w:szCs w:val="20"/>
                <w:color w:val="auto"/>
              </w:rPr>
            </w:pPr>
            <w:r>
              <w:rPr>
                <w:rFonts w:ascii="Arial" w:cs="Arial" w:eastAsia="Arial" w:hAnsi="Arial"/>
                <w:sz w:val="15"/>
                <w:szCs w:val="15"/>
                <w:color w:val="auto"/>
              </w:rPr>
              <w:t>74,642</w:t>
            </w:r>
          </w:p>
        </w:tc>
        <w:tc>
          <w:tcPr>
            <w:tcW w:w="200" w:type="dxa"/>
            <w:vAlign w:val="bottom"/>
          </w:tcPr>
          <w:p>
            <w:pPr>
              <w:spacing w:after="0"/>
              <w:rPr>
                <w:sz w:val="14"/>
                <w:szCs w:val="14"/>
                <w:color w:val="auto"/>
              </w:rPr>
            </w:pPr>
          </w:p>
        </w:tc>
        <w:tc>
          <w:tcPr>
            <w:tcW w:w="8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57,286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5"/>
                <w:szCs w:val="15"/>
                <w:color w:val="auto"/>
              </w:rPr>
              <w:t>West Group</w:t>
            </w: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3"/>
              <w:spacing w:after="0" w:line="162" w:lineRule="exact"/>
              <w:rPr>
                <w:sz w:val="20"/>
                <w:szCs w:val="20"/>
                <w:color w:val="auto"/>
              </w:rPr>
            </w:pPr>
            <w:r>
              <w:rPr>
                <w:rFonts w:ascii="Arial" w:cs="Arial" w:eastAsia="Arial" w:hAnsi="Arial"/>
                <w:sz w:val="15"/>
                <w:szCs w:val="15"/>
                <w:b w:val="1"/>
                <w:bCs w:val="1"/>
                <w:color w:val="auto"/>
              </w:rPr>
              <w:t>416,212</w:t>
            </w: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465,596</w:t>
            </w: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466,790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40" w:type="dxa"/>
            <w:vAlign w:val="bottom"/>
          </w:tcPr>
          <w:p>
            <w:pPr>
              <w:spacing w:after="0" w:line="152" w:lineRule="exact"/>
              <w:rPr>
                <w:sz w:val="20"/>
                <w:szCs w:val="20"/>
                <w:color w:val="auto"/>
              </w:rPr>
            </w:pPr>
            <w:r>
              <w:rPr>
                <w:rFonts w:ascii="Arial" w:cs="Arial" w:eastAsia="Arial" w:hAnsi="Arial"/>
                <w:sz w:val="15"/>
                <w:szCs w:val="15"/>
                <w:color w:val="auto"/>
              </w:rPr>
              <w:t>Total Building</w:t>
            </w:r>
          </w:p>
        </w:tc>
        <w:tc>
          <w:tcPr>
            <w:tcW w:w="180" w:type="dxa"/>
            <w:vAlign w:val="bottom"/>
          </w:tcPr>
          <w:p>
            <w:pPr>
              <w:spacing w:after="0"/>
              <w:rPr>
                <w:sz w:val="13"/>
                <w:szCs w:val="13"/>
                <w:color w:val="auto"/>
              </w:rPr>
            </w:pPr>
          </w:p>
        </w:tc>
        <w:tc>
          <w:tcPr>
            <w:tcW w:w="84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860,323</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40" w:type="dxa"/>
            <w:vAlign w:val="bottom"/>
          </w:tcPr>
          <w:p>
            <w:pPr>
              <w:ind w:left="140"/>
              <w:spacing w:after="0" w:line="166" w:lineRule="exact"/>
              <w:rPr>
                <w:sz w:val="20"/>
                <w:szCs w:val="20"/>
                <w:color w:val="auto"/>
              </w:rPr>
            </w:pPr>
            <w:r>
              <w:rPr>
                <w:rFonts w:ascii="Arial" w:cs="Arial" w:eastAsia="Arial" w:hAnsi="Arial"/>
                <w:sz w:val="15"/>
                <w:szCs w:val="15"/>
                <w:color w:val="auto"/>
              </w:rPr>
              <w:t>Materials Business</w:t>
            </w: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63"/>
              <w:spacing w:after="0" w:line="166" w:lineRule="exact"/>
              <w:rPr>
                <w:sz w:val="20"/>
                <w:szCs w:val="20"/>
                <w:color w:val="auto"/>
              </w:rPr>
            </w:pPr>
            <w:r>
              <w:rPr>
                <w:rFonts w:ascii="Arial" w:cs="Arial" w:eastAsia="Arial" w:hAnsi="Arial"/>
                <w:sz w:val="15"/>
                <w:szCs w:val="15"/>
                <w:color w:val="auto"/>
              </w:rPr>
              <w:t>875,632</w:t>
            </w:r>
          </w:p>
        </w:tc>
        <w:tc>
          <w:tcPr>
            <w:tcW w:w="200" w:type="dxa"/>
            <w:vAlign w:val="bottom"/>
          </w:tcPr>
          <w:p>
            <w:pPr>
              <w:spacing w:after="0"/>
              <w:rPr>
                <w:sz w:val="14"/>
                <w:szCs w:val="14"/>
                <w:color w:val="auto"/>
              </w:rPr>
            </w:pPr>
          </w:p>
        </w:tc>
        <w:tc>
          <w:tcPr>
            <w:tcW w:w="820" w:type="dxa"/>
            <w:vAlign w:val="bottom"/>
          </w:tcPr>
          <w:p>
            <w:pPr>
              <w:jc w:val="right"/>
              <w:ind w:right="23"/>
              <w:spacing w:after="0" w:line="166" w:lineRule="exact"/>
              <w:rPr>
                <w:sz w:val="20"/>
                <w:szCs w:val="20"/>
                <w:color w:val="auto"/>
              </w:rPr>
            </w:pPr>
            <w:r>
              <w:rPr>
                <w:rFonts w:ascii="Arial" w:cs="Arial" w:eastAsia="Arial" w:hAnsi="Arial"/>
                <w:sz w:val="15"/>
                <w:szCs w:val="15"/>
                <w:color w:val="auto"/>
              </w:rPr>
              <w:t>830,636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Magnesia Specialties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b w:val="1"/>
                <w:bCs w:val="1"/>
                <w:color w:val="auto"/>
              </w:rPr>
              <w:t>98,682</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89,398</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89,603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Corporate</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b w:val="1"/>
                <w:bCs w:val="1"/>
                <w:color w:val="auto"/>
              </w:rPr>
              <w:t>7,572</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6,910</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(8,501)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b w:val="1"/>
                <w:bCs w:val="1"/>
                <w:color w:val="auto"/>
              </w:rPr>
              <w:t>966,577</w:t>
            </w:r>
          </w:p>
        </w:tc>
        <w:tc>
          <w:tcPr>
            <w:tcW w:w="1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971,940</w:t>
            </w:r>
          </w:p>
        </w:tc>
        <w:tc>
          <w:tcPr>
            <w:tcW w:w="2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911,738</w:t>
            </w:r>
          </w:p>
        </w:tc>
        <w:tc>
          <w:tcPr>
            <w:tcW w:w="0" w:type="dxa"/>
            <w:vAlign w:val="bottom"/>
          </w:tcPr>
          <w:p>
            <w:pPr>
              <w:spacing w:after="0"/>
              <w:rPr>
                <w:sz w:val="1"/>
                <w:szCs w:val="1"/>
                <w:color w:val="auto"/>
              </w:rPr>
            </w:pPr>
          </w:p>
        </w:tc>
      </w:tr>
      <w:tr>
        <w:trPr>
          <w:trHeight w:val="365"/>
        </w:trPr>
        <w:tc>
          <w:tcPr>
            <w:tcW w:w="3480" w:type="dxa"/>
            <w:vAlign w:val="bottom"/>
            <w:gridSpan w:val="4"/>
          </w:tcPr>
          <w:p>
            <w:pPr>
              <w:spacing w:after="0"/>
              <w:rPr>
                <w:sz w:val="20"/>
                <w:szCs w:val="20"/>
                <w:color w:val="auto"/>
              </w:rPr>
            </w:pPr>
            <w:r>
              <w:rPr>
                <w:rFonts w:ascii="Arial" w:cs="Arial" w:eastAsia="Arial" w:hAnsi="Arial"/>
                <w:sz w:val="15"/>
                <w:szCs w:val="15"/>
                <w:b w:val="1"/>
                <w:bCs w:val="1"/>
                <w:color w:val="auto"/>
              </w:rPr>
              <w:t>Selling, general and administrative expenses</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Mid-America Group</w:t>
            </w:r>
          </w:p>
        </w:tc>
        <w:tc>
          <w:tcPr>
            <w:tcW w:w="1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b w:val="1"/>
                <w:bCs w:val="1"/>
                <w:color w:val="auto"/>
              </w:rPr>
              <w:t>55,775</w:t>
            </w: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53,937</w:t>
            </w:r>
          </w:p>
        </w:tc>
        <w:tc>
          <w:tcPr>
            <w:tcW w:w="2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52,712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line="162" w:lineRule="exact"/>
              <w:rPr>
                <w:sz w:val="20"/>
                <w:szCs w:val="20"/>
                <w:color w:val="auto"/>
              </w:rPr>
            </w:pPr>
            <w:r>
              <w:rPr>
                <w:rFonts w:ascii="Arial" w:cs="Arial" w:eastAsia="Arial" w:hAnsi="Arial"/>
                <w:sz w:val="15"/>
                <w:szCs w:val="15"/>
                <w:color w:val="auto"/>
              </w:rPr>
              <w:t>Southeast Group</w:t>
            </w:r>
          </w:p>
        </w:tc>
        <w:tc>
          <w:tcPr>
            <w:tcW w:w="180" w:type="dxa"/>
            <w:vAlign w:val="bottom"/>
          </w:tcPr>
          <w:p>
            <w:pPr>
              <w:spacing w:after="0"/>
              <w:rPr>
                <w:sz w:val="14"/>
                <w:szCs w:val="14"/>
                <w:color w:val="auto"/>
              </w:rPr>
            </w:pPr>
          </w:p>
        </w:tc>
        <w:tc>
          <w:tcPr>
            <w:tcW w:w="840" w:type="dxa"/>
            <w:vAlign w:val="bottom"/>
          </w:tcPr>
          <w:p>
            <w:pPr>
              <w:jc w:val="right"/>
              <w:ind w:right="43"/>
              <w:spacing w:after="0" w:line="162" w:lineRule="exact"/>
              <w:rPr>
                <w:sz w:val="20"/>
                <w:szCs w:val="20"/>
                <w:color w:val="auto"/>
              </w:rPr>
            </w:pPr>
            <w:r>
              <w:rPr>
                <w:rFonts w:ascii="Arial" w:cs="Arial" w:eastAsia="Arial" w:hAnsi="Arial"/>
                <w:sz w:val="15"/>
                <w:szCs w:val="15"/>
                <w:b w:val="1"/>
                <w:bCs w:val="1"/>
                <w:color w:val="auto"/>
              </w:rPr>
              <w:t>18,727</w:t>
            </w:r>
          </w:p>
        </w:tc>
        <w:tc>
          <w:tcPr>
            <w:tcW w:w="160" w:type="dxa"/>
            <w:vAlign w:val="bottom"/>
          </w:tcPr>
          <w:p>
            <w:pPr>
              <w:spacing w:after="0"/>
              <w:rPr>
                <w:sz w:val="14"/>
                <w:szCs w:val="14"/>
                <w:color w:val="auto"/>
              </w:rPr>
            </w:pPr>
          </w:p>
        </w:tc>
        <w:tc>
          <w:tcPr>
            <w:tcW w:w="820" w:type="dxa"/>
            <w:vAlign w:val="bottom"/>
          </w:tcPr>
          <w:p>
            <w:pPr>
              <w:jc w:val="right"/>
              <w:ind w:right="63"/>
              <w:spacing w:after="0" w:line="162" w:lineRule="exact"/>
              <w:rPr>
                <w:sz w:val="20"/>
                <w:szCs w:val="20"/>
                <w:color w:val="auto"/>
              </w:rPr>
            </w:pPr>
            <w:r>
              <w:rPr>
                <w:rFonts w:ascii="Arial" w:cs="Arial" w:eastAsia="Arial" w:hAnsi="Arial"/>
                <w:sz w:val="15"/>
                <w:szCs w:val="15"/>
                <w:color w:val="auto"/>
              </w:rPr>
              <w:t>17,144</w:t>
            </w:r>
          </w:p>
        </w:tc>
        <w:tc>
          <w:tcPr>
            <w:tcW w:w="200" w:type="dxa"/>
            <w:vAlign w:val="bottom"/>
          </w:tcPr>
          <w:p>
            <w:pPr>
              <w:spacing w:after="0"/>
              <w:rPr>
                <w:sz w:val="14"/>
                <w:szCs w:val="14"/>
                <w:color w:val="auto"/>
              </w:rPr>
            </w:pPr>
          </w:p>
        </w:tc>
        <w:tc>
          <w:tcPr>
            <w:tcW w:w="8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17,245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5"/>
                <w:szCs w:val="15"/>
                <w:color w:val="auto"/>
              </w:rPr>
              <w:t>West Group</w:t>
            </w: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3"/>
              <w:spacing w:after="0" w:line="162" w:lineRule="exact"/>
              <w:rPr>
                <w:sz w:val="20"/>
                <w:szCs w:val="20"/>
                <w:color w:val="auto"/>
              </w:rPr>
            </w:pPr>
            <w:r>
              <w:rPr>
                <w:rFonts w:ascii="Arial" w:cs="Arial" w:eastAsia="Arial" w:hAnsi="Arial"/>
                <w:sz w:val="15"/>
                <w:szCs w:val="15"/>
                <w:b w:val="1"/>
                <w:bCs w:val="1"/>
                <w:color w:val="auto"/>
              </w:rPr>
              <w:t>107,613</w:t>
            </w: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102,650</w:t>
            </w: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95,631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40" w:type="dxa"/>
            <w:vAlign w:val="bottom"/>
          </w:tcPr>
          <w:p>
            <w:pPr>
              <w:spacing w:after="0" w:line="152" w:lineRule="exact"/>
              <w:rPr>
                <w:sz w:val="20"/>
                <w:szCs w:val="20"/>
                <w:color w:val="auto"/>
              </w:rPr>
            </w:pPr>
            <w:r>
              <w:rPr>
                <w:rFonts w:ascii="Arial" w:cs="Arial" w:eastAsia="Arial" w:hAnsi="Arial"/>
                <w:sz w:val="15"/>
                <w:szCs w:val="15"/>
                <w:color w:val="auto"/>
              </w:rPr>
              <w:t>Total Building</w:t>
            </w:r>
          </w:p>
        </w:tc>
        <w:tc>
          <w:tcPr>
            <w:tcW w:w="180" w:type="dxa"/>
            <w:vAlign w:val="bottom"/>
          </w:tcPr>
          <w:p>
            <w:pPr>
              <w:spacing w:after="0"/>
              <w:rPr>
                <w:sz w:val="13"/>
                <w:szCs w:val="13"/>
                <w:color w:val="auto"/>
              </w:rPr>
            </w:pPr>
          </w:p>
        </w:tc>
        <w:tc>
          <w:tcPr>
            <w:tcW w:w="84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182,115</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40" w:type="dxa"/>
            <w:vAlign w:val="bottom"/>
          </w:tcPr>
          <w:p>
            <w:pPr>
              <w:ind w:left="140"/>
              <w:spacing w:after="0" w:line="166" w:lineRule="exact"/>
              <w:rPr>
                <w:sz w:val="20"/>
                <w:szCs w:val="20"/>
                <w:color w:val="auto"/>
              </w:rPr>
            </w:pPr>
            <w:r>
              <w:rPr>
                <w:rFonts w:ascii="Arial" w:cs="Arial" w:eastAsia="Arial" w:hAnsi="Arial"/>
                <w:sz w:val="15"/>
                <w:szCs w:val="15"/>
                <w:color w:val="auto"/>
              </w:rPr>
              <w:t>Materials Business</w:t>
            </w: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63"/>
              <w:spacing w:after="0" w:line="166" w:lineRule="exact"/>
              <w:rPr>
                <w:sz w:val="20"/>
                <w:szCs w:val="20"/>
                <w:color w:val="auto"/>
              </w:rPr>
            </w:pPr>
            <w:r>
              <w:rPr>
                <w:rFonts w:ascii="Arial" w:cs="Arial" w:eastAsia="Arial" w:hAnsi="Arial"/>
                <w:sz w:val="15"/>
                <w:szCs w:val="15"/>
                <w:color w:val="auto"/>
              </w:rPr>
              <w:t>173,731</w:t>
            </w:r>
          </w:p>
        </w:tc>
        <w:tc>
          <w:tcPr>
            <w:tcW w:w="200" w:type="dxa"/>
            <w:vAlign w:val="bottom"/>
          </w:tcPr>
          <w:p>
            <w:pPr>
              <w:spacing w:after="0"/>
              <w:rPr>
                <w:sz w:val="14"/>
                <w:szCs w:val="14"/>
                <w:color w:val="auto"/>
              </w:rPr>
            </w:pPr>
          </w:p>
        </w:tc>
        <w:tc>
          <w:tcPr>
            <w:tcW w:w="820" w:type="dxa"/>
            <w:vAlign w:val="bottom"/>
          </w:tcPr>
          <w:p>
            <w:pPr>
              <w:jc w:val="right"/>
              <w:ind w:right="23"/>
              <w:spacing w:after="0" w:line="166" w:lineRule="exact"/>
              <w:rPr>
                <w:sz w:val="20"/>
                <w:szCs w:val="20"/>
                <w:color w:val="auto"/>
              </w:rPr>
            </w:pPr>
            <w:r>
              <w:rPr>
                <w:rFonts w:ascii="Arial" w:cs="Arial" w:eastAsia="Arial" w:hAnsi="Arial"/>
                <w:sz w:val="15"/>
                <w:szCs w:val="15"/>
                <w:color w:val="auto"/>
              </w:rPr>
              <w:t>165,588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Magnesia Specialties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b w:val="1"/>
                <w:bCs w:val="1"/>
                <w:color w:val="auto"/>
              </w:rPr>
              <w:t>9,999</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9,537</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9,617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Corporate</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b w:val="1"/>
                <w:bCs w:val="1"/>
                <w:color w:val="auto"/>
              </w:rPr>
              <w:t>88,440</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78,860</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66,401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b w:val="1"/>
                <w:bCs w:val="1"/>
                <w:color w:val="auto"/>
              </w:rPr>
              <w:t>280,554</w:t>
            </w:r>
          </w:p>
        </w:tc>
        <w:tc>
          <w:tcPr>
            <w:tcW w:w="1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262,128</w:t>
            </w:r>
          </w:p>
        </w:tc>
        <w:tc>
          <w:tcPr>
            <w:tcW w:w="2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241,606</w:t>
            </w:r>
          </w:p>
        </w:tc>
        <w:tc>
          <w:tcPr>
            <w:tcW w:w="0" w:type="dxa"/>
            <w:vAlign w:val="bottom"/>
          </w:tcPr>
          <w:p>
            <w:pPr>
              <w:spacing w:after="0"/>
              <w:rPr>
                <w:sz w:val="1"/>
                <w:szCs w:val="1"/>
                <w:color w:val="auto"/>
              </w:rPr>
            </w:pPr>
          </w:p>
        </w:tc>
      </w:tr>
      <w:tr>
        <w:trPr>
          <w:trHeight w:val="432"/>
        </w:trPr>
        <w:tc>
          <w:tcPr>
            <w:tcW w:w="2460" w:type="dxa"/>
            <w:vAlign w:val="bottom"/>
            <w:gridSpan w:val="2"/>
          </w:tcPr>
          <w:p>
            <w:pPr>
              <w:spacing w:after="0"/>
              <w:rPr>
                <w:sz w:val="20"/>
                <w:szCs w:val="20"/>
                <w:color w:val="auto"/>
              </w:rPr>
            </w:pPr>
            <w:r>
              <w:rPr>
                <w:rFonts w:ascii="Arial" w:cs="Arial" w:eastAsia="Arial" w:hAnsi="Arial"/>
                <w:sz w:val="15"/>
                <w:szCs w:val="15"/>
                <w:b w:val="1"/>
                <w:bCs w:val="1"/>
                <w:color w:val="auto"/>
              </w:rPr>
              <w:t>Earnings (Loss) from operations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Mid-America Group</w:t>
            </w:r>
          </w:p>
        </w:tc>
        <w:tc>
          <w:tcPr>
            <w:tcW w:w="1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b w:val="1"/>
                <w:bCs w:val="1"/>
                <w:color w:val="auto"/>
              </w:rPr>
              <w:t>319,139</w:t>
            </w: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284,789</w:t>
            </w:r>
          </w:p>
        </w:tc>
        <w:tc>
          <w:tcPr>
            <w:tcW w:w="2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258,422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line="162" w:lineRule="exact"/>
              <w:rPr>
                <w:sz w:val="20"/>
                <w:szCs w:val="20"/>
                <w:color w:val="auto"/>
              </w:rPr>
            </w:pPr>
            <w:r>
              <w:rPr>
                <w:rFonts w:ascii="Arial" w:cs="Arial" w:eastAsia="Arial" w:hAnsi="Arial"/>
                <w:sz w:val="15"/>
                <w:szCs w:val="15"/>
                <w:color w:val="auto"/>
              </w:rPr>
              <w:t>Southeast Group</w:t>
            </w:r>
          </w:p>
        </w:tc>
        <w:tc>
          <w:tcPr>
            <w:tcW w:w="180" w:type="dxa"/>
            <w:vAlign w:val="bottom"/>
          </w:tcPr>
          <w:p>
            <w:pPr>
              <w:spacing w:after="0"/>
              <w:rPr>
                <w:sz w:val="14"/>
                <w:szCs w:val="14"/>
                <w:color w:val="auto"/>
              </w:rPr>
            </w:pPr>
          </w:p>
        </w:tc>
        <w:tc>
          <w:tcPr>
            <w:tcW w:w="840" w:type="dxa"/>
            <w:vAlign w:val="bottom"/>
          </w:tcPr>
          <w:p>
            <w:pPr>
              <w:jc w:val="right"/>
              <w:ind w:right="43"/>
              <w:spacing w:after="0" w:line="162" w:lineRule="exact"/>
              <w:rPr>
                <w:sz w:val="20"/>
                <w:szCs w:val="20"/>
                <w:color w:val="auto"/>
              </w:rPr>
            </w:pPr>
            <w:r>
              <w:rPr>
                <w:rFonts w:ascii="Arial" w:cs="Arial" w:eastAsia="Arial" w:hAnsi="Arial"/>
                <w:sz w:val="15"/>
                <w:szCs w:val="15"/>
                <w:b w:val="1"/>
                <w:bCs w:val="1"/>
                <w:color w:val="auto"/>
              </w:rPr>
              <w:t>75,840</w:t>
            </w:r>
          </w:p>
        </w:tc>
        <w:tc>
          <w:tcPr>
            <w:tcW w:w="160" w:type="dxa"/>
            <w:vAlign w:val="bottom"/>
          </w:tcPr>
          <w:p>
            <w:pPr>
              <w:spacing w:after="0"/>
              <w:rPr>
                <w:sz w:val="14"/>
                <w:szCs w:val="14"/>
                <w:color w:val="auto"/>
              </w:rPr>
            </w:pPr>
          </w:p>
        </w:tc>
        <w:tc>
          <w:tcPr>
            <w:tcW w:w="820" w:type="dxa"/>
            <w:vAlign w:val="bottom"/>
          </w:tcPr>
          <w:p>
            <w:pPr>
              <w:jc w:val="right"/>
              <w:ind w:right="63"/>
              <w:spacing w:after="0" w:line="162" w:lineRule="exact"/>
              <w:rPr>
                <w:sz w:val="20"/>
                <w:szCs w:val="20"/>
                <w:color w:val="auto"/>
              </w:rPr>
            </w:pPr>
            <w:r>
              <w:rPr>
                <w:rFonts w:ascii="Arial" w:cs="Arial" w:eastAsia="Arial" w:hAnsi="Arial"/>
                <w:sz w:val="15"/>
                <w:szCs w:val="15"/>
                <w:color w:val="auto"/>
              </w:rPr>
              <w:t>61,238</w:t>
            </w:r>
          </w:p>
        </w:tc>
        <w:tc>
          <w:tcPr>
            <w:tcW w:w="200" w:type="dxa"/>
            <w:vAlign w:val="bottom"/>
          </w:tcPr>
          <w:p>
            <w:pPr>
              <w:spacing w:after="0"/>
              <w:rPr>
                <w:sz w:val="14"/>
                <w:szCs w:val="14"/>
                <w:color w:val="auto"/>
              </w:rPr>
            </w:pPr>
          </w:p>
        </w:tc>
        <w:tc>
          <w:tcPr>
            <w:tcW w:w="8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41,653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5"/>
                <w:szCs w:val="15"/>
                <w:color w:val="auto"/>
              </w:rPr>
              <w:t>West Group</w:t>
            </w: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3"/>
              <w:spacing w:after="0" w:line="162" w:lineRule="exact"/>
              <w:rPr>
                <w:sz w:val="20"/>
                <w:szCs w:val="20"/>
                <w:color w:val="auto"/>
              </w:rPr>
            </w:pPr>
            <w:r>
              <w:rPr>
                <w:rFonts w:ascii="Arial" w:cs="Arial" w:eastAsia="Arial" w:hAnsi="Arial"/>
                <w:sz w:val="15"/>
                <w:szCs w:val="15"/>
                <w:b w:val="1"/>
                <w:bCs w:val="1"/>
                <w:color w:val="auto"/>
              </w:rPr>
              <w:t>295,801</w:t>
            </w: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360,544</w:t>
            </w: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379,417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40" w:type="dxa"/>
            <w:vAlign w:val="bottom"/>
          </w:tcPr>
          <w:p>
            <w:pPr>
              <w:spacing w:after="0" w:line="152" w:lineRule="exact"/>
              <w:rPr>
                <w:sz w:val="20"/>
                <w:szCs w:val="20"/>
                <w:color w:val="auto"/>
              </w:rPr>
            </w:pPr>
            <w:r>
              <w:rPr>
                <w:rFonts w:ascii="Arial" w:cs="Arial" w:eastAsia="Arial" w:hAnsi="Arial"/>
                <w:sz w:val="15"/>
                <w:szCs w:val="15"/>
                <w:color w:val="auto"/>
              </w:rPr>
              <w:t>Total Building</w:t>
            </w:r>
          </w:p>
        </w:tc>
        <w:tc>
          <w:tcPr>
            <w:tcW w:w="180" w:type="dxa"/>
            <w:vAlign w:val="bottom"/>
          </w:tcPr>
          <w:p>
            <w:pPr>
              <w:spacing w:after="0"/>
              <w:rPr>
                <w:sz w:val="13"/>
                <w:szCs w:val="13"/>
                <w:color w:val="auto"/>
              </w:rPr>
            </w:pPr>
          </w:p>
        </w:tc>
        <w:tc>
          <w:tcPr>
            <w:tcW w:w="84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690,780</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40" w:type="dxa"/>
            <w:vAlign w:val="bottom"/>
          </w:tcPr>
          <w:p>
            <w:pPr>
              <w:ind w:left="140"/>
              <w:spacing w:after="0" w:line="166" w:lineRule="exact"/>
              <w:rPr>
                <w:sz w:val="20"/>
                <w:szCs w:val="20"/>
                <w:color w:val="auto"/>
              </w:rPr>
            </w:pPr>
            <w:r>
              <w:rPr>
                <w:rFonts w:ascii="Arial" w:cs="Arial" w:eastAsia="Arial" w:hAnsi="Arial"/>
                <w:sz w:val="15"/>
                <w:szCs w:val="15"/>
                <w:color w:val="auto"/>
              </w:rPr>
              <w:t>Materials Business</w:t>
            </w: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63"/>
              <w:spacing w:after="0" w:line="166" w:lineRule="exact"/>
              <w:rPr>
                <w:sz w:val="20"/>
                <w:szCs w:val="20"/>
                <w:color w:val="auto"/>
              </w:rPr>
            </w:pPr>
            <w:r>
              <w:rPr>
                <w:rFonts w:ascii="Arial" w:cs="Arial" w:eastAsia="Arial" w:hAnsi="Arial"/>
                <w:sz w:val="15"/>
                <w:szCs w:val="15"/>
                <w:color w:val="auto"/>
              </w:rPr>
              <w:t>706,571</w:t>
            </w:r>
          </w:p>
        </w:tc>
        <w:tc>
          <w:tcPr>
            <w:tcW w:w="200" w:type="dxa"/>
            <w:vAlign w:val="bottom"/>
          </w:tcPr>
          <w:p>
            <w:pPr>
              <w:spacing w:after="0"/>
              <w:rPr>
                <w:sz w:val="14"/>
                <w:szCs w:val="14"/>
                <w:color w:val="auto"/>
              </w:rPr>
            </w:pPr>
          </w:p>
        </w:tc>
        <w:tc>
          <w:tcPr>
            <w:tcW w:w="820" w:type="dxa"/>
            <w:vAlign w:val="bottom"/>
          </w:tcPr>
          <w:p>
            <w:pPr>
              <w:jc w:val="right"/>
              <w:ind w:right="23"/>
              <w:spacing w:after="0" w:line="166" w:lineRule="exact"/>
              <w:rPr>
                <w:sz w:val="20"/>
                <w:szCs w:val="20"/>
                <w:color w:val="auto"/>
              </w:rPr>
            </w:pPr>
            <w:r>
              <w:rPr>
                <w:rFonts w:ascii="Arial" w:cs="Arial" w:eastAsia="Arial" w:hAnsi="Arial"/>
                <w:sz w:val="15"/>
                <w:szCs w:val="15"/>
                <w:color w:val="auto"/>
              </w:rPr>
              <w:t>679,492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Magnesia Specialties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b w:val="1"/>
                <w:bCs w:val="1"/>
                <w:color w:val="auto"/>
              </w:rPr>
              <w:t>88,063</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79,431</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79,306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Corporate</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b w:val="1"/>
                <w:bCs w:val="1"/>
                <w:color w:val="auto"/>
              </w:rPr>
              <w:t>(88,106)</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(85,621)</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(81,532)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b w:val="1"/>
                <w:bCs w:val="1"/>
                <w:color w:val="auto"/>
              </w:rPr>
              <w:t>690,737</w:t>
            </w:r>
          </w:p>
        </w:tc>
        <w:tc>
          <w:tcPr>
            <w:tcW w:w="1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700,381</w:t>
            </w:r>
          </w:p>
        </w:tc>
        <w:tc>
          <w:tcPr>
            <w:tcW w:w="2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677,266</w:t>
            </w:r>
          </w:p>
        </w:tc>
        <w:tc>
          <w:tcPr>
            <w:tcW w:w="0" w:type="dxa"/>
            <w:vAlign w:val="bottom"/>
          </w:tcPr>
          <w:p>
            <w:pPr>
              <w:spacing w:after="0"/>
              <w:rPr>
                <w:sz w:val="1"/>
                <w:szCs w:val="1"/>
                <w:color w:val="auto"/>
              </w:rPr>
            </w:pPr>
          </w:p>
        </w:tc>
      </w:tr>
      <w:tr>
        <w:trPr>
          <w:trHeight w:val="304"/>
        </w:trPr>
        <w:tc>
          <w:tcPr>
            <w:tcW w:w="4660" w:type="dxa"/>
            <w:vAlign w:val="bottom"/>
            <w:gridSpan w:val="7"/>
          </w:tcPr>
          <w:p>
            <w:pPr>
              <w:spacing w:after="0"/>
              <w:rPr>
                <w:sz w:val="20"/>
                <w:szCs w:val="20"/>
                <w:color w:val="auto"/>
              </w:rPr>
            </w:pPr>
            <w:r>
              <w:rPr>
                <w:rFonts w:ascii="Arial" w:cs="Arial" w:eastAsia="Arial" w:hAnsi="Arial"/>
                <w:sz w:val="17"/>
                <w:szCs w:val="17"/>
                <w:color w:val="auto"/>
              </w:rPr>
              <w:t>Earnings from operations for the West Group for 2018 reflect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460" w:type="dxa"/>
            <w:vAlign w:val="bottom"/>
            <w:gridSpan w:val="6"/>
          </w:tcPr>
          <w:p>
            <w:pPr>
              <w:spacing w:after="0"/>
              <w:rPr>
                <w:sz w:val="20"/>
                <w:szCs w:val="20"/>
                <w:color w:val="auto"/>
              </w:rPr>
            </w:pPr>
            <w:r>
              <w:rPr>
                <w:rFonts w:ascii="Arial" w:cs="Arial" w:eastAsia="Arial" w:hAnsi="Arial"/>
                <w:sz w:val="17"/>
                <w:szCs w:val="17"/>
                <w:color w:val="auto"/>
              </w:rPr>
              <w:t>asset and portfolio rationalization charges of $18,838,000.</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2460" w:type="dxa"/>
            <w:vAlign w:val="bottom"/>
            <w:gridSpan w:val="2"/>
          </w:tcPr>
          <w:p>
            <w:pPr>
              <w:spacing w:after="0"/>
              <w:rPr>
                <w:sz w:val="20"/>
                <w:szCs w:val="20"/>
                <w:color w:val="auto"/>
              </w:rPr>
            </w:pPr>
            <w:r>
              <w:rPr>
                <w:rFonts w:ascii="Arial" w:cs="Arial" w:eastAsia="Arial" w:hAnsi="Arial"/>
                <w:sz w:val="15"/>
                <w:szCs w:val="15"/>
                <w:i w:val="1"/>
                <w:iCs w:val="1"/>
                <w:color w:val="auto"/>
              </w:rPr>
              <w:t>years ended December 31</w:t>
            </w:r>
          </w:p>
        </w:tc>
        <w:tc>
          <w:tcPr>
            <w:tcW w:w="180" w:type="dxa"/>
            <w:vAlign w:val="bottom"/>
          </w:tcPr>
          <w:p>
            <w:pPr>
              <w:spacing w:after="0"/>
              <w:rPr>
                <w:sz w:val="24"/>
                <w:szCs w:val="24"/>
                <w:color w:val="auto"/>
              </w:rPr>
            </w:pPr>
          </w:p>
        </w:tc>
        <w:tc>
          <w:tcPr>
            <w:tcW w:w="84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0085CD"/>
              </w:rPr>
              <w:t>2018</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(add 000)</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2017</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3480" w:type="dxa"/>
            <w:vAlign w:val="bottom"/>
            <w:gridSpan w:val="4"/>
          </w:tcPr>
          <w:p>
            <w:pPr>
              <w:spacing w:after="0" w:line="156" w:lineRule="exact"/>
              <w:rPr>
                <w:sz w:val="20"/>
                <w:szCs w:val="20"/>
                <w:color w:val="auto"/>
              </w:rPr>
            </w:pPr>
            <w:r>
              <w:rPr>
                <w:rFonts w:ascii="Arial" w:cs="Arial" w:eastAsia="Arial" w:hAnsi="Arial"/>
                <w:sz w:val="15"/>
                <w:szCs w:val="15"/>
                <w:b w:val="1"/>
                <w:bCs w:val="1"/>
                <w:color w:val="auto"/>
              </w:rPr>
              <w:t>Depreciation, depletion and amortization</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Mid-America Group</w:t>
            </w:r>
          </w:p>
        </w:tc>
        <w:tc>
          <w:tcPr>
            <w:tcW w:w="1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b w:val="1"/>
                <w:bCs w:val="1"/>
                <w:color w:val="auto"/>
              </w:rPr>
              <w:t>93,639</w:t>
            </w: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69,691</w:t>
            </w:r>
          </w:p>
        </w:tc>
        <w:tc>
          <w:tcPr>
            <w:tcW w:w="2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64,295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line="162" w:lineRule="exact"/>
              <w:rPr>
                <w:sz w:val="20"/>
                <w:szCs w:val="20"/>
                <w:color w:val="auto"/>
              </w:rPr>
            </w:pPr>
            <w:r>
              <w:rPr>
                <w:rFonts w:ascii="Arial" w:cs="Arial" w:eastAsia="Arial" w:hAnsi="Arial"/>
                <w:sz w:val="15"/>
                <w:szCs w:val="15"/>
                <w:color w:val="auto"/>
              </w:rPr>
              <w:t>Southeast Group</w:t>
            </w:r>
          </w:p>
        </w:tc>
        <w:tc>
          <w:tcPr>
            <w:tcW w:w="180" w:type="dxa"/>
            <w:vAlign w:val="bottom"/>
          </w:tcPr>
          <w:p>
            <w:pPr>
              <w:spacing w:after="0"/>
              <w:rPr>
                <w:sz w:val="14"/>
                <w:szCs w:val="14"/>
                <w:color w:val="auto"/>
              </w:rPr>
            </w:pPr>
          </w:p>
        </w:tc>
        <w:tc>
          <w:tcPr>
            <w:tcW w:w="840" w:type="dxa"/>
            <w:vAlign w:val="bottom"/>
          </w:tcPr>
          <w:p>
            <w:pPr>
              <w:jc w:val="right"/>
              <w:ind w:right="43"/>
              <w:spacing w:after="0" w:line="162" w:lineRule="exact"/>
              <w:rPr>
                <w:sz w:val="20"/>
                <w:szCs w:val="20"/>
                <w:color w:val="auto"/>
              </w:rPr>
            </w:pPr>
            <w:r>
              <w:rPr>
                <w:rFonts w:ascii="Arial" w:cs="Arial" w:eastAsia="Arial" w:hAnsi="Arial"/>
                <w:sz w:val="15"/>
                <w:szCs w:val="15"/>
                <w:b w:val="1"/>
                <w:bCs w:val="1"/>
                <w:color w:val="auto"/>
              </w:rPr>
              <w:t>41,214</w:t>
            </w:r>
          </w:p>
        </w:tc>
        <w:tc>
          <w:tcPr>
            <w:tcW w:w="160" w:type="dxa"/>
            <w:vAlign w:val="bottom"/>
          </w:tcPr>
          <w:p>
            <w:pPr>
              <w:spacing w:after="0"/>
              <w:rPr>
                <w:sz w:val="14"/>
                <w:szCs w:val="14"/>
                <w:color w:val="auto"/>
              </w:rPr>
            </w:pPr>
          </w:p>
        </w:tc>
        <w:tc>
          <w:tcPr>
            <w:tcW w:w="820" w:type="dxa"/>
            <w:vAlign w:val="bottom"/>
          </w:tcPr>
          <w:p>
            <w:pPr>
              <w:jc w:val="right"/>
              <w:ind w:right="63"/>
              <w:spacing w:after="0" w:line="162" w:lineRule="exact"/>
              <w:rPr>
                <w:sz w:val="20"/>
                <w:szCs w:val="20"/>
                <w:color w:val="auto"/>
              </w:rPr>
            </w:pPr>
            <w:r>
              <w:rPr>
                <w:rFonts w:ascii="Arial" w:cs="Arial" w:eastAsia="Arial" w:hAnsi="Arial"/>
                <w:sz w:val="15"/>
                <w:szCs w:val="15"/>
                <w:color w:val="auto"/>
              </w:rPr>
              <w:t>30,780</w:t>
            </w:r>
          </w:p>
        </w:tc>
        <w:tc>
          <w:tcPr>
            <w:tcW w:w="200" w:type="dxa"/>
            <w:vAlign w:val="bottom"/>
          </w:tcPr>
          <w:p>
            <w:pPr>
              <w:spacing w:after="0"/>
              <w:rPr>
                <w:sz w:val="14"/>
                <w:szCs w:val="14"/>
                <w:color w:val="auto"/>
              </w:rPr>
            </w:pPr>
          </w:p>
        </w:tc>
        <w:tc>
          <w:tcPr>
            <w:tcW w:w="8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30,590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5"/>
                <w:szCs w:val="15"/>
                <w:color w:val="auto"/>
              </w:rPr>
              <w:t>West Group</w:t>
            </w: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3"/>
              <w:spacing w:after="0" w:line="162" w:lineRule="exact"/>
              <w:rPr>
                <w:sz w:val="20"/>
                <w:szCs w:val="20"/>
                <w:color w:val="auto"/>
              </w:rPr>
            </w:pPr>
            <w:r>
              <w:rPr>
                <w:rFonts w:ascii="Arial" w:cs="Arial" w:eastAsia="Arial" w:hAnsi="Arial"/>
                <w:sz w:val="15"/>
                <w:szCs w:val="15"/>
                <w:b w:val="1"/>
                <w:bCs w:val="1"/>
                <w:color w:val="auto"/>
              </w:rPr>
              <w:t>180,870</w:t>
            </w: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169,853</w:t>
            </w: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164,653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440" w:type="dxa"/>
            <w:vAlign w:val="bottom"/>
          </w:tcPr>
          <w:p>
            <w:pPr>
              <w:spacing w:after="0" w:line="152" w:lineRule="exact"/>
              <w:rPr>
                <w:sz w:val="20"/>
                <w:szCs w:val="20"/>
                <w:color w:val="auto"/>
              </w:rPr>
            </w:pPr>
            <w:r>
              <w:rPr>
                <w:rFonts w:ascii="Arial" w:cs="Arial" w:eastAsia="Arial" w:hAnsi="Arial"/>
                <w:sz w:val="15"/>
                <w:szCs w:val="15"/>
                <w:color w:val="auto"/>
              </w:rPr>
              <w:t>Total Building</w:t>
            </w:r>
          </w:p>
        </w:tc>
        <w:tc>
          <w:tcPr>
            <w:tcW w:w="180" w:type="dxa"/>
            <w:vAlign w:val="bottom"/>
          </w:tcPr>
          <w:p>
            <w:pPr>
              <w:spacing w:after="0"/>
              <w:rPr>
                <w:sz w:val="13"/>
                <w:szCs w:val="13"/>
                <w:color w:val="auto"/>
              </w:rPr>
            </w:pPr>
          </w:p>
        </w:tc>
        <w:tc>
          <w:tcPr>
            <w:tcW w:w="84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315,723</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40" w:type="dxa"/>
            <w:vAlign w:val="bottom"/>
          </w:tcPr>
          <w:p>
            <w:pPr>
              <w:ind w:left="140"/>
              <w:spacing w:after="0" w:line="166" w:lineRule="exact"/>
              <w:rPr>
                <w:sz w:val="20"/>
                <w:szCs w:val="20"/>
                <w:color w:val="auto"/>
              </w:rPr>
            </w:pPr>
            <w:r>
              <w:rPr>
                <w:rFonts w:ascii="Arial" w:cs="Arial" w:eastAsia="Arial" w:hAnsi="Arial"/>
                <w:sz w:val="15"/>
                <w:szCs w:val="15"/>
                <w:color w:val="auto"/>
              </w:rPr>
              <w:t>Materials Business</w:t>
            </w: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63"/>
              <w:spacing w:after="0" w:line="166" w:lineRule="exact"/>
              <w:rPr>
                <w:sz w:val="20"/>
                <w:szCs w:val="20"/>
                <w:color w:val="auto"/>
              </w:rPr>
            </w:pPr>
            <w:r>
              <w:rPr>
                <w:rFonts w:ascii="Arial" w:cs="Arial" w:eastAsia="Arial" w:hAnsi="Arial"/>
                <w:sz w:val="15"/>
                <w:szCs w:val="15"/>
                <w:color w:val="auto"/>
              </w:rPr>
              <w:t>270,324</w:t>
            </w:r>
          </w:p>
        </w:tc>
        <w:tc>
          <w:tcPr>
            <w:tcW w:w="200" w:type="dxa"/>
            <w:vAlign w:val="bottom"/>
          </w:tcPr>
          <w:p>
            <w:pPr>
              <w:spacing w:after="0"/>
              <w:rPr>
                <w:sz w:val="14"/>
                <w:szCs w:val="14"/>
                <w:color w:val="auto"/>
              </w:rPr>
            </w:pPr>
          </w:p>
        </w:tc>
        <w:tc>
          <w:tcPr>
            <w:tcW w:w="820" w:type="dxa"/>
            <w:vAlign w:val="bottom"/>
          </w:tcPr>
          <w:p>
            <w:pPr>
              <w:jc w:val="right"/>
              <w:ind w:right="23"/>
              <w:spacing w:after="0" w:line="166" w:lineRule="exact"/>
              <w:rPr>
                <w:sz w:val="20"/>
                <w:szCs w:val="20"/>
                <w:color w:val="auto"/>
              </w:rPr>
            </w:pPr>
            <w:r>
              <w:rPr>
                <w:rFonts w:ascii="Arial" w:cs="Arial" w:eastAsia="Arial" w:hAnsi="Arial"/>
                <w:sz w:val="15"/>
                <w:szCs w:val="15"/>
                <w:color w:val="auto"/>
              </w:rPr>
              <w:t>259,538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Magnesia Specialties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b w:val="1"/>
                <w:bCs w:val="1"/>
                <w:color w:val="auto"/>
              </w:rPr>
              <w:t>10,413</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10,070</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10,354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Corporate</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b w:val="1"/>
                <w:bCs w:val="1"/>
                <w:color w:val="auto"/>
              </w:rPr>
              <w:t>17,897</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16,768</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15,361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b w:val="1"/>
                <w:bCs w:val="1"/>
                <w:color w:val="auto"/>
              </w:rPr>
              <w:t>344,033</w:t>
            </w:r>
          </w:p>
        </w:tc>
        <w:tc>
          <w:tcPr>
            <w:tcW w:w="1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297,162</w:t>
            </w:r>
          </w:p>
        </w:tc>
        <w:tc>
          <w:tcPr>
            <w:tcW w:w="2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285,253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900" w:type="dxa"/>
            <w:vAlign w:val="bottom"/>
          </w:tcPr>
          <w:p>
            <w:pPr>
              <w:spacing w:after="0"/>
              <w:rPr>
                <w:sz w:val="20"/>
                <w:szCs w:val="20"/>
                <w:color w:val="auto"/>
              </w:rPr>
            </w:pPr>
            <w:r>
              <w:rPr>
                <w:rFonts w:ascii="Arial" w:cs="Arial" w:eastAsia="Arial" w:hAnsi="Arial"/>
                <w:sz w:val="14"/>
                <w:szCs w:val="14"/>
                <w:i w:val="1"/>
                <w:iCs w:val="1"/>
                <w:color w:val="auto"/>
              </w:rPr>
              <w:t>December 31</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line="149" w:lineRule="exact"/>
              <w:rPr>
                <w:sz w:val="20"/>
                <w:szCs w:val="20"/>
                <w:color w:val="auto"/>
              </w:rPr>
            </w:pPr>
            <w:r>
              <w:rPr>
                <w:rFonts w:ascii="Arial" w:cs="Arial" w:eastAsia="Arial" w:hAnsi="Arial"/>
                <w:sz w:val="14"/>
                <w:szCs w:val="14"/>
                <w:color w:val="auto"/>
              </w:rPr>
              <w:t>(add 000)</w:t>
            </w: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9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Assets employed</w:t>
            </w: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0085CD"/>
              </w:rPr>
              <w:t>2018</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2017</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19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Mid-America Group</w:t>
            </w:r>
          </w:p>
        </w:tc>
        <w:tc>
          <w:tcPr>
            <w:tcW w:w="5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ind w:right="83"/>
              <w:spacing w:after="0" w:line="156" w:lineRule="exact"/>
              <w:rPr>
                <w:sz w:val="20"/>
                <w:szCs w:val="20"/>
                <w:color w:val="auto"/>
              </w:rPr>
            </w:pPr>
            <w:r>
              <w:rPr>
                <w:rFonts w:ascii="Arial" w:cs="Arial" w:eastAsia="Arial" w:hAnsi="Arial"/>
                <w:sz w:val="15"/>
                <w:szCs w:val="15"/>
                <w:b w:val="1"/>
                <w:bCs w:val="1"/>
                <w:color w:val="auto"/>
              </w:rPr>
              <w:t>2,788,454</w:t>
            </w:r>
          </w:p>
        </w:tc>
        <w:tc>
          <w:tcPr>
            <w:tcW w:w="2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103"/>
              <w:spacing w:after="0" w:line="156" w:lineRule="exact"/>
              <w:rPr>
                <w:sz w:val="20"/>
                <w:szCs w:val="20"/>
                <w:color w:val="auto"/>
              </w:rPr>
            </w:pPr>
            <w:r>
              <w:rPr>
                <w:rFonts w:ascii="Arial" w:cs="Arial" w:eastAsia="Arial" w:hAnsi="Arial"/>
                <w:sz w:val="15"/>
                <w:szCs w:val="15"/>
                <w:color w:val="auto"/>
              </w:rPr>
              <w:t>1,532,867</w:t>
            </w:r>
          </w:p>
        </w:tc>
        <w:tc>
          <w:tcPr>
            <w:tcW w:w="2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1,406,526</w:t>
            </w:r>
          </w:p>
        </w:tc>
        <w:tc>
          <w:tcPr>
            <w:tcW w:w="0" w:type="dxa"/>
            <w:vAlign w:val="bottom"/>
          </w:tcPr>
          <w:p>
            <w:pPr>
              <w:spacing w:after="0"/>
              <w:rPr>
                <w:sz w:val="1"/>
                <w:szCs w:val="1"/>
                <w:color w:val="auto"/>
              </w:rPr>
            </w:pPr>
          </w:p>
        </w:tc>
      </w:tr>
      <w:tr>
        <w:trPr>
          <w:trHeight w:val="162"/>
        </w:trPr>
        <w:tc>
          <w:tcPr>
            <w:tcW w:w="1900" w:type="dxa"/>
            <w:vAlign w:val="bottom"/>
          </w:tcPr>
          <w:p>
            <w:pPr>
              <w:spacing w:after="0" w:line="162" w:lineRule="exact"/>
              <w:rPr>
                <w:sz w:val="20"/>
                <w:szCs w:val="20"/>
                <w:color w:val="auto"/>
              </w:rPr>
            </w:pPr>
            <w:r>
              <w:rPr>
                <w:rFonts w:ascii="Arial" w:cs="Arial" w:eastAsia="Arial" w:hAnsi="Arial"/>
                <w:sz w:val="15"/>
                <w:szCs w:val="15"/>
                <w:color w:val="auto"/>
              </w:rPr>
              <w:t>Southeast Group</w:t>
            </w:r>
          </w:p>
        </w:tc>
        <w:tc>
          <w:tcPr>
            <w:tcW w:w="560" w:type="dxa"/>
            <w:vAlign w:val="bottom"/>
          </w:tcPr>
          <w:p>
            <w:pPr>
              <w:spacing w:after="0"/>
              <w:rPr>
                <w:sz w:val="14"/>
                <w:szCs w:val="14"/>
                <w:color w:val="auto"/>
              </w:rPr>
            </w:pPr>
          </w:p>
        </w:tc>
        <w:tc>
          <w:tcPr>
            <w:tcW w:w="900" w:type="dxa"/>
            <w:vAlign w:val="bottom"/>
          </w:tcPr>
          <w:p>
            <w:pPr>
              <w:jc w:val="right"/>
              <w:ind w:right="83"/>
              <w:spacing w:after="0" w:line="162" w:lineRule="exact"/>
              <w:rPr>
                <w:sz w:val="20"/>
                <w:szCs w:val="20"/>
                <w:color w:val="auto"/>
              </w:rPr>
            </w:pPr>
            <w:r>
              <w:rPr>
                <w:rFonts w:ascii="Arial" w:cs="Arial" w:eastAsia="Arial" w:hAnsi="Arial"/>
                <w:sz w:val="15"/>
                <w:szCs w:val="15"/>
                <w:b w:val="1"/>
                <w:bCs w:val="1"/>
                <w:color w:val="auto"/>
              </w:rPr>
              <w:t>1,299,469</w:t>
            </w:r>
          </w:p>
        </w:tc>
        <w:tc>
          <w:tcPr>
            <w:tcW w:w="280" w:type="dxa"/>
            <w:vAlign w:val="bottom"/>
          </w:tcPr>
          <w:p>
            <w:pPr>
              <w:spacing w:after="0"/>
              <w:rPr>
                <w:sz w:val="14"/>
                <w:szCs w:val="14"/>
                <w:color w:val="auto"/>
              </w:rPr>
            </w:pPr>
          </w:p>
        </w:tc>
        <w:tc>
          <w:tcPr>
            <w:tcW w:w="92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616,344</w:t>
            </w:r>
          </w:p>
        </w:tc>
        <w:tc>
          <w:tcPr>
            <w:tcW w:w="2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594,967</w:t>
            </w:r>
          </w:p>
        </w:tc>
        <w:tc>
          <w:tcPr>
            <w:tcW w:w="0" w:type="dxa"/>
            <w:vAlign w:val="bottom"/>
          </w:tcPr>
          <w:p>
            <w:pPr>
              <w:spacing w:after="0"/>
              <w:rPr>
                <w:sz w:val="1"/>
                <w:szCs w:val="1"/>
                <w:color w:val="auto"/>
              </w:rPr>
            </w:pPr>
          </w:p>
        </w:tc>
      </w:tr>
      <w:tr>
        <w:trPr>
          <w:trHeight w:val="162"/>
        </w:trPr>
        <w:tc>
          <w:tcPr>
            <w:tcW w:w="190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5"/>
                <w:szCs w:val="15"/>
                <w:color w:val="auto"/>
              </w:rPr>
              <w:t>West Group</w:t>
            </w:r>
          </w:p>
        </w:tc>
        <w:tc>
          <w:tcPr>
            <w:tcW w:w="5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83"/>
              <w:spacing w:after="0" w:line="162" w:lineRule="exact"/>
              <w:rPr>
                <w:sz w:val="20"/>
                <w:szCs w:val="20"/>
                <w:color w:val="auto"/>
              </w:rPr>
            </w:pPr>
            <w:r>
              <w:rPr>
                <w:rFonts w:ascii="Arial" w:cs="Arial" w:eastAsia="Arial" w:hAnsi="Arial"/>
                <w:sz w:val="15"/>
                <w:szCs w:val="15"/>
                <w:b w:val="1"/>
                <w:bCs w:val="1"/>
                <w:color w:val="auto"/>
              </w:rPr>
              <w:t>4,989,639</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5,014,231</w:t>
            </w:r>
          </w:p>
        </w:tc>
        <w:tc>
          <w:tcPr>
            <w:tcW w:w="2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4,904,018</w:t>
            </w:r>
          </w:p>
        </w:tc>
        <w:tc>
          <w:tcPr>
            <w:tcW w:w="0" w:type="dxa"/>
            <w:vAlign w:val="bottom"/>
          </w:tcPr>
          <w:p>
            <w:pPr>
              <w:spacing w:after="0"/>
              <w:rPr>
                <w:sz w:val="1"/>
                <w:szCs w:val="1"/>
                <w:color w:val="auto"/>
              </w:rPr>
            </w:pPr>
          </w:p>
        </w:tc>
      </w:tr>
      <w:tr>
        <w:trPr>
          <w:trHeight w:val="152"/>
        </w:trPr>
        <w:tc>
          <w:tcPr>
            <w:tcW w:w="1900" w:type="dxa"/>
            <w:vAlign w:val="bottom"/>
          </w:tcPr>
          <w:p>
            <w:pPr>
              <w:spacing w:after="0" w:line="152" w:lineRule="exact"/>
              <w:rPr>
                <w:sz w:val="20"/>
                <w:szCs w:val="20"/>
                <w:color w:val="auto"/>
              </w:rPr>
            </w:pPr>
            <w:r>
              <w:rPr>
                <w:rFonts w:ascii="Arial" w:cs="Arial" w:eastAsia="Arial" w:hAnsi="Arial"/>
                <w:sz w:val="15"/>
                <w:szCs w:val="15"/>
                <w:color w:val="auto"/>
              </w:rPr>
              <w:t>Total Building</w:t>
            </w:r>
          </w:p>
        </w:tc>
        <w:tc>
          <w:tcPr>
            <w:tcW w:w="560" w:type="dxa"/>
            <w:vAlign w:val="bottom"/>
          </w:tcPr>
          <w:p>
            <w:pPr>
              <w:spacing w:after="0"/>
              <w:rPr>
                <w:sz w:val="13"/>
                <w:szCs w:val="13"/>
                <w:color w:val="auto"/>
              </w:rPr>
            </w:pPr>
          </w:p>
        </w:tc>
        <w:tc>
          <w:tcPr>
            <w:tcW w:w="90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9,077,562</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00" w:type="dxa"/>
            <w:vAlign w:val="bottom"/>
          </w:tcPr>
          <w:p>
            <w:pPr>
              <w:ind w:left="160"/>
              <w:spacing w:after="0" w:line="166" w:lineRule="exact"/>
              <w:rPr>
                <w:sz w:val="20"/>
                <w:szCs w:val="20"/>
                <w:color w:val="auto"/>
              </w:rPr>
            </w:pPr>
            <w:r>
              <w:rPr>
                <w:rFonts w:ascii="Arial" w:cs="Arial" w:eastAsia="Arial" w:hAnsi="Arial"/>
                <w:sz w:val="15"/>
                <w:szCs w:val="15"/>
                <w:color w:val="auto"/>
              </w:rPr>
              <w:t>Materials Business</w:t>
            </w:r>
          </w:p>
        </w:tc>
        <w:tc>
          <w:tcPr>
            <w:tcW w:w="5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103"/>
              <w:spacing w:after="0" w:line="166" w:lineRule="exact"/>
              <w:rPr>
                <w:sz w:val="20"/>
                <w:szCs w:val="20"/>
                <w:color w:val="auto"/>
              </w:rPr>
            </w:pPr>
            <w:r>
              <w:rPr>
                <w:rFonts w:ascii="Arial" w:cs="Arial" w:eastAsia="Arial" w:hAnsi="Arial"/>
                <w:sz w:val="15"/>
                <w:szCs w:val="15"/>
                <w:color w:val="auto"/>
              </w:rPr>
              <w:t>7,163,442</w:t>
            </w:r>
          </w:p>
        </w:tc>
        <w:tc>
          <w:tcPr>
            <w:tcW w:w="260" w:type="dxa"/>
            <w:vAlign w:val="bottom"/>
          </w:tcPr>
          <w:p>
            <w:pPr>
              <w:spacing w:after="0"/>
              <w:rPr>
                <w:sz w:val="14"/>
                <w:szCs w:val="14"/>
                <w:color w:val="auto"/>
              </w:rPr>
            </w:pPr>
          </w:p>
        </w:tc>
        <w:tc>
          <w:tcPr>
            <w:tcW w:w="780" w:type="dxa"/>
            <w:vAlign w:val="bottom"/>
          </w:tcPr>
          <w:p>
            <w:pPr>
              <w:jc w:val="right"/>
              <w:spacing w:after="0" w:line="166" w:lineRule="exact"/>
              <w:rPr>
                <w:sz w:val="20"/>
                <w:szCs w:val="20"/>
                <w:color w:val="auto"/>
              </w:rPr>
            </w:pPr>
            <w:r>
              <w:rPr>
                <w:rFonts w:ascii="Arial" w:cs="Arial" w:eastAsia="Arial" w:hAnsi="Arial"/>
                <w:sz w:val="15"/>
                <w:szCs w:val="15"/>
                <w:color w:val="auto"/>
              </w:rPr>
              <w:t>6,905,511</w:t>
            </w: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Magnesia Specialties</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b w:val="1"/>
                <w:bCs w:val="1"/>
                <w:color w:val="auto"/>
              </w:rPr>
              <w:t>156,106</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152,257</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150,969</w:t>
            </w:r>
          </w:p>
        </w:tc>
        <w:tc>
          <w:tcPr>
            <w:tcW w:w="0" w:type="dxa"/>
            <w:vAlign w:val="bottom"/>
          </w:tcPr>
          <w:p>
            <w:pPr>
              <w:spacing w:after="0"/>
              <w:rPr>
                <w:sz w:val="1"/>
                <w:szCs w:val="1"/>
                <w:color w:val="auto"/>
              </w:rPr>
            </w:pPr>
          </w:p>
        </w:tc>
      </w:tr>
      <w:tr>
        <w:trPr>
          <w:trHeight w:val="162"/>
        </w:trPr>
        <w:tc>
          <w:tcPr>
            <w:tcW w:w="190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Corporate</w:t>
            </w: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b w:val="1"/>
                <w:bCs w:val="1"/>
                <w:color w:val="auto"/>
              </w:rPr>
              <w:t>317,751</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1,676,812</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244,425</w:t>
            </w:r>
          </w:p>
        </w:tc>
        <w:tc>
          <w:tcPr>
            <w:tcW w:w="0" w:type="dxa"/>
            <w:vAlign w:val="bottom"/>
          </w:tcPr>
          <w:p>
            <w:pPr>
              <w:spacing w:after="0"/>
              <w:rPr>
                <w:sz w:val="1"/>
                <w:szCs w:val="1"/>
                <w:color w:val="auto"/>
              </w:rPr>
            </w:pPr>
          </w:p>
        </w:tc>
      </w:tr>
      <w:tr>
        <w:trPr>
          <w:trHeight w:val="163"/>
        </w:trPr>
        <w:tc>
          <w:tcPr>
            <w:tcW w:w="19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Total</w:t>
            </w:r>
          </w:p>
        </w:tc>
        <w:tc>
          <w:tcPr>
            <w:tcW w:w="5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CCEEFF"/>
          </w:tcPr>
          <w:p>
            <w:pPr>
              <w:jc w:val="right"/>
              <w:ind w:right="83"/>
              <w:spacing w:after="0" w:line="156" w:lineRule="exact"/>
              <w:rPr>
                <w:sz w:val="20"/>
                <w:szCs w:val="20"/>
                <w:color w:val="auto"/>
              </w:rPr>
            </w:pPr>
            <w:r>
              <w:rPr>
                <w:rFonts w:ascii="Arial" w:cs="Arial" w:eastAsia="Arial" w:hAnsi="Arial"/>
                <w:sz w:val="15"/>
                <w:szCs w:val="15"/>
                <w:b w:val="1"/>
                <w:bCs w:val="1"/>
                <w:color w:val="auto"/>
              </w:rPr>
              <w:t>9,551,419</w:t>
            </w:r>
          </w:p>
        </w:tc>
        <w:tc>
          <w:tcPr>
            <w:tcW w:w="2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103"/>
              <w:spacing w:after="0" w:line="156" w:lineRule="exact"/>
              <w:rPr>
                <w:sz w:val="20"/>
                <w:szCs w:val="20"/>
                <w:color w:val="auto"/>
              </w:rPr>
            </w:pPr>
            <w:r>
              <w:rPr>
                <w:rFonts w:ascii="Arial" w:cs="Arial" w:eastAsia="Arial" w:hAnsi="Arial"/>
                <w:sz w:val="15"/>
                <w:szCs w:val="15"/>
                <w:color w:val="auto"/>
              </w:rPr>
              <w:t>8,992,511</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7,300,905</w:t>
            </w:r>
          </w:p>
        </w:tc>
        <w:tc>
          <w:tcPr>
            <w:tcW w:w="0" w:type="dxa"/>
            <w:vAlign w:val="bottom"/>
          </w:tcPr>
          <w:p>
            <w:pPr>
              <w:spacing w:after="0"/>
              <w:rPr>
                <w:sz w:val="1"/>
                <w:szCs w:val="1"/>
                <w:color w:val="auto"/>
              </w:rPr>
            </w:pPr>
          </w:p>
        </w:tc>
      </w:tr>
      <w:tr>
        <w:trPr>
          <w:trHeight w:val="365"/>
        </w:trPr>
        <w:tc>
          <w:tcPr>
            <w:tcW w:w="456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rPr>
              <w:t>Total property additions, including the impact of acquisitions</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9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Mid-America Group</w:t>
            </w:r>
          </w:p>
        </w:tc>
        <w:tc>
          <w:tcPr>
            <w:tcW w:w="5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ind w:right="83"/>
              <w:spacing w:after="0" w:line="156" w:lineRule="exact"/>
              <w:rPr>
                <w:sz w:val="20"/>
                <w:szCs w:val="20"/>
                <w:color w:val="auto"/>
              </w:rPr>
            </w:pPr>
            <w:r>
              <w:rPr>
                <w:rFonts w:ascii="Arial" w:cs="Arial" w:eastAsia="Arial" w:hAnsi="Arial"/>
                <w:sz w:val="15"/>
                <w:szCs w:val="15"/>
                <w:b w:val="1"/>
                <w:bCs w:val="1"/>
                <w:color w:val="auto"/>
              </w:rPr>
              <w:t>1,157,073</w:t>
            </w:r>
          </w:p>
        </w:tc>
        <w:tc>
          <w:tcPr>
            <w:tcW w:w="2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103"/>
              <w:spacing w:after="0" w:line="156" w:lineRule="exact"/>
              <w:rPr>
                <w:sz w:val="20"/>
                <w:szCs w:val="20"/>
                <w:color w:val="auto"/>
              </w:rPr>
            </w:pPr>
            <w:r>
              <w:rPr>
                <w:rFonts w:ascii="Arial" w:cs="Arial" w:eastAsia="Arial" w:hAnsi="Arial"/>
                <w:sz w:val="15"/>
                <w:szCs w:val="15"/>
                <w:color w:val="auto"/>
              </w:rPr>
              <w:t>139,505</w:t>
            </w:r>
          </w:p>
        </w:tc>
        <w:tc>
          <w:tcPr>
            <w:tcW w:w="2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152,014</w:t>
            </w:r>
          </w:p>
        </w:tc>
        <w:tc>
          <w:tcPr>
            <w:tcW w:w="0" w:type="dxa"/>
            <w:vAlign w:val="bottom"/>
          </w:tcPr>
          <w:p>
            <w:pPr>
              <w:spacing w:after="0"/>
              <w:rPr>
                <w:sz w:val="1"/>
                <w:szCs w:val="1"/>
                <w:color w:val="auto"/>
              </w:rPr>
            </w:pPr>
          </w:p>
        </w:tc>
      </w:tr>
      <w:tr>
        <w:trPr>
          <w:trHeight w:val="162"/>
        </w:trPr>
        <w:tc>
          <w:tcPr>
            <w:tcW w:w="1900" w:type="dxa"/>
            <w:vAlign w:val="bottom"/>
          </w:tcPr>
          <w:p>
            <w:pPr>
              <w:spacing w:after="0" w:line="162" w:lineRule="exact"/>
              <w:rPr>
                <w:sz w:val="20"/>
                <w:szCs w:val="20"/>
                <w:color w:val="auto"/>
              </w:rPr>
            </w:pPr>
            <w:r>
              <w:rPr>
                <w:rFonts w:ascii="Arial" w:cs="Arial" w:eastAsia="Arial" w:hAnsi="Arial"/>
                <w:sz w:val="15"/>
                <w:szCs w:val="15"/>
                <w:color w:val="auto"/>
              </w:rPr>
              <w:t>Southeast Group</w:t>
            </w:r>
          </w:p>
        </w:tc>
        <w:tc>
          <w:tcPr>
            <w:tcW w:w="560" w:type="dxa"/>
            <w:vAlign w:val="bottom"/>
          </w:tcPr>
          <w:p>
            <w:pPr>
              <w:spacing w:after="0"/>
              <w:rPr>
                <w:sz w:val="14"/>
                <w:szCs w:val="14"/>
                <w:color w:val="auto"/>
              </w:rPr>
            </w:pPr>
          </w:p>
        </w:tc>
        <w:tc>
          <w:tcPr>
            <w:tcW w:w="900" w:type="dxa"/>
            <w:vAlign w:val="bottom"/>
          </w:tcPr>
          <w:p>
            <w:pPr>
              <w:jc w:val="right"/>
              <w:ind w:right="83"/>
              <w:spacing w:after="0" w:line="162" w:lineRule="exact"/>
              <w:rPr>
                <w:sz w:val="20"/>
                <w:szCs w:val="20"/>
                <w:color w:val="auto"/>
              </w:rPr>
            </w:pPr>
            <w:r>
              <w:rPr>
                <w:rFonts w:ascii="Arial" w:cs="Arial" w:eastAsia="Arial" w:hAnsi="Arial"/>
                <w:sz w:val="15"/>
                <w:szCs w:val="15"/>
                <w:b w:val="1"/>
                <w:bCs w:val="1"/>
                <w:color w:val="auto"/>
              </w:rPr>
              <w:t>603,078</w:t>
            </w:r>
          </w:p>
        </w:tc>
        <w:tc>
          <w:tcPr>
            <w:tcW w:w="280" w:type="dxa"/>
            <w:vAlign w:val="bottom"/>
          </w:tcPr>
          <w:p>
            <w:pPr>
              <w:spacing w:after="0"/>
              <w:rPr>
                <w:sz w:val="14"/>
                <w:szCs w:val="14"/>
                <w:color w:val="auto"/>
              </w:rPr>
            </w:pPr>
          </w:p>
        </w:tc>
        <w:tc>
          <w:tcPr>
            <w:tcW w:w="92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34,636</w:t>
            </w:r>
          </w:p>
        </w:tc>
        <w:tc>
          <w:tcPr>
            <w:tcW w:w="2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30,588</w:t>
            </w:r>
          </w:p>
        </w:tc>
        <w:tc>
          <w:tcPr>
            <w:tcW w:w="0" w:type="dxa"/>
            <w:vAlign w:val="bottom"/>
          </w:tcPr>
          <w:p>
            <w:pPr>
              <w:spacing w:after="0"/>
              <w:rPr>
                <w:sz w:val="1"/>
                <w:szCs w:val="1"/>
                <w:color w:val="auto"/>
              </w:rPr>
            </w:pPr>
          </w:p>
        </w:tc>
      </w:tr>
      <w:tr>
        <w:trPr>
          <w:trHeight w:val="162"/>
        </w:trPr>
        <w:tc>
          <w:tcPr>
            <w:tcW w:w="190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5"/>
                <w:szCs w:val="15"/>
                <w:color w:val="auto"/>
              </w:rPr>
              <w:t>West Group</w:t>
            </w:r>
          </w:p>
        </w:tc>
        <w:tc>
          <w:tcPr>
            <w:tcW w:w="5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83"/>
              <w:spacing w:after="0" w:line="162" w:lineRule="exact"/>
              <w:rPr>
                <w:sz w:val="20"/>
                <w:szCs w:val="20"/>
                <w:color w:val="auto"/>
              </w:rPr>
            </w:pPr>
            <w:r>
              <w:rPr>
                <w:rFonts w:ascii="Arial" w:cs="Arial" w:eastAsia="Arial" w:hAnsi="Arial"/>
                <w:sz w:val="15"/>
                <w:szCs w:val="15"/>
                <w:b w:val="1"/>
                <w:bCs w:val="1"/>
                <w:color w:val="auto"/>
              </w:rPr>
              <w:t>148,164</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240,793</w:t>
            </w:r>
          </w:p>
        </w:tc>
        <w:tc>
          <w:tcPr>
            <w:tcW w:w="2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338,795</w:t>
            </w:r>
          </w:p>
        </w:tc>
        <w:tc>
          <w:tcPr>
            <w:tcW w:w="0" w:type="dxa"/>
            <w:vAlign w:val="bottom"/>
          </w:tcPr>
          <w:p>
            <w:pPr>
              <w:spacing w:after="0"/>
              <w:rPr>
                <w:sz w:val="1"/>
                <w:szCs w:val="1"/>
                <w:color w:val="auto"/>
              </w:rPr>
            </w:pPr>
          </w:p>
        </w:tc>
      </w:tr>
      <w:tr>
        <w:trPr>
          <w:trHeight w:val="152"/>
        </w:trPr>
        <w:tc>
          <w:tcPr>
            <w:tcW w:w="1900" w:type="dxa"/>
            <w:vAlign w:val="bottom"/>
          </w:tcPr>
          <w:p>
            <w:pPr>
              <w:spacing w:after="0" w:line="152" w:lineRule="exact"/>
              <w:rPr>
                <w:sz w:val="20"/>
                <w:szCs w:val="20"/>
                <w:color w:val="auto"/>
              </w:rPr>
            </w:pPr>
            <w:r>
              <w:rPr>
                <w:rFonts w:ascii="Arial" w:cs="Arial" w:eastAsia="Arial" w:hAnsi="Arial"/>
                <w:sz w:val="15"/>
                <w:szCs w:val="15"/>
                <w:color w:val="auto"/>
              </w:rPr>
              <w:t>Total Building</w:t>
            </w:r>
          </w:p>
        </w:tc>
        <w:tc>
          <w:tcPr>
            <w:tcW w:w="560" w:type="dxa"/>
            <w:vAlign w:val="bottom"/>
          </w:tcPr>
          <w:p>
            <w:pPr>
              <w:spacing w:after="0"/>
              <w:rPr>
                <w:sz w:val="13"/>
                <w:szCs w:val="13"/>
                <w:color w:val="auto"/>
              </w:rPr>
            </w:pPr>
          </w:p>
        </w:tc>
        <w:tc>
          <w:tcPr>
            <w:tcW w:w="90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1,908,315</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00" w:type="dxa"/>
            <w:vAlign w:val="bottom"/>
          </w:tcPr>
          <w:p>
            <w:pPr>
              <w:ind w:left="160"/>
              <w:spacing w:after="0" w:line="166" w:lineRule="exact"/>
              <w:rPr>
                <w:sz w:val="20"/>
                <w:szCs w:val="20"/>
                <w:color w:val="auto"/>
              </w:rPr>
            </w:pPr>
            <w:r>
              <w:rPr>
                <w:rFonts w:ascii="Arial" w:cs="Arial" w:eastAsia="Arial" w:hAnsi="Arial"/>
                <w:sz w:val="15"/>
                <w:szCs w:val="15"/>
                <w:color w:val="auto"/>
              </w:rPr>
              <w:t>Materials Business</w:t>
            </w:r>
          </w:p>
        </w:tc>
        <w:tc>
          <w:tcPr>
            <w:tcW w:w="5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103"/>
              <w:spacing w:after="0" w:line="166" w:lineRule="exact"/>
              <w:rPr>
                <w:sz w:val="20"/>
                <w:szCs w:val="20"/>
                <w:color w:val="auto"/>
              </w:rPr>
            </w:pPr>
            <w:r>
              <w:rPr>
                <w:rFonts w:ascii="Arial" w:cs="Arial" w:eastAsia="Arial" w:hAnsi="Arial"/>
                <w:sz w:val="15"/>
                <w:szCs w:val="15"/>
                <w:color w:val="auto"/>
              </w:rPr>
              <w:t>414,934</w:t>
            </w:r>
          </w:p>
        </w:tc>
        <w:tc>
          <w:tcPr>
            <w:tcW w:w="260" w:type="dxa"/>
            <w:vAlign w:val="bottom"/>
          </w:tcPr>
          <w:p>
            <w:pPr>
              <w:spacing w:after="0"/>
              <w:rPr>
                <w:sz w:val="14"/>
                <w:szCs w:val="14"/>
                <w:color w:val="auto"/>
              </w:rPr>
            </w:pPr>
          </w:p>
        </w:tc>
        <w:tc>
          <w:tcPr>
            <w:tcW w:w="780" w:type="dxa"/>
            <w:vAlign w:val="bottom"/>
          </w:tcPr>
          <w:p>
            <w:pPr>
              <w:jc w:val="right"/>
              <w:spacing w:after="0" w:line="166" w:lineRule="exact"/>
              <w:rPr>
                <w:sz w:val="20"/>
                <w:szCs w:val="20"/>
                <w:color w:val="auto"/>
              </w:rPr>
            </w:pPr>
            <w:r>
              <w:rPr>
                <w:rFonts w:ascii="Arial" w:cs="Arial" w:eastAsia="Arial" w:hAnsi="Arial"/>
                <w:sz w:val="15"/>
                <w:szCs w:val="15"/>
                <w:color w:val="auto"/>
              </w:rPr>
              <w:t>521,397</w:t>
            </w: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Magnesia Specialties</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b w:val="1"/>
                <w:bCs w:val="1"/>
                <w:color w:val="auto"/>
              </w:rPr>
              <w:t>12,450</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11,129</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8,944</w:t>
            </w:r>
          </w:p>
        </w:tc>
        <w:tc>
          <w:tcPr>
            <w:tcW w:w="0" w:type="dxa"/>
            <w:vAlign w:val="bottom"/>
          </w:tcPr>
          <w:p>
            <w:pPr>
              <w:spacing w:after="0"/>
              <w:rPr>
                <w:sz w:val="1"/>
                <w:szCs w:val="1"/>
                <w:color w:val="auto"/>
              </w:rPr>
            </w:pPr>
          </w:p>
        </w:tc>
      </w:tr>
      <w:tr>
        <w:trPr>
          <w:trHeight w:val="162"/>
        </w:trPr>
        <w:tc>
          <w:tcPr>
            <w:tcW w:w="190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Corporate</w:t>
            </w: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b w:val="1"/>
                <w:bCs w:val="1"/>
                <w:color w:val="auto"/>
              </w:rPr>
              <w:t>4,838</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12,558</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10,430</w:t>
            </w:r>
          </w:p>
        </w:tc>
        <w:tc>
          <w:tcPr>
            <w:tcW w:w="0" w:type="dxa"/>
            <w:vAlign w:val="bottom"/>
          </w:tcPr>
          <w:p>
            <w:pPr>
              <w:spacing w:after="0"/>
              <w:rPr>
                <w:sz w:val="1"/>
                <w:szCs w:val="1"/>
                <w:color w:val="auto"/>
              </w:rPr>
            </w:pPr>
          </w:p>
        </w:tc>
      </w:tr>
      <w:tr>
        <w:trPr>
          <w:trHeight w:val="163"/>
        </w:trPr>
        <w:tc>
          <w:tcPr>
            <w:tcW w:w="19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Total</w:t>
            </w:r>
          </w:p>
        </w:tc>
        <w:tc>
          <w:tcPr>
            <w:tcW w:w="5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CCEEFF"/>
          </w:tcPr>
          <w:p>
            <w:pPr>
              <w:jc w:val="right"/>
              <w:ind w:right="83"/>
              <w:spacing w:after="0" w:line="156" w:lineRule="exact"/>
              <w:rPr>
                <w:sz w:val="20"/>
                <w:szCs w:val="20"/>
                <w:color w:val="auto"/>
              </w:rPr>
            </w:pPr>
            <w:r>
              <w:rPr>
                <w:rFonts w:ascii="Arial" w:cs="Arial" w:eastAsia="Arial" w:hAnsi="Arial"/>
                <w:sz w:val="15"/>
                <w:szCs w:val="15"/>
                <w:b w:val="1"/>
                <w:bCs w:val="1"/>
                <w:color w:val="auto"/>
              </w:rPr>
              <w:t>1,925,603</w:t>
            </w:r>
          </w:p>
        </w:tc>
        <w:tc>
          <w:tcPr>
            <w:tcW w:w="2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103"/>
              <w:spacing w:after="0" w:line="156" w:lineRule="exact"/>
              <w:rPr>
                <w:sz w:val="20"/>
                <w:szCs w:val="20"/>
                <w:color w:val="auto"/>
              </w:rPr>
            </w:pPr>
            <w:r>
              <w:rPr>
                <w:rFonts w:ascii="Arial" w:cs="Arial" w:eastAsia="Arial" w:hAnsi="Arial"/>
                <w:sz w:val="15"/>
                <w:szCs w:val="15"/>
                <w:color w:val="auto"/>
              </w:rPr>
              <w:t>438,621</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540,771</w:t>
            </w:r>
          </w:p>
        </w:tc>
        <w:tc>
          <w:tcPr>
            <w:tcW w:w="0" w:type="dxa"/>
            <w:vAlign w:val="bottom"/>
          </w:tcPr>
          <w:p>
            <w:pPr>
              <w:spacing w:after="0"/>
              <w:rPr>
                <w:sz w:val="1"/>
                <w:szCs w:val="1"/>
                <w:color w:val="auto"/>
              </w:rPr>
            </w:pPr>
          </w:p>
        </w:tc>
      </w:tr>
      <w:tr>
        <w:trPr>
          <w:trHeight w:val="365"/>
        </w:trPr>
        <w:tc>
          <w:tcPr>
            <w:tcW w:w="336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rPr>
              <w:t>Property additions through acquisitions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90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Mid-America Group</w:t>
            </w:r>
          </w:p>
        </w:tc>
        <w:tc>
          <w:tcPr>
            <w:tcW w:w="5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ind w:right="83"/>
              <w:spacing w:after="0" w:line="156" w:lineRule="exact"/>
              <w:rPr>
                <w:sz w:val="20"/>
                <w:szCs w:val="20"/>
                <w:color w:val="auto"/>
              </w:rPr>
            </w:pPr>
            <w:r>
              <w:rPr>
                <w:rFonts w:ascii="Arial" w:cs="Arial" w:eastAsia="Arial" w:hAnsi="Arial"/>
                <w:sz w:val="15"/>
                <w:szCs w:val="15"/>
                <w:b w:val="1"/>
                <w:bCs w:val="1"/>
                <w:color w:val="auto"/>
              </w:rPr>
              <w:t>980,236</w:t>
            </w:r>
          </w:p>
        </w:tc>
        <w:tc>
          <w:tcPr>
            <w:tcW w:w="2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103"/>
              <w:spacing w:after="0" w:line="156" w:lineRule="exact"/>
              <w:rPr>
                <w:sz w:val="20"/>
                <w:szCs w:val="20"/>
                <w:color w:val="auto"/>
              </w:rPr>
            </w:pPr>
            <w:r>
              <w:rPr>
                <w:rFonts w:ascii="Arial" w:cs="Arial" w:eastAsia="Arial" w:hAnsi="Arial"/>
                <w:sz w:val="15"/>
                <w:szCs w:val="15"/>
                <w:color w:val="auto"/>
              </w:rPr>
              <w:t>60</w:t>
            </w:r>
          </w:p>
        </w:tc>
        <w:tc>
          <w:tcPr>
            <w:tcW w:w="2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1,524</w:t>
            </w:r>
          </w:p>
        </w:tc>
        <w:tc>
          <w:tcPr>
            <w:tcW w:w="0" w:type="dxa"/>
            <w:vAlign w:val="bottom"/>
          </w:tcPr>
          <w:p>
            <w:pPr>
              <w:spacing w:after="0"/>
              <w:rPr>
                <w:sz w:val="1"/>
                <w:szCs w:val="1"/>
                <w:color w:val="auto"/>
              </w:rPr>
            </w:pPr>
          </w:p>
        </w:tc>
      </w:tr>
      <w:tr>
        <w:trPr>
          <w:trHeight w:val="162"/>
        </w:trPr>
        <w:tc>
          <w:tcPr>
            <w:tcW w:w="1900" w:type="dxa"/>
            <w:vAlign w:val="bottom"/>
          </w:tcPr>
          <w:p>
            <w:pPr>
              <w:spacing w:after="0" w:line="162" w:lineRule="exact"/>
              <w:rPr>
                <w:sz w:val="20"/>
                <w:szCs w:val="20"/>
                <w:color w:val="auto"/>
              </w:rPr>
            </w:pPr>
            <w:r>
              <w:rPr>
                <w:rFonts w:ascii="Arial" w:cs="Arial" w:eastAsia="Arial" w:hAnsi="Arial"/>
                <w:sz w:val="15"/>
                <w:szCs w:val="15"/>
                <w:color w:val="auto"/>
              </w:rPr>
              <w:t>Southeast Group</w:t>
            </w:r>
          </w:p>
        </w:tc>
        <w:tc>
          <w:tcPr>
            <w:tcW w:w="560" w:type="dxa"/>
            <w:vAlign w:val="bottom"/>
          </w:tcPr>
          <w:p>
            <w:pPr>
              <w:spacing w:after="0"/>
              <w:rPr>
                <w:sz w:val="14"/>
                <w:szCs w:val="14"/>
                <w:color w:val="auto"/>
              </w:rPr>
            </w:pPr>
          </w:p>
        </w:tc>
        <w:tc>
          <w:tcPr>
            <w:tcW w:w="900" w:type="dxa"/>
            <w:vAlign w:val="bottom"/>
          </w:tcPr>
          <w:p>
            <w:pPr>
              <w:jc w:val="right"/>
              <w:ind w:right="83"/>
              <w:spacing w:after="0" w:line="162" w:lineRule="exact"/>
              <w:rPr>
                <w:sz w:val="20"/>
                <w:szCs w:val="20"/>
                <w:color w:val="auto"/>
              </w:rPr>
            </w:pPr>
            <w:r>
              <w:rPr>
                <w:rFonts w:ascii="Arial" w:cs="Arial" w:eastAsia="Arial" w:hAnsi="Arial"/>
                <w:sz w:val="15"/>
                <w:szCs w:val="15"/>
                <w:b w:val="1"/>
                <w:bCs w:val="1"/>
                <w:color w:val="auto"/>
              </w:rPr>
              <w:t>561,503</w:t>
            </w:r>
          </w:p>
        </w:tc>
        <w:tc>
          <w:tcPr>
            <w:tcW w:w="280" w:type="dxa"/>
            <w:vAlign w:val="bottom"/>
          </w:tcPr>
          <w:p>
            <w:pPr>
              <w:spacing w:after="0"/>
              <w:rPr>
                <w:sz w:val="14"/>
                <w:szCs w:val="14"/>
                <w:color w:val="auto"/>
              </w:rPr>
            </w:pPr>
          </w:p>
        </w:tc>
        <w:tc>
          <w:tcPr>
            <w:tcW w:w="92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190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5"/>
                <w:szCs w:val="15"/>
                <w:color w:val="auto"/>
              </w:rPr>
              <w:t>West Group</w:t>
            </w:r>
          </w:p>
        </w:tc>
        <w:tc>
          <w:tcPr>
            <w:tcW w:w="5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83"/>
              <w:spacing w:after="0" w:line="162" w:lineRule="exact"/>
              <w:rPr>
                <w:sz w:val="20"/>
                <w:szCs w:val="20"/>
                <w:color w:val="auto"/>
              </w:rPr>
            </w:pPr>
            <w:r>
              <w:rPr>
                <w:rFonts w:ascii="Arial" w:cs="Arial" w:eastAsia="Arial" w:hAnsi="Arial"/>
                <w:sz w:val="15"/>
                <w:szCs w:val="15"/>
                <w:b w:val="1"/>
                <w:bCs w:val="1"/>
                <w:color w:val="auto"/>
              </w:rPr>
              <w:t>1,421</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2,420</w:t>
            </w:r>
          </w:p>
        </w:tc>
        <w:tc>
          <w:tcPr>
            <w:tcW w:w="2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132,112</w:t>
            </w:r>
          </w:p>
        </w:tc>
        <w:tc>
          <w:tcPr>
            <w:tcW w:w="0" w:type="dxa"/>
            <w:vAlign w:val="bottom"/>
          </w:tcPr>
          <w:p>
            <w:pPr>
              <w:spacing w:after="0"/>
              <w:rPr>
                <w:sz w:val="1"/>
                <w:szCs w:val="1"/>
                <w:color w:val="auto"/>
              </w:rPr>
            </w:pPr>
          </w:p>
        </w:tc>
      </w:tr>
      <w:tr>
        <w:trPr>
          <w:trHeight w:val="152"/>
        </w:trPr>
        <w:tc>
          <w:tcPr>
            <w:tcW w:w="1900" w:type="dxa"/>
            <w:vAlign w:val="bottom"/>
          </w:tcPr>
          <w:p>
            <w:pPr>
              <w:spacing w:after="0" w:line="152" w:lineRule="exact"/>
              <w:rPr>
                <w:sz w:val="20"/>
                <w:szCs w:val="20"/>
                <w:color w:val="auto"/>
              </w:rPr>
            </w:pPr>
            <w:r>
              <w:rPr>
                <w:rFonts w:ascii="Arial" w:cs="Arial" w:eastAsia="Arial" w:hAnsi="Arial"/>
                <w:sz w:val="15"/>
                <w:szCs w:val="15"/>
                <w:color w:val="auto"/>
              </w:rPr>
              <w:t>Total Building</w:t>
            </w:r>
          </w:p>
        </w:tc>
        <w:tc>
          <w:tcPr>
            <w:tcW w:w="560" w:type="dxa"/>
            <w:vAlign w:val="bottom"/>
          </w:tcPr>
          <w:p>
            <w:pPr>
              <w:spacing w:after="0"/>
              <w:rPr>
                <w:sz w:val="13"/>
                <w:szCs w:val="13"/>
                <w:color w:val="auto"/>
              </w:rPr>
            </w:pPr>
          </w:p>
        </w:tc>
        <w:tc>
          <w:tcPr>
            <w:tcW w:w="90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1,543,160</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00" w:type="dxa"/>
            <w:vAlign w:val="bottom"/>
          </w:tcPr>
          <w:p>
            <w:pPr>
              <w:ind w:left="160"/>
              <w:spacing w:after="0" w:line="166" w:lineRule="exact"/>
              <w:rPr>
                <w:sz w:val="20"/>
                <w:szCs w:val="20"/>
                <w:color w:val="auto"/>
              </w:rPr>
            </w:pPr>
            <w:r>
              <w:rPr>
                <w:rFonts w:ascii="Arial" w:cs="Arial" w:eastAsia="Arial" w:hAnsi="Arial"/>
                <w:sz w:val="15"/>
                <w:szCs w:val="15"/>
                <w:color w:val="auto"/>
              </w:rPr>
              <w:t>Materials Business</w:t>
            </w:r>
          </w:p>
        </w:tc>
        <w:tc>
          <w:tcPr>
            <w:tcW w:w="5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103"/>
              <w:spacing w:after="0" w:line="166" w:lineRule="exact"/>
              <w:rPr>
                <w:sz w:val="20"/>
                <w:szCs w:val="20"/>
                <w:color w:val="auto"/>
              </w:rPr>
            </w:pPr>
            <w:r>
              <w:rPr>
                <w:rFonts w:ascii="Arial" w:cs="Arial" w:eastAsia="Arial" w:hAnsi="Arial"/>
                <w:sz w:val="15"/>
                <w:szCs w:val="15"/>
                <w:color w:val="auto"/>
              </w:rPr>
              <w:t>2,480</w:t>
            </w:r>
          </w:p>
        </w:tc>
        <w:tc>
          <w:tcPr>
            <w:tcW w:w="260" w:type="dxa"/>
            <w:vAlign w:val="bottom"/>
          </w:tcPr>
          <w:p>
            <w:pPr>
              <w:spacing w:after="0"/>
              <w:rPr>
                <w:sz w:val="14"/>
                <w:szCs w:val="14"/>
                <w:color w:val="auto"/>
              </w:rPr>
            </w:pPr>
          </w:p>
        </w:tc>
        <w:tc>
          <w:tcPr>
            <w:tcW w:w="780" w:type="dxa"/>
            <w:vAlign w:val="bottom"/>
          </w:tcPr>
          <w:p>
            <w:pPr>
              <w:jc w:val="right"/>
              <w:spacing w:after="0" w:line="166" w:lineRule="exact"/>
              <w:rPr>
                <w:sz w:val="20"/>
                <w:szCs w:val="20"/>
                <w:color w:val="auto"/>
              </w:rPr>
            </w:pPr>
            <w:r>
              <w:rPr>
                <w:rFonts w:ascii="Arial" w:cs="Arial" w:eastAsia="Arial" w:hAnsi="Arial"/>
                <w:sz w:val="15"/>
                <w:szCs w:val="15"/>
                <w:color w:val="auto"/>
              </w:rPr>
              <w:t>133,636</w:t>
            </w: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Magnesia Specialties</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190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Corporate</w:t>
            </w: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3"/>
        </w:trPr>
        <w:tc>
          <w:tcPr>
            <w:tcW w:w="19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Total</w:t>
            </w:r>
          </w:p>
        </w:tc>
        <w:tc>
          <w:tcPr>
            <w:tcW w:w="5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CCEEFF"/>
          </w:tcPr>
          <w:p>
            <w:pPr>
              <w:jc w:val="right"/>
              <w:ind w:right="83"/>
              <w:spacing w:after="0" w:line="156" w:lineRule="exact"/>
              <w:rPr>
                <w:sz w:val="20"/>
                <w:szCs w:val="20"/>
                <w:color w:val="auto"/>
              </w:rPr>
            </w:pPr>
            <w:r>
              <w:rPr>
                <w:rFonts w:ascii="Arial" w:cs="Arial" w:eastAsia="Arial" w:hAnsi="Arial"/>
                <w:sz w:val="15"/>
                <w:szCs w:val="15"/>
                <w:b w:val="1"/>
                <w:bCs w:val="1"/>
                <w:color w:val="auto"/>
              </w:rPr>
              <w:t>1,543,160</w:t>
            </w:r>
          </w:p>
        </w:tc>
        <w:tc>
          <w:tcPr>
            <w:tcW w:w="2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103"/>
              <w:spacing w:after="0" w:line="156" w:lineRule="exact"/>
              <w:rPr>
                <w:sz w:val="20"/>
                <w:szCs w:val="20"/>
                <w:color w:val="auto"/>
              </w:rPr>
            </w:pPr>
            <w:r>
              <w:rPr>
                <w:rFonts w:ascii="Arial" w:cs="Arial" w:eastAsia="Arial" w:hAnsi="Arial"/>
                <w:sz w:val="15"/>
                <w:szCs w:val="15"/>
                <w:color w:val="auto"/>
              </w:rPr>
              <w:t>2,480</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133,636</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Note Q: Revenues and Gross Profit</w:t>
      </w:r>
    </w:p>
    <w:p>
      <w:pPr>
        <w:spacing w:after="0" w:line="1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Building Materials business includes the aggregates, cement, ready mixed concrete and asphalt and paving product lines. All cement, ready mixed concrete and asphalt and paving product lines are reported within the West Group. The following tables, which are reconciled to consolidated amounts, provide total revenues and gross profit by line of business: Building Materials (further divided by product line) and Magnesia Specialties. Interproduct revenues represent sales from the aggregates product line to the ready mixed concrete and asphalt and paving product lines and sales from the cement product line to the ready mixed concrete product line.</w:t>
      </w:r>
    </w:p>
    <w:p>
      <w:pPr>
        <w:spacing w:after="0" w:line="2122"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39</w:t>
      </w:r>
    </w:p>
    <w:p>
      <w:pPr>
        <w:sectPr>
          <w:pgSz w:w="11900" w:h="16838" w:orient="portrait"/>
          <w:cols w:equalWidth="0" w:num="1">
            <w:col w:w="11420"/>
          </w:cols>
          <w:pgMar w:left="240" w:top="265" w:right="239" w:bottom="1440" w:gutter="0" w:footer="0" w:header="0"/>
          <w:type w:val="continuous"/>
        </w:sectPr>
      </w:pPr>
    </w:p>
    <w:bookmarkStart w:id="78" w:name="page79"/>
    <w:bookmarkEnd w:id="78"/>
    <w:p>
      <w:pPr>
        <w:jc w:val="center"/>
        <w:ind w:right="-19"/>
        <w:spacing w:after="0"/>
        <w:rPr>
          <w:sz w:val="20"/>
          <w:szCs w:val="20"/>
          <w:color w:val="auto"/>
        </w:rPr>
      </w:pPr>
      <w:r>
        <w:rPr>
          <w:rFonts w:ascii="Arial" w:cs="Arial" w:eastAsia="Arial" w:hAnsi="Arial"/>
          <w:sz w:val="17"/>
          <w:szCs w:val="17"/>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NOTES TO FINANCIAL STATEMENTS </w:t>
      </w:r>
      <w:r>
        <w:rPr>
          <w:rFonts w:ascii="Arial" w:cs="Arial" w:eastAsia="Arial" w:hAnsi="Arial"/>
          <w:sz w:val="15"/>
          <w:szCs w:val="15"/>
          <w:color w:val="0085CD"/>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60" w:type="dxa"/>
            <w:vAlign w:val="bottom"/>
          </w:tcPr>
          <w:p>
            <w:pPr>
              <w:ind w:left="20"/>
              <w:spacing w:after="0"/>
              <w:rPr>
                <w:sz w:val="20"/>
                <w:szCs w:val="20"/>
                <w:color w:val="auto"/>
              </w:rPr>
            </w:pPr>
            <w:r>
              <w:rPr>
                <w:rFonts w:ascii="Arial" w:cs="Arial" w:eastAsia="Arial" w:hAnsi="Arial"/>
                <w:sz w:val="14"/>
                <w:szCs w:val="14"/>
                <w:i w:val="1"/>
                <w:iCs w:val="1"/>
                <w:color w:val="auto"/>
              </w:rPr>
              <w:t>years ended December 31</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60" w:type="dxa"/>
            <w:vAlign w:val="bottom"/>
          </w:tcPr>
          <w:p>
            <w:pPr>
              <w:ind w:left="20"/>
              <w:spacing w:after="0" w:line="149" w:lineRule="exact"/>
              <w:rPr>
                <w:sz w:val="20"/>
                <w:szCs w:val="20"/>
                <w:color w:val="auto"/>
              </w:rPr>
            </w:pPr>
            <w:r>
              <w:rPr>
                <w:rFonts w:ascii="Arial" w:cs="Arial" w:eastAsia="Arial" w:hAnsi="Arial"/>
                <w:sz w:val="14"/>
                <w:szCs w:val="14"/>
                <w:color w:val="auto"/>
              </w:rPr>
              <w:t>(add 000)</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revenues</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0085CD"/>
              </w:rPr>
              <w:t>2018</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2017</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206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Building Materials Business:</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20"/>
              <w:spacing w:after="0" w:line="162" w:lineRule="exact"/>
              <w:rPr>
                <w:sz w:val="20"/>
                <w:szCs w:val="20"/>
                <w:color w:val="auto"/>
              </w:rPr>
            </w:pPr>
            <w:r>
              <w:rPr>
                <w:rFonts w:ascii="Arial" w:cs="Arial" w:eastAsia="Arial" w:hAnsi="Arial"/>
                <w:sz w:val="15"/>
                <w:szCs w:val="15"/>
                <w:color w:val="auto"/>
              </w:rPr>
              <w:t>Products and services:</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Aggregates</w:t>
            </w:r>
          </w:p>
        </w:tc>
        <w:tc>
          <w:tcPr>
            <w:tcW w:w="2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b w:val="1"/>
                <w:bCs w:val="1"/>
                <w:color w:val="auto"/>
              </w:rPr>
              <w:t>2,355,673</w:t>
            </w:r>
          </w:p>
        </w:tc>
        <w:tc>
          <w:tcPr>
            <w:tcW w:w="2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2,134,927</w:t>
            </w:r>
          </w:p>
        </w:tc>
        <w:tc>
          <w:tcPr>
            <w:tcW w:w="2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2,058,687</w:t>
            </w:r>
          </w:p>
        </w:tc>
        <w:tc>
          <w:tcPr>
            <w:tcW w:w="0" w:type="dxa"/>
            <w:vAlign w:val="bottom"/>
          </w:tcPr>
          <w:p>
            <w:pPr>
              <w:spacing w:after="0"/>
              <w:rPr>
                <w:sz w:val="1"/>
                <w:szCs w:val="1"/>
                <w:color w:val="auto"/>
              </w:rPr>
            </w:pPr>
          </w:p>
        </w:tc>
      </w:tr>
      <w:tr>
        <w:trPr>
          <w:trHeight w:val="162"/>
        </w:trPr>
        <w:tc>
          <w:tcPr>
            <w:tcW w:w="2060" w:type="dxa"/>
            <w:vAlign w:val="bottom"/>
          </w:tcPr>
          <w:p>
            <w:pPr>
              <w:ind w:left="320"/>
              <w:spacing w:after="0" w:line="162" w:lineRule="exact"/>
              <w:rPr>
                <w:sz w:val="20"/>
                <w:szCs w:val="20"/>
                <w:color w:val="auto"/>
              </w:rPr>
            </w:pPr>
            <w:r>
              <w:rPr>
                <w:rFonts w:ascii="Arial" w:cs="Arial" w:eastAsia="Arial" w:hAnsi="Arial"/>
                <w:sz w:val="15"/>
                <w:szCs w:val="15"/>
                <w:color w:val="auto"/>
              </w:rPr>
              <w:t>Cement</w:t>
            </w:r>
          </w:p>
        </w:tc>
        <w:tc>
          <w:tcPr>
            <w:tcW w:w="280" w:type="dxa"/>
            <w:vAlign w:val="bottom"/>
          </w:tcPr>
          <w:p>
            <w:pPr>
              <w:spacing w:after="0"/>
              <w:rPr>
                <w:sz w:val="14"/>
                <w:szCs w:val="14"/>
                <w:color w:val="auto"/>
              </w:rPr>
            </w:pPr>
          </w:p>
        </w:tc>
        <w:tc>
          <w:tcPr>
            <w:tcW w:w="900" w:type="dxa"/>
            <w:vAlign w:val="bottom"/>
          </w:tcPr>
          <w:p>
            <w:pPr>
              <w:jc w:val="right"/>
              <w:ind w:right="103"/>
              <w:spacing w:after="0" w:line="162" w:lineRule="exact"/>
              <w:rPr>
                <w:sz w:val="20"/>
                <w:szCs w:val="20"/>
                <w:color w:val="auto"/>
              </w:rPr>
            </w:pPr>
            <w:r>
              <w:rPr>
                <w:rFonts w:ascii="Arial" w:cs="Arial" w:eastAsia="Arial" w:hAnsi="Arial"/>
                <w:sz w:val="15"/>
                <w:szCs w:val="15"/>
                <w:b w:val="1"/>
                <w:bCs w:val="1"/>
                <w:color w:val="auto"/>
              </w:rPr>
              <w:t>387,830</w:t>
            </w:r>
          </w:p>
        </w:tc>
        <w:tc>
          <w:tcPr>
            <w:tcW w:w="260" w:type="dxa"/>
            <w:vAlign w:val="bottom"/>
          </w:tcPr>
          <w:p>
            <w:pPr>
              <w:spacing w:after="0"/>
              <w:rPr>
                <w:sz w:val="14"/>
                <w:szCs w:val="14"/>
                <w:color w:val="auto"/>
              </w:rPr>
            </w:pPr>
          </w:p>
        </w:tc>
        <w:tc>
          <w:tcPr>
            <w:tcW w:w="9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371,233</w:t>
            </w:r>
          </w:p>
        </w:tc>
        <w:tc>
          <w:tcPr>
            <w:tcW w:w="260" w:type="dxa"/>
            <w:vAlign w:val="bottom"/>
          </w:tcPr>
          <w:p>
            <w:pPr>
              <w:spacing w:after="0"/>
              <w:rPr>
                <w:sz w:val="14"/>
                <w:szCs w:val="14"/>
                <w:color w:val="auto"/>
              </w:rPr>
            </w:pPr>
          </w:p>
        </w:tc>
        <w:tc>
          <w:tcPr>
            <w:tcW w:w="8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364,139</w:t>
            </w: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Ready Mixed Concrete</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b w:val="1"/>
                <w:bCs w:val="1"/>
                <w:color w:val="auto"/>
              </w:rPr>
              <w:t>963,770</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936,037</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902,678</w:t>
            </w:r>
          </w:p>
        </w:tc>
        <w:tc>
          <w:tcPr>
            <w:tcW w:w="0" w:type="dxa"/>
            <w:vAlign w:val="bottom"/>
          </w:tcPr>
          <w:p>
            <w:pPr>
              <w:spacing w:after="0"/>
              <w:rPr>
                <w:sz w:val="1"/>
                <w:szCs w:val="1"/>
                <w:color w:val="auto"/>
              </w:rPr>
            </w:pPr>
          </w:p>
        </w:tc>
      </w:tr>
      <w:tr>
        <w:trPr>
          <w:trHeight w:val="162"/>
        </w:trPr>
        <w:tc>
          <w:tcPr>
            <w:tcW w:w="2060" w:type="dxa"/>
            <w:vAlign w:val="bottom"/>
          </w:tcPr>
          <w:p>
            <w:pPr>
              <w:ind w:left="320"/>
              <w:spacing w:after="0" w:line="162" w:lineRule="exact"/>
              <w:rPr>
                <w:sz w:val="20"/>
                <w:szCs w:val="20"/>
                <w:color w:val="auto"/>
              </w:rPr>
            </w:pPr>
            <w:r>
              <w:rPr>
                <w:rFonts w:ascii="Arial" w:cs="Arial" w:eastAsia="Arial" w:hAnsi="Arial"/>
                <w:sz w:val="15"/>
                <w:szCs w:val="15"/>
                <w:color w:val="auto"/>
              </w:rPr>
              <w:t>Asphalt and Paving</w:t>
            </w:r>
          </w:p>
        </w:tc>
        <w:tc>
          <w:tcPr>
            <w:tcW w:w="280" w:type="dxa"/>
            <w:vAlign w:val="bottom"/>
          </w:tcPr>
          <w:p>
            <w:pPr>
              <w:spacing w:after="0"/>
              <w:rPr>
                <w:sz w:val="14"/>
                <w:szCs w:val="14"/>
                <w:color w:val="auto"/>
              </w:rPr>
            </w:pPr>
          </w:p>
        </w:tc>
        <w:tc>
          <w:tcPr>
            <w:tcW w:w="900" w:type="dxa"/>
            <w:vAlign w:val="bottom"/>
          </w:tcPr>
          <w:p>
            <w:pPr>
              <w:jc w:val="right"/>
              <w:ind w:right="103"/>
              <w:spacing w:after="0" w:line="162" w:lineRule="exact"/>
              <w:rPr>
                <w:sz w:val="20"/>
                <w:szCs w:val="20"/>
                <w:color w:val="auto"/>
              </w:rPr>
            </w:pPr>
            <w:r>
              <w:rPr>
                <w:rFonts w:ascii="Arial" w:cs="Arial" w:eastAsia="Arial" w:hAnsi="Arial"/>
                <w:sz w:val="15"/>
                <w:szCs w:val="15"/>
                <w:b w:val="1"/>
                <w:bCs w:val="1"/>
                <w:color w:val="auto"/>
              </w:rPr>
              <w:t>268,679</w:t>
            </w:r>
          </w:p>
        </w:tc>
        <w:tc>
          <w:tcPr>
            <w:tcW w:w="260" w:type="dxa"/>
            <w:vAlign w:val="bottom"/>
          </w:tcPr>
          <w:p>
            <w:pPr>
              <w:spacing w:after="0"/>
              <w:rPr>
                <w:sz w:val="14"/>
                <w:szCs w:val="14"/>
                <w:color w:val="auto"/>
              </w:rPr>
            </w:pPr>
          </w:p>
        </w:tc>
        <w:tc>
          <w:tcPr>
            <w:tcW w:w="9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292,571</w:t>
            </w:r>
          </w:p>
        </w:tc>
        <w:tc>
          <w:tcPr>
            <w:tcW w:w="260" w:type="dxa"/>
            <w:vAlign w:val="bottom"/>
          </w:tcPr>
          <w:p>
            <w:pPr>
              <w:spacing w:after="0"/>
              <w:rPr>
                <w:sz w:val="14"/>
                <w:szCs w:val="14"/>
                <w:color w:val="auto"/>
              </w:rPr>
            </w:pPr>
          </w:p>
        </w:tc>
        <w:tc>
          <w:tcPr>
            <w:tcW w:w="8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257,873</w:t>
            </w:r>
          </w:p>
        </w:tc>
        <w:tc>
          <w:tcPr>
            <w:tcW w:w="0" w:type="dxa"/>
            <w:vAlign w:val="bottom"/>
          </w:tcPr>
          <w:p>
            <w:pPr>
              <w:spacing w:after="0"/>
              <w:rPr>
                <w:sz w:val="1"/>
                <w:szCs w:val="1"/>
                <w:color w:val="auto"/>
              </w:rPr>
            </w:pPr>
          </w:p>
        </w:tc>
      </w:tr>
      <w:tr>
        <w:trPr>
          <w:trHeight w:val="159"/>
        </w:trPr>
        <w:tc>
          <w:tcPr>
            <w:tcW w:w="2060" w:type="dxa"/>
            <w:vAlign w:val="bottom"/>
            <w:shd w:val="clear" w:color="auto" w:fill="CCEEFF"/>
          </w:tcPr>
          <w:p>
            <w:pPr>
              <w:ind w:left="320"/>
              <w:spacing w:after="0" w:line="159" w:lineRule="exact"/>
              <w:rPr>
                <w:sz w:val="20"/>
                <w:szCs w:val="20"/>
                <w:color w:val="auto"/>
              </w:rPr>
            </w:pPr>
            <w:r>
              <w:rPr>
                <w:rFonts w:ascii="Arial" w:cs="Arial" w:eastAsia="Arial" w:hAnsi="Arial"/>
                <w:sz w:val="15"/>
                <w:szCs w:val="15"/>
                <w:color w:val="auto"/>
              </w:rPr>
              <w:t>Less: Interproduct</w:t>
            </w: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(264,237)</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60" w:type="dxa"/>
            <w:vAlign w:val="bottom"/>
            <w:tcBorders>
              <w:bottom w:val="single" w:sz="8" w:color="auto"/>
            </w:tcBorders>
            <w:shd w:val="clear" w:color="auto" w:fill="CCEEFF"/>
          </w:tcPr>
          <w:p>
            <w:pPr>
              <w:ind w:left="480"/>
              <w:spacing w:after="0" w:line="166" w:lineRule="exact"/>
              <w:rPr>
                <w:sz w:val="20"/>
                <w:szCs w:val="20"/>
                <w:color w:val="auto"/>
              </w:rPr>
            </w:pPr>
            <w:r>
              <w:rPr>
                <w:rFonts w:ascii="Arial" w:cs="Arial" w:eastAsia="Arial" w:hAnsi="Arial"/>
                <w:sz w:val="15"/>
                <w:szCs w:val="15"/>
                <w:color w:val="auto"/>
              </w:rPr>
              <w:t>revenues</w:t>
            </w: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43"/>
              <w:spacing w:after="0" w:line="166" w:lineRule="exact"/>
              <w:rPr>
                <w:sz w:val="20"/>
                <w:szCs w:val="20"/>
                <w:color w:val="auto"/>
              </w:rPr>
            </w:pPr>
            <w:r>
              <w:rPr>
                <w:rFonts w:ascii="Arial" w:cs="Arial" w:eastAsia="Arial" w:hAnsi="Arial"/>
                <w:sz w:val="15"/>
                <w:szCs w:val="15"/>
                <w:color w:val="auto"/>
              </w:rPr>
              <w:t>(264,012)</w:t>
            </w:r>
          </w:p>
        </w:tc>
        <w:tc>
          <w:tcPr>
            <w:tcW w:w="2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(247,111)</w:t>
            </w:r>
          </w:p>
        </w:tc>
        <w:tc>
          <w:tcPr>
            <w:tcW w:w="0" w:type="dxa"/>
            <w:vAlign w:val="bottom"/>
          </w:tcPr>
          <w:p>
            <w:pPr>
              <w:spacing w:after="0"/>
              <w:rPr>
                <w:sz w:val="1"/>
                <w:szCs w:val="1"/>
                <w:color w:val="auto"/>
              </w:rPr>
            </w:pPr>
          </w:p>
        </w:tc>
      </w:tr>
      <w:tr>
        <w:trPr>
          <w:trHeight w:val="156"/>
        </w:trPr>
        <w:tc>
          <w:tcPr>
            <w:tcW w:w="2060" w:type="dxa"/>
            <w:vAlign w:val="bottom"/>
          </w:tcPr>
          <w:p>
            <w:pPr>
              <w:ind w:left="100"/>
              <w:spacing w:after="0" w:line="156" w:lineRule="exact"/>
              <w:rPr>
                <w:sz w:val="20"/>
                <w:szCs w:val="20"/>
                <w:color w:val="auto"/>
              </w:rPr>
            </w:pPr>
            <w:r>
              <w:rPr>
                <w:rFonts w:ascii="Arial" w:cs="Arial" w:eastAsia="Arial" w:hAnsi="Arial"/>
                <w:sz w:val="15"/>
                <w:szCs w:val="15"/>
                <w:color w:val="auto"/>
              </w:rPr>
              <w:t>Products and services</w:t>
            </w:r>
          </w:p>
        </w:tc>
        <w:tc>
          <w:tcPr>
            <w:tcW w:w="280" w:type="dxa"/>
            <w:vAlign w:val="bottom"/>
          </w:tcPr>
          <w:p>
            <w:pPr>
              <w:spacing w:after="0"/>
              <w:rPr>
                <w:sz w:val="13"/>
                <w:szCs w:val="13"/>
                <w:color w:val="auto"/>
              </w:rPr>
            </w:pPr>
          </w:p>
        </w:tc>
        <w:tc>
          <w:tcPr>
            <w:tcW w:w="900" w:type="dxa"/>
            <w:vAlign w:val="bottom"/>
          </w:tcPr>
          <w:p>
            <w:pPr>
              <w:jc w:val="right"/>
              <w:ind w:right="103"/>
              <w:spacing w:after="0" w:line="156" w:lineRule="exact"/>
              <w:rPr>
                <w:sz w:val="20"/>
                <w:szCs w:val="20"/>
                <w:color w:val="auto"/>
              </w:rPr>
            </w:pPr>
            <w:r>
              <w:rPr>
                <w:rFonts w:ascii="Arial" w:cs="Arial" w:eastAsia="Arial" w:hAnsi="Arial"/>
                <w:sz w:val="15"/>
                <w:szCs w:val="15"/>
                <w:b w:val="1"/>
                <w:bCs w:val="1"/>
                <w:color w:val="auto"/>
              </w:rPr>
              <w:t>3,711,715</w:t>
            </w:r>
          </w:p>
        </w:tc>
        <w:tc>
          <w:tcPr>
            <w:tcW w:w="260" w:type="dxa"/>
            <w:vAlign w:val="bottom"/>
          </w:tcPr>
          <w:p>
            <w:pPr>
              <w:spacing w:after="0"/>
              <w:rPr>
                <w:sz w:val="13"/>
                <w:szCs w:val="13"/>
                <w:color w:val="auto"/>
              </w:rPr>
            </w:pPr>
          </w:p>
        </w:tc>
        <w:tc>
          <w:tcPr>
            <w:tcW w:w="900" w:type="dxa"/>
            <w:vAlign w:val="bottom"/>
          </w:tcPr>
          <w:p>
            <w:pPr>
              <w:jc w:val="right"/>
              <w:ind w:right="103"/>
              <w:spacing w:after="0" w:line="156" w:lineRule="exact"/>
              <w:rPr>
                <w:sz w:val="20"/>
                <w:szCs w:val="20"/>
                <w:color w:val="auto"/>
              </w:rPr>
            </w:pPr>
            <w:r>
              <w:rPr>
                <w:rFonts w:ascii="Arial" w:cs="Arial" w:eastAsia="Arial" w:hAnsi="Arial"/>
                <w:sz w:val="15"/>
                <w:szCs w:val="15"/>
                <w:color w:val="auto"/>
              </w:rPr>
              <w:t>3,470,756</w:t>
            </w:r>
          </w:p>
        </w:tc>
        <w:tc>
          <w:tcPr>
            <w:tcW w:w="260" w:type="dxa"/>
            <w:vAlign w:val="bottom"/>
          </w:tcPr>
          <w:p>
            <w:pPr>
              <w:spacing w:after="0"/>
              <w:rPr>
                <w:sz w:val="13"/>
                <w:szCs w:val="13"/>
                <w:color w:val="auto"/>
              </w:rPr>
            </w:pPr>
          </w:p>
        </w:tc>
        <w:tc>
          <w:tcPr>
            <w:tcW w:w="820" w:type="dxa"/>
            <w:vAlign w:val="bottom"/>
          </w:tcPr>
          <w:p>
            <w:pPr>
              <w:jc w:val="right"/>
              <w:ind w:right="23"/>
              <w:spacing w:after="0" w:line="156" w:lineRule="exact"/>
              <w:rPr>
                <w:sz w:val="20"/>
                <w:szCs w:val="20"/>
                <w:color w:val="auto"/>
              </w:rPr>
            </w:pPr>
            <w:r>
              <w:rPr>
                <w:rFonts w:ascii="Arial" w:cs="Arial" w:eastAsia="Arial" w:hAnsi="Arial"/>
                <w:sz w:val="15"/>
                <w:szCs w:val="15"/>
                <w:color w:val="auto"/>
              </w:rPr>
              <w:t>3,336,266</w:t>
            </w:r>
          </w:p>
        </w:tc>
        <w:tc>
          <w:tcPr>
            <w:tcW w:w="0" w:type="dxa"/>
            <w:vAlign w:val="bottom"/>
          </w:tcPr>
          <w:p>
            <w:pPr>
              <w:spacing w:after="0"/>
              <w:rPr>
                <w:sz w:val="1"/>
                <w:szCs w:val="1"/>
                <w:color w:val="auto"/>
              </w:rPr>
            </w:pPr>
          </w:p>
        </w:tc>
      </w:tr>
      <w:tr>
        <w:trPr>
          <w:trHeight w:val="162"/>
        </w:trPr>
        <w:tc>
          <w:tcPr>
            <w:tcW w:w="2060" w:type="dxa"/>
            <w:vAlign w:val="bottom"/>
            <w:tcBorders>
              <w:bottom w:val="single" w:sz="8" w:color="auto"/>
            </w:tcBorders>
            <w:shd w:val="clear" w:color="auto" w:fill="CCEEFF"/>
          </w:tcPr>
          <w:p>
            <w:pPr>
              <w:ind w:left="100"/>
              <w:spacing w:after="0" w:line="162" w:lineRule="exact"/>
              <w:rPr>
                <w:sz w:val="20"/>
                <w:szCs w:val="20"/>
                <w:color w:val="auto"/>
              </w:rPr>
            </w:pPr>
            <w:r>
              <w:rPr>
                <w:rFonts w:ascii="Arial" w:cs="Arial" w:eastAsia="Arial" w:hAnsi="Arial"/>
                <w:sz w:val="15"/>
                <w:szCs w:val="15"/>
                <w:color w:val="auto"/>
              </w:rPr>
              <w:t>Freight</w:t>
            </w: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103"/>
              <w:spacing w:after="0" w:line="162" w:lineRule="exact"/>
              <w:rPr>
                <w:sz w:val="20"/>
                <w:szCs w:val="20"/>
                <w:color w:val="auto"/>
              </w:rPr>
            </w:pPr>
            <w:r>
              <w:rPr>
                <w:rFonts w:ascii="Arial" w:cs="Arial" w:eastAsia="Arial" w:hAnsi="Arial"/>
                <w:sz w:val="15"/>
                <w:szCs w:val="15"/>
                <w:b w:val="1"/>
                <w:bCs w:val="1"/>
                <w:color w:val="auto"/>
              </w:rPr>
              <w:t>244,827</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224,848</w:t>
            </w:r>
          </w:p>
        </w:tc>
        <w:tc>
          <w:tcPr>
            <w:tcW w:w="2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225,425</w:t>
            </w:r>
          </w:p>
        </w:tc>
        <w:tc>
          <w:tcPr>
            <w:tcW w:w="0" w:type="dxa"/>
            <w:vAlign w:val="bottom"/>
          </w:tcPr>
          <w:p>
            <w:pPr>
              <w:spacing w:after="0"/>
              <w:rPr>
                <w:sz w:val="1"/>
                <w:szCs w:val="1"/>
                <w:color w:val="auto"/>
              </w:rPr>
            </w:pPr>
          </w:p>
        </w:tc>
      </w:tr>
      <w:tr>
        <w:trPr>
          <w:trHeight w:val="152"/>
        </w:trPr>
        <w:tc>
          <w:tcPr>
            <w:tcW w:w="2060" w:type="dxa"/>
            <w:vAlign w:val="bottom"/>
          </w:tcPr>
          <w:p>
            <w:pPr>
              <w:ind w:left="20"/>
              <w:spacing w:after="0" w:line="152" w:lineRule="exact"/>
              <w:rPr>
                <w:sz w:val="20"/>
                <w:szCs w:val="20"/>
                <w:color w:val="auto"/>
              </w:rPr>
            </w:pPr>
            <w:r>
              <w:rPr>
                <w:rFonts w:ascii="Arial" w:cs="Arial" w:eastAsia="Arial" w:hAnsi="Arial"/>
                <w:sz w:val="15"/>
                <w:szCs w:val="15"/>
                <w:color w:val="auto"/>
              </w:rPr>
              <w:t>Total Building</w:t>
            </w:r>
          </w:p>
        </w:tc>
        <w:tc>
          <w:tcPr>
            <w:tcW w:w="280" w:type="dxa"/>
            <w:vAlign w:val="bottom"/>
          </w:tcPr>
          <w:p>
            <w:pPr>
              <w:spacing w:after="0"/>
              <w:rPr>
                <w:sz w:val="13"/>
                <w:szCs w:val="13"/>
                <w:color w:val="auto"/>
              </w:rPr>
            </w:pPr>
          </w:p>
        </w:tc>
        <w:tc>
          <w:tcPr>
            <w:tcW w:w="90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3,956,542</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60" w:type="dxa"/>
            <w:vAlign w:val="bottom"/>
            <w:tcBorders>
              <w:bottom w:val="single" w:sz="8" w:color="auto"/>
            </w:tcBorders>
          </w:tcPr>
          <w:p>
            <w:pPr>
              <w:ind w:left="160"/>
              <w:spacing w:after="0" w:line="166" w:lineRule="exact"/>
              <w:rPr>
                <w:sz w:val="20"/>
                <w:szCs w:val="20"/>
                <w:color w:val="auto"/>
              </w:rPr>
            </w:pPr>
            <w:r>
              <w:rPr>
                <w:rFonts w:ascii="Arial" w:cs="Arial" w:eastAsia="Arial" w:hAnsi="Arial"/>
                <w:sz w:val="15"/>
                <w:szCs w:val="15"/>
                <w:color w:val="auto"/>
              </w:rPr>
              <w:t>Materials Business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3"/>
              <w:spacing w:after="0" w:line="166" w:lineRule="exact"/>
              <w:rPr>
                <w:sz w:val="20"/>
                <w:szCs w:val="20"/>
                <w:color w:val="auto"/>
              </w:rPr>
            </w:pPr>
            <w:r>
              <w:rPr>
                <w:rFonts w:ascii="Arial" w:cs="Arial" w:eastAsia="Arial" w:hAnsi="Arial"/>
                <w:sz w:val="15"/>
                <w:szCs w:val="15"/>
                <w:color w:val="auto"/>
              </w:rPr>
              <w:t>3,695,604</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
              <w:spacing w:after="0" w:line="166" w:lineRule="exact"/>
              <w:rPr>
                <w:sz w:val="20"/>
                <w:szCs w:val="20"/>
                <w:color w:val="auto"/>
              </w:rPr>
            </w:pPr>
            <w:r>
              <w:rPr>
                <w:rFonts w:ascii="Arial" w:cs="Arial" w:eastAsia="Arial" w:hAnsi="Arial"/>
                <w:sz w:val="15"/>
                <w:szCs w:val="15"/>
                <w:color w:val="auto"/>
              </w:rPr>
              <w:t>3,561,691</w:t>
            </w:r>
          </w:p>
        </w:tc>
        <w:tc>
          <w:tcPr>
            <w:tcW w:w="0" w:type="dxa"/>
            <w:vAlign w:val="bottom"/>
          </w:tcPr>
          <w:p>
            <w:pPr>
              <w:spacing w:after="0"/>
              <w:rPr>
                <w:sz w:val="1"/>
                <w:szCs w:val="1"/>
                <w:color w:val="auto"/>
              </w:rPr>
            </w:pPr>
          </w:p>
        </w:tc>
      </w:tr>
      <w:tr>
        <w:trPr>
          <w:trHeight w:val="156"/>
        </w:trPr>
        <w:tc>
          <w:tcPr>
            <w:tcW w:w="206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Magnesia Specialties:</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320"/>
              <w:spacing w:after="0" w:line="162" w:lineRule="exact"/>
              <w:rPr>
                <w:sz w:val="20"/>
                <w:szCs w:val="20"/>
                <w:color w:val="auto"/>
              </w:rPr>
            </w:pPr>
            <w:r>
              <w:rPr>
                <w:rFonts w:ascii="Arial" w:cs="Arial" w:eastAsia="Arial" w:hAnsi="Arial"/>
                <w:sz w:val="15"/>
                <w:szCs w:val="15"/>
                <w:color w:val="auto"/>
              </w:rPr>
              <w:t>Products and services</w:t>
            </w:r>
          </w:p>
        </w:tc>
        <w:tc>
          <w:tcPr>
            <w:tcW w:w="280" w:type="dxa"/>
            <w:vAlign w:val="bottom"/>
          </w:tcPr>
          <w:p>
            <w:pPr>
              <w:spacing w:after="0"/>
              <w:rPr>
                <w:sz w:val="14"/>
                <w:szCs w:val="14"/>
                <w:color w:val="auto"/>
              </w:rPr>
            </w:pPr>
          </w:p>
        </w:tc>
        <w:tc>
          <w:tcPr>
            <w:tcW w:w="900" w:type="dxa"/>
            <w:vAlign w:val="bottom"/>
          </w:tcPr>
          <w:p>
            <w:pPr>
              <w:jc w:val="right"/>
              <w:ind w:right="103"/>
              <w:spacing w:after="0" w:line="162" w:lineRule="exact"/>
              <w:rPr>
                <w:sz w:val="20"/>
                <w:szCs w:val="20"/>
                <w:color w:val="auto"/>
              </w:rPr>
            </w:pPr>
            <w:r>
              <w:rPr>
                <w:rFonts w:ascii="Arial" w:cs="Arial" w:eastAsia="Arial" w:hAnsi="Arial"/>
                <w:sz w:val="15"/>
                <w:szCs w:val="15"/>
                <w:b w:val="1"/>
                <w:bCs w:val="1"/>
                <w:color w:val="auto"/>
              </w:rPr>
              <w:t>268,636</w:t>
            </w:r>
          </w:p>
        </w:tc>
        <w:tc>
          <w:tcPr>
            <w:tcW w:w="260" w:type="dxa"/>
            <w:vAlign w:val="bottom"/>
          </w:tcPr>
          <w:p>
            <w:pPr>
              <w:spacing w:after="0"/>
              <w:rPr>
                <w:sz w:val="14"/>
                <w:szCs w:val="14"/>
                <w:color w:val="auto"/>
              </w:rPr>
            </w:pPr>
          </w:p>
        </w:tc>
        <w:tc>
          <w:tcPr>
            <w:tcW w:w="9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252,722</w:t>
            </w:r>
          </w:p>
        </w:tc>
        <w:tc>
          <w:tcPr>
            <w:tcW w:w="260" w:type="dxa"/>
            <w:vAlign w:val="bottom"/>
          </w:tcPr>
          <w:p>
            <w:pPr>
              <w:spacing w:after="0"/>
              <w:rPr>
                <w:sz w:val="14"/>
                <w:szCs w:val="14"/>
                <w:color w:val="auto"/>
              </w:rPr>
            </w:pPr>
          </w:p>
        </w:tc>
        <w:tc>
          <w:tcPr>
            <w:tcW w:w="8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242,384</w:t>
            </w:r>
          </w:p>
        </w:tc>
        <w:tc>
          <w:tcPr>
            <w:tcW w:w="0" w:type="dxa"/>
            <w:vAlign w:val="bottom"/>
          </w:tcPr>
          <w:p>
            <w:pPr>
              <w:spacing w:after="0"/>
              <w:rPr>
                <w:sz w:val="1"/>
                <w:szCs w:val="1"/>
                <w:color w:val="auto"/>
              </w:rPr>
            </w:pPr>
          </w:p>
        </w:tc>
      </w:tr>
      <w:tr>
        <w:trPr>
          <w:trHeight w:val="162"/>
        </w:trPr>
        <w:tc>
          <w:tcPr>
            <w:tcW w:w="2060" w:type="dxa"/>
            <w:vAlign w:val="bottom"/>
            <w:tcBorders>
              <w:bottom w:val="single" w:sz="8" w:color="auto"/>
            </w:tcBorders>
            <w:shd w:val="clear" w:color="auto" w:fill="CCEEFF"/>
          </w:tcPr>
          <w:p>
            <w:pPr>
              <w:ind w:left="320"/>
              <w:spacing w:after="0" w:line="162" w:lineRule="exact"/>
              <w:rPr>
                <w:sz w:val="20"/>
                <w:szCs w:val="20"/>
                <w:color w:val="auto"/>
              </w:rPr>
            </w:pPr>
            <w:r>
              <w:rPr>
                <w:rFonts w:ascii="Arial" w:cs="Arial" w:eastAsia="Arial" w:hAnsi="Arial"/>
                <w:sz w:val="15"/>
                <w:szCs w:val="15"/>
                <w:color w:val="auto"/>
              </w:rPr>
              <w:t>Freight</w:t>
            </w: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103"/>
              <w:spacing w:after="0" w:line="162" w:lineRule="exact"/>
              <w:rPr>
                <w:sz w:val="20"/>
                <w:szCs w:val="20"/>
                <w:color w:val="auto"/>
              </w:rPr>
            </w:pPr>
            <w:r>
              <w:rPr>
                <w:rFonts w:ascii="Arial" w:cs="Arial" w:eastAsia="Arial" w:hAnsi="Arial"/>
                <w:sz w:val="15"/>
                <w:szCs w:val="15"/>
                <w:b w:val="1"/>
                <w:bCs w:val="1"/>
                <w:color w:val="auto"/>
              </w:rPr>
              <w:t>19,087</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17,268</w:t>
            </w:r>
          </w:p>
        </w:tc>
        <w:tc>
          <w:tcPr>
            <w:tcW w:w="2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14,674</w:t>
            </w:r>
          </w:p>
        </w:tc>
        <w:tc>
          <w:tcPr>
            <w:tcW w:w="0" w:type="dxa"/>
            <w:vAlign w:val="bottom"/>
          </w:tcPr>
          <w:p>
            <w:pPr>
              <w:spacing w:after="0"/>
              <w:rPr>
                <w:sz w:val="1"/>
                <w:szCs w:val="1"/>
                <w:color w:val="auto"/>
              </w:rPr>
            </w:pPr>
          </w:p>
        </w:tc>
      </w:tr>
      <w:tr>
        <w:trPr>
          <w:trHeight w:val="152"/>
        </w:trPr>
        <w:tc>
          <w:tcPr>
            <w:tcW w:w="2060" w:type="dxa"/>
            <w:vAlign w:val="bottom"/>
          </w:tcPr>
          <w:p>
            <w:pPr>
              <w:ind w:left="60"/>
              <w:spacing w:after="0" w:line="152" w:lineRule="exact"/>
              <w:rPr>
                <w:sz w:val="20"/>
                <w:szCs w:val="20"/>
                <w:color w:val="auto"/>
              </w:rPr>
            </w:pPr>
            <w:r>
              <w:rPr>
                <w:rFonts w:ascii="Arial" w:cs="Arial" w:eastAsia="Arial" w:hAnsi="Arial"/>
                <w:sz w:val="15"/>
                <w:szCs w:val="15"/>
                <w:color w:val="auto"/>
              </w:rPr>
              <w:t>Total Magnesia</w:t>
            </w:r>
          </w:p>
        </w:tc>
        <w:tc>
          <w:tcPr>
            <w:tcW w:w="280" w:type="dxa"/>
            <w:vAlign w:val="bottom"/>
          </w:tcPr>
          <w:p>
            <w:pPr>
              <w:spacing w:after="0"/>
              <w:rPr>
                <w:sz w:val="13"/>
                <w:szCs w:val="13"/>
                <w:color w:val="auto"/>
              </w:rPr>
            </w:pPr>
          </w:p>
        </w:tc>
        <w:tc>
          <w:tcPr>
            <w:tcW w:w="90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287,723</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60" w:type="dxa"/>
            <w:vAlign w:val="bottom"/>
            <w:tcBorders>
              <w:bottom w:val="single" w:sz="8" w:color="auto"/>
            </w:tcBorders>
          </w:tcPr>
          <w:p>
            <w:pPr>
              <w:ind w:left="160"/>
              <w:spacing w:after="0" w:line="166" w:lineRule="exact"/>
              <w:rPr>
                <w:sz w:val="20"/>
                <w:szCs w:val="20"/>
                <w:color w:val="auto"/>
              </w:rPr>
            </w:pPr>
            <w:r>
              <w:rPr>
                <w:rFonts w:ascii="Arial" w:cs="Arial" w:eastAsia="Arial" w:hAnsi="Arial"/>
                <w:sz w:val="15"/>
                <w:szCs w:val="15"/>
                <w:color w:val="auto"/>
              </w:rPr>
              <w:t>Specialties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3"/>
              <w:spacing w:after="0" w:line="166" w:lineRule="exact"/>
              <w:rPr>
                <w:sz w:val="20"/>
                <w:szCs w:val="20"/>
                <w:color w:val="auto"/>
              </w:rPr>
            </w:pPr>
            <w:r>
              <w:rPr>
                <w:rFonts w:ascii="Arial" w:cs="Arial" w:eastAsia="Arial" w:hAnsi="Arial"/>
                <w:sz w:val="15"/>
                <w:szCs w:val="15"/>
                <w:color w:val="auto"/>
              </w:rPr>
              <w:t>269,990</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
              <w:spacing w:after="0" w:line="166" w:lineRule="exact"/>
              <w:rPr>
                <w:sz w:val="20"/>
                <w:szCs w:val="20"/>
                <w:color w:val="auto"/>
              </w:rPr>
            </w:pPr>
            <w:r>
              <w:rPr>
                <w:rFonts w:ascii="Arial" w:cs="Arial" w:eastAsia="Arial" w:hAnsi="Arial"/>
                <w:sz w:val="15"/>
                <w:szCs w:val="15"/>
                <w:color w:val="auto"/>
              </w:rPr>
              <w:t>257,058</w:t>
            </w:r>
          </w:p>
        </w:tc>
        <w:tc>
          <w:tcPr>
            <w:tcW w:w="0" w:type="dxa"/>
            <w:vAlign w:val="bottom"/>
          </w:tcPr>
          <w:p>
            <w:pPr>
              <w:spacing w:after="0"/>
              <w:rPr>
                <w:sz w:val="1"/>
                <w:szCs w:val="1"/>
                <w:color w:val="auto"/>
              </w:rPr>
            </w:pPr>
          </w:p>
        </w:tc>
      </w:tr>
      <w:tr>
        <w:trPr>
          <w:trHeight w:val="163"/>
        </w:trPr>
        <w:tc>
          <w:tcPr>
            <w:tcW w:w="2060" w:type="dxa"/>
            <w:vAlign w:val="bottom"/>
            <w:tcBorders>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Consolidated total revenues</w:t>
            </w:r>
          </w:p>
        </w:tc>
        <w:tc>
          <w:tcPr>
            <w:tcW w:w="2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CCEEFF"/>
          </w:tcPr>
          <w:p>
            <w:pPr>
              <w:jc w:val="right"/>
              <w:ind w:right="103"/>
              <w:spacing w:after="0" w:line="156" w:lineRule="exact"/>
              <w:rPr>
                <w:sz w:val="20"/>
                <w:szCs w:val="20"/>
                <w:color w:val="auto"/>
              </w:rPr>
            </w:pPr>
            <w:r>
              <w:rPr>
                <w:rFonts w:ascii="Arial" w:cs="Arial" w:eastAsia="Arial" w:hAnsi="Arial"/>
                <w:sz w:val="15"/>
                <w:szCs w:val="15"/>
                <w:b w:val="1"/>
                <w:bCs w:val="1"/>
                <w:color w:val="auto"/>
              </w:rPr>
              <w:t>4,244,265</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ind w:right="103"/>
              <w:spacing w:after="0" w:line="156" w:lineRule="exact"/>
              <w:rPr>
                <w:sz w:val="20"/>
                <w:szCs w:val="20"/>
                <w:color w:val="auto"/>
              </w:rPr>
            </w:pPr>
            <w:r>
              <w:rPr>
                <w:rFonts w:ascii="Arial" w:cs="Arial" w:eastAsia="Arial" w:hAnsi="Arial"/>
                <w:sz w:val="15"/>
                <w:szCs w:val="15"/>
                <w:color w:val="auto"/>
              </w:rPr>
              <w:t>3,965,594</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3,818,749</w:t>
            </w:r>
          </w:p>
        </w:tc>
        <w:tc>
          <w:tcPr>
            <w:tcW w:w="0" w:type="dxa"/>
            <w:vAlign w:val="bottom"/>
          </w:tcPr>
          <w:p>
            <w:pPr>
              <w:spacing w:after="0"/>
              <w:rPr>
                <w:sz w:val="1"/>
                <w:szCs w:val="1"/>
                <w:color w:val="auto"/>
              </w:rPr>
            </w:pPr>
          </w:p>
        </w:tc>
      </w:tr>
      <w:tr>
        <w:trPr>
          <w:trHeight w:val="365"/>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Gross profit (loss)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0085CD"/>
              </w:rPr>
              <w:t>2018</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2017</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206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Building Materials Business:</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60" w:type="dxa"/>
            <w:vAlign w:val="bottom"/>
          </w:tcPr>
          <w:p>
            <w:pPr>
              <w:ind w:left="160"/>
              <w:spacing w:after="0" w:line="162" w:lineRule="exact"/>
              <w:rPr>
                <w:sz w:val="20"/>
                <w:szCs w:val="20"/>
                <w:color w:val="auto"/>
              </w:rPr>
            </w:pPr>
            <w:r>
              <w:rPr>
                <w:rFonts w:ascii="Arial" w:cs="Arial" w:eastAsia="Arial" w:hAnsi="Arial"/>
                <w:sz w:val="15"/>
                <w:szCs w:val="15"/>
                <w:color w:val="auto"/>
              </w:rPr>
              <w:t>Products and services:</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Aggregates</w:t>
            </w:r>
          </w:p>
        </w:tc>
        <w:tc>
          <w:tcPr>
            <w:tcW w:w="2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b w:val="1"/>
                <w:bCs w:val="1"/>
                <w:color w:val="auto"/>
              </w:rPr>
              <w:t>606,759</w:t>
            </w:r>
          </w:p>
        </w:tc>
        <w:tc>
          <w:tcPr>
            <w:tcW w:w="2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599,670</w:t>
            </w:r>
          </w:p>
        </w:tc>
        <w:tc>
          <w:tcPr>
            <w:tcW w:w="2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556,131</w:t>
            </w:r>
          </w:p>
        </w:tc>
        <w:tc>
          <w:tcPr>
            <w:tcW w:w="0" w:type="dxa"/>
            <w:vAlign w:val="bottom"/>
          </w:tcPr>
          <w:p>
            <w:pPr>
              <w:spacing w:after="0"/>
              <w:rPr>
                <w:sz w:val="1"/>
                <w:szCs w:val="1"/>
                <w:color w:val="auto"/>
              </w:rPr>
            </w:pPr>
          </w:p>
        </w:tc>
      </w:tr>
      <w:tr>
        <w:trPr>
          <w:trHeight w:val="162"/>
        </w:trPr>
        <w:tc>
          <w:tcPr>
            <w:tcW w:w="2060" w:type="dxa"/>
            <w:vAlign w:val="bottom"/>
          </w:tcPr>
          <w:p>
            <w:pPr>
              <w:ind w:left="320"/>
              <w:spacing w:after="0" w:line="162" w:lineRule="exact"/>
              <w:rPr>
                <w:sz w:val="20"/>
                <w:szCs w:val="20"/>
                <w:color w:val="auto"/>
              </w:rPr>
            </w:pPr>
            <w:r>
              <w:rPr>
                <w:rFonts w:ascii="Arial" w:cs="Arial" w:eastAsia="Arial" w:hAnsi="Arial"/>
                <w:sz w:val="15"/>
                <w:szCs w:val="15"/>
                <w:color w:val="auto"/>
              </w:rPr>
              <w:t>Cement</w:t>
            </w:r>
          </w:p>
        </w:tc>
        <w:tc>
          <w:tcPr>
            <w:tcW w:w="280" w:type="dxa"/>
            <w:vAlign w:val="bottom"/>
          </w:tcPr>
          <w:p>
            <w:pPr>
              <w:spacing w:after="0"/>
              <w:rPr>
                <w:sz w:val="14"/>
                <w:szCs w:val="14"/>
                <w:color w:val="auto"/>
              </w:rPr>
            </w:pPr>
          </w:p>
        </w:tc>
        <w:tc>
          <w:tcPr>
            <w:tcW w:w="900" w:type="dxa"/>
            <w:vAlign w:val="bottom"/>
          </w:tcPr>
          <w:p>
            <w:pPr>
              <w:jc w:val="right"/>
              <w:ind w:right="103"/>
              <w:spacing w:after="0" w:line="162" w:lineRule="exact"/>
              <w:rPr>
                <w:sz w:val="20"/>
                <w:szCs w:val="20"/>
                <w:color w:val="auto"/>
              </w:rPr>
            </w:pPr>
            <w:r>
              <w:rPr>
                <w:rFonts w:ascii="Arial" w:cs="Arial" w:eastAsia="Arial" w:hAnsi="Arial"/>
                <w:sz w:val="15"/>
                <w:szCs w:val="15"/>
                <w:b w:val="1"/>
                <w:bCs w:val="1"/>
                <w:color w:val="auto"/>
              </w:rPr>
              <w:t>126,213</w:t>
            </w:r>
          </w:p>
        </w:tc>
        <w:tc>
          <w:tcPr>
            <w:tcW w:w="260" w:type="dxa"/>
            <w:vAlign w:val="bottom"/>
          </w:tcPr>
          <w:p>
            <w:pPr>
              <w:spacing w:after="0"/>
              <w:rPr>
                <w:sz w:val="14"/>
                <w:szCs w:val="14"/>
                <w:color w:val="auto"/>
              </w:rPr>
            </w:pPr>
          </w:p>
        </w:tc>
        <w:tc>
          <w:tcPr>
            <w:tcW w:w="90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117,021</w:t>
            </w:r>
          </w:p>
        </w:tc>
        <w:tc>
          <w:tcPr>
            <w:tcW w:w="260" w:type="dxa"/>
            <w:vAlign w:val="bottom"/>
          </w:tcPr>
          <w:p>
            <w:pPr>
              <w:spacing w:after="0"/>
              <w:rPr>
                <w:sz w:val="14"/>
                <w:szCs w:val="14"/>
                <w:color w:val="auto"/>
              </w:rPr>
            </w:pPr>
          </w:p>
        </w:tc>
        <w:tc>
          <w:tcPr>
            <w:tcW w:w="8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119,894</w:t>
            </w: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Ready Mixed Concrete</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b w:val="1"/>
                <w:bCs w:val="1"/>
                <w:color w:val="auto"/>
              </w:rPr>
              <w:t>74,175</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91,646</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99,085</w:t>
            </w:r>
          </w:p>
        </w:tc>
        <w:tc>
          <w:tcPr>
            <w:tcW w:w="0" w:type="dxa"/>
            <w:vAlign w:val="bottom"/>
          </w:tcPr>
          <w:p>
            <w:pPr>
              <w:spacing w:after="0"/>
              <w:rPr>
                <w:sz w:val="1"/>
                <w:szCs w:val="1"/>
                <w:color w:val="auto"/>
              </w:rPr>
            </w:pPr>
          </w:p>
        </w:tc>
      </w:tr>
      <w:tr>
        <w:trPr>
          <w:trHeight w:val="162"/>
        </w:trPr>
        <w:tc>
          <w:tcPr>
            <w:tcW w:w="2060" w:type="dxa"/>
            <w:vAlign w:val="bottom"/>
            <w:tcBorders>
              <w:bottom w:val="single" w:sz="8" w:color="auto"/>
            </w:tcBorders>
          </w:tcPr>
          <w:p>
            <w:pPr>
              <w:ind w:left="320"/>
              <w:spacing w:after="0" w:line="162" w:lineRule="exact"/>
              <w:rPr>
                <w:sz w:val="20"/>
                <w:szCs w:val="20"/>
                <w:color w:val="auto"/>
              </w:rPr>
            </w:pPr>
            <w:r>
              <w:rPr>
                <w:rFonts w:ascii="Arial" w:cs="Arial" w:eastAsia="Arial" w:hAnsi="Arial"/>
                <w:sz w:val="15"/>
                <w:szCs w:val="15"/>
                <w:color w:val="auto"/>
              </w:rPr>
              <w:t>Asphalt and Paving</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b w:val="1"/>
                <w:bCs w:val="1"/>
                <w:color w:val="auto"/>
              </w:rPr>
              <w:t>52,917</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64,693</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53,025</w:t>
            </w:r>
          </w:p>
        </w:tc>
        <w:tc>
          <w:tcPr>
            <w:tcW w:w="0" w:type="dxa"/>
            <w:vAlign w:val="bottom"/>
          </w:tcPr>
          <w:p>
            <w:pPr>
              <w:spacing w:after="0"/>
              <w:rPr>
                <w:sz w:val="1"/>
                <w:szCs w:val="1"/>
                <w:color w:val="auto"/>
              </w:rPr>
            </w:pPr>
          </w:p>
        </w:tc>
      </w:tr>
      <w:tr>
        <w:trPr>
          <w:trHeight w:val="156"/>
        </w:trPr>
        <w:tc>
          <w:tcPr>
            <w:tcW w:w="2060" w:type="dxa"/>
            <w:vAlign w:val="bottom"/>
            <w:shd w:val="clear" w:color="auto" w:fill="CCEEFF"/>
          </w:tcPr>
          <w:p>
            <w:pPr>
              <w:ind w:left="160"/>
              <w:spacing w:after="0" w:line="156" w:lineRule="exact"/>
              <w:rPr>
                <w:sz w:val="20"/>
                <w:szCs w:val="20"/>
                <w:color w:val="auto"/>
              </w:rPr>
            </w:pPr>
            <w:r>
              <w:rPr>
                <w:rFonts w:ascii="Arial" w:cs="Arial" w:eastAsia="Arial" w:hAnsi="Arial"/>
                <w:sz w:val="15"/>
                <w:szCs w:val="15"/>
                <w:color w:val="auto"/>
              </w:rPr>
              <w:t>Products and services</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03"/>
              <w:spacing w:after="0" w:line="156" w:lineRule="exact"/>
              <w:rPr>
                <w:sz w:val="20"/>
                <w:szCs w:val="20"/>
                <w:color w:val="auto"/>
              </w:rPr>
            </w:pPr>
            <w:r>
              <w:rPr>
                <w:rFonts w:ascii="Arial" w:cs="Arial" w:eastAsia="Arial" w:hAnsi="Arial"/>
                <w:sz w:val="15"/>
                <w:szCs w:val="15"/>
                <w:b w:val="1"/>
                <w:bCs w:val="1"/>
                <w:color w:val="auto"/>
              </w:rPr>
              <w:t>860,064</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03"/>
              <w:spacing w:after="0" w:line="156" w:lineRule="exact"/>
              <w:rPr>
                <w:sz w:val="20"/>
                <w:szCs w:val="20"/>
                <w:color w:val="auto"/>
              </w:rPr>
            </w:pPr>
            <w:r>
              <w:rPr>
                <w:rFonts w:ascii="Arial" w:cs="Arial" w:eastAsia="Arial" w:hAnsi="Arial"/>
                <w:sz w:val="15"/>
                <w:szCs w:val="15"/>
                <w:color w:val="auto"/>
              </w:rPr>
              <w:t>873,030</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828,135</w:t>
            </w:r>
          </w:p>
        </w:tc>
        <w:tc>
          <w:tcPr>
            <w:tcW w:w="0" w:type="dxa"/>
            <w:vAlign w:val="bottom"/>
          </w:tcPr>
          <w:p>
            <w:pPr>
              <w:spacing w:after="0"/>
              <w:rPr>
                <w:sz w:val="1"/>
                <w:szCs w:val="1"/>
                <w:color w:val="auto"/>
              </w:rPr>
            </w:pPr>
          </w:p>
        </w:tc>
      </w:tr>
      <w:tr>
        <w:trPr>
          <w:trHeight w:val="162"/>
        </w:trPr>
        <w:tc>
          <w:tcPr>
            <w:tcW w:w="2060" w:type="dxa"/>
            <w:vAlign w:val="bottom"/>
            <w:tcBorders>
              <w:bottom w:val="single" w:sz="8" w:color="auto"/>
            </w:tcBorders>
          </w:tcPr>
          <w:p>
            <w:pPr>
              <w:ind w:left="160"/>
              <w:spacing w:after="0" w:line="162" w:lineRule="exact"/>
              <w:rPr>
                <w:sz w:val="20"/>
                <w:szCs w:val="20"/>
                <w:color w:val="auto"/>
              </w:rPr>
            </w:pPr>
            <w:r>
              <w:rPr>
                <w:rFonts w:ascii="Arial" w:cs="Arial" w:eastAsia="Arial" w:hAnsi="Arial"/>
                <w:sz w:val="15"/>
                <w:szCs w:val="15"/>
                <w:color w:val="auto"/>
              </w:rPr>
              <w:t>Freight</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b w:val="1"/>
                <w:bCs w:val="1"/>
                <w:color w:val="auto"/>
              </w:rPr>
              <w:t>259</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2,602</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2,501</w:t>
            </w:r>
          </w:p>
        </w:tc>
        <w:tc>
          <w:tcPr>
            <w:tcW w:w="0" w:type="dxa"/>
            <w:vAlign w:val="bottom"/>
          </w:tcPr>
          <w:p>
            <w:pPr>
              <w:spacing w:after="0"/>
              <w:rPr>
                <w:sz w:val="1"/>
                <w:szCs w:val="1"/>
                <w:color w:val="auto"/>
              </w:rPr>
            </w:pPr>
          </w:p>
        </w:tc>
      </w:tr>
      <w:tr>
        <w:trPr>
          <w:trHeight w:val="152"/>
        </w:trPr>
        <w:tc>
          <w:tcPr>
            <w:tcW w:w="206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rPr>
              <w:t>Total Building</w:t>
            </w: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860,323</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60" w:type="dxa"/>
            <w:vAlign w:val="bottom"/>
            <w:tcBorders>
              <w:bottom w:val="single" w:sz="8" w:color="auto"/>
            </w:tcBorders>
            <w:shd w:val="clear" w:color="auto" w:fill="CCEEFF"/>
          </w:tcPr>
          <w:p>
            <w:pPr>
              <w:ind w:left="160"/>
              <w:spacing w:after="0" w:line="166" w:lineRule="exact"/>
              <w:rPr>
                <w:sz w:val="20"/>
                <w:szCs w:val="20"/>
                <w:color w:val="auto"/>
              </w:rPr>
            </w:pPr>
            <w:r>
              <w:rPr>
                <w:rFonts w:ascii="Arial" w:cs="Arial" w:eastAsia="Arial" w:hAnsi="Arial"/>
                <w:sz w:val="15"/>
                <w:szCs w:val="15"/>
                <w:color w:val="auto"/>
              </w:rPr>
              <w:t>Materials Business</w:t>
            </w: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103"/>
              <w:spacing w:after="0" w:line="166" w:lineRule="exact"/>
              <w:rPr>
                <w:sz w:val="20"/>
                <w:szCs w:val="20"/>
                <w:color w:val="auto"/>
              </w:rPr>
            </w:pPr>
            <w:r>
              <w:rPr>
                <w:rFonts w:ascii="Arial" w:cs="Arial" w:eastAsia="Arial" w:hAnsi="Arial"/>
                <w:sz w:val="15"/>
                <w:szCs w:val="15"/>
                <w:color w:val="auto"/>
              </w:rPr>
              <w:t>875,632</w:t>
            </w:r>
          </w:p>
        </w:tc>
        <w:tc>
          <w:tcPr>
            <w:tcW w:w="2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3"/>
              <w:spacing w:after="0" w:line="166" w:lineRule="exact"/>
              <w:rPr>
                <w:sz w:val="20"/>
                <w:szCs w:val="20"/>
                <w:color w:val="auto"/>
              </w:rPr>
            </w:pPr>
            <w:r>
              <w:rPr>
                <w:rFonts w:ascii="Arial" w:cs="Arial" w:eastAsia="Arial" w:hAnsi="Arial"/>
                <w:sz w:val="15"/>
                <w:szCs w:val="15"/>
                <w:color w:val="auto"/>
              </w:rPr>
              <w:t>830,636</w:t>
            </w:r>
          </w:p>
        </w:tc>
        <w:tc>
          <w:tcPr>
            <w:tcW w:w="0" w:type="dxa"/>
            <w:vAlign w:val="bottom"/>
          </w:tcPr>
          <w:p>
            <w:pPr>
              <w:spacing w:after="0"/>
              <w:rPr>
                <w:sz w:val="1"/>
                <w:szCs w:val="1"/>
                <w:color w:val="auto"/>
              </w:rPr>
            </w:pPr>
          </w:p>
        </w:tc>
      </w:tr>
      <w:tr>
        <w:trPr>
          <w:trHeight w:val="156"/>
        </w:trPr>
        <w:tc>
          <w:tcPr>
            <w:tcW w:w="2060" w:type="dxa"/>
            <w:vAlign w:val="bottom"/>
          </w:tcPr>
          <w:p>
            <w:pPr>
              <w:ind w:left="20"/>
              <w:spacing w:after="0" w:line="156" w:lineRule="exact"/>
              <w:rPr>
                <w:sz w:val="20"/>
                <w:szCs w:val="20"/>
                <w:color w:val="auto"/>
              </w:rPr>
            </w:pPr>
            <w:r>
              <w:rPr>
                <w:rFonts w:ascii="Arial" w:cs="Arial" w:eastAsia="Arial" w:hAnsi="Arial"/>
                <w:sz w:val="15"/>
                <w:szCs w:val="15"/>
                <w:color w:val="auto"/>
              </w:rPr>
              <w:t>Magnesia Specialties:</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Products and services</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b w:val="1"/>
                <w:bCs w:val="1"/>
                <w:color w:val="auto"/>
              </w:rPr>
              <w:t>102,905</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94,050</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93,987</w:t>
            </w:r>
          </w:p>
        </w:tc>
        <w:tc>
          <w:tcPr>
            <w:tcW w:w="0" w:type="dxa"/>
            <w:vAlign w:val="bottom"/>
          </w:tcPr>
          <w:p>
            <w:pPr>
              <w:spacing w:after="0"/>
              <w:rPr>
                <w:sz w:val="1"/>
                <w:szCs w:val="1"/>
                <w:color w:val="auto"/>
              </w:rPr>
            </w:pPr>
          </w:p>
        </w:tc>
      </w:tr>
      <w:tr>
        <w:trPr>
          <w:trHeight w:val="162"/>
        </w:trPr>
        <w:tc>
          <w:tcPr>
            <w:tcW w:w="2060" w:type="dxa"/>
            <w:vAlign w:val="bottom"/>
            <w:tcBorders>
              <w:bottom w:val="single" w:sz="8" w:color="auto"/>
            </w:tcBorders>
          </w:tcPr>
          <w:p>
            <w:pPr>
              <w:ind w:left="160"/>
              <w:spacing w:after="0" w:line="162" w:lineRule="exact"/>
              <w:rPr>
                <w:sz w:val="20"/>
                <w:szCs w:val="20"/>
                <w:color w:val="auto"/>
              </w:rPr>
            </w:pPr>
            <w:r>
              <w:rPr>
                <w:rFonts w:ascii="Arial" w:cs="Arial" w:eastAsia="Arial" w:hAnsi="Arial"/>
                <w:sz w:val="15"/>
                <w:szCs w:val="15"/>
                <w:color w:val="auto"/>
              </w:rPr>
              <w:t>Freight</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b w:val="1"/>
                <w:bCs w:val="1"/>
                <w:color w:val="auto"/>
              </w:rPr>
              <w:t>(4,223)</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(4,652)</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(4,384)</w:t>
            </w:r>
          </w:p>
        </w:tc>
        <w:tc>
          <w:tcPr>
            <w:tcW w:w="0" w:type="dxa"/>
            <w:vAlign w:val="bottom"/>
          </w:tcPr>
          <w:p>
            <w:pPr>
              <w:spacing w:after="0"/>
              <w:rPr>
                <w:sz w:val="1"/>
                <w:szCs w:val="1"/>
                <w:color w:val="auto"/>
              </w:rPr>
            </w:pPr>
          </w:p>
        </w:tc>
      </w:tr>
      <w:tr>
        <w:trPr>
          <w:trHeight w:val="152"/>
        </w:trPr>
        <w:tc>
          <w:tcPr>
            <w:tcW w:w="206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rPr>
              <w:t>Total Magnesia</w:t>
            </w: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98,682</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60" w:type="dxa"/>
            <w:vAlign w:val="bottom"/>
            <w:shd w:val="clear" w:color="auto" w:fill="CCEEFF"/>
          </w:tcPr>
          <w:p>
            <w:pPr>
              <w:ind w:left="160"/>
              <w:spacing w:after="0" w:line="166" w:lineRule="exact"/>
              <w:rPr>
                <w:sz w:val="20"/>
                <w:szCs w:val="20"/>
                <w:color w:val="auto"/>
              </w:rPr>
            </w:pPr>
            <w:r>
              <w:rPr>
                <w:rFonts w:ascii="Arial" w:cs="Arial" w:eastAsia="Arial" w:hAnsi="Arial"/>
                <w:sz w:val="15"/>
                <w:szCs w:val="15"/>
                <w:color w:val="auto"/>
              </w:rPr>
              <w:t>Specialties</w:t>
            </w:r>
          </w:p>
        </w:tc>
        <w:tc>
          <w:tcPr>
            <w:tcW w:w="28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3"/>
              <w:spacing w:after="0" w:line="166" w:lineRule="exact"/>
              <w:rPr>
                <w:sz w:val="20"/>
                <w:szCs w:val="20"/>
                <w:color w:val="auto"/>
              </w:rPr>
            </w:pPr>
            <w:r>
              <w:rPr>
                <w:rFonts w:ascii="Arial" w:cs="Arial" w:eastAsia="Arial" w:hAnsi="Arial"/>
                <w:sz w:val="15"/>
                <w:szCs w:val="15"/>
                <w:color w:val="auto"/>
              </w:rPr>
              <w:t>89,398</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3"/>
              <w:spacing w:after="0" w:line="166" w:lineRule="exact"/>
              <w:rPr>
                <w:sz w:val="20"/>
                <w:szCs w:val="20"/>
                <w:color w:val="auto"/>
              </w:rPr>
            </w:pPr>
            <w:r>
              <w:rPr>
                <w:rFonts w:ascii="Arial" w:cs="Arial" w:eastAsia="Arial" w:hAnsi="Arial"/>
                <w:sz w:val="15"/>
                <w:szCs w:val="15"/>
                <w:color w:val="auto"/>
              </w:rPr>
              <w:t>89,603</w:t>
            </w:r>
          </w:p>
        </w:tc>
        <w:tc>
          <w:tcPr>
            <w:tcW w:w="0" w:type="dxa"/>
            <w:vAlign w:val="bottom"/>
          </w:tcPr>
          <w:p>
            <w:pPr>
              <w:spacing w:after="0"/>
              <w:rPr>
                <w:sz w:val="1"/>
                <w:szCs w:val="1"/>
                <w:color w:val="auto"/>
              </w:rPr>
            </w:pPr>
          </w:p>
        </w:tc>
      </w:tr>
      <w:tr>
        <w:trPr>
          <w:trHeight w:val="162"/>
        </w:trPr>
        <w:tc>
          <w:tcPr>
            <w:tcW w:w="2060" w:type="dxa"/>
            <w:vAlign w:val="bottom"/>
            <w:tcBorders>
              <w:bottom w:val="single" w:sz="8" w:color="auto"/>
            </w:tcBorders>
          </w:tcPr>
          <w:p>
            <w:pPr>
              <w:ind w:left="20"/>
              <w:spacing w:after="0" w:line="162" w:lineRule="exact"/>
              <w:rPr>
                <w:sz w:val="20"/>
                <w:szCs w:val="20"/>
                <w:color w:val="auto"/>
              </w:rPr>
            </w:pPr>
            <w:r>
              <w:rPr>
                <w:rFonts w:ascii="Arial" w:cs="Arial" w:eastAsia="Arial" w:hAnsi="Arial"/>
                <w:sz w:val="15"/>
                <w:szCs w:val="15"/>
                <w:color w:val="auto"/>
              </w:rPr>
              <w:t>Corporate</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b w:val="1"/>
                <w:bCs w:val="1"/>
                <w:color w:val="auto"/>
              </w:rPr>
              <w:t>7,572</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6,910</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(8,501)</w:t>
            </w:r>
          </w:p>
        </w:tc>
        <w:tc>
          <w:tcPr>
            <w:tcW w:w="0" w:type="dxa"/>
            <w:vAlign w:val="bottom"/>
          </w:tcPr>
          <w:p>
            <w:pPr>
              <w:spacing w:after="0"/>
              <w:rPr>
                <w:sz w:val="1"/>
                <w:szCs w:val="1"/>
                <w:color w:val="auto"/>
              </w:rPr>
            </w:pPr>
          </w:p>
        </w:tc>
      </w:tr>
      <w:tr>
        <w:trPr>
          <w:trHeight w:val="163"/>
        </w:trPr>
        <w:tc>
          <w:tcPr>
            <w:tcW w:w="2060" w:type="dxa"/>
            <w:vAlign w:val="bottom"/>
            <w:tcBorders>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Consolidated gross profit</w:t>
            </w:r>
          </w:p>
        </w:tc>
        <w:tc>
          <w:tcPr>
            <w:tcW w:w="2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CCEEFF"/>
          </w:tcPr>
          <w:p>
            <w:pPr>
              <w:jc w:val="right"/>
              <w:ind w:right="103"/>
              <w:spacing w:after="0" w:line="156" w:lineRule="exact"/>
              <w:rPr>
                <w:sz w:val="20"/>
                <w:szCs w:val="20"/>
                <w:color w:val="auto"/>
              </w:rPr>
            </w:pPr>
            <w:r>
              <w:rPr>
                <w:rFonts w:ascii="Arial" w:cs="Arial" w:eastAsia="Arial" w:hAnsi="Arial"/>
                <w:sz w:val="15"/>
                <w:szCs w:val="15"/>
                <w:b w:val="1"/>
                <w:bCs w:val="1"/>
                <w:color w:val="auto"/>
              </w:rPr>
              <w:t>966,577</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ind w:right="103"/>
              <w:spacing w:after="0" w:line="156" w:lineRule="exact"/>
              <w:rPr>
                <w:sz w:val="20"/>
                <w:szCs w:val="20"/>
                <w:color w:val="auto"/>
              </w:rPr>
            </w:pPr>
            <w:r>
              <w:rPr>
                <w:rFonts w:ascii="Arial" w:cs="Arial" w:eastAsia="Arial" w:hAnsi="Arial"/>
                <w:sz w:val="15"/>
                <w:szCs w:val="15"/>
                <w:color w:val="auto"/>
              </w:rPr>
              <w:t>971,940</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911,738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Note R: Supplemental Cash Flow Information</w:t>
      </w:r>
    </w:p>
    <w:p>
      <w:pPr>
        <w:spacing w:after="0" w:line="5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components of the change in other assets and liabilities, net,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72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280" w:type="dxa"/>
            <w:vAlign w:val="bottom"/>
          </w:tcPr>
          <w:p>
            <w:pPr>
              <w:spacing w:after="0"/>
              <w:rPr>
                <w:sz w:val="14"/>
                <w:szCs w:val="14"/>
                <w:color w:val="auto"/>
              </w:rPr>
            </w:pPr>
          </w:p>
        </w:tc>
        <w:tc>
          <w:tcPr>
            <w:tcW w:w="82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0085CD"/>
              </w:rPr>
              <w:t>2018</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2017</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272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Other current and noncurrent assets</w:t>
            </w:r>
          </w:p>
        </w:tc>
        <w:tc>
          <w:tcPr>
            <w:tcW w:w="2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ind w:right="3"/>
              <w:spacing w:after="0" w:line="156" w:lineRule="exact"/>
              <w:rPr>
                <w:sz w:val="20"/>
                <w:szCs w:val="20"/>
                <w:color w:val="auto"/>
              </w:rPr>
            </w:pPr>
            <w:r>
              <w:rPr>
                <w:rFonts w:ascii="Arial" w:cs="Arial" w:eastAsia="Arial" w:hAnsi="Arial"/>
                <w:sz w:val="15"/>
                <w:szCs w:val="15"/>
                <w:b w:val="1"/>
                <w:bCs w:val="1"/>
                <w:color w:val="auto"/>
              </w:rPr>
              <w:t>(34,252)</w:t>
            </w:r>
          </w:p>
        </w:tc>
        <w:tc>
          <w:tcPr>
            <w:tcW w:w="1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3"/>
              <w:spacing w:after="0" w:line="156" w:lineRule="exact"/>
              <w:rPr>
                <w:sz w:val="20"/>
                <w:szCs w:val="20"/>
                <w:color w:val="auto"/>
              </w:rPr>
            </w:pPr>
            <w:r>
              <w:rPr>
                <w:rFonts w:ascii="Arial" w:cs="Arial" w:eastAsia="Arial" w:hAnsi="Arial"/>
                <w:sz w:val="15"/>
                <w:szCs w:val="15"/>
                <w:color w:val="auto"/>
              </w:rPr>
              <w:t>(19,424)</w:t>
            </w: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9,171</w:t>
            </w:r>
          </w:p>
        </w:tc>
        <w:tc>
          <w:tcPr>
            <w:tcW w:w="0" w:type="dxa"/>
            <w:vAlign w:val="bottom"/>
          </w:tcPr>
          <w:p>
            <w:pPr>
              <w:spacing w:after="0"/>
              <w:rPr>
                <w:sz w:val="1"/>
                <w:szCs w:val="1"/>
                <w:color w:val="auto"/>
              </w:rPr>
            </w:pPr>
          </w:p>
        </w:tc>
      </w:tr>
      <w:tr>
        <w:trPr>
          <w:trHeight w:val="159"/>
        </w:trPr>
        <w:tc>
          <w:tcPr>
            <w:tcW w:w="2720" w:type="dxa"/>
            <w:vAlign w:val="bottom"/>
          </w:tcPr>
          <w:p>
            <w:pPr>
              <w:spacing w:after="0" w:line="159" w:lineRule="exact"/>
              <w:rPr>
                <w:sz w:val="20"/>
                <w:szCs w:val="20"/>
                <w:color w:val="auto"/>
              </w:rPr>
            </w:pPr>
            <w:r>
              <w:rPr>
                <w:rFonts w:ascii="Arial" w:cs="Arial" w:eastAsia="Arial" w:hAnsi="Arial"/>
                <w:sz w:val="15"/>
                <w:szCs w:val="15"/>
                <w:color w:val="auto"/>
              </w:rPr>
              <w:t>Accrued salaries, benefits and payroll</w:t>
            </w:r>
          </w:p>
        </w:tc>
        <w:tc>
          <w:tcPr>
            <w:tcW w:w="280" w:type="dxa"/>
            <w:vAlign w:val="bottom"/>
          </w:tcPr>
          <w:p>
            <w:pPr>
              <w:spacing w:after="0"/>
              <w:rPr>
                <w:sz w:val="13"/>
                <w:szCs w:val="13"/>
                <w:color w:val="auto"/>
              </w:rPr>
            </w:pPr>
          </w:p>
        </w:tc>
        <w:tc>
          <w:tcPr>
            <w:tcW w:w="82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12,186</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720" w:type="dxa"/>
            <w:vAlign w:val="bottom"/>
          </w:tcPr>
          <w:p>
            <w:pPr>
              <w:ind w:left="160"/>
              <w:spacing w:after="0" w:line="166" w:lineRule="exact"/>
              <w:rPr>
                <w:sz w:val="20"/>
                <w:szCs w:val="20"/>
                <w:color w:val="auto"/>
              </w:rPr>
            </w:pPr>
            <w:r>
              <w:rPr>
                <w:rFonts w:ascii="Arial" w:cs="Arial" w:eastAsia="Arial" w:hAnsi="Arial"/>
                <w:sz w:val="15"/>
                <w:szCs w:val="15"/>
                <w:color w:val="auto"/>
              </w:rPr>
              <w:t>taxes</w:t>
            </w:r>
          </w:p>
        </w:tc>
        <w:tc>
          <w:tcPr>
            <w:tcW w:w="2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63"/>
              <w:spacing w:after="0" w:line="166" w:lineRule="exact"/>
              <w:rPr>
                <w:sz w:val="20"/>
                <w:szCs w:val="20"/>
                <w:color w:val="auto"/>
              </w:rPr>
            </w:pPr>
            <w:r>
              <w:rPr>
                <w:rFonts w:ascii="Arial" w:cs="Arial" w:eastAsia="Arial" w:hAnsi="Arial"/>
                <w:sz w:val="15"/>
                <w:szCs w:val="15"/>
                <w:color w:val="auto"/>
              </w:rPr>
              <w:t>136</w:t>
            </w:r>
          </w:p>
        </w:tc>
        <w:tc>
          <w:tcPr>
            <w:tcW w:w="200" w:type="dxa"/>
            <w:vAlign w:val="bottom"/>
          </w:tcPr>
          <w:p>
            <w:pPr>
              <w:spacing w:after="0"/>
              <w:rPr>
                <w:sz w:val="14"/>
                <w:szCs w:val="14"/>
                <w:color w:val="auto"/>
              </w:rPr>
            </w:pPr>
          </w:p>
        </w:tc>
        <w:tc>
          <w:tcPr>
            <w:tcW w:w="720" w:type="dxa"/>
            <w:vAlign w:val="bottom"/>
          </w:tcPr>
          <w:p>
            <w:pPr>
              <w:jc w:val="right"/>
              <w:ind w:right="23"/>
              <w:spacing w:after="0" w:line="166" w:lineRule="exact"/>
              <w:rPr>
                <w:sz w:val="20"/>
                <w:szCs w:val="20"/>
                <w:color w:val="auto"/>
              </w:rPr>
            </w:pPr>
            <w:r>
              <w:rPr>
                <w:rFonts w:ascii="Arial" w:cs="Arial" w:eastAsia="Arial" w:hAnsi="Arial"/>
                <w:sz w:val="15"/>
                <w:szCs w:val="15"/>
                <w:color w:val="auto"/>
              </w:rPr>
              <w:t>16,942</w:t>
            </w: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Accrued insurance and other taxes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b w:val="1"/>
                <w:bCs w:val="1"/>
                <w:color w:val="auto"/>
              </w:rPr>
              <w:t>(1,416)</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4,866</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(2,688)</w:t>
            </w:r>
          </w:p>
        </w:tc>
        <w:tc>
          <w:tcPr>
            <w:tcW w:w="0" w:type="dxa"/>
            <w:vAlign w:val="bottom"/>
          </w:tcPr>
          <w:p>
            <w:pPr>
              <w:spacing w:after="0"/>
              <w:rPr>
                <w:sz w:val="1"/>
                <w:szCs w:val="1"/>
                <w:color w:val="auto"/>
              </w:rPr>
            </w:pPr>
          </w:p>
        </w:tc>
      </w:tr>
      <w:tr>
        <w:trPr>
          <w:trHeight w:val="162"/>
        </w:trPr>
        <w:tc>
          <w:tcPr>
            <w:tcW w:w="2720" w:type="dxa"/>
            <w:vAlign w:val="bottom"/>
          </w:tcPr>
          <w:p>
            <w:pPr>
              <w:spacing w:after="0" w:line="162" w:lineRule="exact"/>
              <w:rPr>
                <w:sz w:val="20"/>
                <w:szCs w:val="20"/>
                <w:color w:val="auto"/>
              </w:rPr>
            </w:pPr>
            <w:r>
              <w:rPr>
                <w:rFonts w:ascii="Arial" w:cs="Arial" w:eastAsia="Arial" w:hAnsi="Arial"/>
                <w:sz w:val="15"/>
                <w:szCs w:val="15"/>
                <w:color w:val="auto"/>
              </w:rPr>
              <w:t>Accrued income taxes</w:t>
            </w:r>
          </w:p>
        </w:tc>
        <w:tc>
          <w:tcPr>
            <w:tcW w:w="280" w:type="dxa"/>
            <w:vAlign w:val="bottom"/>
          </w:tcPr>
          <w:p>
            <w:pPr>
              <w:spacing w:after="0"/>
              <w:rPr>
                <w:sz w:val="14"/>
                <w:szCs w:val="14"/>
                <w:color w:val="auto"/>
              </w:rPr>
            </w:pPr>
          </w:p>
        </w:tc>
        <w:tc>
          <w:tcPr>
            <w:tcW w:w="820" w:type="dxa"/>
            <w:vAlign w:val="bottom"/>
          </w:tcPr>
          <w:p>
            <w:pPr>
              <w:jc w:val="right"/>
              <w:ind w:right="3"/>
              <w:spacing w:after="0" w:line="162" w:lineRule="exact"/>
              <w:rPr>
                <w:sz w:val="20"/>
                <w:szCs w:val="20"/>
                <w:color w:val="auto"/>
              </w:rPr>
            </w:pPr>
            <w:r>
              <w:rPr>
                <w:rFonts w:ascii="Arial" w:cs="Arial" w:eastAsia="Arial" w:hAnsi="Arial"/>
                <w:sz w:val="15"/>
                <w:szCs w:val="15"/>
                <w:b w:val="1"/>
                <w:bCs w:val="1"/>
                <w:color w:val="auto"/>
              </w:rPr>
              <w:t>(10,336)</w:t>
            </w:r>
          </w:p>
        </w:tc>
        <w:tc>
          <w:tcPr>
            <w:tcW w:w="180" w:type="dxa"/>
            <w:vAlign w:val="bottom"/>
          </w:tcPr>
          <w:p>
            <w:pPr>
              <w:spacing w:after="0"/>
              <w:rPr>
                <w:sz w:val="14"/>
                <w:szCs w:val="14"/>
                <w:color w:val="auto"/>
              </w:rPr>
            </w:pPr>
          </w:p>
        </w:tc>
        <w:tc>
          <w:tcPr>
            <w:tcW w:w="680" w:type="dxa"/>
            <w:vAlign w:val="bottom"/>
          </w:tcPr>
          <w:p>
            <w:pPr>
              <w:jc w:val="right"/>
              <w:ind w:right="3"/>
              <w:spacing w:after="0" w:line="162" w:lineRule="exact"/>
              <w:rPr>
                <w:sz w:val="20"/>
                <w:szCs w:val="20"/>
                <w:color w:val="auto"/>
              </w:rPr>
            </w:pPr>
            <w:r>
              <w:rPr>
                <w:rFonts w:ascii="Arial" w:cs="Arial" w:eastAsia="Arial" w:hAnsi="Arial"/>
                <w:sz w:val="15"/>
                <w:szCs w:val="15"/>
                <w:color w:val="auto"/>
              </w:rPr>
              <w:t>(11,044)</w:t>
            </w:r>
          </w:p>
        </w:tc>
        <w:tc>
          <w:tcPr>
            <w:tcW w:w="2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(12,523)</w:t>
            </w:r>
          </w:p>
        </w:tc>
        <w:tc>
          <w:tcPr>
            <w:tcW w:w="0" w:type="dxa"/>
            <w:vAlign w:val="bottom"/>
          </w:tcPr>
          <w:p>
            <w:pPr>
              <w:spacing w:after="0"/>
              <w:rPr>
                <w:sz w:val="1"/>
                <w:szCs w:val="1"/>
                <w:color w:val="auto"/>
              </w:rPr>
            </w:pPr>
          </w:p>
        </w:tc>
      </w:tr>
      <w:tr>
        <w:trPr>
          <w:trHeight w:val="159"/>
        </w:trPr>
        <w:tc>
          <w:tcPr>
            <w:tcW w:w="272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Accrued pension, postretirement and</w:t>
            </w:r>
          </w:p>
        </w:tc>
        <w:tc>
          <w:tcPr>
            <w:tcW w:w="2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(133,153)</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160"/>
              <w:spacing w:after="0" w:line="166" w:lineRule="exact"/>
              <w:rPr>
                <w:sz w:val="20"/>
                <w:szCs w:val="20"/>
                <w:color w:val="auto"/>
              </w:rPr>
            </w:pPr>
            <w:r>
              <w:rPr>
                <w:rFonts w:ascii="Arial" w:cs="Arial" w:eastAsia="Arial" w:hAnsi="Arial"/>
                <w:sz w:val="15"/>
                <w:szCs w:val="15"/>
                <w:color w:val="auto"/>
              </w:rPr>
              <w:t>postemployment benefits</w:t>
            </w:r>
          </w:p>
        </w:tc>
        <w:tc>
          <w:tcPr>
            <w:tcW w:w="2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3"/>
              <w:spacing w:after="0" w:line="166" w:lineRule="exact"/>
              <w:rPr>
                <w:sz w:val="20"/>
                <w:szCs w:val="20"/>
                <w:color w:val="auto"/>
              </w:rPr>
            </w:pPr>
            <w:r>
              <w:rPr>
                <w:rFonts w:ascii="Arial" w:cs="Arial" w:eastAsia="Arial" w:hAnsi="Arial"/>
                <w:sz w:val="15"/>
                <w:szCs w:val="15"/>
                <w:color w:val="auto"/>
              </w:rPr>
              <w:t>1,980</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(15,955)</w:t>
            </w:r>
          </w:p>
        </w:tc>
        <w:tc>
          <w:tcPr>
            <w:tcW w:w="0" w:type="dxa"/>
            <w:vAlign w:val="bottom"/>
          </w:tcPr>
          <w:p>
            <w:pPr>
              <w:spacing w:after="0"/>
              <w:rPr>
                <w:sz w:val="1"/>
                <w:szCs w:val="1"/>
                <w:color w:val="auto"/>
              </w:rPr>
            </w:pPr>
          </w:p>
        </w:tc>
      </w:tr>
      <w:tr>
        <w:trPr>
          <w:trHeight w:val="162"/>
        </w:trPr>
        <w:tc>
          <w:tcPr>
            <w:tcW w:w="272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Other current and noncurrent liabilities</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b w:val="1"/>
                <w:bCs w:val="1"/>
                <w:color w:val="auto"/>
              </w:rPr>
              <w:t>(12,972)</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38,105</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(6,053)</w:t>
            </w:r>
          </w:p>
        </w:tc>
        <w:tc>
          <w:tcPr>
            <w:tcW w:w="0" w:type="dxa"/>
            <w:vAlign w:val="bottom"/>
          </w:tcPr>
          <w:p>
            <w:pPr>
              <w:spacing w:after="0"/>
              <w:rPr>
                <w:sz w:val="1"/>
                <w:szCs w:val="1"/>
                <w:color w:val="auto"/>
              </w:rPr>
            </w:pPr>
          </w:p>
        </w:tc>
      </w:tr>
      <w:tr>
        <w:trPr>
          <w:trHeight w:val="152"/>
        </w:trPr>
        <w:tc>
          <w:tcPr>
            <w:tcW w:w="2720" w:type="dxa"/>
            <w:vAlign w:val="bottom"/>
            <w:shd w:val="clear" w:color="auto" w:fill="CCEEFF"/>
          </w:tcPr>
          <w:p>
            <w:pPr>
              <w:spacing w:after="0" w:line="152" w:lineRule="exact"/>
              <w:rPr>
                <w:sz w:val="20"/>
                <w:szCs w:val="20"/>
                <w:color w:val="auto"/>
              </w:rPr>
            </w:pPr>
            <w:r>
              <w:rPr>
                <w:rFonts w:ascii="Arial" w:cs="Arial" w:eastAsia="Arial" w:hAnsi="Arial"/>
                <w:sz w:val="15"/>
                <w:szCs w:val="15"/>
                <w:color w:val="auto"/>
              </w:rPr>
              <w:t>Change in other assets and liabilities,</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(179,943)</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720" w:type="dxa"/>
            <w:vAlign w:val="bottom"/>
            <w:tcBorders>
              <w:bottom w:val="single" w:sz="8" w:color="auto"/>
            </w:tcBorders>
            <w:shd w:val="clear" w:color="auto" w:fill="CCEEFF"/>
          </w:tcPr>
          <w:p>
            <w:pPr>
              <w:ind w:left="160"/>
              <w:spacing w:after="0" w:line="166" w:lineRule="exact"/>
              <w:rPr>
                <w:sz w:val="20"/>
                <w:szCs w:val="20"/>
                <w:color w:val="auto"/>
              </w:rPr>
            </w:pPr>
            <w:r>
              <w:rPr>
                <w:rFonts w:ascii="Arial" w:cs="Arial" w:eastAsia="Arial" w:hAnsi="Arial"/>
                <w:sz w:val="15"/>
                <w:szCs w:val="15"/>
                <w:color w:val="auto"/>
              </w:rPr>
              <w:t>net</w:t>
            </w:r>
          </w:p>
        </w:tc>
        <w:tc>
          <w:tcPr>
            <w:tcW w:w="28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63"/>
              <w:spacing w:after="0" w:line="166" w:lineRule="exact"/>
              <w:rPr>
                <w:sz w:val="20"/>
                <w:szCs w:val="20"/>
                <w:color w:val="auto"/>
              </w:rPr>
            </w:pPr>
            <w:r>
              <w:rPr>
                <w:rFonts w:ascii="Arial" w:cs="Arial" w:eastAsia="Arial" w:hAnsi="Arial"/>
                <w:sz w:val="15"/>
                <w:szCs w:val="15"/>
                <w:color w:val="auto"/>
              </w:rPr>
              <w:t>14,619</w:t>
            </w:r>
          </w:p>
        </w:tc>
        <w:tc>
          <w:tcPr>
            <w:tcW w:w="20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CCEEFF"/>
          </w:tcPr>
          <w:p>
            <w:pPr>
              <w:jc w:val="right"/>
              <w:ind w:right="23"/>
              <w:spacing w:after="0" w:line="166" w:lineRule="exact"/>
              <w:rPr>
                <w:sz w:val="20"/>
                <w:szCs w:val="20"/>
                <w:color w:val="auto"/>
              </w:rPr>
            </w:pPr>
            <w:r>
              <w:rPr>
                <w:rFonts w:ascii="Arial" w:cs="Arial" w:eastAsia="Arial" w:hAnsi="Arial"/>
                <w:sz w:val="15"/>
                <w:szCs w:val="15"/>
                <w:color w:val="auto"/>
              </w:rPr>
              <w:t>(11,106)</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Noncash investing and financing activities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8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360" w:type="dxa"/>
            <w:vAlign w:val="bottom"/>
          </w:tcPr>
          <w:p>
            <w:pPr>
              <w:spacing w:after="0"/>
              <w:rPr>
                <w:sz w:val="14"/>
                <w:szCs w:val="14"/>
                <w:color w:val="auto"/>
              </w:rPr>
            </w:pPr>
          </w:p>
        </w:tc>
        <w:tc>
          <w:tcPr>
            <w:tcW w:w="68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0085CD"/>
              </w:rPr>
              <w:t>2018</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6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2017</w:t>
            </w: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2"/>
        </w:trPr>
        <w:tc>
          <w:tcPr>
            <w:tcW w:w="2680" w:type="dxa"/>
            <w:vAlign w:val="bottom"/>
            <w:shd w:val="clear" w:color="auto" w:fill="CCEEFF"/>
          </w:tcPr>
          <w:p>
            <w:pPr>
              <w:spacing w:after="0" w:line="152" w:lineRule="exact"/>
              <w:rPr>
                <w:sz w:val="20"/>
                <w:szCs w:val="20"/>
                <w:color w:val="auto"/>
              </w:rPr>
            </w:pPr>
            <w:r>
              <w:rPr>
                <w:rFonts w:ascii="Arial" w:cs="Arial" w:eastAsia="Arial" w:hAnsi="Arial"/>
                <w:sz w:val="15"/>
                <w:szCs w:val="15"/>
                <w:color w:val="auto"/>
              </w:rPr>
              <w:t>Accrued liabilities for purchases of</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66,985</w:t>
            </w: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680" w:type="dxa"/>
            <w:vAlign w:val="bottom"/>
            <w:shd w:val="clear" w:color="auto" w:fill="CCEEFF"/>
          </w:tcPr>
          <w:p>
            <w:pPr>
              <w:ind w:left="160"/>
              <w:spacing w:after="0" w:line="166" w:lineRule="exact"/>
              <w:rPr>
                <w:sz w:val="20"/>
                <w:szCs w:val="20"/>
                <w:color w:val="auto"/>
              </w:rPr>
            </w:pPr>
            <w:r>
              <w:rPr>
                <w:rFonts w:ascii="Arial" w:cs="Arial" w:eastAsia="Arial" w:hAnsi="Arial"/>
                <w:sz w:val="15"/>
                <w:szCs w:val="15"/>
                <w:color w:val="auto"/>
              </w:rPr>
              <w:t>property, plant and equipment</w:t>
            </w:r>
          </w:p>
        </w:tc>
        <w:tc>
          <w:tcPr>
            <w:tcW w:w="36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103"/>
              <w:spacing w:after="0" w:line="166" w:lineRule="exact"/>
              <w:rPr>
                <w:sz w:val="20"/>
                <w:szCs w:val="20"/>
                <w:color w:val="auto"/>
              </w:rPr>
            </w:pPr>
            <w:r>
              <w:rPr>
                <w:rFonts w:ascii="Arial" w:cs="Arial" w:eastAsia="Arial" w:hAnsi="Arial"/>
                <w:sz w:val="15"/>
                <w:szCs w:val="15"/>
                <w:color w:val="auto"/>
              </w:rPr>
              <w:t>61,644</w:t>
            </w:r>
          </w:p>
        </w:tc>
        <w:tc>
          <w:tcPr>
            <w:tcW w:w="3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38,566</w:t>
            </w:r>
          </w:p>
        </w:tc>
        <w:tc>
          <w:tcPr>
            <w:tcW w:w="0" w:type="dxa"/>
            <w:vAlign w:val="bottom"/>
          </w:tcPr>
          <w:p>
            <w:pPr>
              <w:spacing w:after="0"/>
              <w:rPr>
                <w:sz w:val="1"/>
                <w:szCs w:val="1"/>
                <w:color w:val="auto"/>
              </w:rPr>
            </w:pPr>
          </w:p>
        </w:tc>
      </w:tr>
      <w:tr>
        <w:trPr>
          <w:trHeight w:val="159"/>
        </w:trPr>
        <w:tc>
          <w:tcPr>
            <w:tcW w:w="2680" w:type="dxa"/>
            <w:vAlign w:val="bottom"/>
          </w:tcPr>
          <w:p>
            <w:pPr>
              <w:spacing w:after="0" w:line="159" w:lineRule="exact"/>
              <w:rPr>
                <w:sz w:val="20"/>
                <w:szCs w:val="20"/>
                <w:color w:val="auto"/>
              </w:rPr>
            </w:pPr>
            <w:r>
              <w:rPr>
                <w:rFonts w:ascii="Arial" w:cs="Arial" w:eastAsia="Arial" w:hAnsi="Arial"/>
                <w:sz w:val="15"/>
                <w:szCs w:val="15"/>
                <w:color w:val="auto"/>
              </w:rPr>
              <w:t>Acquisition of assets through capital</w:t>
            </w:r>
          </w:p>
        </w:tc>
        <w:tc>
          <w:tcPr>
            <w:tcW w:w="3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68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1,148</w:t>
            </w: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680" w:type="dxa"/>
            <w:vAlign w:val="bottom"/>
          </w:tcPr>
          <w:p>
            <w:pPr>
              <w:ind w:left="160"/>
              <w:spacing w:after="0" w:line="166" w:lineRule="exact"/>
              <w:rPr>
                <w:sz w:val="20"/>
                <w:szCs w:val="20"/>
                <w:color w:val="auto"/>
              </w:rPr>
            </w:pPr>
            <w:r>
              <w:rPr>
                <w:rFonts w:ascii="Arial" w:cs="Arial" w:eastAsia="Arial" w:hAnsi="Arial"/>
                <w:sz w:val="15"/>
                <w:szCs w:val="15"/>
                <w:color w:val="auto"/>
              </w:rPr>
              <w:t>lease</w:t>
            </w:r>
          </w:p>
        </w:tc>
        <w:tc>
          <w:tcPr>
            <w:tcW w:w="3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32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680" w:type="dxa"/>
            <w:vAlign w:val="bottom"/>
          </w:tcPr>
          <w:p>
            <w:pPr>
              <w:jc w:val="right"/>
              <w:ind w:right="103"/>
              <w:spacing w:after="0" w:line="166" w:lineRule="exact"/>
              <w:rPr>
                <w:sz w:val="20"/>
                <w:szCs w:val="20"/>
                <w:color w:val="auto"/>
              </w:rPr>
            </w:pPr>
            <w:r>
              <w:rPr>
                <w:rFonts w:ascii="Arial" w:cs="Arial" w:eastAsia="Arial" w:hAnsi="Arial"/>
                <w:sz w:val="15"/>
                <w:szCs w:val="15"/>
                <w:color w:val="auto"/>
              </w:rPr>
              <w:t>811</w:t>
            </w:r>
          </w:p>
        </w:tc>
        <w:tc>
          <w:tcPr>
            <w:tcW w:w="30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580" w:type="dxa"/>
            <w:vAlign w:val="bottom"/>
          </w:tcPr>
          <w:p>
            <w:pPr>
              <w:jc w:val="right"/>
              <w:spacing w:after="0" w:line="166" w:lineRule="exact"/>
              <w:rPr>
                <w:sz w:val="20"/>
                <w:szCs w:val="20"/>
                <w:color w:val="auto"/>
              </w:rPr>
            </w:pPr>
            <w:r>
              <w:rPr>
                <w:rFonts w:ascii="Arial" w:cs="Arial" w:eastAsia="Arial" w:hAnsi="Arial"/>
                <w:sz w:val="15"/>
                <w:szCs w:val="15"/>
                <w:color w:val="auto"/>
              </w:rPr>
              <w:t>1,399</w:t>
            </w:r>
          </w:p>
        </w:tc>
        <w:tc>
          <w:tcPr>
            <w:tcW w:w="0" w:type="dxa"/>
            <w:vAlign w:val="bottom"/>
          </w:tcPr>
          <w:p>
            <w:pPr>
              <w:spacing w:after="0"/>
              <w:rPr>
                <w:sz w:val="1"/>
                <w:szCs w:val="1"/>
                <w:color w:val="auto"/>
              </w:rPr>
            </w:pPr>
          </w:p>
        </w:tc>
      </w:tr>
      <w:tr>
        <w:trPr>
          <w:trHeight w:val="159"/>
        </w:trPr>
        <w:tc>
          <w:tcPr>
            <w:tcW w:w="268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Acquisition of assets through asset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w:t>
            </w: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680" w:type="dxa"/>
            <w:vAlign w:val="bottom"/>
            <w:shd w:val="clear" w:color="auto" w:fill="CCEEFF"/>
          </w:tcPr>
          <w:p>
            <w:pPr>
              <w:ind w:left="160"/>
              <w:spacing w:after="0" w:line="166" w:lineRule="exact"/>
              <w:rPr>
                <w:sz w:val="20"/>
                <w:szCs w:val="20"/>
                <w:color w:val="auto"/>
              </w:rPr>
            </w:pPr>
            <w:r>
              <w:rPr>
                <w:rFonts w:ascii="Arial" w:cs="Arial" w:eastAsia="Arial" w:hAnsi="Arial"/>
                <w:sz w:val="15"/>
                <w:szCs w:val="15"/>
                <w:color w:val="auto"/>
              </w:rPr>
              <w:t>exchange</w:t>
            </w:r>
          </w:p>
        </w:tc>
        <w:tc>
          <w:tcPr>
            <w:tcW w:w="36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103"/>
              <w:spacing w:after="0" w:line="166" w:lineRule="exact"/>
              <w:rPr>
                <w:sz w:val="20"/>
                <w:szCs w:val="20"/>
                <w:color w:val="auto"/>
              </w:rPr>
            </w:pPr>
            <w:r>
              <w:rPr>
                <w:rFonts w:ascii="Arial" w:cs="Arial" w:eastAsia="Arial" w:hAnsi="Arial"/>
                <w:sz w:val="15"/>
                <w:szCs w:val="15"/>
                <w:color w:val="auto"/>
              </w:rPr>
              <w:t>2,476</w:t>
            </w:r>
          </w:p>
        </w:tc>
        <w:tc>
          <w:tcPr>
            <w:tcW w:w="3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2680" w:type="dxa"/>
            <w:vAlign w:val="bottom"/>
          </w:tcPr>
          <w:p>
            <w:pPr>
              <w:spacing w:after="0"/>
              <w:rPr>
                <w:sz w:val="20"/>
                <w:szCs w:val="20"/>
                <w:color w:val="auto"/>
              </w:rPr>
            </w:pPr>
            <w:r>
              <w:rPr>
                <w:rFonts w:ascii="Arial" w:cs="Arial" w:eastAsia="Arial" w:hAnsi="Arial"/>
                <w:sz w:val="15"/>
                <w:szCs w:val="15"/>
                <w:color w:val="auto"/>
              </w:rPr>
              <w:t>Sale of asset to settle liability</w:t>
            </w: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80" w:type="dxa"/>
            <w:vAlign w:val="bottom"/>
          </w:tcPr>
          <w:p>
            <w:pPr>
              <w:jc w:val="right"/>
              <w:ind w:right="103"/>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3"/>
              <w:spacing w:after="0"/>
              <w:rPr>
                <w:sz w:val="20"/>
                <w:szCs w:val="20"/>
                <w:color w:val="auto"/>
              </w:rPr>
            </w:pPr>
            <w:r>
              <w:rPr>
                <w:rFonts w:ascii="Arial" w:cs="Arial" w:eastAsia="Arial" w:hAnsi="Arial"/>
                <w:sz w:val="15"/>
                <w:szCs w:val="15"/>
                <w:color w:val="auto"/>
              </w:rPr>
              <w:t>900</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Supplemental disclosures of cash flow information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240" w:type="dxa"/>
            <w:vAlign w:val="bottom"/>
          </w:tcPr>
          <w:p>
            <w:pPr>
              <w:spacing w:after="0"/>
              <w:rPr>
                <w:sz w:val="20"/>
                <w:szCs w:val="20"/>
                <w:color w:val="auto"/>
              </w:rPr>
            </w:pPr>
            <w:r>
              <w:rPr>
                <w:rFonts w:ascii="Arial" w:cs="Arial" w:eastAsia="Arial" w:hAnsi="Arial"/>
                <w:sz w:val="14"/>
                <w:szCs w:val="14"/>
                <w:i w:val="1"/>
                <w:iCs w:val="1"/>
                <w:color w:val="auto"/>
              </w:rPr>
              <w:t>years ended December 31</w:t>
            </w:r>
          </w:p>
        </w:tc>
        <w:tc>
          <w:tcPr>
            <w:tcW w:w="520" w:type="dxa"/>
            <w:vAlign w:val="bottom"/>
          </w:tcPr>
          <w:p>
            <w:pPr>
              <w:spacing w:after="0"/>
              <w:rPr>
                <w:sz w:val="14"/>
                <w:szCs w:val="14"/>
                <w:color w:val="auto"/>
              </w:rPr>
            </w:pPr>
          </w:p>
        </w:tc>
        <w:tc>
          <w:tcPr>
            <w:tcW w:w="78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0085CD"/>
              </w:rPr>
              <w:t>2018</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2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2017</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22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Cash paid for interest</w:t>
            </w:r>
          </w:p>
        </w:tc>
        <w:tc>
          <w:tcPr>
            <w:tcW w:w="5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ind w:right="103"/>
              <w:spacing w:after="0" w:line="156" w:lineRule="exact"/>
              <w:rPr>
                <w:sz w:val="20"/>
                <w:szCs w:val="20"/>
                <w:color w:val="auto"/>
              </w:rPr>
            </w:pPr>
            <w:r>
              <w:rPr>
                <w:rFonts w:ascii="Arial" w:cs="Arial" w:eastAsia="Arial" w:hAnsi="Arial"/>
                <w:sz w:val="15"/>
                <w:szCs w:val="15"/>
                <w:b w:val="1"/>
                <w:bCs w:val="1"/>
                <w:color w:val="auto"/>
              </w:rPr>
              <w:t>137,239</w:t>
            </w:r>
          </w:p>
        </w:tc>
        <w:tc>
          <w:tcPr>
            <w:tcW w:w="3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83"/>
              <w:spacing w:after="0" w:line="156" w:lineRule="exact"/>
              <w:rPr>
                <w:sz w:val="20"/>
                <w:szCs w:val="20"/>
                <w:color w:val="auto"/>
              </w:rPr>
            </w:pPr>
            <w:r>
              <w:rPr>
                <w:rFonts w:ascii="Arial" w:cs="Arial" w:eastAsia="Arial" w:hAnsi="Arial"/>
                <w:sz w:val="15"/>
                <w:szCs w:val="15"/>
                <w:color w:val="auto"/>
              </w:rPr>
              <w:t>78,902</w:t>
            </w:r>
          </w:p>
        </w:tc>
        <w:tc>
          <w:tcPr>
            <w:tcW w:w="3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73,664</w:t>
            </w:r>
          </w:p>
        </w:tc>
        <w:tc>
          <w:tcPr>
            <w:tcW w:w="0" w:type="dxa"/>
            <w:vAlign w:val="bottom"/>
          </w:tcPr>
          <w:p>
            <w:pPr>
              <w:spacing w:after="0"/>
              <w:rPr>
                <w:sz w:val="1"/>
                <w:szCs w:val="1"/>
                <w:color w:val="auto"/>
              </w:rPr>
            </w:pPr>
          </w:p>
        </w:tc>
      </w:tr>
      <w:tr>
        <w:trPr>
          <w:trHeight w:val="202"/>
        </w:trPr>
        <w:tc>
          <w:tcPr>
            <w:tcW w:w="2240" w:type="dxa"/>
            <w:vAlign w:val="bottom"/>
          </w:tcPr>
          <w:p>
            <w:pPr>
              <w:spacing w:after="0"/>
              <w:rPr>
                <w:sz w:val="20"/>
                <w:szCs w:val="20"/>
                <w:color w:val="auto"/>
              </w:rPr>
            </w:pPr>
            <w:r>
              <w:rPr>
                <w:rFonts w:ascii="Arial" w:cs="Arial" w:eastAsia="Arial" w:hAnsi="Arial"/>
                <w:sz w:val="15"/>
                <w:szCs w:val="15"/>
                <w:color w:val="auto"/>
              </w:rPr>
              <w:t>Cash paid for income taxes</w:t>
            </w: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jc w:val="right"/>
              <w:ind w:right="103"/>
              <w:spacing w:after="0"/>
              <w:rPr>
                <w:sz w:val="20"/>
                <w:szCs w:val="20"/>
                <w:color w:val="auto"/>
              </w:rPr>
            </w:pPr>
            <w:r>
              <w:rPr>
                <w:rFonts w:ascii="Arial" w:cs="Arial" w:eastAsia="Arial" w:hAnsi="Arial"/>
                <w:sz w:val="15"/>
                <w:szCs w:val="15"/>
                <w:b w:val="1"/>
                <w:bCs w:val="1"/>
                <w:color w:val="auto"/>
              </w:rPr>
              <w:t>28,860</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83"/>
              <w:spacing w:after="0"/>
              <w:rPr>
                <w:sz w:val="20"/>
                <w:szCs w:val="20"/>
                <w:color w:val="auto"/>
              </w:rPr>
            </w:pPr>
            <w:r>
              <w:rPr>
                <w:rFonts w:ascii="Arial" w:cs="Arial" w:eastAsia="Arial" w:hAnsi="Arial"/>
                <w:sz w:val="15"/>
                <w:szCs w:val="15"/>
                <w:color w:val="auto"/>
              </w:rPr>
              <w:t>155,771</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124,342</w:t>
            </w:r>
          </w:p>
        </w:tc>
        <w:tc>
          <w:tcPr>
            <w:tcW w:w="0" w:type="dxa"/>
            <w:vAlign w:val="bottom"/>
          </w:tcPr>
          <w:p>
            <w:pPr>
              <w:spacing w:after="0"/>
              <w:rPr>
                <w:sz w:val="1"/>
                <w:szCs w:val="1"/>
                <w:color w:val="auto"/>
              </w:rPr>
            </w:pPr>
          </w:p>
        </w:tc>
      </w:tr>
    </w:tbl>
    <w:p>
      <w:pPr>
        <w:spacing w:after="0" w:line="493"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rPr>
          <w:sz w:val="20"/>
          <w:szCs w:val="20"/>
          <w:color w:val="auto"/>
        </w:rPr>
      </w:pPr>
      <w:r>
        <w:rPr>
          <w:rFonts w:ascii="Arial" w:cs="Arial" w:eastAsia="Arial" w:hAnsi="Arial"/>
          <w:sz w:val="17"/>
          <w:szCs w:val="17"/>
          <w:color w:val="auto"/>
        </w:rPr>
        <w:t>Domestic and foreign total revenues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80" w:type="dxa"/>
            <w:vAlign w:val="bottom"/>
          </w:tcPr>
          <w:p>
            <w:pPr>
              <w:ind w:left="20"/>
              <w:spacing w:after="0"/>
              <w:rPr>
                <w:sz w:val="20"/>
                <w:szCs w:val="20"/>
                <w:color w:val="auto"/>
              </w:rPr>
            </w:pPr>
            <w:r>
              <w:rPr>
                <w:rFonts w:ascii="Arial" w:cs="Arial" w:eastAsia="Arial" w:hAnsi="Arial"/>
                <w:sz w:val="15"/>
                <w:szCs w:val="15"/>
                <w:i w:val="1"/>
                <w:iCs w:val="1"/>
                <w:color w:val="auto"/>
              </w:rPr>
              <w:t>years ended December 31</w:t>
            </w:r>
          </w:p>
        </w:tc>
        <w:tc>
          <w:tcPr>
            <w:tcW w:w="300" w:type="dxa"/>
            <w:vAlign w:val="bottom"/>
          </w:tcPr>
          <w:p>
            <w:pPr>
              <w:spacing w:after="0"/>
              <w:rPr>
                <w:sz w:val="15"/>
                <w:szCs w:val="15"/>
                <w:color w:val="auto"/>
              </w:rPr>
            </w:pPr>
          </w:p>
        </w:tc>
        <w:tc>
          <w:tcPr>
            <w:tcW w:w="88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0085CD"/>
              </w:rPr>
              <w:t>2018</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80" w:type="dxa"/>
            <w:vAlign w:val="bottom"/>
            <w:tcBorders>
              <w:bottom w:val="single" w:sz="8" w:color="auto"/>
            </w:tcBorders>
          </w:tcPr>
          <w:p>
            <w:pPr>
              <w:ind w:left="20"/>
              <w:spacing w:after="0" w:line="166" w:lineRule="exact"/>
              <w:rPr>
                <w:sz w:val="20"/>
                <w:szCs w:val="20"/>
                <w:color w:val="auto"/>
              </w:rPr>
            </w:pPr>
            <w:r>
              <w:rPr>
                <w:rFonts w:ascii="Arial" w:cs="Arial" w:eastAsia="Arial" w:hAnsi="Arial"/>
                <w:sz w:val="15"/>
                <w:szCs w:val="15"/>
                <w:color w:val="auto"/>
              </w:rPr>
              <w:t>(add 000)</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3"/>
              <w:spacing w:after="0" w:line="166" w:lineRule="exact"/>
              <w:rPr>
                <w:sz w:val="20"/>
                <w:szCs w:val="20"/>
                <w:color w:val="auto"/>
              </w:rPr>
            </w:pPr>
            <w:r>
              <w:rPr>
                <w:rFonts w:ascii="Arial" w:cs="Arial" w:eastAsia="Arial" w:hAnsi="Arial"/>
                <w:sz w:val="15"/>
                <w:szCs w:val="15"/>
                <w:color w:val="auto"/>
              </w:rPr>
              <w:t>2017</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208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Domestic</w:t>
            </w:r>
          </w:p>
        </w:tc>
        <w:tc>
          <w:tcPr>
            <w:tcW w:w="3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80" w:type="dxa"/>
            <w:vAlign w:val="bottom"/>
            <w:shd w:val="clear" w:color="auto" w:fill="CCEEFF"/>
          </w:tcPr>
          <w:p>
            <w:pPr>
              <w:jc w:val="right"/>
              <w:ind w:right="83"/>
              <w:spacing w:after="0" w:line="156" w:lineRule="exact"/>
              <w:rPr>
                <w:sz w:val="20"/>
                <w:szCs w:val="20"/>
                <w:color w:val="auto"/>
              </w:rPr>
            </w:pPr>
            <w:r>
              <w:rPr>
                <w:rFonts w:ascii="Arial" w:cs="Arial" w:eastAsia="Arial" w:hAnsi="Arial"/>
                <w:sz w:val="15"/>
                <w:szCs w:val="15"/>
                <w:b w:val="1"/>
                <w:bCs w:val="1"/>
                <w:color w:val="auto"/>
              </w:rPr>
              <w:t>4,166,339</w:t>
            </w:r>
          </w:p>
        </w:tc>
        <w:tc>
          <w:tcPr>
            <w:tcW w:w="2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83"/>
              <w:spacing w:after="0" w:line="156" w:lineRule="exact"/>
              <w:rPr>
                <w:sz w:val="20"/>
                <w:szCs w:val="20"/>
                <w:color w:val="auto"/>
              </w:rPr>
            </w:pPr>
            <w:r>
              <w:rPr>
                <w:rFonts w:ascii="Arial" w:cs="Arial" w:eastAsia="Arial" w:hAnsi="Arial"/>
                <w:sz w:val="15"/>
                <w:szCs w:val="15"/>
                <w:color w:val="auto"/>
              </w:rPr>
              <w:t>3,901,323</w:t>
            </w:r>
          </w:p>
        </w:tc>
        <w:tc>
          <w:tcPr>
            <w:tcW w:w="2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3,761,651</w:t>
            </w:r>
          </w:p>
        </w:tc>
        <w:tc>
          <w:tcPr>
            <w:tcW w:w="0" w:type="dxa"/>
            <w:vAlign w:val="bottom"/>
          </w:tcPr>
          <w:p>
            <w:pPr>
              <w:spacing w:after="0"/>
              <w:rPr>
                <w:sz w:val="1"/>
                <w:szCs w:val="1"/>
                <w:color w:val="auto"/>
              </w:rPr>
            </w:pPr>
          </w:p>
        </w:tc>
      </w:tr>
      <w:tr>
        <w:trPr>
          <w:trHeight w:val="162"/>
        </w:trPr>
        <w:tc>
          <w:tcPr>
            <w:tcW w:w="2080" w:type="dxa"/>
            <w:vAlign w:val="bottom"/>
            <w:tcBorders>
              <w:bottom w:val="single" w:sz="8" w:color="auto"/>
            </w:tcBorders>
          </w:tcPr>
          <w:p>
            <w:pPr>
              <w:ind w:left="20"/>
              <w:spacing w:after="0" w:line="162" w:lineRule="exact"/>
              <w:rPr>
                <w:sz w:val="20"/>
                <w:szCs w:val="20"/>
                <w:color w:val="auto"/>
              </w:rPr>
            </w:pPr>
            <w:r>
              <w:rPr>
                <w:rFonts w:ascii="Arial" w:cs="Arial" w:eastAsia="Arial" w:hAnsi="Arial"/>
                <w:sz w:val="15"/>
                <w:szCs w:val="15"/>
                <w:color w:val="auto"/>
              </w:rPr>
              <w:t>Foreign</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b w:val="1"/>
                <w:bCs w:val="1"/>
                <w:color w:val="auto"/>
              </w:rPr>
              <w:t>77,926</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color w:val="auto"/>
              </w:rPr>
              <w:t>64,271</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57,098</w:t>
            </w:r>
          </w:p>
        </w:tc>
        <w:tc>
          <w:tcPr>
            <w:tcW w:w="0" w:type="dxa"/>
            <w:vAlign w:val="bottom"/>
          </w:tcPr>
          <w:p>
            <w:pPr>
              <w:spacing w:after="0"/>
              <w:rPr>
                <w:sz w:val="1"/>
                <w:szCs w:val="1"/>
                <w:color w:val="auto"/>
              </w:rPr>
            </w:pPr>
          </w:p>
        </w:tc>
      </w:tr>
      <w:tr>
        <w:trPr>
          <w:trHeight w:val="163"/>
        </w:trPr>
        <w:tc>
          <w:tcPr>
            <w:tcW w:w="2080" w:type="dxa"/>
            <w:vAlign w:val="bottom"/>
            <w:tcBorders>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Consolidated total revenues</w:t>
            </w:r>
          </w:p>
        </w:tc>
        <w:tc>
          <w:tcPr>
            <w:tcW w:w="3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jc w:val="right"/>
              <w:ind w:right="83"/>
              <w:spacing w:after="0" w:line="156" w:lineRule="exact"/>
              <w:rPr>
                <w:sz w:val="20"/>
                <w:szCs w:val="20"/>
                <w:color w:val="auto"/>
              </w:rPr>
            </w:pPr>
            <w:r>
              <w:rPr>
                <w:rFonts w:ascii="Arial" w:cs="Arial" w:eastAsia="Arial" w:hAnsi="Arial"/>
                <w:sz w:val="15"/>
                <w:szCs w:val="15"/>
                <w:b w:val="1"/>
                <w:bCs w:val="1"/>
                <w:color w:val="auto"/>
              </w:rPr>
              <w:t>4,244,265</w:t>
            </w:r>
          </w:p>
        </w:tc>
        <w:tc>
          <w:tcPr>
            <w:tcW w:w="2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ind w:right="83"/>
              <w:spacing w:after="0" w:line="156" w:lineRule="exact"/>
              <w:rPr>
                <w:sz w:val="20"/>
                <w:szCs w:val="20"/>
                <w:color w:val="auto"/>
              </w:rPr>
            </w:pPr>
            <w:r>
              <w:rPr>
                <w:rFonts w:ascii="Arial" w:cs="Arial" w:eastAsia="Arial" w:hAnsi="Arial"/>
                <w:sz w:val="15"/>
                <w:szCs w:val="15"/>
                <w:color w:val="auto"/>
              </w:rPr>
              <w:t>3,965,594</w:t>
            </w:r>
          </w:p>
        </w:tc>
        <w:tc>
          <w:tcPr>
            <w:tcW w:w="2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3,818,749</w:t>
            </w: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40</w:t>
      </w:r>
    </w:p>
    <w:p>
      <w:pPr>
        <w:sectPr>
          <w:pgSz w:w="11900" w:h="16838" w:orient="portrait"/>
          <w:cols w:equalWidth="0" w:num="1">
            <w:col w:w="11420"/>
          </w:cols>
          <w:pgMar w:left="240" w:top="265" w:right="239" w:bottom="1440" w:gutter="0" w:footer="0" w:header="0"/>
          <w:type w:val="continuous"/>
        </w:sectPr>
      </w:pPr>
    </w:p>
    <w:bookmarkStart w:id="79" w:name="page80"/>
    <w:bookmarkEnd w:id="79"/>
    <w:p>
      <w:pPr>
        <w:jc w:val="right"/>
        <w:ind w:right="2919"/>
        <w:spacing w:after="0"/>
        <w:rPr>
          <w:sz w:val="20"/>
          <w:szCs w:val="20"/>
          <w:color w:val="auto"/>
        </w:rPr>
      </w:pPr>
      <w:r>
        <w:rPr>
          <w:rFonts w:ascii="Arial" w:cs="Arial" w:eastAsia="Arial" w:hAnsi="Arial"/>
          <w:sz w:val="18"/>
          <w:szCs w:val="18"/>
          <w:b w:val="1"/>
          <w:bCs w:val="1"/>
          <w:color w:val="0085CD"/>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Note S: Other Operating (Income) and Expenses, Net</w:t>
      </w:r>
    </w:p>
    <w:p>
      <w:pPr>
        <w:spacing w:after="0" w:line="53" w:lineRule="exact"/>
        <w:rPr>
          <w:sz w:val="20"/>
          <w:szCs w:val="20"/>
          <w:color w:val="auto"/>
        </w:rPr>
      </w:pPr>
    </w:p>
    <w:p>
      <w:pPr>
        <w:jc w:val="both"/>
        <w:ind w:right="4739"/>
        <w:spacing w:after="0" w:line="233" w:lineRule="auto"/>
        <w:rPr>
          <w:sz w:val="20"/>
          <w:szCs w:val="20"/>
          <w:color w:val="auto"/>
        </w:rPr>
      </w:pPr>
      <w:r>
        <w:rPr>
          <w:rFonts w:ascii="Arial" w:cs="Arial" w:eastAsia="Arial" w:hAnsi="Arial"/>
          <w:sz w:val="17"/>
          <w:szCs w:val="17"/>
          <w:color w:val="auto"/>
        </w:rPr>
        <w:t>Other operating income and expenses, net, are comprised generally of gains and losses on the sale of assets; asset and portfolio rationalization charges; gains and losses related to certain customer accounts receivable; rental, royalty and services income; accretion expense, depreciation expense and gains and losses related to asset retirement obligations. These net amounts represented income of $18,193,000 in 2018, an expense of $793,000 in 2017 and income of $8,043,000 in 2016. The 2018 amount reflects $18,838,000 of asset and portfolio rationalization charge, offset by $7,677,000 in net gains on legal settlements and $25,271,000 in gains on the sale of assets, primarily excess land. The 2017 amount reflects $19,366,000 of gains on the sale of assets, primarily excess land, offset by $12,668,000 of nonrecurring repair costs related to certain of the Company’s leased railcars and $10,813,000 of executive retirement expense.</w:t>
      </w:r>
    </w:p>
    <w:p>
      <w:pPr>
        <w:spacing w:after="0" w:line="206" w:lineRule="exact"/>
        <w:rPr>
          <w:sz w:val="20"/>
          <w:szCs w:val="20"/>
          <w:color w:val="auto"/>
        </w:rPr>
      </w:pPr>
    </w:p>
    <w:p>
      <w:pPr>
        <w:jc w:val="both"/>
        <w:ind w:right="4739"/>
        <w:spacing w:after="0" w:line="234" w:lineRule="auto"/>
        <w:rPr>
          <w:sz w:val="20"/>
          <w:szCs w:val="20"/>
          <w:color w:val="auto"/>
        </w:rPr>
      </w:pPr>
      <w:r>
        <w:rPr>
          <w:rFonts w:ascii="Arial" w:cs="Arial" w:eastAsia="Arial" w:hAnsi="Arial"/>
          <w:sz w:val="17"/>
          <w:szCs w:val="17"/>
          <w:color w:val="auto"/>
        </w:rPr>
        <w:t>The asset and portfolio rationalization charge relates to the Company’s Southwest ready mixed concrete operations reported in the West Group reportable segment. This charge reflects the Company’s evaluation of the recoverability of certain long-lived assets, including property, plant and equipment and intangible assets, for underperforming operations in this business and a reduction in workforce. Of the total charge, $16,970,000 is noncash and $1,868,000 will be settled in cash.</w:t>
      </w:r>
    </w:p>
    <w:p>
      <w:pPr>
        <w:spacing w:after="0" w:line="258" w:lineRule="exact"/>
        <w:rPr>
          <w:sz w:val="20"/>
          <w:szCs w:val="20"/>
          <w:color w:val="auto"/>
        </w:rPr>
      </w:pPr>
    </w:p>
    <w:p>
      <w:pPr>
        <w:ind w:left="4780"/>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41</w:t>
      </w:r>
    </w:p>
    <w:p>
      <w:pPr>
        <w:sectPr>
          <w:pgSz w:w="11900" w:h="16838" w:orient="portrait"/>
          <w:cols w:equalWidth="0" w:num="1">
            <w:col w:w="10219"/>
          </w:cols>
          <w:pgMar w:left="240" w:top="265" w:right="1440"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MANAGEMENT’S DISCUSSION &amp; ANALYSIS OF FINANCIAL CONDITION &amp;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5820" w:right="20"/>
        <w:spacing w:after="0" w:line="233" w:lineRule="auto"/>
        <w:rPr>
          <w:sz w:val="20"/>
          <w:szCs w:val="20"/>
          <w:color w:val="auto"/>
        </w:rPr>
      </w:pPr>
      <w:r>
        <w:rPr>
          <w:rFonts w:ascii="Arial" w:cs="Arial" w:eastAsia="Arial" w:hAnsi="Arial"/>
          <w:sz w:val="17"/>
          <w:szCs w:val="17"/>
          <w:color w:val="auto"/>
        </w:rPr>
        <w:t>Bahamas and the Caribbean Islands. In the western United States, Martin Marietta also provides cement and downstream products, namely ready mixed concrete, asphalt and paving services, in markets where the Company has a leading aggregates position. Specifically, the Company has two cement plants in Texas and ready mixed concrete and asphalt operations in Texas, Colorado, Louisiana and Arkansas. Paving services are exclusively in Colorado. The Company’s heavy-side building materials are used in infrastructure, nonresidential and residential construction projects. Aggregates are also used in agricultural, utility and environmental applications and as railroad ballast. The aggregates, cement, ready mixed concrete, asphalt and paving product lines are reported collectively as the “Building Materials”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-1441450</wp:posOffset>
            </wp:positionV>
            <wp:extent cx="3430270" cy="47339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3">
                      <a:extLst>
                        <a:ext uri="{28A0092B-C50C-407E-A947-70E740481C1C}"/>
                      </a:extLst>
                    </a:blip>
                    <a:srcRect/>
                    <a:stretch>
                      <a:fillRect/>
                    </a:stretch>
                  </pic:blipFill>
                  <pic:spPr bwMode="auto">
                    <a:xfrm>
                      <a:off x="0" y="0"/>
                      <a:ext cx="3430270" cy="4733925"/>
                    </a:xfrm>
                    <a:prstGeom prst="rect">
                      <a:avLst/>
                    </a:prstGeom>
                    <a:noFill/>
                  </pic:spPr>
                </pic:pic>
              </a:graphicData>
            </a:graphic>
          </wp:anchor>
        </w:drawing>
      </w:r>
    </w:p>
    <w:p>
      <w:pPr>
        <w:spacing w:after="0" w:line="170" w:lineRule="exact"/>
        <w:rPr>
          <w:sz w:val="20"/>
          <w:szCs w:val="20"/>
          <w:color w:val="auto"/>
        </w:rPr>
      </w:pPr>
    </w:p>
    <w:p>
      <w:pPr>
        <w:jc w:val="both"/>
        <w:ind w:left="5820" w:right="20"/>
        <w:spacing w:after="0" w:line="236" w:lineRule="auto"/>
        <w:rPr>
          <w:sz w:val="20"/>
          <w:szCs w:val="20"/>
          <w:color w:val="auto"/>
        </w:rPr>
      </w:pPr>
      <w:r>
        <w:rPr>
          <w:rFonts w:ascii="Arial" w:cs="Arial" w:eastAsia="Arial" w:hAnsi="Arial"/>
          <w:sz w:val="17"/>
          <w:szCs w:val="17"/>
          <w:color w:val="auto"/>
        </w:rPr>
        <w:t xml:space="preserve">As more fully discussed in the </w:t>
      </w:r>
      <w:r>
        <w:rPr>
          <w:rFonts w:ascii="Arial" w:cs="Arial" w:eastAsia="Arial" w:hAnsi="Arial"/>
          <w:sz w:val="17"/>
          <w:szCs w:val="17"/>
          <w:i w:val="1"/>
          <w:iCs w:val="1"/>
          <w:color w:val="auto"/>
        </w:rPr>
        <w:t>Consolidated Strategic Objectives</w:t>
      </w:r>
      <w:r>
        <w:rPr>
          <w:rFonts w:ascii="Arial" w:cs="Arial" w:eastAsia="Arial" w:hAnsi="Arial"/>
          <w:sz w:val="17"/>
          <w:szCs w:val="17"/>
          <w:color w:val="auto"/>
        </w:rPr>
        <w:t xml:space="preserve"> section, geography is critically important for the Building Materials business. The Company conducts its Building Materials business through three reportable segments, organized by geography: Mid-America Group, Southeast Group and West Group. The Mid-America and Southeast Groups provide aggregates products only. The West Group provides aggregates, cement and downstream products. Further, the following five states accounted for 72% of the Building Materials business total revenues in 2018: Texas, Colorado, North Carolina, Georgia and Iowa.</w:t>
      </w:r>
    </w:p>
    <w:p>
      <w:pPr>
        <w:spacing w:after="0" w:line="206" w:lineRule="exact"/>
        <w:rPr>
          <w:sz w:val="20"/>
          <w:szCs w:val="20"/>
          <w:color w:val="auto"/>
        </w:rPr>
      </w:pPr>
    </w:p>
    <w:p>
      <w:pPr>
        <w:jc w:val="both"/>
        <w:ind w:left="5820" w:right="20"/>
        <w:spacing w:after="0" w:line="236" w:lineRule="auto"/>
        <w:rPr>
          <w:sz w:val="20"/>
          <w:szCs w:val="20"/>
          <w:color w:val="auto"/>
        </w:rPr>
      </w:pPr>
      <w:r>
        <w:rPr>
          <w:rFonts w:ascii="Arial" w:cs="Arial" w:eastAsia="Arial" w:hAnsi="Arial"/>
          <w:sz w:val="17"/>
          <w:szCs w:val="17"/>
          <w:color w:val="auto"/>
        </w:rPr>
        <w:t>The Building Materials business is a mature, cyclical business, dependent on activity within the construction marketplace. As of December 31, 2018, the nation’s current economic expansion, which started in June 2009, has lasted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INTRODUCTORY OVERVIEW</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Martin Marietta Materials, Inc. (the “Company” or “Martin Marietta”) is a</w:t>
      </w:r>
    </w:p>
    <w:p>
      <w:pPr>
        <w:spacing w:after="0" w:line="232" w:lineRule="auto"/>
        <w:rPr>
          <w:sz w:val="20"/>
          <w:szCs w:val="20"/>
          <w:color w:val="auto"/>
        </w:rPr>
      </w:pPr>
      <w:r>
        <w:rPr>
          <w:rFonts w:ascii="Arial" w:cs="Arial" w:eastAsia="Arial" w:hAnsi="Arial"/>
          <w:sz w:val="17"/>
          <w:szCs w:val="17"/>
          <w:color w:val="auto"/>
        </w:rPr>
        <w:t>natural  resource-based  building  materials  company.  The  Company</w:t>
      </w:r>
    </w:p>
    <w:p>
      <w:pPr>
        <w:spacing w:after="0" w:line="232" w:lineRule="auto"/>
        <w:rPr>
          <w:sz w:val="20"/>
          <w:szCs w:val="20"/>
          <w:color w:val="auto"/>
        </w:rPr>
      </w:pPr>
      <w:r>
        <w:rPr>
          <w:rFonts w:ascii="Arial" w:cs="Arial" w:eastAsia="Arial" w:hAnsi="Arial"/>
          <w:sz w:val="17"/>
          <w:szCs w:val="17"/>
          <w:color w:val="auto"/>
        </w:rPr>
        <w:t>supplies  aggregates  (crushed  stone,  sand  and  gravel)  through  its</w:t>
      </w:r>
    </w:p>
    <w:p>
      <w:pPr>
        <w:spacing w:after="0" w:line="232" w:lineRule="auto"/>
        <w:rPr>
          <w:sz w:val="20"/>
          <w:szCs w:val="20"/>
          <w:color w:val="auto"/>
        </w:rPr>
      </w:pPr>
      <w:r>
        <w:rPr>
          <w:rFonts w:ascii="Arial" w:cs="Arial" w:eastAsia="Arial" w:hAnsi="Arial"/>
          <w:sz w:val="17"/>
          <w:szCs w:val="17"/>
          <w:color w:val="auto"/>
        </w:rPr>
        <w:t>network of more than 300 quarries, mines and distribution yards to</w:t>
      </w:r>
    </w:p>
    <w:p>
      <w:pPr>
        <w:spacing w:after="0"/>
        <w:rPr>
          <w:sz w:val="20"/>
          <w:szCs w:val="20"/>
          <w:color w:val="auto"/>
        </w:rPr>
      </w:pPr>
      <w:r>
        <w:rPr>
          <w:rFonts w:ascii="Arial" w:cs="Arial" w:eastAsia="Arial" w:hAnsi="Arial"/>
          <w:sz w:val="17"/>
          <w:szCs w:val="17"/>
          <w:color w:val="auto"/>
        </w:rPr>
        <w:t>customers in 31 states, Canada,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162560</wp:posOffset>
            </wp:positionV>
            <wp:extent cx="7126605" cy="3429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4">
                      <a:extLst>
                        <a:ext uri="{28A0092B-C50C-407E-A947-70E740481C1C}"/>
                      </a:extLst>
                    </a:blip>
                    <a:srcRect/>
                    <a:stretch>
                      <a:fillRect/>
                    </a:stretch>
                  </pic:blipFill>
                  <pic:spPr bwMode="auto">
                    <a:xfrm>
                      <a:off x="0" y="0"/>
                      <a:ext cx="712660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460" w:type="dxa"/>
            <w:vAlign w:val="bottom"/>
            <w:tcBorders>
              <w:left w:val="single" w:sz="8" w:color="B7BABC"/>
              <w:right w:val="single" w:sz="8" w:color="B7BABC"/>
            </w:tcBorders>
            <w:shd w:val="clear" w:color="auto" w:fill="0085CD"/>
          </w:tcPr>
          <w:p>
            <w:pPr>
              <w:jc w:val="center"/>
              <w:ind w:left="26"/>
              <w:spacing w:after="0"/>
              <w:rPr>
                <w:sz w:val="20"/>
                <w:szCs w:val="20"/>
                <w:color w:val="auto"/>
              </w:rPr>
            </w:pPr>
            <w:r>
              <w:rPr>
                <w:rFonts w:ascii="Arial" w:cs="Arial" w:eastAsia="Arial" w:hAnsi="Arial"/>
                <w:sz w:val="16"/>
                <w:szCs w:val="16"/>
                <w:b w:val="1"/>
                <w:bCs w:val="1"/>
                <w:color w:val="FFFFFF"/>
              </w:rPr>
              <w:t>Reportable</w:t>
            </w:r>
          </w:p>
        </w:tc>
        <w:tc>
          <w:tcPr>
            <w:tcW w:w="3180" w:type="dxa"/>
            <w:vAlign w:val="bottom"/>
            <w:tcBorders>
              <w:right w:val="single" w:sz="8" w:color="B7BABC"/>
            </w:tcBorders>
            <w:vMerge w:val="restart"/>
            <w:shd w:val="clear" w:color="auto" w:fill="B7BABC"/>
          </w:tcPr>
          <w:p>
            <w:pPr>
              <w:jc w:val="center"/>
              <w:spacing w:after="0"/>
              <w:rPr>
                <w:sz w:val="20"/>
                <w:szCs w:val="20"/>
                <w:color w:val="auto"/>
              </w:rPr>
            </w:pPr>
            <w:r>
              <w:rPr>
                <w:rFonts w:ascii="Arial" w:cs="Arial" w:eastAsia="Arial" w:hAnsi="Arial"/>
                <w:sz w:val="16"/>
                <w:szCs w:val="16"/>
                <w:b w:val="1"/>
                <w:bCs w:val="1"/>
                <w:color w:val="FFFFFF"/>
              </w:rPr>
              <w:t>Mid-America Group</w:t>
            </w:r>
          </w:p>
        </w:tc>
        <w:tc>
          <w:tcPr>
            <w:tcW w:w="3400" w:type="dxa"/>
            <w:vAlign w:val="bottom"/>
            <w:tcBorders>
              <w:right w:val="single" w:sz="8" w:color="B7BABC"/>
            </w:tcBorders>
            <w:vMerge w:val="restart"/>
            <w:shd w:val="clear" w:color="auto" w:fill="B7BABC"/>
          </w:tcPr>
          <w:p>
            <w:pPr>
              <w:jc w:val="center"/>
              <w:ind w:left="7"/>
              <w:spacing w:after="0"/>
              <w:rPr>
                <w:sz w:val="20"/>
                <w:szCs w:val="20"/>
                <w:color w:val="auto"/>
              </w:rPr>
            </w:pPr>
            <w:r>
              <w:rPr>
                <w:rFonts w:ascii="Arial" w:cs="Arial" w:eastAsia="Arial" w:hAnsi="Arial"/>
                <w:sz w:val="16"/>
                <w:szCs w:val="16"/>
                <w:b w:val="1"/>
                <w:bCs w:val="1"/>
                <w:color w:val="FFFFFF"/>
              </w:rPr>
              <w:t>Southeast Group</w:t>
            </w:r>
          </w:p>
        </w:tc>
        <w:tc>
          <w:tcPr>
            <w:tcW w:w="3400" w:type="dxa"/>
            <w:vAlign w:val="bottom"/>
            <w:tcBorders>
              <w:right w:val="single" w:sz="8" w:color="B7BABC"/>
            </w:tcBorders>
            <w:vMerge w:val="restart"/>
            <w:shd w:val="clear" w:color="auto" w:fill="B7BABC"/>
          </w:tcPr>
          <w:p>
            <w:pPr>
              <w:jc w:val="center"/>
              <w:spacing w:after="0"/>
              <w:rPr>
                <w:sz w:val="20"/>
                <w:szCs w:val="20"/>
                <w:color w:val="auto"/>
              </w:rPr>
            </w:pPr>
            <w:r>
              <w:rPr>
                <w:rFonts w:ascii="Arial" w:cs="Arial" w:eastAsia="Arial" w:hAnsi="Arial"/>
                <w:sz w:val="16"/>
                <w:szCs w:val="16"/>
                <w:b w:val="1"/>
                <w:bCs w:val="1"/>
                <w:color w:val="FFFFFF"/>
              </w:rPr>
              <w:t>West Group</w:t>
            </w:r>
          </w:p>
        </w:tc>
        <w:tc>
          <w:tcPr>
            <w:tcW w:w="0" w:type="dxa"/>
            <w:vAlign w:val="bottom"/>
          </w:tcPr>
          <w:p>
            <w:pPr>
              <w:spacing w:after="0"/>
              <w:rPr>
                <w:sz w:val="1"/>
                <w:szCs w:val="1"/>
                <w:color w:val="auto"/>
              </w:rPr>
            </w:pPr>
          </w:p>
        </w:tc>
      </w:tr>
      <w:tr>
        <w:trPr>
          <w:trHeight w:val="120"/>
        </w:trPr>
        <w:tc>
          <w:tcPr>
            <w:tcW w:w="1460" w:type="dxa"/>
            <w:vAlign w:val="bottom"/>
            <w:tcBorders>
              <w:left w:val="single" w:sz="8" w:color="B7BABC"/>
              <w:right w:val="single" w:sz="8" w:color="B7BABC"/>
            </w:tcBorders>
            <w:vMerge w:val="restart"/>
            <w:shd w:val="clear" w:color="auto" w:fill="0085CD"/>
          </w:tcPr>
          <w:p>
            <w:pPr>
              <w:jc w:val="center"/>
              <w:ind w:left="26"/>
              <w:spacing w:after="0"/>
              <w:rPr>
                <w:sz w:val="20"/>
                <w:szCs w:val="20"/>
                <w:color w:val="auto"/>
              </w:rPr>
            </w:pPr>
            <w:r>
              <w:rPr>
                <w:rFonts w:ascii="Arial" w:cs="Arial" w:eastAsia="Arial" w:hAnsi="Arial"/>
                <w:sz w:val="16"/>
                <w:szCs w:val="16"/>
                <w:b w:val="1"/>
                <w:bCs w:val="1"/>
                <w:color w:val="FFFFFF"/>
                <w:w w:val="99"/>
              </w:rPr>
              <w:t>Segments</w:t>
            </w:r>
          </w:p>
        </w:tc>
        <w:tc>
          <w:tcPr>
            <w:tcW w:w="3180" w:type="dxa"/>
            <w:vAlign w:val="bottom"/>
            <w:tcBorders>
              <w:right w:val="single" w:sz="8" w:color="B7BABC"/>
            </w:tcBorders>
            <w:vMerge w:val="continue"/>
            <w:shd w:val="clear" w:color="auto" w:fill="B7BABC"/>
          </w:tcPr>
          <w:p>
            <w:pPr>
              <w:spacing w:after="0"/>
              <w:rPr>
                <w:sz w:val="10"/>
                <w:szCs w:val="10"/>
                <w:color w:val="auto"/>
              </w:rPr>
            </w:pPr>
          </w:p>
        </w:tc>
        <w:tc>
          <w:tcPr>
            <w:tcW w:w="3400" w:type="dxa"/>
            <w:vAlign w:val="bottom"/>
            <w:tcBorders>
              <w:right w:val="single" w:sz="8" w:color="B7BABC"/>
            </w:tcBorders>
            <w:vMerge w:val="continue"/>
            <w:shd w:val="clear" w:color="auto" w:fill="B7BABC"/>
          </w:tcPr>
          <w:p>
            <w:pPr>
              <w:spacing w:after="0"/>
              <w:rPr>
                <w:sz w:val="10"/>
                <w:szCs w:val="10"/>
                <w:color w:val="auto"/>
              </w:rPr>
            </w:pPr>
          </w:p>
        </w:tc>
        <w:tc>
          <w:tcPr>
            <w:tcW w:w="3400" w:type="dxa"/>
            <w:vAlign w:val="bottom"/>
            <w:tcBorders>
              <w:right w:val="single" w:sz="8" w:color="B7BABC"/>
            </w:tcBorders>
            <w:vMerge w:val="continue"/>
            <w:shd w:val="clear" w:color="auto" w:fill="B7BABC"/>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460" w:type="dxa"/>
            <w:vAlign w:val="bottom"/>
            <w:tcBorders>
              <w:left w:val="single" w:sz="8" w:color="B7BABC"/>
              <w:right w:val="single" w:sz="8" w:color="B7BABC"/>
            </w:tcBorders>
            <w:vMerge w:val="continue"/>
            <w:shd w:val="clear" w:color="auto" w:fill="0085CD"/>
          </w:tcPr>
          <w:p>
            <w:pPr>
              <w:spacing w:after="0"/>
              <w:rPr>
                <w:sz w:val="9"/>
                <w:szCs w:val="9"/>
                <w:color w:val="auto"/>
              </w:rPr>
            </w:pPr>
          </w:p>
        </w:tc>
        <w:tc>
          <w:tcPr>
            <w:tcW w:w="3180" w:type="dxa"/>
            <w:vAlign w:val="bottom"/>
            <w:tcBorders>
              <w:right w:val="single" w:sz="8" w:color="B7BABC"/>
            </w:tcBorders>
            <w:shd w:val="clear" w:color="auto" w:fill="B7BABC"/>
          </w:tcPr>
          <w:p>
            <w:pPr>
              <w:spacing w:after="0"/>
              <w:rPr>
                <w:sz w:val="9"/>
                <w:szCs w:val="9"/>
                <w:color w:val="auto"/>
              </w:rPr>
            </w:pPr>
          </w:p>
        </w:tc>
        <w:tc>
          <w:tcPr>
            <w:tcW w:w="3400" w:type="dxa"/>
            <w:vAlign w:val="bottom"/>
            <w:tcBorders>
              <w:right w:val="single" w:sz="8" w:color="B7BABC"/>
            </w:tcBorders>
            <w:shd w:val="clear" w:color="auto" w:fill="B7BABC"/>
          </w:tcPr>
          <w:p>
            <w:pPr>
              <w:spacing w:after="0"/>
              <w:rPr>
                <w:sz w:val="9"/>
                <w:szCs w:val="9"/>
                <w:color w:val="auto"/>
              </w:rPr>
            </w:pPr>
          </w:p>
        </w:tc>
        <w:tc>
          <w:tcPr>
            <w:tcW w:w="3400" w:type="dxa"/>
            <w:vAlign w:val="bottom"/>
            <w:tcBorders>
              <w:right w:val="single" w:sz="8" w:color="B7BABC"/>
            </w:tcBorders>
            <w:shd w:val="clear" w:color="auto" w:fill="B7BAB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460" w:type="dxa"/>
            <w:vAlign w:val="bottom"/>
            <w:tcBorders>
              <w:left w:val="single" w:sz="8" w:color="B7BABC"/>
              <w:right w:val="single" w:sz="8" w:color="B7BABC"/>
            </w:tcBorders>
          </w:tcPr>
          <w:p>
            <w:pPr>
              <w:spacing w:after="0"/>
              <w:rPr>
                <w:sz w:val="14"/>
                <w:szCs w:val="14"/>
                <w:color w:val="auto"/>
              </w:rPr>
            </w:pPr>
          </w:p>
        </w:tc>
        <w:tc>
          <w:tcPr>
            <w:tcW w:w="3180" w:type="dxa"/>
            <w:vAlign w:val="bottom"/>
            <w:tcBorders>
              <w:right w:val="single" w:sz="8" w:color="B7BABC"/>
            </w:tcBorders>
          </w:tcPr>
          <w:p>
            <w:pPr>
              <w:jc w:val="center"/>
              <w:spacing w:after="0"/>
              <w:rPr>
                <w:sz w:val="20"/>
                <w:szCs w:val="20"/>
                <w:color w:val="auto"/>
              </w:rPr>
            </w:pPr>
            <w:r>
              <w:rPr>
                <w:rFonts w:ascii="Arial" w:cs="Arial" w:eastAsia="Arial" w:hAnsi="Arial"/>
                <w:sz w:val="14"/>
                <w:szCs w:val="14"/>
                <w:color w:val="auto"/>
              </w:rPr>
              <w:t>Indiana, Iowa, northern Kansas, Kentucky,</w:t>
            </w:r>
          </w:p>
        </w:tc>
        <w:tc>
          <w:tcPr>
            <w:tcW w:w="3400" w:type="dxa"/>
            <w:vAlign w:val="bottom"/>
            <w:tcBorders>
              <w:right w:val="single" w:sz="8" w:color="B7BABC"/>
            </w:tcBorders>
          </w:tcPr>
          <w:p>
            <w:pPr>
              <w:spacing w:after="0"/>
              <w:rPr>
                <w:sz w:val="14"/>
                <w:szCs w:val="14"/>
                <w:color w:val="auto"/>
              </w:rPr>
            </w:pPr>
          </w:p>
        </w:tc>
        <w:tc>
          <w:tcPr>
            <w:tcW w:w="3400" w:type="dxa"/>
            <w:vAlign w:val="bottom"/>
            <w:tcBorders>
              <w:right w:val="single" w:sz="8" w:color="B7BABC"/>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Borders>
              <w:left w:val="single" w:sz="8" w:color="B7BABC"/>
              <w:right w:val="single" w:sz="8" w:color="B7BABC"/>
            </w:tcBorders>
            <w:vMerge w:val="restart"/>
          </w:tcPr>
          <w:p>
            <w:pPr>
              <w:jc w:val="center"/>
              <w:ind w:left="26"/>
              <w:spacing w:after="0"/>
              <w:rPr>
                <w:sz w:val="20"/>
                <w:szCs w:val="20"/>
                <w:color w:val="auto"/>
              </w:rPr>
            </w:pPr>
            <w:r>
              <w:rPr>
                <w:rFonts w:ascii="Arial" w:cs="Arial" w:eastAsia="Arial" w:hAnsi="Arial"/>
                <w:sz w:val="14"/>
                <w:szCs w:val="14"/>
                <w:b w:val="1"/>
                <w:bCs w:val="1"/>
                <w:color w:val="auto"/>
              </w:rPr>
              <w:t>Operating</w:t>
            </w:r>
          </w:p>
        </w:tc>
        <w:tc>
          <w:tcPr>
            <w:tcW w:w="3180" w:type="dxa"/>
            <w:vAlign w:val="bottom"/>
            <w:tcBorders>
              <w:right w:val="single" w:sz="8" w:color="B7BABC"/>
            </w:tcBorders>
          </w:tcPr>
          <w:p>
            <w:pPr>
              <w:jc w:val="center"/>
              <w:spacing w:after="0"/>
              <w:rPr>
                <w:sz w:val="20"/>
                <w:szCs w:val="20"/>
                <w:color w:val="auto"/>
              </w:rPr>
            </w:pPr>
            <w:r>
              <w:rPr>
                <w:rFonts w:ascii="Arial" w:cs="Arial" w:eastAsia="Arial" w:hAnsi="Arial"/>
                <w:sz w:val="14"/>
                <w:szCs w:val="14"/>
                <w:color w:val="auto"/>
              </w:rPr>
              <w:t>Maryland, Minnesota, Missouri, eastern</w:t>
            </w:r>
          </w:p>
        </w:tc>
        <w:tc>
          <w:tcPr>
            <w:tcW w:w="3400" w:type="dxa"/>
            <w:vAlign w:val="bottom"/>
            <w:tcBorders>
              <w:right w:val="single" w:sz="8" w:color="B7BABC"/>
            </w:tcBorders>
            <w:vMerge w:val="restart"/>
          </w:tcPr>
          <w:p>
            <w:pPr>
              <w:jc w:val="center"/>
              <w:ind w:left="7"/>
              <w:spacing w:after="0"/>
              <w:rPr>
                <w:sz w:val="20"/>
                <w:szCs w:val="20"/>
                <w:color w:val="auto"/>
              </w:rPr>
            </w:pPr>
            <w:r>
              <w:rPr>
                <w:rFonts w:ascii="Arial" w:cs="Arial" w:eastAsia="Arial" w:hAnsi="Arial"/>
                <w:sz w:val="14"/>
                <w:szCs w:val="14"/>
                <w:color w:val="4D5358"/>
              </w:rPr>
              <w:t>Alabama, Florida, Georgia, Tennessee, Nova</w:t>
            </w:r>
          </w:p>
        </w:tc>
        <w:tc>
          <w:tcPr>
            <w:tcW w:w="3400" w:type="dxa"/>
            <w:vAlign w:val="bottom"/>
            <w:tcBorders>
              <w:right w:val="single" w:sz="8" w:color="B7BABC"/>
            </w:tcBorders>
          </w:tcPr>
          <w:p>
            <w:pPr>
              <w:jc w:val="center"/>
              <w:spacing w:after="0"/>
              <w:rPr>
                <w:sz w:val="20"/>
                <w:szCs w:val="20"/>
                <w:color w:val="auto"/>
              </w:rPr>
            </w:pPr>
            <w:r>
              <w:rPr>
                <w:rFonts w:ascii="Arial" w:cs="Arial" w:eastAsia="Arial" w:hAnsi="Arial"/>
                <w:sz w:val="14"/>
                <w:szCs w:val="14"/>
                <w:color w:val="4D5358"/>
              </w:rPr>
              <w:t>Arkansas, Colorado, southern Kansas, Louisiana,</w:t>
            </w:r>
          </w:p>
        </w:tc>
        <w:tc>
          <w:tcPr>
            <w:tcW w:w="0" w:type="dxa"/>
            <w:vAlign w:val="bottom"/>
          </w:tcPr>
          <w:p>
            <w:pPr>
              <w:spacing w:after="0"/>
              <w:rPr>
                <w:sz w:val="1"/>
                <w:szCs w:val="1"/>
                <w:color w:val="auto"/>
              </w:rPr>
            </w:pPr>
          </w:p>
        </w:tc>
      </w:tr>
      <w:tr>
        <w:trPr>
          <w:trHeight w:val="50"/>
        </w:trPr>
        <w:tc>
          <w:tcPr>
            <w:tcW w:w="1460" w:type="dxa"/>
            <w:vAlign w:val="bottom"/>
            <w:tcBorders>
              <w:left w:val="single" w:sz="8" w:color="B7BABC"/>
              <w:right w:val="single" w:sz="8" w:color="B7BABC"/>
            </w:tcBorders>
            <w:vMerge w:val="continue"/>
          </w:tcPr>
          <w:p>
            <w:pPr>
              <w:spacing w:after="0"/>
              <w:rPr>
                <w:sz w:val="4"/>
                <w:szCs w:val="4"/>
                <w:color w:val="auto"/>
              </w:rPr>
            </w:pPr>
          </w:p>
        </w:tc>
        <w:tc>
          <w:tcPr>
            <w:tcW w:w="3180" w:type="dxa"/>
            <w:vAlign w:val="bottom"/>
            <w:tcBorders>
              <w:right w:val="single" w:sz="8" w:color="B7BABC"/>
            </w:tcBorders>
            <w:vMerge w:val="restart"/>
          </w:tcPr>
          <w:p>
            <w:pPr>
              <w:jc w:val="center"/>
              <w:spacing w:after="0"/>
              <w:rPr>
                <w:sz w:val="20"/>
                <w:szCs w:val="20"/>
                <w:color w:val="auto"/>
              </w:rPr>
            </w:pPr>
            <w:r>
              <w:rPr>
                <w:rFonts w:ascii="Arial" w:cs="Arial" w:eastAsia="Arial" w:hAnsi="Arial"/>
                <w:sz w:val="14"/>
                <w:szCs w:val="14"/>
                <w:color w:val="auto"/>
              </w:rPr>
              <w:t>Nebraska, North Carolina, Ohio, Pennsylvania,</w:t>
            </w:r>
          </w:p>
        </w:tc>
        <w:tc>
          <w:tcPr>
            <w:tcW w:w="3400" w:type="dxa"/>
            <w:vAlign w:val="bottom"/>
            <w:tcBorders>
              <w:right w:val="single" w:sz="8" w:color="B7BABC"/>
            </w:tcBorders>
            <w:vMerge w:val="continue"/>
          </w:tcPr>
          <w:p>
            <w:pPr>
              <w:spacing w:after="0"/>
              <w:rPr>
                <w:sz w:val="4"/>
                <w:szCs w:val="4"/>
                <w:color w:val="auto"/>
              </w:rPr>
            </w:pPr>
          </w:p>
        </w:tc>
        <w:tc>
          <w:tcPr>
            <w:tcW w:w="3400" w:type="dxa"/>
            <w:vAlign w:val="bottom"/>
            <w:tcBorders>
              <w:right w:val="single" w:sz="8" w:color="B7BABC"/>
            </w:tcBorders>
            <w:vMerge w:val="restart"/>
          </w:tcPr>
          <w:p>
            <w:pPr>
              <w:jc w:val="center"/>
              <w:spacing w:after="0"/>
              <w:rPr>
                <w:sz w:val="20"/>
                <w:szCs w:val="20"/>
                <w:color w:val="auto"/>
              </w:rPr>
            </w:pPr>
            <w:r>
              <w:rPr>
                <w:rFonts w:ascii="Arial" w:cs="Arial" w:eastAsia="Arial" w:hAnsi="Arial"/>
                <w:sz w:val="14"/>
                <w:szCs w:val="14"/>
                <w:color w:val="4D5358"/>
              </w:rPr>
              <w:t>western Nebraska, Nevada, Oklahoma, Texas,</w:t>
            </w:r>
          </w:p>
        </w:tc>
        <w:tc>
          <w:tcPr>
            <w:tcW w:w="0" w:type="dxa"/>
            <w:vAlign w:val="bottom"/>
          </w:tcPr>
          <w:p>
            <w:pPr>
              <w:spacing w:after="0"/>
              <w:rPr>
                <w:sz w:val="1"/>
                <w:szCs w:val="1"/>
                <w:color w:val="auto"/>
              </w:rPr>
            </w:pPr>
          </w:p>
        </w:tc>
      </w:tr>
      <w:tr>
        <w:trPr>
          <w:trHeight w:val="113"/>
        </w:trPr>
        <w:tc>
          <w:tcPr>
            <w:tcW w:w="1460" w:type="dxa"/>
            <w:vAlign w:val="bottom"/>
            <w:tcBorders>
              <w:left w:val="single" w:sz="8" w:color="B7BABC"/>
              <w:right w:val="single" w:sz="8" w:color="B7BABC"/>
            </w:tcBorders>
            <w:vMerge w:val="restart"/>
          </w:tcPr>
          <w:p>
            <w:pPr>
              <w:jc w:val="center"/>
              <w:ind w:left="26"/>
              <w:spacing w:after="0"/>
              <w:rPr>
                <w:sz w:val="20"/>
                <w:szCs w:val="20"/>
                <w:color w:val="auto"/>
              </w:rPr>
            </w:pPr>
            <w:r>
              <w:rPr>
                <w:rFonts w:ascii="Arial" w:cs="Arial" w:eastAsia="Arial" w:hAnsi="Arial"/>
                <w:sz w:val="14"/>
                <w:szCs w:val="14"/>
                <w:b w:val="1"/>
                <w:bCs w:val="1"/>
                <w:color w:val="auto"/>
              </w:rPr>
              <w:t>Locations</w:t>
            </w:r>
          </w:p>
        </w:tc>
        <w:tc>
          <w:tcPr>
            <w:tcW w:w="3180" w:type="dxa"/>
            <w:vAlign w:val="bottom"/>
            <w:tcBorders>
              <w:right w:val="single" w:sz="8" w:color="B7BABC"/>
            </w:tcBorders>
            <w:vMerge w:val="continue"/>
          </w:tcPr>
          <w:p>
            <w:pPr>
              <w:spacing w:after="0"/>
              <w:rPr>
                <w:sz w:val="9"/>
                <w:szCs w:val="9"/>
                <w:color w:val="auto"/>
              </w:rPr>
            </w:pPr>
          </w:p>
        </w:tc>
        <w:tc>
          <w:tcPr>
            <w:tcW w:w="3400" w:type="dxa"/>
            <w:vAlign w:val="bottom"/>
            <w:tcBorders>
              <w:right w:val="single" w:sz="8" w:color="B7BABC"/>
            </w:tcBorders>
            <w:vMerge w:val="restart"/>
          </w:tcPr>
          <w:p>
            <w:pPr>
              <w:jc w:val="center"/>
              <w:ind w:left="7"/>
              <w:spacing w:after="0"/>
              <w:rPr>
                <w:sz w:val="20"/>
                <w:szCs w:val="20"/>
                <w:color w:val="auto"/>
              </w:rPr>
            </w:pPr>
            <w:r>
              <w:rPr>
                <w:rFonts w:ascii="Arial" w:cs="Arial" w:eastAsia="Arial" w:hAnsi="Arial"/>
                <w:sz w:val="14"/>
                <w:szCs w:val="14"/>
                <w:color w:val="4D5358"/>
              </w:rPr>
              <w:t>Scotia and the Bahamas</w:t>
            </w:r>
          </w:p>
        </w:tc>
        <w:tc>
          <w:tcPr>
            <w:tcW w:w="3400" w:type="dxa"/>
            <w:vAlign w:val="bottom"/>
            <w:tcBorders>
              <w:right w:val="single" w:sz="8" w:color="B7BAB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460" w:type="dxa"/>
            <w:vAlign w:val="bottom"/>
            <w:tcBorders>
              <w:left w:val="single" w:sz="8" w:color="B7BABC"/>
              <w:right w:val="single" w:sz="8" w:color="B7BABC"/>
            </w:tcBorders>
            <w:vMerge w:val="continue"/>
          </w:tcPr>
          <w:p>
            <w:pPr>
              <w:spacing w:after="0"/>
              <w:rPr>
                <w:sz w:val="7"/>
                <w:szCs w:val="7"/>
                <w:color w:val="auto"/>
              </w:rPr>
            </w:pPr>
          </w:p>
        </w:tc>
        <w:tc>
          <w:tcPr>
            <w:tcW w:w="3180" w:type="dxa"/>
            <w:vAlign w:val="bottom"/>
            <w:tcBorders>
              <w:right w:val="single" w:sz="8" w:color="B7BABC"/>
            </w:tcBorders>
            <w:vMerge w:val="restart"/>
          </w:tcPr>
          <w:p>
            <w:pPr>
              <w:jc w:val="center"/>
              <w:spacing w:after="0"/>
              <w:rPr>
                <w:sz w:val="20"/>
                <w:szCs w:val="20"/>
                <w:color w:val="auto"/>
              </w:rPr>
            </w:pPr>
            <w:r>
              <w:rPr>
                <w:rFonts w:ascii="Arial" w:cs="Arial" w:eastAsia="Arial" w:hAnsi="Arial"/>
                <w:sz w:val="14"/>
                <w:szCs w:val="14"/>
                <w:color w:val="auto"/>
              </w:rPr>
              <w:t>South Carolina, Virginia, Washington and West</w:t>
            </w:r>
          </w:p>
        </w:tc>
        <w:tc>
          <w:tcPr>
            <w:tcW w:w="3400" w:type="dxa"/>
            <w:vAlign w:val="bottom"/>
            <w:tcBorders>
              <w:right w:val="single" w:sz="8" w:color="B7BABC"/>
            </w:tcBorders>
            <w:vMerge w:val="continue"/>
          </w:tcPr>
          <w:p>
            <w:pPr>
              <w:spacing w:after="0"/>
              <w:rPr>
                <w:sz w:val="7"/>
                <w:szCs w:val="7"/>
                <w:color w:val="auto"/>
              </w:rPr>
            </w:pPr>
          </w:p>
        </w:tc>
        <w:tc>
          <w:tcPr>
            <w:tcW w:w="3400" w:type="dxa"/>
            <w:vAlign w:val="bottom"/>
            <w:tcBorders>
              <w:right w:val="single" w:sz="8" w:color="B7BABC"/>
            </w:tcBorders>
            <w:vMerge w:val="restart"/>
          </w:tcPr>
          <w:p>
            <w:pPr>
              <w:jc w:val="center"/>
              <w:spacing w:after="0"/>
              <w:rPr>
                <w:sz w:val="20"/>
                <w:szCs w:val="20"/>
                <w:color w:val="auto"/>
              </w:rPr>
            </w:pPr>
            <w:r>
              <w:rPr>
                <w:rFonts w:ascii="Arial" w:cs="Arial" w:eastAsia="Arial" w:hAnsi="Arial"/>
                <w:sz w:val="14"/>
                <w:szCs w:val="14"/>
                <w:color w:val="4D5358"/>
              </w:rPr>
              <w:t>Utah and Wyoming</w:t>
            </w:r>
          </w:p>
        </w:tc>
        <w:tc>
          <w:tcPr>
            <w:tcW w:w="0" w:type="dxa"/>
            <w:vAlign w:val="bottom"/>
          </w:tcPr>
          <w:p>
            <w:pPr>
              <w:spacing w:after="0"/>
              <w:rPr>
                <w:sz w:val="1"/>
                <w:szCs w:val="1"/>
                <w:color w:val="auto"/>
              </w:rPr>
            </w:pPr>
          </w:p>
        </w:tc>
      </w:tr>
      <w:tr>
        <w:trPr>
          <w:trHeight w:val="71"/>
        </w:trPr>
        <w:tc>
          <w:tcPr>
            <w:tcW w:w="1460" w:type="dxa"/>
            <w:vAlign w:val="bottom"/>
            <w:tcBorders>
              <w:left w:val="single" w:sz="8" w:color="B7BABC"/>
              <w:right w:val="single" w:sz="8" w:color="B7BABC"/>
            </w:tcBorders>
          </w:tcPr>
          <w:p>
            <w:pPr>
              <w:spacing w:after="0"/>
              <w:rPr>
                <w:sz w:val="6"/>
                <w:szCs w:val="6"/>
                <w:color w:val="auto"/>
              </w:rPr>
            </w:pPr>
          </w:p>
        </w:tc>
        <w:tc>
          <w:tcPr>
            <w:tcW w:w="3180" w:type="dxa"/>
            <w:vAlign w:val="bottom"/>
            <w:tcBorders>
              <w:right w:val="single" w:sz="8" w:color="B7BABC"/>
            </w:tcBorders>
            <w:vMerge w:val="continue"/>
          </w:tcPr>
          <w:p>
            <w:pPr>
              <w:spacing w:after="0"/>
              <w:rPr>
                <w:sz w:val="6"/>
                <w:szCs w:val="6"/>
                <w:color w:val="auto"/>
              </w:rPr>
            </w:pPr>
          </w:p>
        </w:tc>
        <w:tc>
          <w:tcPr>
            <w:tcW w:w="3400" w:type="dxa"/>
            <w:vAlign w:val="bottom"/>
            <w:tcBorders>
              <w:right w:val="single" w:sz="8" w:color="B7BABC"/>
            </w:tcBorders>
          </w:tcPr>
          <w:p>
            <w:pPr>
              <w:spacing w:after="0"/>
              <w:rPr>
                <w:sz w:val="6"/>
                <w:szCs w:val="6"/>
                <w:color w:val="auto"/>
              </w:rPr>
            </w:pPr>
          </w:p>
        </w:tc>
        <w:tc>
          <w:tcPr>
            <w:tcW w:w="3400" w:type="dxa"/>
            <w:vAlign w:val="bottom"/>
            <w:tcBorders>
              <w:right w:val="single" w:sz="8" w:color="B7BABC"/>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460" w:type="dxa"/>
            <w:vAlign w:val="bottom"/>
            <w:tcBorders>
              <w:left w:val="single" w:sz="8" w:color="B7BABC"/>
              <w:bottom w:val="single" w:sz="8" w:color="B7BABC"/>
              <w:right w:val="single" w:sz="8" w:color="B7BABC"/>
            </w:tcBorders>
          </w:tcPr>
          <w:p>
            <w:pPr>
              <w:spacing w:after="0"/>
              <w:rPr>
                <w:sz w:val="13"/>
                <w:szCs w:val="13"/>
                <w:color w:val="auto"/>
              </w:rPr>
            </w:pPr>
          </w:p>
        </w:tc>
        <w:tc>
          <w:tcPr>
            <w:tcW w:w="3180" w:type="dxa"/>
            <w:vAlign w:val="bottom"/>
            <w:tcBorders>
              <w:bottom w:val="single" w:sz="8" w:color="B7BABC"/>
              <w:right w:val="single" w:sz="8" w:color="B7BABC"/>
            </w:tcBorders>
          </w:tcPr>
          <w:p>
            <w:pPr>
              <w:jc w:val="center"/>
              <w:spacing w:after="0" w:line="157" w:lineRule="exact"/>
              <w:rPr>
                <w:sz w:val="20"/>
                <w:szCs w:val="20"/>
                <w:color w:val="auto"/>
              </w:rPr>
            </w:pPr>
            <w:r>
              <w:rPr>
                <w:rFonts w:ascii="Arial" w:cs="Arial" w:eastAsia="Arial" w:hAnsi="Arial"/>
                <w:sz w:val="14"/>
                <w:szCs w:val="14"/>
                <w:color w:val="auto"/>
              </w:rPr>
              <w:t>Virginia</w:t>
            </w:r>
          </w:p>
        </w:tc>
        <w:tc>
          <w:tcPr>
            <w:tcW w:w="3400" w:type="dxa"/>
            <w:vAlign w:val="bottom"/>
            <w:tcBorders>
              <w:bottom w:val="single" w:sz="8" w:color="B7BABC"/>
              <w:right w:val="single" w:sz="8" w:color="B7BABC"/>
            </w:tcBorders>
          </w:tcPr>
          <w:p>
            <w:pPr>
              <w:spacing w:after="0"/>
              <w:rPr>
                <w:sz w:val="13"/>
                <w:szCs w:val="13"/>
                <w:color w:val="auto"/>
              </w:rPr>
            </w:pPr>
          </w:p>
        </w:tc>
        <w:tc>
          <w:tcPr>
            <w:tcW w:w="3400" w:type="dxa"/>
            <w:vAlign w:val="bottom"/>
            <w:tcBorders>
              <w:bottom w:val="single" w:sz="8" w:color="B7BABC"/>
              <w:right w:val="single" w:sz="8" w:color="B7BABC"/>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Borders>
              <w:left w:val="single" w:sz="8" w:color="B7BABC"/>
              <w:right w:val="single" w:sz="8" w:color="B7BABC"/>
            </w:tcBorders>
            <w:vMerge w:val="restart"/>
          </w:tcPr>
          <w:p>
            <w:pPr>
              <w:jc w:val="center"/>
              <w:ind w:left="26"/>
              <w:spacing w:after="0"/>
              <w:rPr>
                <w:sz w:val="20"/>
                <w:szCs w:val="20"/>
                <w:color w:val="auto"/>
              </w:rPr>
            </w:pPr>
            <w:r>
              <w:rPr>
                <w:rFonts w:ascii="Arial" w:cs="Arial" w:eastAsia="Arial" w:hAnsi="Arial"/>
                <w:sz w:val="14"/>
                <w:szCs w:val="14"/>
                <w:b w:val="1"/>
                <w:bCs w:val="1"/>
                <w:color w:val="auto"/>
              </w:rPr>
              <w:t>Product Lines</w:t>
            </w:r>
          </w:p>
        </w:tc>
        <w:tc>
          <w:tcPr>
            <w:tcW w:w="3180" w:type="dxa"/>
            <w:vAlign w:val="bottom"/>
            <w:tcBorders>
              <w:right w:val="single" w:sz="8" w:color="B7BABC"/>
            </w:tcBorders>
            <w:vMerge w:val="restart"/>
          </w:tcPr>
          <w:p>
            <w:pPr>
              <w:jc w:val="center"/>
              <w:spacing w:after="0"/>
              <w:rPr>
                <w:sz w:val="20"/>
                <w:szCs w:val="20"/>
                <w:color w:val="auto"/>
              </w:rPr>
            </w:pPr>
            <w:r>
              <w:rPr>
                <w:rFonts w:ascii="Arial" w:cs="Arial" w:eastAsia="Arial" w:hAnsi="Arial"/>
                <w:sz w:val="14"/>
                <w:szCs w:val="14"/>
                <w:color w:val="4D5358"/>
              </w:rPr>
              <w:t>Aggregates</w:t>
            </w:r>
          </w:p>
        </w:tc>
        <w:tc>
          <w:tcPr>
            <w:tcW w:w="3400" w:type="dxa"/>
            <w:vAlign w:val="bottom"/>
            <w:tcBorders>
              <w:right w:val="single" w:sz="8" w:color="B7BABC"/>
            </w:tcBorders>
            <w:vMerge w:val="restart"/>
          </w:tcPr>
          <w:p>
            <w:pPr>
              <w:jc w:val="center"/>
              <w:spacing w:after="0"/>
              <w:rPr>
                <w:sz w:val="20"/>
                <w:szCs w:val="20"/>
                <w:color w:val="auto"/>
              </w:rPr>
            </w:pPr>
            <w:r>
              <w:rPr>
                <w:rFonts w:ascii="Arial" w:cs="Arial" w:eastAsia="Arial" w:hAnsi="Arial"/>
                <w:sz w:val="14"/>
                <w:szCs w:val="14"/>
                <w:color w:val="4D5358"/>
              </w:rPr>
              <w:t>Aggregates</w:t>
            </w:r>
          </w:p>
        </w:tc>
        <w:tc>
          <w:tcPr>
            <w:tcW w:w="3400" w:type="dxa"/>
            <w:vAlign w:val="bottom"/>
            <w:tcBorders>
              <w:right w:val="single" w:sz="8" w:color="B7BABC"/>
            </w:tcBorders>
          </w:tcPr>
          <w:p>
            <w:pPr>
              <w:jc w:val="center"/>
              <w:spacing w:after="0"/>
              <w:rPr>
                <w:sz w:val="20"/>
                <w:szCs w:val="20"/>
                <w:color w:val="auto"/>
              </w:rPr>
            </w:pPr>
            <w:r>
              <w:rPr>
                <w:rFonts w:ascii="Arial" w:cs="Arial" w:eastAsia="Arial" w:hAnsi="Arial"/>
                <w:sz w:val="14"/>
                <w:szCs w:val="14"/>
                <w:color w:val="4D5358"/>
              </w:rPr>
              <w:t>Aggregates, Cement, Ready Mixed Concrete,</w:t>
            </w:r>
          </w:p>
        </w:tc>
        <w:tc>
          <w:tcPr>
            <w:tcW w:w="0" w:type="dxa"/>
            <w:vAlign w:val="bottom"/>
          </w:tcPr>
          <w:p>
            <w:pPr>
              <w:spacing w:after="0"/>
              <w:rPr>
                <w:sz w:val="1"/>
                <w:szCs w:val="1"/>
                <w:color w:val="auto"/>
              </w:rPr>
            </w:pPr>
          </w:p>
        </w:tc>
      </w:tr>
      <w:tr>
        <w:trPr>
          <w:trHeight w:val="91"/>
        </w:trPr>
        <w:tc>
          <w:tcPr>
            <w:tcW w:w="1460" w:type="dxa"/>
            <w:vAlign w:val="bottom"/>
            <w:tcBorders>
              <w:left w:val="single" w:sz="8" w:color="B7BABC"/>
              <w:right w:val="single" w:sz="8" w:color="B7BABC"/>
            </w:tcBorders>
            <w:vMerge w:val="continue"/>
          </w:tcPr>
          <w:p>
            <w:pPr>
              <w:spacing w:after="0"/>
              <w:rPr>
                <w:sz w:val="7"/>
                <w:szCs w:val="7"/>
                <w:color w:val="auto"/>
              </w:rPr>
            </w:pPr>
          </w:p>
        </w:tc>
        <w:tc>
          <w:tcPr>
            <w:tcW w:w="3180" w:type="dxa"/>
            <w:vAlign w:val="bottom"/>
            <w:tcBorders>
              <w:right w:val="single" w:sz="8" w:color="B7BABC"/>
            </w:tcBorders>
            <w:vMerge w:val="continue"/>
          </w:tcPr>
          <w:p>
            <w:pPr>
              <w:spacing w:after="0"/>
              <w:rPr>
                <w:sz w:val="7"/>
                <w:szCs w:val="7"/>
                <w:color w:val="auto"/>
              </w:rPr>
            </w:pPr>
          </w:p>
        </w:tc>
        <w:tc>
          <w:tcPr>
            <w:tcW w:w="3400" w:type="dxa"/>
            <w:vAlign w:val="bottom"/>
            <w:tcBorders>
              <w:right w:val="single" w:sz="8" w:color="B7BABC"/>
            </w:tcBorders>
            <w:vMerge w:val="continue"/>
          </w:tcPr>
          <w:p>
            <w:pPr>
              <w:spacing w:after="0"/>
              <w:rPr>
                <w:sz w:val="7"/>
                <w:szCs w:val="7"/>
                <w:color w:val="auto"/>
              </w:rPr>
            </w:pPr>
          </w:p>
        </w:tc>
        <w:tc>
          <w:tcPr>
            <w:tcW w:w="3400" w:type="dxa"/>
            <w:vAlign w:val="bottom"/>
            <w:tcBorders>
              <w:right w:val="single" w:sz="8" w:color="B7BABC"/>
            </w:tcBorders>
            <w:vMerge w:val="restart"/>
          </w:tcPr>
          <w:p>
            <w:pPr>
              <w:jc w:val="center"/>
              <w:spacing w:after="0" w:line="157" w:lineRule="exact"/>
              <w:rPr>
                <w:sz w:val="20"/>
                <w:szCs w:val="20"/>
                <w:color w:val="auto"/>
              </w:rPr>
            </w:pPr>
            <w:r>
              <w:rPr>
                <w:rFonts w:ascii="Arial" w:cs="Arial" w:eastAsia="Arial" w:hAnsi="Arial"/>
                <w:sz w:val="14"/>
                <w:szCs w:val="14"/>
                <w:color w:val="4D5358"/>
              </w:rPr>
              <w:t>Asphalt and Paving Services</w:t>
            </w:r>
          </w:p>
        </w:tc>
        <w:tc>
          <w:tcPr>
            <w:tcW w:w="0" w:type="dxa"/>
            <w:vAlign w:val="bottom"/>
          </w:tcPr>
          <w:p>
            <w:pPr>
              <w:spacing w:after="0"/>
              <w:rPr>
                <w:sz w:val="1"/>
                <w:szCs w:val="1"/>
                <w:color w:val="auto"/>
              </w:rPr>
            </w:pPr>
          </w:p>
        </w:tc>
      </w:tr>
      <w:tr>
        <w:trPr>
          <w:trHeight w:val="66"/>
        </w:trPr>
        <w:tc>
          <w:tcPr>
            <w:tcW w:w="1460" w:type="dxa"/>
            <w:vAlign w:val="bottom"/>
            <w:tcBorders>
              <w:left w:val="single" w:sz="8" w:color="B7BABC"/>
              <w:bottom w:val="single" w:sz="8" w:color="B7BABC"/>
              <w:right w:val="single" w:sz="8" w:color="B7BABC"/>
            </w:tcBorders>
          </w:tcPr>
          <w:p>
            <w:pPr>
              <w:spacing w:after="0"/>
              <w:rPr>
                <w:sz w:val="5"/>
                <w:szCs w:val="5"/>
                <w:color w:val="auto"/>
              </w:rPr>
            </w:pPr>
          </w:p>
        </w:tc>
        <w:tc>
          <w:tcPr>
            <w:tcW w:w="3180" w:type="dxa"/>
            <w:vAlign w:val="bottom"/>
            <w:tcBorders>
              <w:bottom w:val="single" w:sz="8" w:color="B7BABC"/>
              <w:right w:val="single" w:sz="8" w:color="B7BABC"/>
            </w:tcBorders>
          </w:tcPr>
          <w:p>
            <w:pPr>
              <w:spacing w:after="0"/>
              <w:rPr>
                <w:sz w:val="5"/>
                <w:szCs w:val="5"/>
                <w:color w:val="auto"/>
              </w:rPr>
            </w:pPr>
          </w:p>
        </w:tc>
        <w:tc>
          <w:tcPr>
            <w:tcW w:w="3400" w:type="dxa"/>
            <w:vAlign w:val="bottom"/>
            <w:tcBorders>
              <w:bottom w:val="single" w:sz="8" w:color="B7BABC"/>
              <w:right w:val="single" w:sz="8" w:color="B7BABC"/>
            </w:tcBorders>
          </w:tcPr>
          <w:p>
            <w:pPr>
              <w:spacing w:after="0"/>
              <w:rPr>
                <w:sz w:val="5"/>
                <w:szCs w:val="5"/>
                <w:color w:val="auto"/>
              </w:rPr>
            </w:pPr>
          </w:p>
        </w:tc>
        <w:tc>
          <w:tcPr>
            <w:tcW w:w="3400" w:type="dxa"/>
            <w:vAlign w:val="bottom"/>
            <w:tcBorders>
              <w:bottom w:val="single" w:sz="8" w:color="B7BABC"/>
              <w:right w:val="single" w:sz="8" w:color="B7BAB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460" w:type="dxa"/>
            <w:vAlign w:val="bottom"/>
            <w:tcBorders>
              <w:left w:val="single" w:sz="8" w:color="B7BABC"/>
              <w:bottom w:val="single" w:sz="8" w:color="B7BABC"/>
              <w:right w:val="single" w:sz="8" w:color="B7BABC"/>
            </w:tcBorders>
          </w:tcPr>
          <w:p>
            <w:pPr>
              <w:jc w:val="center"/>
              <w:ind w:left="26"/>
              <w:spacing w:after="0" w:line="155" w:lineRule="exact"/>
              <w:rPr>
                <w:sz w:val="20"/>
                <w:szCs w:val="20"/>
                <w:color w:val="auto"/>
              </w:rPr>
            </w:pPr>
            <w:r>
              <w:rPr>
                <w:rFonts w:ascii="Arial" w:cs="Arial" w:eastAsia="Arial" w:hAnsi="Arial"/>
                <w:sz w:val="14"/>
                <w:szCs w:val="14"/>
                <w:b w:val="1"/>
                <w:bCs w:val="1"/>
                <w:color w:val="auto"/>
              </w:rPr>
              <w:t>Plant Types</w:t>
            </w:r>
          </w:p>
        </w:tc>
        <w:tc>
          <w:tcPr>
            <w:tcW w:w="3180" w:type="dxa"/>
            <w:vAlign w:val="bottom"/>
            <w:tcBorders>
              <w:bottom w:val="single" w:sz="8" w:color="B7BABC"/>
              <w:right w:val="single" w:sz="8" w:color="B7BABC"/>
            </w:tcBorders>
          </w:tcPr>
          <w:p>
            <w:pPr>
              <w:jc w:val="center"/>
              <w:spacing w:after="0" w:line="155" w:lineRule="exact"/>
              <w:rPr>
                <w:sz w:val="20"/>
                <w:szCs w:val="20"/>
                <w:color w:val="auto"/>
              </w:rPr>
            </w:pPr>
            <w:r>
              <w:rPr>
                <w:rFonts w:ascii="Arial" w:cs="Arial" w:eastAsia="Arial" w:hAnsi="Arial"/>
                <w:sz w:val="14"/>
                <w:szCs w:val="14"/>
                <w:color w:val="4D5358"/>
              </w:rPr>
              <w:t>Quarries, Mines and Distribution Facilities</w:t>
            </w:r>
          </w:p>
        </w:tc>
        <w:tc>
          <w:tcPr>
            <w:tcW w:w="3400" w:type="dxa"/>
            <w:vAlign w:val="bottom"/>
            <w:tcBorders>
              <w:bottom w:val="single" w:sz="8" w:color="B7BABC"/>
              <w:right w:val="single" w:sz="8" w:color="B7BABC"/>
            </w:tcBorders>
          </w:tcPr>
          <w:p>
            <w:pPr>
              <w:jc w:val="center"/>
              <w:spacing w:after="0" w:line="155" w:lineRule="exact"/>
              <w:rPr>
                <w:sz w:val="20"/>
                <w:szCs w:val="20"/>
                <w:color w:val="auto"/>
              </w:rPr>
            </w:pPr>
            <w:r>
              <w:rPr>
                <w:rFonts w:ascii="Arial" w:cs="Arial" w:eastAsia="Arial" w:hAnsi="Arial"/>
                <w:sz w:val="14"/>
                <w:szCs w:val="14"/>
                <w:color w:val="4D5358"/>
              </w:rPr>
              <w:t>Quarries, Mines and Distribution Facilities</w:t>
            </w:r>
          </w:p>
        </w:tc>
        <w:tc>
          <w:tcPr>
            <w:tcW w:w="3400" w:type="dxa"/>
            <w:vAlign w:val="bottom"/>
            <w:tcBorders>
              <w:bottom w:val="single" w:sz="8" w:color="B7BABC"/>
              <w:right w:val="single" w:sz="8" w:color="B7BABC"/>
            </w:tcBorders>
          </w:tcPr>
          <w:p>
            <w:pPr>
              <w:jc w:val="center"/>
              <w:spacing w:after="0" w:line="155" w:lineRule="exact"/>
              <w:rPr>
                <w:sz w:val="20"/>
                <w:szCs w:val="20"/>
                <w:color w:val="auto"/>
              </w:rPr>
            </w:pPr>
            <w:r>
              <w:rPr>
                <w:rFonts w:ascii="Arial" w:cs="Arial" w:eastAsia="Arial" w:hAnsi="Arial"/>
                <w:sz w:val="14"/>
                <w:szCs w:val="14"/>
                <w:color w:val="4D5358"/>
              </w:rPr>
              <w:t>Quarries, Mines, Plants and Distribution Facilities</w:t>
            </w:r>
          </w:p>
        </w:tc>
        <w:tc>
          <w:tcPr>
            <w:tcW w:w="0" w:type="dxa"/>
            <w:vAlign w:val="bottom"/>
          </w:tcPr>
          <w:p>
            <w:pPr>
              <w:spacing w:after="0"/>
              <w:rPr>
                <w:sz w:val="1"/>
                <w:szCs w:val="1"/>
                <w:color w:val="auto"/>
              </w:rPr>
            </w:pPr>
          </w:p>
        </w:tc>
      </w:tr>
      <w:tr>
        <w:trPr>
          <w:trHeight w:val="183"/>
        </w:trPr>
        <w:tc>
          <w:tcPr>
            <w:tcW w:w="1460" w:type="dxa"/>
            <w:vAlign w:val="bottom"/>
            <w:tcBorders>
              <w:left w:val="single" w:sz="8" w:color="B7BABC"/>
              <w:right w:val="single" w:sz="8" w:color="B7BABC"/>
            </w:tcBorders>
          </w:tcPr>
          <w:p>
            <w:pPr>
              <w:jc w:val="center"/>
              <w:ind w:left="26"/>
              <w:spacing w:after="0"/>
              <w:rPr>
                <w:sz w:val="20"/>
                <w:szCs w:val="20"/>
                <w:color w:val="auto"/>
              </w:rPr>
            </w:pPr>
            <w:r>
              <w:rPr>
                <w:rFonts w:ascii="Arial" w:cs="Arial" w:eastAsia="Arial" w:hAnsi="Arial"/>
                <w:sz w:val="14"/>
                <w:szCs w:val="14"/>
                <w:b w:val="1"/>
                <w:bCs w:val="1"/>
                <w:color w:val="auto"/>
              </w:rPr>
              <w:t>Modes of</w:t>
            </w:r>
          </w:p>
        </w:tc>
        <w:tc>
          <w:tcPr>
            <w:tcW w:w="3180" w:type="dxa"/>
            <w:vAlign w:val="bottom"/>
            <w:tcBorders>
              <w:right w:val="single" w:sz="8" w:color="B7BABC"/>
            </w:tcBorders>
            <w:vMerge w:val="restart"/>
          </w:tcPr>
          <w:p>
            <w:pPr>
              <w:jc w:val="center"/>
              <w:spacing w:after="0"/>
              <w:rPr>
                <w:sz w:val="20"/>
                <w:szCs w:val="20"/>
                <w:color w:val="auto"/>
              </w:rPr>
            </w:pPr>
            <w:r>
              <w:rPr>
                <w:rFonts w:ascii="Arial" w:cs="Arial" w:eastAsia="Arial" w:hAnsi="Arial"/>
                <w:sz w:val="14"/>
                <w:szCs w:val="14"/>
                <w:color w:val="4D5358"/>
              </w:rPr>
              <w:t>Truck and Railcar</w:t>
            </w:r>
          </w:p>
        </w:tc>
        <w:tc>
          <w:tcPr>
            <w:tcW w:w="3400" w:type="dxa"/>
            <w:vAlign w:val="bottom"/>
            <w:tcBorders>
              <w:right w:val="single" w:sz="8" w:color="B7BABC"/>
            </w:tcBorders>
            <w:vMerge w:val="restart"/>
          </w:tcPr>
          <w:p>
            <w:pPr>
              <w:jc w:val="center"/>
              <w:ind w:left="7"/>
              <w:spacing w:after="0"/>
              <w:rPr>
                <w:sz w:val="20"/>
                <w:szCs w:val="20"/>
                <w:color w:val="auto"/>
              </w:rPr>
            </w:pPr>
            <w:r>
              <w:rPr>
                <w:rFonts w:ascii="Arial" w:cs="Arial" w:eastAsia="Arial" w:hAnsi="Arial"/>
                <w:sz w:val="14"/>
                <w:szCs w:val="14"/>
                <w:color w:val="4D5358"/>
              </w:rPr>
              <w:t>Truck, Railcar and Ship</w:t>
            </w:r>
          </w:p>
        </w:tc>
        <w:tc>
          <w:tcPr>
            <w:tcW w:w="3400" w:type="dxa"/>
            <w:vAlign w:val="bottom"/>
            <w:tcBorders>
              <w:right w:val="single" w:sz="8" w:color="B7BABC"/>
            </w:tcBorders>
            <w:vMerge w:val="restart"/>
          </w:tcPr>
          <w:p>
            <w:pPr>
              <w:jc w:val="center"/>
              <w:spacing w:after="0"/>
              <w:rPr>
                <w:sz w:val="20"/>
                <w:szCs w:val="20"/>
                <w:color w:val="auto"/>
              </w:rPr>
            </w:pPr>
            <w:r>
              <w:rPr>
                <w:rFonts w:ascii="Arial" w:cs="Arial" w:eastAsia="Arial" w:hAnsi="Arial"/>
                <w:sz w:val="14"/>
                <w:szCs w:val="14"/>
                <w:color w:val="4D5358"/>
              </w:rPr>
              <w:t>Truck and Railcar</w:t>
            </w:r>
          </w:p>
        </w:tc>
        <w:tc>
          <w:tcPr>
            <w:tcW w:w="0" w:type="dxa"/>
            <w:vAlign w:val="bottom"/>
          </w:tcPr>
          <w:p>
            <w:pPr>
              <w:spacing w:after="0"/>
              <w:rPr>
                <w:sz w:val="1"/>
                <w:szCs w:val="1"/>
                <w:color w:val="auto"/>
              </w:rPr>
            </w:pPr>
          </w:p>
        </w:tc>
      </w:tr>
      <w:tr>
        <w:trPr>
          <w:trHeight w:val="109"/>
        </w:trPr>
        <w:tc>
          <w:tcPr>
            <w:tcW w:w="1460" w:type="dxa"/>
            <w:vAlign w:val="bottom"/>
            <w:tcBorders>
              <w:left w:val="single" w:sz="8" w:color="B7BABC"/>
              <w:right w:val="single" w:sz="8" w:color="B7BABC"/>
            </w:tcBorders>
            <w:vMerge w:val="restart"/>
          </w:tcPr>
          <w:p>
            <w:pPr>
              <w:ind w:left="320"/>
              <w:spacing w:after="0"/>
              <w:rPr>
                <w:sz w:val="20"/>
                <w:szCs w:val="20"/>
                <w:color w:val="auto"/>
              </w:rPr>
            </w:pPr>
            <w:r>
              <w:rPr>
                <w:rFonts w:ascii="Arial" w:cs="Arial" w:eastAsia="Arial" w:hAnsi="Arial"/>
                <w:sz w:val="14"/>
                <w:szCs w:val="14"/>
                <w:b w:val="1"/>
                <w:bCs w:val="1"/>
                <w:color w:val="auto"/>
              </w:rPr>
              <w:t>Transportation</w:t>
            </w:r>
          </w:p>
        </w:tc>
        <w:tc>
          <w:tcPr>
            <w:tcW w:w="3180" w:type="dxa"/>
            <w:vAlign w:val="bottom"/>
            <w:tcBorders>
              <w:right w:val="single" w:sz="8" w:color="B7BABC"/>
            </w:tcBorders>
            <w:vMerge w:val="continue"/>
          </w:tcPr>
          <w:p>
            <w:pPr>
              <w:spacing w:after="0"/>
              <w:rPr>
                <w:sz w:val="9"/>
                <w:szCs w:val="9"/>
                <w:color w:val="auto"/>
              </w:rPr>
            </w:pPr>
          </w:p>
        </w:tc>
        <w:tc>
          <w:tcPr>
            <w:tcW w:w="3400" w:type="dxa"/>
            <w:vAlign w:val="bottom"/>
            <w:tcBorders>
              <w:right w:val="single" w:sz="8" w:color="B7BABC"/>
            </w:tcBorders>
            <w:vMerge w:val="continue"/>
          </w:tcPr>
          <w:p>
            <w:pPr>
              <w:spacing w:after="0"/>
              <w:rPr>
                <w:sz w:val="9"/>
                <w:szCs w:val="9"/>
                <w:color w:val="auto"/>
              </w:rPr>
            </w:pPr>
          </w:p>
        </w:tc>
        <w:tc>
          <w:tcPr>
            <w:tcW w:w="3400" w:type="dxa"/>
            <w:vAlign w:val="bottom"/>
            <w:tcBorders>
              <w:right w:val="single" w:sz="8" w:color="B7BAB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460" w:type="dxa"/>
            <w:vAlign w:val="bottom"/>
            <w:tcBorders>
              <w:left w:val="single" w:sz="8" w:color="B7BABC"/>
              <w:right w:val="single" w:sz="8" w:color="B7BABC"/>
            </w:tcBorders>
            <w:vMerge w:val="continue"/>
          </w:tcPr>
          <w:p>
            <w:pPr>
              <w:spacing w:after="0"/>
              <w:rPr>
                <w:sz w:val="7"/>
                <w:szCs w:val="7"/>
                <w:color w:val="auto"/>
              </w:rPr>
            </w:pPr>
          </w:p>
        </w:tc>
        <w:tc>
          <w:tcPr>
            <w:tcW w:w="3180" w:type="dxa"/>
            <w:vAlign w:val="bottom"/>
            <w:tcBorders>
              <w:right w:val="single" w:sz="8" w:color="B7BABC"/>
            </w:tcBorders>
          </w:tcPr>
          <w:p>
            <w:pPr>
              <w:spacing w:after="0"/>
              <w:rPr>
                <w:sz w:val="7"/>
                <w:szCs w:val="7"/>
                <w:color w:val="auto"/>
              </w:rPr>
            </w:pPr>
          </w:p>
        </w:tc>
        <w:tc>
          <w:tcPr>
            <w:tcW w:w="3400" w:type="dxa"/>
            <w:vAlign w:val="bottom"/>
            <w:tcBorders>
              <w:right w:val="single" w:sz="8" w:color="B7BABC"/>
            </w:tcBorders>
          </w:tcPr>
          <w:p>
            <w:pPr>
              <w:spacing w:after="0"/>
              <w:rPr>
                <w:sz w:val="7"/>
                <w:szCs w:val="7"/>
                <w:color w:val="auto"/>
              </w:rPr>
            </w:pPr>
          </w:p>
        </w:tc>
        <w:tc>
          <w:tcPr>
            <w:tcW w:w="3400" w:type="dxa"/>
            <w:vAlign w:val="bottom"/>
            <w:tcBorders>
              <w:right w:val="single" w:sz="8" w:color="B7BABC"/>
            </w:tcBorders>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1460" w:type="dxa"/>
            <w:vAlign w:val="bottom"/>
            <w:tcBorders>
              <w:left w:val="single" w:sz="8" w:color="B7BABC"/>
              <w:bottom w:val="single" w:sz="8" w:color="B7BABC"/>
              <w:right w:val="single" w:sz="8" w:color="B7BABC"/>
            </w:tcBorders>
          </w:tcPr>
          <w:p>
            <w:pPr>
              <w:spacing w:after="0"/>
              <w:rPr>
                <w:sz w:val="3"/>
                <w:szCs w:val="3"/>
                <w:color w:val="auto"/>
              </w:rPr>
            </w:pPr>
          </w:p>
        </w:tc>
        <w:tc>
          <w:tcPr>
            <w:tcW w:w="3180" w:type="dxa"/>
            <w:vAlign w:val="bottom"/>
            <w:tcBorders>
              <w:bottom w:val="single" w:sz="8" w:color="B7BABC"/>
              <w:right w:val="single" w:sz="8" w:color="B7BABC"/>
            </w:tcBorders>
          </w:tcPr>
          <w:p>
            <w:pPr>
              <w:spacing w:after="0"/>
              <w:rPr>
                <w:sz w:val="3"/>
                <w:szCs w:val="3"/>
                <w:color w:val="auto"/>
              </w:rPr>
            </w:pPr>
          </w:p>
        </w:tc>
        <w:tc>
          <w:tcPr>
            <w:tcW w:w="3400" w:type="dxa"/>
            <w:vAlign w:val="bottom"/>
            <w:tcBorders>
              <w:bottom w:val="single" w:sz="8" w:color="B7BABC"/>
              <w:right w:val="single" w:sz="8" w:color="B7BABC"/>
            </w:tcBorders>
          </w:tcPr>
          <w:p>
            <w:pPr>
              <w:spacing w:after="0"/>
              <w:rPr>
                <w:sz w:val="3"/>
                <w:szCs w:val="3"/>
                <w:color w:val="auto"/>
              </w:rPr>
            </w:pPr>
          </w:p>
        </w:tc>
        <w:tc>
          <w:tcPr>
            <w:tcW w:w="3400" w:type="dxa"/>
            <w:vAlign w:val="bottom"/>
            <w:tcBorders>
              <w:bottom w:val="single" w:sz="8" w:color="B7BABC"/>
              <w:right w:val="single" w:sz="8" w:color="B7BAB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ectPr>
          <w:pgSz w:w="11900" w:h="16838" w:orient="portrait"/>
          <w:cols w:equalWidth="0" w:num="1">
            <w:col w:w="11440"/>
          </w:cols>
          <w:pgMar w:left="240" w:top="265" w:right="219" w:bottom="1440" w:gutter="0" w:footer="0" w:header="0"/>
        </w:sectPr>
      </w:pPr>
    </w:p>
    <w:p>
      <w:pPr>
        <w:jc w:val="center"/>
        <w:ind w:right="20"/>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42</w:t>
      </w:r>
    </w:p>
    <w:p>
      <w:pPr>
        <w:sectPr>
          <w:pgSz w:w="11900" w:h="16838" w:orient="portrait"/>
          <w:cols w:equalWidth="0" w:num="1">
            <w:col w:w="11440"/>
          </w:cols>
          <w:pgMar w:left="240" w:top="265" w:right="21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114 months. By comparison, the average trough-to-peak expansionary cycle since 1938 was 60 months and, as of May 2018, the current cycle became the second-longest economic recovery since the Great Depression. During this current economic expansion, however, governmental uncertainty, labor shortages, logistical challenges and record levels of precipitation have slowed the pace of heavy construction activity, resulting in a slow, steady, extended construction cycle that is expected to continue over the next several years. The level of recovery varies within the Company’s geographic footprint. Specifically, Maryland, North Carolina, Georgia and Florida, key states in the Mid-America and Southeast Groups, are approximately 20% to 25% below mid-cycle demand, while Texas, a key state in the West Group, is modestly above mid-cycle demand.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Magnesia Specialties</w:t>
      </w:r>
    </w:p>
    <w:p>
      <w:pPr>
        <w:spacing w:after="0" w:line="53"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Company also operates a Magnesia Specialties business with production facilities in Michigan and Ohio. The Magnesia Specialties business produces magnesia-based chemicals products used in industrial, agricultural and environmental applications. It also produces dolomitic lime sold primarily to customers in the steel and mining industries. Magnesia Specialties’ products are shipped to customers worldwide.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Consolidated Strategic Objectives</w:t>
      </w:r>
    </w:p>
    <w:p>
      <w:pPr>
        <w:spacing w:after="0" w:line="3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 xml:space="preserve">The Company’s strategic planning process, or </w:t>
      </w:r>
      <w:r>
        <w:rPr>
          <w:rFonts w:ascii="Arial" w:cs="Arial" w:eastAsia="Arial" w:hAnsi="Arial"/>
          <w:sz w:val="17"/>
          <w:szCs w:val="17"/>
          <w:b w:val="1"/>
          <w:bCs w:val="1"/>
          <w:color w:val="auto"/>
        </w:rPr>
        <w:t>S</w:t>
      </w:r>
      <w:r>
        <w:rPr>
          <w:rFonts w:ascii="Arial" w:cs="Arial" w:eastAsia="Arial" w:hAnsi="Arial"/>
          <w:sz w:val="17"/>
          <w:szCs w:val="17"/>
          <w:color w:val="auto"/>
        </w:rPr>
        <w:t xml:space="preserve">trategic </w:t>
      </w:r>
      <w:r>
        <w:rPr>
          <w:rFonts w:ascii="Arial" w:cs="Arial" w:eastAsia="Arial" w:hAnsi="Arial"/>
          <w:sz w:val="17"/>
          <w:szCs w:val="17"/>
          <w:b w:val="1"/>
          <w:bCs w:val="1"/>
          <w:color w:val="auto"/>
        </w:rPr>
        <w:t>O</w:t>
      </w:r>
      <w:r>
        <w:rPr>
          <w:rFonts w:ascii="Arial" w:cs="Arial" w:eastAsia="Arial" w:hAnsi="Arial"/>
          <w:sz w:val="17"/>
          <w:szCs w:val="17"/>
          <w:color w:val="auto"/>
        </w:rPr>
        <w:t xml:space="preserve">perating </w:t>
      </w:r>
      <w:r>
        <w:rPr>
          <w:rFonts w:ascii="Arial" w:cs="Arial" w:eastAsia="Arial" w:hAnsi="Arial"/>
          <w:sz w:val="17"/>
          <w:szCs w:val="17"/>
          <w:b w:val="1"/>
          <w:bCs w:val="1"/>
          <w:color w:val="auto"/>
        </w:rPr>
        <w:t>A</w:t>
      </w:r>
      <w:r>
        <w:rPr>
          <w:rFonts w:ascii="Arial" w:cs="Arial" w:eastAsia="Arial" w:hAnsi="Arial"/>
          <w:sz w:val="17"/>
          <w:szCs w:val="17"/>
          <w:color w:val="auto"/>
        </w:rPr>
        <w:t>nalysis and</w:t>
      </w:r>
      <w:r>
        <w:rPr>
          <w:rFonts w:ascii="Arial" w:cs="Arial" w:eastAsia="Arial" w:hAnsi="Arial"/>
          <w:sz w:val="17"/>
          <w:szCs w:val="17"/>
          <w:b w:val="1"/>
          <w:bCs w:val="1"/>
          <w:color w:val="auto"/>
        </w:rPr>
        <w:t xml:space="preserve"> R</w:t>
      </w:r>
      <w:r>
        <w:rPr>
          <w:rFonts w:ascii="Arial" w:cs="Arial" w:eastAsia="Arial" w:hAnsi="Arial"/>
          <w:sz w:val="17"/>
          <w:szCs w:val="17"/>
          <w:color w:val="auto"/>
        </w:rPr>
        <w:t>eview (SOAR), provides the framework for execution of</w:t>
      </w:r>
      <w:r>
        <w:rPr>
          <w:rFonts w:ascii="Arial" w:cs="Arial" w:eastAsia="Arial" w:hAnsi="Arial"/>
          <w:sz w:val="17"/>
          <w:szCs w:val="17"/>
          <w:b w:val="1"/>
          <w:bCs w:val="1"/>
          <w:color w:val="auto"/>
        </w:rPr>
        <w:t xml:space="preserve"> </w:t>
      </w:r>
      <w:r>
        <w:rPr>
          <w:rFonts w:ascii="Arial" w:cs="Arial" w:eastAsia="Arial" w:hAnsi="Arial"/>
          <w:sz w:val="17"/>
          <w:szCs w:val="17"/>
          <w:color w:val="auto"/>
        </w:rPr>
        <w:t>Martin Marietta’s long-term strategic plan. Guided by this framework and giving consideration to the cyclicality of the Building Materials business, the Company determines capital allocation priorities to maximize long-term shareholder value. The Company’s strategy includes ongoing evaluation of aggregates-led opportunities of scale in new domestic markets (i.e., platform acquisitions), expansion through acquisitions that complement existing operations (i.e., bolt-on acquisitions), divestitures of assets that are not consistent with stated strategic goals, and arrangements with other companies engaged in similar or complementary businesses. The Company finances such opportunities with the goal of preserving its financial flexibility by having a leverage ratio (consolidated debt-to-consolidated earnings before interest, taxes, depreciation and amortization, or EBITDA) within a target range of 2.0 times to 2.5 times within a reasonable time following the completion of a transaction.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by purposeful design, will continue to be an aggregates-led business that focuses on markets with strong, underlying growth fundamentals where it can sustain or achieve a leading market position. Driven by this intentional approach, the Company has leading positions in 90% of its markets. In 2018, the aggregates product line represented 61% of consolidated total revenues. As part of its long-term strategic plan, the Company may pursue strategic cement and targeted downstream opportunities. For Martin Marietta, strategic cement and targeted downstream operations are located in vertically-integrated markets where the Company has, or envisions a clear path toward, a leading aggregates position. Additionally, strategic cement operations are those where market supply cannot be meaningfully interdicted by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153035</wp:posOffset>
            </wp:positionV>
            <wp:extent cx="2889885" cy="49053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2889885" cy="4905375"/>
                    </a:xfrm>
                    <a:prstGeom prst="rect">
                      <a:avLst/>
                    </a:prstGeom>
                    <a:noFill/>
                  </pic:spPr>
                </pic:pic>
              </a:graphicData>
            </a:graphic>
          </wp:anchor>
        </w:drawing>
      </w:r>
    </w:p>
    <w:p>
      <w:pPr>
        <w:spacing w:after="0" w:line="5827"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43</w:t>
      </w:r>
    </w:p>
    <w:p>
      <w:pPr>
        <w:sectPr>
          <w:pgSz w:w="11900" w:h="16838" w:orient="portrait"/>
          <w:cols w:equalWidth="0" w:num="1">
            <w:col w:w="11420"/>
          </w:cols>
          <w:pgMar w:left="240" w:top="265" w:right="2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490855</wp:posOffset>
            </wp:positionV>
            <wp:extent cx="5994400" cy="381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5994400" cy="381635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Generally, the Company’s building materials products are both sourced and sold locally. As a result, geography is critically important when assessing market attractiveness and growth opportunities. Attractive geographies exhibit a) population growth and/or population density, both of which are drivers of heavy-side building materials consumption; b) business and employment diversity, drivers of greater economic stability; and c) a superior state financial position, a driver of public infrastructure growth and support.</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 xml:space="preserve">In order to assess population growth and density, the Company focuses on the megaregions of the United States. Megaregions are large networks of metropolitan population centers covering thousands of square miles. According to </w:t>
      </w:r>
      <w:r>
        <w:rPr>
          <w:rFonts w:ascii="Arial" w:cs="Arial" w:eastAsia="Arial" w:hAnsi="Arial"/>
          <w:sz w:val="17"/>
          <w:szCs w:val="17"/>
          <w:i w:val="1"/>
          <w:iCs w:val="1"/>
          <w:color w:val="auto"/>
        </w:rPr>
        <w:t>America 2050</w:t>
      </w:r>
      <w:r>
        <w:rPr>
          <w:rFonts w:ascii="Arial" w:cs="Arial" w:eastAsia="Arial" w:hAnsi="Arial"/>
          <w:sz w:val="17"/>
          <w:szCs w:val="17"/>
          <w:color w:val="auto"/>
        </w:rPr>
        <w:t>, a planning and policy program of the Regional Plan Association (RPA), a majority of the nation’s population and economic growth through 2050 will occur in 11 megaregions. The Company has a significant strategic presence in five of the megaregions. As evidence of the successful execution of SOAR, the Company’s leading positions in the Front Range and Texas Triangle mega-regions and its enhanced position in the Piedmont Atlantic, primarily the Atlanta area, are the results of acquisitions since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2011. Additionally, the 2018 acquisition of Bluegrass Materials Company (Bluegrass) provided the Company with a new growth platform within the southern portion of the Northeast megaregion. The Company has a legacy presence in the southeastern portion of the Great Lakes megaregion, encompassing operations in Indiana and Ohio. The megaregions and the key states for the Company are more fully discussed in the </w:t>
      </w:r>
      <w:r>
        <w:rPr>
          <w:rFonts w:ascii="Arial" w:cs="Arial" w:eastAsia="Arial" w:hAnsi="Arial"/>
          <w:sz w:val="17"/>
          <w:szCs w:val="17"/>
          <w:i w:val="1"/>
          <w:iCs w:val="1"/>
          <w:color w:val="auto"/>
        </w:rPr>
        <w:t>Building Materials Business’ Key Considerations</w:t>
      </w:r>
      <w:r>
        <w:rPr>
          <w:rFonts w:ascii="Arial" w:cs="Arial" w:eastAsia="Arial" w:hAnsi="Arial"/>
          <w:sz w:val="17"/>
          <w:szCs w:val="17"/>
          <w:color w:val="auto"/>
        </w:rPr>
        <w:t xml:space="preserve"> section.</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 considering business and employment diversity, the Company focuses its geographic footprint along significant transportation corridors, particularly where land is readily available for the construction of fulfillment centers and data centers. The retail sector values transportation corridors, as logistics and distribution are critical considerations for construction supporting that industry. In addition, technology companies view these areas as attractive locations for data centers.</w:t>
      </w:r>
    </w:p>
    <w:p>
      <w:pPr>
        <w:spacing w:after="0" w:line="36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Additionally, the Company considers a state’s financial position in determining the opportunities and attractiveness of areas for expansion or development. In this assessment, a state’s financial health rating, issued by S&amp;P Global</w:t>
      </w:r>
    </w:p>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44</w:t>
      </w:r>
    </w:p>
    <w:p>
      <w:pPr>
        <w:sectPr>
          <w:pgSz w:w="11900" w:h="16838" w:orient="portrait"/>
          <w:cols w:equalWidth="0" w:num="1">
            <w:col w:w="11420"/>
          </w:cols>
          <w:pgMar w:left="240" w:top="265" w:right="2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Ratings and where AAA is the highest score, is reviewed. The Company’s top ten revenue-generating states have been assigned a financial health rating of AA or AAA. The Company also reviews the state’s ingenuity to securing additional infrastructure sourcing.</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In line with the Company’s strategic objectives, management’s overall focus includes the following items:</w:t>
      </w:r>
    </w:p>
    <w:p>
      <w:pPr>
        <w:spacing w:after="0" w:line="23" w:lineRule="exact"/>
        <w:rPr>
          <w:sz w:val="20"/>
          <w:szCs w:val="20"/>
          <w:color w:val="auto"/>
        </w:rPr>
      </w:pPr>
    </w:p>
    <w:p>
      <w:pPr>
        <w:ind w:left="220" w:hanging="212"/>
        <w:spacing w:after="0" w:line="243" w:lineRule="auto"/>
        <w:tabs>
          <w:tab w:leader="none" w:pos="2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Upholding the Company’s commitment to its Mission, Vision and Values</w:t>
      </w:r>
    </w:p>
    <w:p>
      <w:pPr>
        <w:spacing w:after="0" w:line="22" w:lineRule="exact"/>
        <w:rPr>
          <w:rFonts w:ascii="Arial" w:cs="Arial" w:eastAsia="Arial" w:hAnsi="Arial"/>
          <w:sz w:val="17"/>
          <w:szCs w:val="17"/>
          <w:color w:val="auto"/>
        </w:rPr>
      </w:pPr>
    </w:p>
    <w:p>
      <w:pPr>
        <w:jc w:val="both"/>
        <w:ind w:left="220" w:hanging="212"/>
        <w:spacing w:after="0" w:line="238" w:lineRule="auto"/>
        <w:tabs>
          <w:tab w:leader="none" w:pos="2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Navigating effectively through a slow-and-steady construction recovery cycle, balancing investment and cost decisions against slower-than-expected shipment volume growth</w:t>
      </w:r>
    </w:p>
    <w:p>
      <w:pPr>
        <w:spacing w:after="0" w:line="26" w:lineRule="exact"/>
        <w:rPr>
          <w:rFonts w:ascii="Arial" w:cs="Arial" w:eastAsia="Arial" w:hAnsi="Arial"/>
          <w:sz w:val="17"/>
          <w:szCs w:val="17"/>
          <w:color w:val="auto"/>
        </w:rPr>
      </w:pPr>
    </w:p>
    <w:p>
      <w:pPr>
        <w:jc w:val="both"/>
        <w:ind w:left="220" w:hanging="212"/>
        <w:spacing w:after="0" w:line="238" w:lineRule="auto"/>
        <w:tabs>
          <w:tab w:leader="none" w:pos="2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Tracking shifts in population trends as well as local, state and national economic conditions to ensure changing trends are reflected in execution against the strategic plan</w:t>
      </w:r>
    </w:p>
    <w:p>
      <w:pPr>
        <w:spacing w:after="0" w:line="26" w:lineRule="exact"/>
        <w:rPr>
          <w:rFonts w:ascii="Arial" w:cs="Arial" w:eastAsia="Arial" w:hAnsi="Arial"/>
          <w:sz w:val="17"/>
          <w:szCs w:val="17"/>
          <w:color w:val="auto"/>
        </w:rPr>
      </w:pPr>
    </w:p>
    <w:p>
      <w:pPr>
        <w:ind w:left="220" w:right="20" w:hanging="212"/>
        <w:spacing w:after="0" w:line="243" w:lineRule="auto"/>
        <w:tabs>
          <w:tab w:leader="none" w:pos="2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Integrating acquired businesses efficiently to maximize the return on the investment</w:t>
      </w:r>
    </w:p>
    <w:p>
      <w:pPr>
        <w:spacing w:after="0" w:line="22" w:lineRule="exact"/>
        <w:rPr>
          <w:rFonts w:ascii="Arial" w:cs="Arial" w:eastAsia="Arial" w:hAnsi="Arial"/>
          <w:sz w:val="17"/>
          <w:szCs w:val="17"/>
          <w:color w:val="auto"/>
        </w:rPr>
      </w:pPr>
    </w:p>
    <w:p>
      <w:pPr>
        <w:ind w:left="220" w:right="20" w:hanging="212"/>
        <w:spacing w:after="0" w:line="243" w:lineRule="auto"/>
        <w:tabs>
          <w:tab w:leader="none" w:pos="2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Allocating capital in a manner consistent with the following long-standing priorities while maintaining financial flexibility</w:t>
      </w:r>
    </w:p>
    <w:p>
      <w:pPr>
        <w:spacing w:after="0" w:line="22" w:lineRule="exact"/>
        <w:rPr>
          <w:rFonts w:ascii="Arial" w:cs="Arial" w:eastAsia="Arial" w:hAnsi="Arial"/>
          <w:sz w:val="17"/>
          <w:szCs w:val="17"/>
          <w:color w:val="auto"/>
        </w:rPr>
      </w:pPr>
    </w:p>
    <w:p>
      <w:pPr>
        <w:ind w:left="380" w:hanging="183"/>
        <w:spacing w:after="0"/>
        <w:tabs>
          <w:tab w:leader="none" w:pos="380" w:val="left"/>
        </w:tabs>
        <w:numPr>
          <w:ilvl w:val="1"/>
          <w:numId w:val="59"/>
        </w:numPr>
        <w:rPr>
          <w:rFonts w:ascii="Arial" w:cs="Arial" w:eastAsia="Arial" w:hAnsi="Arial"/>
          <w:sz w:val="17"/>
          <w:szCs w:val="17"/>
          <w:color w:val="auto"/>
        </w:rPr>
      </w:pPr>
      <w:r>
        <w:rPr>
          <w:rFonts w:ascii="Arial" w:cs="Arial" w:eastAsia="Arial" w:hAnsi="Arial"/>
          <w:sz w:val="17"/>
          <w:szCs w:val="17"/>
          <w:color w:val="auto"/>
        </w:rPr>
        <w:t>Acquisitions</w:t>
      </w:r>
    </w:p>
    <w:p>
      <w:pPr>
        <w:spacing w:after="0" w:line="34" w:lineRule="exact"/>
        <w:rPr>
          <w:rFonts w:ascii="Arial" w:cs="Arial" w:eastAsia="Arial" w:hAnsi="Arial"/>
          <w:sz w:val="17"/>
          <w:szCs w:val="17"/>
          <w:color w:val="auto"/>
        </w:rPr>
      </w:pPr>
    </w:p>
    <w:p>
      <w:pPr>
        <w:ind w:left="380" w:hanging="183"/>
        <w:spacing w:after="0"/>
        <w:tabs>
          <w:tab w:leader="none" w:pos="380" w:val="left"/>
        </w:tabs>
        <w:numPr>
          <w:ilvl w:val="1"/>
          <w:numId w:val="59"/>
        </w:numPr>
        <w:rPr>
          <w:rFonts w:ascii="Arial" w:cs="Arial" w:eastAsia="Arial" w:hAnsi="Arial"/>
          <w:sz w:val="17"/>
          <w:szCs w:val="17"/>
          <w:color w:val="auto"/>
        </w:rPr>
      </w:pPr>
      <w:r>
        <w:rPr>
          <w:rFonts w:ascii="Arial" w:cs="Arial" w:eastAsia="Arial" w:hAnsi="Arial"/>
          <w:sz w:val="17"/>
          <w:szCs w:val="17"/>
          <w:color w:val="auto"/>
        </w:rPr>
        <w:t>Organic capital investment</w:t>
      </w:r>
    </w:p>
    <w:p>
      <w:pPr>
        <w:spacing w:after="0" w:line="34" w:lineRule="exact"/>
        <w:rPr>
          <w:rFonts w:ascii="Arial" w:cs="Arial" w:eastAsia="Arial" w:hAnsi="Arial"/>
          <w:sz w:val="17"/>
          <w:szCs w:val="17"/>
          <w:color w:val="auto"/>
        </w:rPr>
      </w:pPr>
    </w:p>
    <w:p>
      <w:pPr>
        <w:ind w:left="380" w:hanging="183"/>
        <w:spacing w:after="0" w:line="243" w:lineRule="auto"/>
        <w:tabs>
          <w:tab w:leader="none" w:pos="380" w:val="left"/>
        </w:tabs>
        <w:numPr>
          <w:ilvl w:val="1"/>
          <w:numId w:val="59"/>
        </w:numPr>
        <w:rPr>
          <w:rFonts w:ascii="Arial" w:cs="Arial" w:eastAsia="Arial" w:hAnsi="Arial"/>
          <w:sz w:val="17"/>
          <w:szCs w:val="17"/>
          <w:color w:val="auto"/>
        </w:rPr>
      </w:pPr>
      <w:r>
        <w:rPr>
          <w:rFonts w:ascii="Arial" w:cs="Arial" w:eastAsia="Arial" w:hAnsi="Arial"/>
          <w:sz w:val="17"/>
          <w:szCs w:val="17"/>
          <w:color w:val="auto"/>
        </w:rPr>
        <w:t>Return of cash to shareholders through meaningful dividends and share repurchases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2018 Performance Highlights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9B28F"/>
        </w:rPr>
        <w:t>Achieved Record Heritage Safety Performance:</w:t>
      </w:r>
    </w:p>
    <w:p>
      <w:pPr>
        <w:spacing w:after="0" w:line="54" w:lineRule="exact"/>
        <w:rPr>
          <w:sz w:val="20"/>
          <w:szCs w:val="20"/>
          <w:color w:val="auto"/>
        </w:rPr>
      </w:pPr>
    </w:p>
    <w:p>
      <w:pPr>
        <w:ind w:left="220" w:right="20" w:hanging="212"/>
        <w:spacing w:after="0" w:line="243" w:lineRule="auto"/>
        <w:tabs>
          <w:tab w:leader="none" w:pos="2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Company-wide Lost Time Incident Rate (LTIR) of 0.20, the world-class LTIR threshold, for the second year in a row</w:t>
      </w:r>
    </w:p>
    <w:p>
      <w:pPr>
        <w:spacing w:after="0" w:line="22" w:lineRule="exact"/>
        <w:rPr>
          <w:rFonts w:ascii="Arial" w:cs="Arial" w:eastAsia="Arial" w:hAnsi="Arial"/>
          <w:sz w:val="17"/>
          <w:szCs w:val="17"/>
          <w:color w:val="auto"/>
        </w:rPr>
      </w:pPr>
    </w:p>
    <w:p>
      <w:pPr>
        <w:ind w:left="220" w:hanging="212"/>
        <w:spacing w:after="0"/>
        <w:tabs>
          <w:tab w:leader="none" w:pos="2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Total Injury Incident Rate (TIIR) of 1.13</w:t>
      </w:r>
    </w:p>
    <w:p>
      <w:pPr>
        <w:spacing w:after="0" w:line="203" w:lineRule="exact"/>
        <w:rPr>
          <w:sz w:val="20"/>
          <w:szCs w:val="20"/>
          <w:color w:val="auto"/>
        </w:rPr>
      </w:pPr>
    </w:p>
    <w:p>
      <w:pPr>
        <w:ind w:right="520"/>
        <w:spacing w:after="0" w:line="244" w:lineRule="auto"/>
        <w:rPr>
          <w:sz w:val="20"/>
          <w:szCs w:val="20"/>
          <w:color w:val="auto"/>
        </w:rPr>
      </w:pPr>
      <w:r>
        <w:rPr>
          <w:rFonts w:ascii="Arial" w:cs="Arial" w:eastAsia="Arial" w:hAnsi="Arial"/>
          <w:sz w:val="17"/>
          <w:szCs w:val="17"/>
          <w:b w:val="1"/>
          <w:bCs w:val="1"/>
          <w:i w:val="1"/>
          <w:iCs w:val="1"/>
          <w:color w:val="49B28F"/>
        </w:rPr>
        <w:t>Expanded the Business Through Execution of Its Disciplined Growth Strategy:</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On April 27, 2018, the Company acquired Bluegrass, the largest privately held, pure-play aggregates business in the United States. With a portfolio of 22 active sites, the acquired operations provide more than 125 years of strategically-located, high-quality reserves, in Georgia, South Carolina, Tennessee, Maryland, Kentucky and Pennsylvania. The Company has surpassed its $15 million run rate synergy target.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9B28F"/>
        </w:rPr>
        <w:t>Achieved Record Financial Performance:</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Company achieved record total revenues despite externally-driven headwinds and record amounts of precipitation, which was exacerbated by weather-related events that occurred across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a majority of the Company’s leading geographies. Importantly, inclement weather was most significant during the second and third quarters, which represents the height of the construction season. According to the 2018 statewide precipitation map for the six-month period from April through September, for the 124 years the National Oceanic Atmospheric Administration (NOAA) has been tracking data, much of the states along the eastern seaboard experienced record breaking or near-record breaking precipitation. Among those were North Carolina, Florida, Maryland, Virginia and West Virginia. Though not along the coast, Tennessee and Iowa reported near-record precipitation during these six months, citing 2018 as the 8th wettest and 4th wettest period, respectively. This, coupled with government uncertainty regarding additional infrastructure investment, attendant project delays, tight labor markets and third-party logistical challenges, exerted downward pressure on 2018 shipment and production levels. However, the Company’s commitment to operational excellence helped it achieve the following metrics (comparisons with 2017, unless otherwise noted):</w:t>
      </w:r>
    </w:p>
    <w:p>
      <w:pPr>
        <w:spacing w:after="0" w:line="29" w:lineRule="exact"/>
        <w:rPr>
          <w:sz w:val="20"/>
          <w:szCs w:val="20"/>
          <w:color w:val="auto"/>
        </w:rPr>
      </w:pPr>
    </w:p>
    <w:p>
      <w:pPr>
        <w:ind w:left="220" w:hanging="211"/>
        <w:spacing w:after="0"/>
        <w:tabs>
          <w:tab w:leader="none" w:pos="2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Earnings per diluted share of $7.43</w:t>
      </w:r>
    </w:p>
    <w:p>
      <w:pPr>
        <w:spacing w:after="0" w:line="47" w:lineRule="exact"/>
        <w:rPr>
          <w:rFonts w:ascii="Arial" w:cs="Arial" w:eastAsia="Arial" w:hAnsi="Arial"/>
          <w:sz w:val="17"/>
          <w:szCs w:val="17"/>
          <w:color w:val="auto"/>
        </w:rPr>
      </w:pPr>
    </w:p>
    <w:p>
      <w:pPr>
        <w:ind w:left="220" w:hanging="211"/>
        <w:spacing w:after="0"/>
        <w:tabs>
          <w:tab w:leader="none" w:pos="2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Net earnings attributable to Martin Marietta of $470.0 million</w:t>
      </w:r>
    </w:p>
    <w:p>
      <w:pPr>
        <w:spacing w:after="0" w:line="47" w:lineRule="exact"/>
        <w:rPr>
          <w:rFonts w:ascii="Arial" w:cs="Arial" w:eastAsia="Arial" w:hAnsi="Arial"/>
          <w:sz w:val="17"/>
          <w:szCs w:val="17"/>
          <w:color w:val="auto"/>
        </w:rPr>
      </w:pPr>
    </w:p>
    <w:p>
      <w:pPr>
        <w:ind w:left="220" w:hanging="211"/>
        <w:spacing w:after="0" w:line="243" w:lineRule="auto"/>
        <w:tabs>
          <w:tab w:leader="none" w:pos="2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Record consolidated EBITDA of $1.05 billion, a 5% improvement, and a 25% margin as a percentage of total revenues</w:t>
      </w:r>
    </w:p>
    <w:p>
      <w:pPr>
        <w:spacing w:after="0" w:line="22" w:lineRule="exact"/>
        <w:rPr>
          <w:rFonts w:ascii="Arial" w:cs="Arial" w:eastAsia="Arial" w:hAnsi="Arial"/>
          <w:sz w:val="17"/>
          <w:szCs w:val="17"/>
          <w:color w:val="auto"/>
        </w:rPr>
      </w:pPr>
    </w:p>
    <w:p>
      <w:pPr>
        <w:ind w:left="220" w:hanging="211"/>
        <w:spacing w:after="0" w:line="243" w:lineRule="auto"/>
        <w:tabs>
          <w:tab w:leader="none" w:pos="2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Aggregates product line pricing increase of 1.9% and volume growth of 8.3%</w:t>
      </w:r>
    </w:p>
    <w:p>
      <w:pPr>
        <w:spacing w:after="0" w:line="22" w:lineRule="exact"/>
        <w:rPr>
          <w:rFonts w:ascii="Arial" w:cs="Arial" w:eastAsia="Arial" w:hAnsi="Arial"/>
          <w:sz w:val="17"/>
          <w:szCs w:val="17"/>
          <w:color w:val="auto"/>
        </w:rPr>
      </w:pPr>
    </w:p>
    <w:p>
      <w:pPr>
        <w:ind w:left="380" w:right="20" w:hanging="183"/>
        <w:spacing w:after="0" w:line="243" w:lineRule="auto"/>
        <w:tabs>
          <w:tab w:leader="none" w:pos="380" w:val="left"/>
        </w:tabs>
        <w:numPr>
          <w:ilvl w:val="1"/>
          <w:numId w:val="61"/>
        </w:numPr>
        <w:rPr>
          <w:rFonts w:ascii="Arial" w:cs="Arial" w:eastAsia="Arial" w:hAnsi="Arial"/>
          <w:sz w:val="17"/>
          <w:szCs w:val="17"/>
          <w:color w:val="auto"/>
        </w:rPr>
      </w:pPr>
      <w:r>
        <w:rPr>
          <w:rFonts w:ascii="Arial" w:cs="Arial" w:eastAsia="Arial" w:hAnsi="Arial"/>
          <w:sz w:val="17"/>
          <w:szCs w:val="17"/>
          <w:color w:val="auto"/>
        </w:rPr>
        <w:t>Heritage aggregates product line pricing improvement of 3.0% and volume relatively flat</w:t>
      </w:r>
    </w:p>
    <w:p>
      <w:pPr>
        <w:spacing w:after="0" w:line="22" w:lineRule="exact"/>
        <w:rPr>
          <w:rFonts w:ascii="Arial" w:cs="Arial" w:eastAsia="Arial" w:hAnsi="Arial"/>
          <w:sz w:val="17"/>
          <w:szCs w:val="17"/>
          <w:color w:val="auto"/>
        </w:rPr>
      </w:pPr>
    </w:p>
    <w:p>
      <w:pPr>
        <w:ind w:left="220" w:right="20" w:hanging="211"/>
        <w:spacing w:after="0" w:line="243" w:lineRule="auto"/>
        <w:tabs>
          <w:tab w:leader="none" w:pos="2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Record Magnesia Specialties’ total revenues of $287.7 million and earnings from operations of $88.1 million</w:t>
      </w:r>
    </w:p>
    <w:p>
      <w:pPr>
        <w:spacing w:after="0" w:line="22" w:lineRule="exact"/>
        <w:rPr>
          <w:rFonts w:ascii="Arial" w:cs="Arial" w:eastAsia="Arial" w:hAnsi="Arial"/>
          <w:sz w:val="17"/>
          <w:szCs w:val="17"/>
          <w:color w:val="auto"/>
        </w:rPr>
      </w:pPr>
    </w:p>
    <w:p>
      <w:pPr>
        <w:ind w:left="220" w:right="20" w:hanging="211"/>
        <w:spacing w:after="0" w:line="243" w:lineRule="auto"/>
        <w:tabs>
          <w:tab w:leader="none" w:pos="2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Selling, general and administrative (SG&amp;A) expenses representing 6.6% of total revenues</w:t>
      </w:r>
    </w:p>
    <w:p>
      <w:pPr>
        <w:spacing w:after="0" w:line="22" w:lineRule="exact"/>
        <w:rPr>
          <w:rFonts w:ascii="Arial" w:cs="Arial" w:eastAsia="Arial" w:hAnsi="Arial"/>
          <w:sz w:val="17"/>
          <w:szCs w:val="17"/>
          <w:color w:val="auto"/>
        </w:rPr>
      </w:pPr>
    </w:p>
    <w:p>
      <w:pPr>
        <w:ind w:left="220" w:hanging="211"/>
        <w:spacing w:after="0"/>
        <w:tabs>
          <w:tab w:leader="none" w:pos="2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Operating cash flow of $705.1 million</w:t>
      </w:r>
    </w:p>
    <w:p>
      <w:pPr>
        <w:spacing w:after="0" w:line="203" w:lineRule="exact"/>
        <w:rPr>
          <w:sz w:val="20"/>
          <w:szCs w:val="20"/>
          <w:color w:val="auto"/>
        </w:rPr>
      </w:pPr>
    </w:p>
    <w:p>
      <w:pPr>
        <w:ind w:right="760"/>
        <w:spacing w:after="0" w:line="262" w:lineRule="auto"/>
        <w:rPr>
          <w:sz w:val="20"/>
          <w:szCs w:val="20"/>
          <w:color w:val="auto"/>
        </w:rPr>
      </w:pPr>
      <w:r>
        <w:rPr>
          <w:rFonts w:ascii="Arial" w:cs="Arial" w:eastAsia="Arial" w:hAnsi="Arial"/>
          <w:sz w:val="17"/>
          <w:szCs w:val="17"/>
          <w:b w:val="1"/>
          <w:bCs w:val="1"/>
          <w:i w:val="1"/>
          <w:iCs w:val="1"/>
          <w:color w:val="49B28F"/>
        </w:rPr>
        <w:t>Continued Disciplined Execution Against Capital Allocation Priorities:</w:t>
      </w:r>
    </w:p>
    <w:p>
      <w:pPr>
        <w:spacing w:after="0" w:line="12" w:lineRule="exact"/>
        <w:rPr>
          <w:sz w:val="20"/>
          <w:szCs w:val="20"/>
          <w:color w:val="auto"/>
        </w:rPr>
      </w:pPr>
    </w:p>
    <w:p>
      <w:pPr>
        <w:ind w:left="220" w:hanging="211"/>
        <w:spacing w:after="0" w:line="243" w:lineRule="auto"/>
        <w:tabs>
          <w:tab w:leader="none" w:pos="2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Resume share repurchases, purchasing 521,000 shares for $100.4 million</w:t>
      </w:r>
    </w:p>
    <w:p>
      <w:pPr>
        <w:spacing w:after="0" w:line="22" w:lineRule="exact"/>
        <w:rPr>
          <w:rFonts w:ascii="Arial" w:cs="Arial" w:eastAsia="Arial" w:hAnsi="Arial"/>
          <w:sz w:val="17"/>
          <w:szCs w:val="17"/>
          <w:color w:val="auto"/>
        </w:rPr>
      </w:pPr>
    </w:p>
    <w:p>
      <w:pPr>
        <w:ind w:left="220" w:right="20" w:hanging="211"/>
        <w:spacing w:after="0" w:line="243" w:lineRule="auto"/>
        <w:tabs>
          <w:tab w:leader="none" w:pos="2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Dividend increase of 9% in August 2018, resulting in annual dividends paid of $116.4 million</w:t>
      </w:r>
    </w:p>
    <w:p>
      <w:pPr>
        <w:spacing w:after="0" w:line="22" w:lineRule="exact"/>
        <w:rPr>
          <w:rFonts w:ascii="Arial" w:cs="Arial" w:eastAsia="Arial" w:hAnsi="Arial"/>
          <w:sz w:val="17"/>
          <w:szCs w:val="17"/>
          <w:color w:val="auto"/>
        </w:rPr>
      </w:pPr>
    </w:p>
    <w:p>
      <w:pPr>
        <w:jc w:val="both"/>
        <w:ind w:left="220" w:hanging="211"/>
        <w:spacing w:after="0" w:line="236" w:lineRule="auto"/>
        <w:tabs>
          <w:tab w:leader="none" w:pos="2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Ratio of consolidated net debt-to-consolidated EBITDA to 2.76 times for the trailing-twelve months ended December 31, 2018, calculated as prescribed in the Company’s bank credit agreements despite completing the debt-financed $1.625 billion acquisition of Bluegrass</w:t>
      </w:r>
    </w:p>
    <w:p>
      <w:pPr>
        <w:spacing w:after="0" w:line="714"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6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45</w:t>
      </w:r>
    </w:p>
    <w:p>
      <w:pPr>
        <w:sectPr>
          <w:pgSz w:w="11900" w:h="16838" w:orient="portrait"/>
          <w:cols w:equalWidth="0" w:num="1">
            <w:col w:w="11420"/>
          </w:cols>
          <w:pgMar w:left="240" w:top="265" w:right="2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BUSINESS ENVIRONMENT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Building Materials Business</w:t>
      </w:r>
    </w:p>
    <w:p>
      <w:pPr>
        <w:spacing w:after="0" w:line="3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Building Materials business serves customers in the construction marketplace. The business’ profitability is sensitive to national, regional and local economic conditions and cyclical swings in construction spending, which are in turn affected by fluctuations in levels of public-sector infrastructure funding; interest rates; access to capital markets; and demographic, geographic, employment and population dynamics.</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The heavy-side construction business, inclusive of much of the Company’s operations, is conducted outdoors. Therefore, erratic weather patterns, precipitation and other weather-related conditions, including flooding, hurricanes, snowstorms and droughts, can significantly affect production schedules, shipments, costs, efficiencies and profitability. Generally, the financial results for the first and fourth quarters are subject to the impacts of winter weather, while the second and third quarters are subject to the impacts of heavy precipitation. The impacts of erratic weather patterns are more fully discussed in the </w:t>
      </w:r>
      <w:r>
        <w:rPr>
          <w:rFonts w:ascii="Arial" w:cs="Arial" w:eastAsia="Arial" w:hAnsi="Arial"/>
          <w:sz w:val="17"/>
          <w:szCs w:val="17"/>
          <w:i w:val="1"/>
          <w:iCs w:val="1"/>
          <w:color w:val="auto"/>
        </w:rPr>
        <w:t xml:space="preserve">Building Materials Business’ Key Considerations </w:t>
      </w:r>
      <w:r>
        <w:rPr>
          <w:rFonts w:ascii="Arial" w:cs="Arial" w:eastAsia="Arial" w:hAnsi="Arial"/>
          <w:sz w:val="17"/>
          <w:szCs w:val="17"/>
          <w:color w:val="auto"/>
        </w:rPr>
        <w:t>section.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Product Lines</w:t>
      </w:r>
    </w:p>
    <w:p>
      <w:pPr>
        <w:spacing w:after="0" w:line="39" w:lineRule="exact"/>
        <w:rPr>
          <w:sz w:val="20"/>
          <w:szCs w:val="20"/>
          <w:color w:val="auto"/>
        </w:rPr>
      </w:pPr>
    </w:p>
    <w:p>
      <w:pPr>
        <w:jc w:val="both"/>
        <w:spacing w:after="0"/>
        <w:rPr>
          <w:sz w:val="20"/>
          <w:szCs w:val="20"/>
          <w:color w:val="auto"/>
        </w:rPr>
      </w:pPr>
      <w:r>
        <w:rPr>
          <w:rFonts w:ascii="Arial" w:cs="Arial" w:eastAsia="Arial" w:hAnsi="Arial"/>
          <w:sz w:val="17"/>
          <w:szCs w:val="17"/>
          <w:color w:val="auto"/>
        </w:rPr>
        <w:t>Aggregates are an engineered, granular material consisting of crushed stone, sand and gravel of varying mineralogies, manufactured to specific sizes, grades and chemistry for use primarily in construction applications. The Company’s operations consist primarily of open pit quarries; however, the Company is also the largest operator of underground aggregates mines in the United States, with 14 active underground mines located in the Mid-America Group. On average, the Company’s aggregates reserves exceed 75 years based on normalized production levels and approximate 100 years at current production rates.</w:t>
      </w:r>
    </w:p>
    <w:p>
      <w:pPr>
        <w:spacing w:after="0" w:line="34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Cement is the basic binding agent used to bind water, aggregates and sand, in the production of ready mixed concrete. The Company has a strategic and leading cement position in the Texas market, with production facilities in Midlothian, Texas, south of Dallas/Fort Worth, and Hunter, Texas, north of San Antonio. These plants produce Portland and specialty cements, have a combined annual capacity of 4.5 million tons, and operated at 75% to 80% utilization in 2018. The Midlothian plant has a permit that provides an 800,000-ton-expansion opportunity. In addition to the two production facilities, the Company operates four cement distribution terminals. Calcium carbonate in the form of limestone is the principal raw material used in the production of cement.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The Company owns more than 600 million tons of limestone reserves adjacent to its cement production 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-4705985</wp:posOffset>
            </wp:positionV>
            <wp:extent cx="2872740" cy="43224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1">
                      <a:extLst>
                        <a:ext uri="{28A0092B-C50C-407E-A947-70E740481C1C}"/>
                      </a:extLst>
                    </a:blip>
                    <a:srcRect/>
                    <a:stretch>
                      <a:fillRect/>
                    </a:stretch>
                  </pic:blipFill>
                  <pic:spPr bwMode="auto">
                    <a:xfrm>
                      <a:off x="0" y="0"/>
                      <a:ext cx="2872740" cy="4322445"/>
                    </a:xfrm>
                    <a:prstGeom prst="rect">
                      <a:avLst/>
                    </a:prstGeom>
                    <a:noFill/>
                  </pic:spPr>
                </pic:pic>
              </a:graphicData>
            </a:graphic>
          </wp:anchor>
        </w:drawing>
      </w:r>
    </w:p>
    <w:p>
      <w:pPr>
        <w:spacing w:after="0" w:line="17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Ready mixed concrete, a mixture primarily of cement, water and aggregates, is measured in cubic yards and specifically batched or produced for customers’ construction projects and then transported and poured at the project site. The aggregates used for ready mixed concrete is a washed material with limited amounts of fines (i.e., dirt and clay). The Company operates 140 ready mix plants in Texas, Colorado, Louisiana and Arkansas. Asphalt is most commonly used in surfacing roads and parking lots and consists of liquid asphalt, or bitumen, the binding medium, and aggregates. Similar to ready mixed concrete, each asphalt batch is produced to customer specifications. The Company’s asphalt operations are located primarily in Colorado; additionally, paving services are offered in Colorado. Market dynamics for these downstream product lines include a highly competitive environment and lower barriers to entry compared with aggregates and cement.</w:t>
      </w:r>
    </w:p>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46</w:t>
      </w:r>
    </w:p>
    <w:p>
      <w:pPr>
        <w:sectPr>
          <w:pgSz w:w="11900" w:h="16838" w:orient="portrait"/>
          <w:cols w:equalWidth="0" w:num="1">
            <w:col w:w="11420"/>
          </w:cols>
          <w:pgMar w:left="240" w:top="265" w:right="2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End-Use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3481705" cy="16421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extLst>
                        <a:ext uri="{28A0092B-C50C-407E-A947-70E740481C1C}"/>
                      </a:extLst>
                    </a:blip>
                    <a:srcRect/>
                    <a:stretch>
                      <a:fillRect/>
                    </a:stretch>
                  </pic:blipFill>
                  <pic:spPr bwMode="auto">
                    <a:xfrm>
                      <a:off x="0" y="0"/>
                      <a:ext cx="3481705" cy="1642110"/>
                    </a:xfrm>
                    <a:prstGeom prst="rect">
                      <a:avLst/>
                    </a:prstGeom>
                    <a:noFill/>
                  </pic:spPr>
                </pic:pic>
              </a:graphicData>
            </a:graphic>
          </wp:anchor>
        </w:drawing>
      </w:r>
    </w:p>
    <w:p>
      <w:pPr>
        <w:spacing w:after="0" w:line="69" w:lineRule="exact"/>
        <w:rPr>
          <w:sz w:val="20"/>
          <w:szCs w:val="20"/>
          <w:color w:val="auto"/>
        </w:rPr>
      </w:pPr>
    </w:p>
    <w:p>
      <w:pPr>
        <w:ind w:left="400" w:right="80" w:hanging="297"/>
        <w:spacing w:after="0" w:line="236" w:lineRule="auto"/>
        <w:tabs>
          <w:tab w:leader="none" w:pos="40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According to the U.S. Geological Survey, for the nine months ended September 30, 2018, the latest available governmental data, estimated construction aggregates consumption and cement consumption increased 3% compared with the nine months ended September 30, 2017</w:t>
      </w:r>
    </w:p>
    <w:p>
      <w:pPr>
        <w:spacing w:after="0" w:line="2" w:lineRule="exact"/>
        <w:rPr>
          <w:rFonts w:ascii="Arial" w:cs="Arial" w:eastAsia="Arial" w:hAnsi="Arial"/>
          <w:sz w:val="17"/>
          <w:szCs w:val="17"/>
          <w:color w:val="auto"/>
        </w:rPr>
      </w:pPr>
    </w:p>
    <w:p>
      <w:pPr>
        <w:ind w:left="400" w:right="180" w:hanging="297"/>
        <w:spacing w:after="0" w:line="232" w:lineRule="auto"/>
        <w:tabs>
          <w:tab w:leader="none" w:pos="40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Spending statistics for the eleven months ended November 2018 versus the eleven months ended November 2017, the latest available data, according to U.S. Census Bureau:</w:t>
      </w:r>
    </w:p>
    <w:p>
      <w:pPr>
        <w:ind w:left="540" w:hanging="181"/>
        <w:spacing w:after="0" w:line="232" w:lineRule="auto"/>
        <w:tabs>
          <w:tab w:leader="none" w:pos="540" w:val="left"/>
        </w:tabs>
        <w:numPr>
          <w:ilvl w:val="1"/>
          <w:numId w:val="63"/>
        </w:numPr>
        <w:rPr>
          <w:rFonts w:ascii="Arial" w:cs="Arial" w:eastAsia="Arial" w:hAnsi="Arial"/>
          <w:sz w:val="17"/>
          <w:szCs w:val="17"/>
          <w:i w:val="1"/>
          <w:iCs w:val="1"/>
          <w:color w:val="auto"/>
        </w:rPr>
      </w:pPr>
      <w:r>
        <w:rPr>
          <w:rFonts w:ascii="Arial" w:cs="Arial" w:eastAsia="Arial" w:hAnsi="Arial"/>
          <w:sz w:val="17"/>
          <w:szCs w:val="17"/>
          <w:i w:val="1"/>
          <w:iCs w:val="1"/>
          <w:color w:val="auto"/>
        </w:rPr>
        <w:t>Total value of construction put in place increased 5%</w:t>
      </w:r>
    </w:p>
    <w:p>
      <w:pPr>
        <w:ind w:left="540" w:hanging="181"/>
        <w:spacing w:after="0" w:line="232" w:lineRule="auto"/>
        <w:tabs>
          <w:tab w:leader="none" w:pos="540" w:val="left"/>
        </w:tabs>
        <w:numPr>
          <w:ilvl w:val="1"/>
          <w:numId w:val="63"/>
        </w:numPr>
        <w:rPr>
          <w:rFonts w:ascii="Arial" w:cs="Arial" w:eastAsia="Arial" w:hAnsi="Arial"/>
          <w:sz w:val="17"/>
          <w:szCs w:val="17"/>
          <w:i w:val="1"/>
          <w:iCs w:val="1"/>
          <w:color w:val="auto"/>
        </w:rPr>
      </w:pPr>
      <w:r>
        <w:rPr>
          <w:rFonts w:ascii="Arial" w:cs="Arial" w:eastAsia="Arial" w:hAnsi="Arial"/>
          <w:sz w:val="17"/>
          <w:szCs w:val="17"/>
          <w:i w:val="1"/>
          <w:iCs w:val="1"/>
          <w:color w:val="auto"/>
        </w:rPr>
        <w:t>Public construction spending increased 7%</w:t>
      </w:r>
    </w:p>
    <w:p>
      <w:pPr>
        <w:ind w:left="540" w:right="240" w:hanging="181"/>
        <w:spacing w:after="0" w:line="232" w:lineRule="auto"/>
        <w:tabs>
          <w:tab w:leader="none" w:pos="540" w:val="left"/>
        </w:tabs>
        <w:numPr>
          <w:ilvl w:val="1"/>
          <w:numId w:val="63"/>
        </w:numPr>
        <w:rPr>
          <w:rFonts w:ascii="Arial" w:cs="Arial" w:eastAsia="Arial" w:hAnsi="Arial"/>
          <w:sz w:val="17"/>
          <w:szCs w:val="17"/>
          <w:i w:val="1"/>
          <w:iCs w:val="1"/>
          <w:color w:val="auto"/>
        </w:rPr>
      </w:pPr>
      <w:r>
        <w:rPr>
          <w:rFonts w:ascii="Arial" w:cs="Arial" w:eastAsia="Arial" w:hAnsi="Arial"/>
          <w:sz w:val="17"/>
          <w:szCs w:val="17"/>
          <w:i w:val="1"/>
          <w:iCs w:val="1"/>
          <w:color w:val="auto"/>
        </w:rPr>
        <w:t>Private nonresidential construction market spending increased 4%</w:t>
      </w:r>
    </w:p>
    <w:p>
      <w:pPr>
        <w:ind w:left="540" w:hanging="181"/>
        <w:spacing w:after="0"/>
        <w:tabs>
          <w:tab w:leader="none" w:pos="540" w:val="left"/>
        </w:tabs>
        <w:numPr>
          <w:ilvl w:val="1"/>
          <w:numId w:val="63"/>
        </w:numPr>
        <w:rPr>
          <w:rFonts w:ascii="Arial" w:cs="Arial" w:eastAsia="Arial" w:hAnsi="Arial"/>
          <w:sz w:val="17"/>
          <w:szCs w:val="17"/>
          <w:i w:val="1"/>
          <w:iCs w:val="1"/>
          <w:color w:val="auto"/>
        </w:rPr>
      </w:pPr>
      <w:r>
        <w:rPr>
          <w:rFonts w:ascii="Arial" w:cs="Arial" w:eastAsia="Arial" w:hAnsi="Arial"/>
          <w:sz w:val="17"/>
          <w:szCs w:val="17"/>
          <w:i w:val="1"/>
          <w:iCs w:val="1"/>
          <w:color w:val="auto"/>
        </w:rPr>
        <w:t>Private residential construction market spending increased 4%</w:t>
      </w:r>
    </w:p>
    <w:p>
      <w:pPr>
        <w:spacing w:after="0" w:line="277"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principal end-use markets of the Building Materials business are public infrastructure (i.e., highways; streets; roads; bridges; and schools); nonresidential construction (i.e., manufacturing and distribution facilities; industrial complexes; office buildings; large retailers and wholesalers; and energy-related activity); and residential construction (i.e., subdivision development; and single- and multi-family housing). Aggregates are also used in agricultural, utility and environmental applications and as railroad ballast, collectively comprising the ChemRock/Rail market.</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Public infrastructure jobs can require several years to complete, while residential and nonresidential construction jobs are usually completed within one year. Generally, the purchase orders the Company receives from its customers do not contain firm quantity commitments, regardless of end-use market. Therefore, management does not utilize a Company backlog in managing its business.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9B28F"/>
        </w:rPr>
        <w:t>Public Infrastructure</w:t>
      </w:r>
    </w:p>
    <w:p>
      <w:pPr>
        <w:spacing w:after="0" w:line="4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public infrastructure market accounted for 39% of the Company’s aggregates product line shipments in 2018. Contractor capacity issues and logistics disruptions have exerted disproportionate downward pressure on public construction activity, resulting in the Company’s shipments to this end-use market remaining below the most recent five-year average of 41% and ten-year average of 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rPr>
          <w:sz w:val="20"/>
          <w:szCs w:val="20"/>
          <w:color w:val="auto"/>
        </w:rPr>
      </w:pPr>
      <w:r>
        <w:rPr>
          <w:rFonts w:ascii="Arial" w:cs="Arial" w:eastAsia="Arial" w:hAnsi="Arial"/>
          <w:sz w:val="17"/>
          <w:szCs w:val="17"/>
          <w:color w:val="auto"/>
        </w:rPr>
        <w:t xml:space="preserve">While construction spending in the public and private market sectors is affected by economic cycles, the historic level of spending on public infrastructure projects has been comparatively more stable due to predictability of funding from federal, state and local governments, with approximately half of the funding from federal government and half from state and local governments. The </w:t>
      </w:r>
      <w:r>
        <w:rPr>
          <w:rFonts w:ascii="Arial" w:cs="Arial" w:eastAsia="Arial" w:hAnsi="Arial"/>
          <w:sz w:val="17"/>
          <w:szCs w:val="17"/>
          <w:i w:val="1"/>
          <w:iCs w:val="1"/>
          <w:color w:val="auto"/>
        </w:rPr>
        <w:t>Fixing America’s Surface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Transportation Act </w:t>
      </w:r>
      <w:r>
        <w:rPr>
          <w:rFonts w:ascii="Arial" w:cs="Arial" w:eastAsia="Arial" w:hAnsi="Arial"/>
          <w:sz w:val="17"/>
          <w:szCs w:val="17"/>
          <w:color w:val="auto"/>
        </w:rPr>
        <w:t>(FAST Act), signed into law on December 4, 2015, was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first long-term transportation funding bill in nearly a decade and authorized $305 billion over fiscal years 2016 through 2020. Included with FAST Act funding is $300 million available for loans issued under </w:t>
      </w:r>
      <w:r>
        <w:rPr>
          <w:rFonts w:ascii="Arial" w:cs="Arial" w:eastAsia="Arial" w:hAnsi="Arial"/>
          <w:sz w:val="17"/>
          <w:szCs w:val="17"/>
          <w:i w:val="1"/>
          <w:iCs w:val="1"/>
          <w:color w:val="auto"/>
        </w:rPr>
        <w:t xml:space="preserve">Transportation Infrastructure Finance and Innovation Act </w:t>
      </w:r>
      <w:r>
        <w:rPr>
          <w:rFonts w:ascii="Arial" w:cs="Arial" w:eastAsia="Arial" w:hAnsi="Arial"/>
          <w:sz w:val="17"/>
          <w:szCs w:val="17"/>
          <w:color w:val="auto"/>
        </w:rPr>
        <w:t>(TIFIA).</w:t>
      </w:r>
      <w:r>
        <w:rPr>
          <w:rFonts w:ascii="Arial" w:cs="Arial" w:eastAsia="Arial" w:hAnsi="Arial"/>
          <w:sz w:val="17"/>
          <w:szCs w:val="17"/>
          <w:i w:val="1"/>
          <w:iCs w:val="1"/>
          <w:color w:val="auto"/>
        </w:rPr>
        <w:t xml:space="preserve"> </w:t>
      </w:r>
      <w:r>
        <w:rPr>
          <w:rFonts w:ascii="Arial" w:cs="Arial" w:eastAsia="Arial" w:hAnsi="Arial"/>
          <w:sz w:val="17"/>
          <w:szCs w:val="17"/>
          <w:color w:val="auto"/>
        </w:rPr>
        <w:t>However, to date, public infrastructure activity has not yet experienced the anticipated benefits from FAST Act funding. While some contractors are reporting longer lag times between contract awards and project commencement, public construction projects, once awarded, are seen through to completion. Thus, delays from weather or other factors typically serve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-6269355</wp:posOffset>
            </wp:positionV>
            <wp:extent cx="2821305" cy="41509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2821305" cy="41509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47</w:t>
      </w:r>
    </w:p>
    <w:p>
      <w:pPr>
        <w:sectPr>
          <w:pgSz w:w="11900" w:h="16838" w:orient="portrait"/>
          <w:cols w:equalWidth="0" w:num="1">
            <w:col w:w="11420"/>
          </w:cols>
          <w:pgMar w:left="240" w:top="265" w:right="2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extend the duration of the construction cycle. State and local initiatives that support infrastructure funding, including gas tax increases and other ballot initiatives in recent years, are increasing in size and number as these governments recognize the need to play an expanded role in public infrastructure funding. Nationally, 78% of nearly 1,700 ballot initiatives since the 2009 elections were approved by voters. Importantly, in November 2018, $26.8 billion of transportation funding initiatives were approved in Florida, Texas, Colorado, Georgia, North Carolina and South Carolina. The pace of construction should accelerate and shipments to the public infrastructure market should return to historical levels as monies from both the federal government and state and local governments become awarded. A return to the higher historical shipment volumes should be facilitated by state Departments of Transportations (DOTs) and contractors as they address their respective labor constraints.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9B28F"/>
        </w:rPr>
        <w:t>Nonresidential</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nonresidential construction market accounted for 33% of the Company’s aggregates product line shipments in 2018. According to the U.S. Census Bureau, spending for the private nonresidential construction market increased 3.5%, or $13.9 billion, for the eleven months ended November 2018 compared with 2017. The Dodge Momentum Index (DMI), a twelve-month leading indicator of construction spending for nonresidential building compiled by McGraw-Hill Construction and where the year 2000 serves as an index basis of 100, was 151.9 in December 2018 compared with 153.9 in December 2017. The DMI suggests nonresidential construction activity will remain healthy over the next several years. Historically, half of the Company’s nonresidential construction shipments have been used for office and retail projects, while the remainder has been used for heavy industrial and capacity-related projects, including energy-related projects. Since the latter part of 2015, reduced oil prices have suppressed shipments directly into shale exploration activities. Large, energy-related projects, which were completed in 2016 and required the full suite of the Building Materials products in the West Group, contributed favorably to shipments and profitability through the life of the projects.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9B28F"/>
        </w:rPr>
        <w:t>Residential</w:t>
      </w:r>
    </w:p>
    <w:p>
      <w:pPr>
        <w:spacing w:after="0" w:line="4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residential construction market accounted for 22% of the Company’s aggregates product line shipments in 2018. Private residential construction spending increased 4% for the eleven months ended November 2018 compared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2017, according to the U.S. Census Bureau. The residential construction market, like the nonresidential construction market, is interest rate sensitive and typically moves in direct correlation with economic cycles. The Company’s exposure to residential construction is split between aggregates used in the construction of subdivisions (including roads, sidewalks, utilities and storm and sewage drainage), aggregates used in new single-family home construction and aggregates used in construction of multi-family units. Construction of both subdivisions and single-family homes is more aggregates intensive than construction of multi-family units. Through an economic cycle, multi-family construction generally begins early in the cycle and then transitions to single-family construction. Therefore, the timing of new subdivision starts, as well as new single-family housing permits, are strong indicators of residential volumes. While residential housing starts of 1.3 million units for the twelve months ended November 2018 were flat compared with the comparable prior-year period, they remain below the 50-year historical annual average of 1.5 million units. For the twelve months ended November 2018, eight of the Company’s key states ranked in the top fifteen states for total housing permits. The Company expects continued growth in the residential market driven by favorable demographics, job growth, land availability and efficient permitting.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9B28F"/>
        </w:rPr>
        <w:t>ChemRock/Rail</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remaining 6% of the Company’s 2018 aggregates product line shipments was to the ChemRock/Rail market, which includes ballast and agricultural limestone. Ballast is an aggregates product used to stabilize railroad track beds and, increasingly, concrete rail ties are being used as a substitute for wooden ties. Agricultural lime, a high-calcium carbonate material, is used as a supplement in animal feed, a soil acidity neutralizer and agricultural growth enhancer. Additionally, ChemRock/Rail includes rip rap, which is used as a stabilizing material to control erosion caused by water runoff at embankments, ocean beaches, inlets, rivers and streams, and high-calcium limestone, which is used as filler in glass, plastic, paint, rubber, adhesives, grease and paper. Chemical-grade, high-calcium limestone is used as a desulfurization material in utility plants. Ballast shipments declined in 2018 due to lower maintenance spending by Class I railroads.</w:t>
      </w:r>
    </w:p>
    <w:p>
      <w:pPr>
        <w:spacing w:after="0" w:line="1202"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48</w:t>
      </w:r>
    </w:p>
    <w:p>
      <w:pPr>
        <w:sectPr>
          <w:pgSz w:w="11900" w:h="16838" w:orient="portrait"/>
          <w:cols w:equalWidth="0" w:num="1">
            <w:col w:w="11420"/>
          </w:cols>
          <w:pgMar w:left="240" w:top="265" w:right="2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Pricing Trends</w:t>
      </w:r>
    </w:p>
    <w:p>
      <w:pPr>
        <w:spacing w:after="0" w:line="5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Pricing for construction projects is generally based on terms committing to the availability of specified products of a stated quantity at an agreed-upon price during a definitive period. Due to infrastructure projects spanning multiple years, announced changes in prices can have a lag time before taking effect while the Company sells products under existing price agreements. Pricing escalators included in multi-year infrastructure contracts somewhat mitigate this effect. However, during periods of sharp or rapid increases in production costs, multi-year infrastructure contract pricing may provide only nominal pricing growth. Additionally, the Company may implement mid-year price increases, on a market-by-market basis, where appropriate. Pricing is determined locally and is affected by supply and demand characteristics of the local market.</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2018, the average selling price for the aggregates product line increased 1.9%, where heritage aggregates pricing increased 3.0%, in line with management’s expectations. Management believes 2019 aggregates product line pricing growth will be in the mid-single digits.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Cost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3481705" cy="1204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extLst>
                        <a:ext uri="{28A0092B-C50C-407E-A947-70E740481C1C}"/>
                      </a:extLst>
                    </a:blip>
                    <a:srcRect/>
                    <a:stretch>
                      <a:fillRect/>
                    </a:stretch>
                  </pic:blipFill>
                  <pic:spPr bwMode="auto">
                    <a:xfrm>
                      <a:off x="0" y="0"/>
                      <a:ext cx="3481705" cy="1204595"/>
                    </a:xfrm>
                    <a:prstGeom prst="rect">
                      <a:avLst/>
                    </a:prstGeom>
                    <a:noFill/>
                  </pic:spPr>
                </pic:pic>
              </a:graphicData>
            </a:graphic>
          </wp:anchor>
        </w:drawing>
      </w:r>
    </w:p>
    <w:p>
      <w:pPr>
        <w:spacing w:after="0" w:line="96" w:lineRule="exact"/>
        <w:rPr>
          <w:sz w:val="20"/>
          <w:szCs w:val="20"/>
          <w:color w:val="auto"/>
        </w:rPr>
      </w:pPr>
    </w:p>
    <w:p>
      <w:pPr>
        <w:ind w:left="400" w:right="20" w:hanging="297"/>
        <w:spacing w:after="0" w:line="257" w:lineRule="auto"/>
        <w:tabs>
          <w:tab w:leader="none" w:pos="4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The top four cost categories, details which follow, represent 66% of the Building Materials business’ total direct production costs</w:t>
      </w:r>
    </w:p>
    <w:p>
      <w:pPr>
        <w:ind w:left="400" w:right="260" w:hanging="297"/>
        <w:spacing w:after="0" w:line="243" w:lineRule="auto"/>
        <w:tabs>
          <w:tab w:leader="none" w:pos="4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Health and welfare costs increased approximately 8% per year over past five years compared with the national average of 6% over same period; Company’s costs expected to increase 3% in 2019</w:t>
      </w:r>
    </w:p>
    <w:p>
      <w:pPr>
        <w:spacing w:after="0" w:line="5" w:lineRule="exact"/>
        <w:rPr>
          <w:rFonts w:ascii="Arial" w:cs="Arial" w:eastAsia="Arial" w:hAnsi="Arial"/>
          <w:sz w:val="17"/>
          <w:szCs w:val="17"/>
          <w:color w:val="auto"/>
        </w:rPr>
      </w:pPr>
    </w:p>
    <w:p>
      <w:pPr>
        <w:ind w:left="400" w:hanging="297"/>
        <w:spacing w:after="0"/>
        <w:tabs>
          <w:tab w:leader="none" w:pos="4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Pension expense decreased to $34.7 million in 2018 from</w:t>
      </w:r>
    </w:p>
    <w:p>
      <w:pPr>
        <w:spacing w:after="0" w:line="11" w:lineRule="exact"/>
        <w:rPr>
          <w:rFonts w:ascii="Arial" w:cs="Arial" w:eastAsia="Arial" w:hAnsi="Arial"/>
          <w:sz w:val="17"/>
          <w:szCs w:val="17"/>
          <w:color w:val="auto"/>
        </w:rPr>
      </w:pPr>
    </w:p>
    <w:p>
      <w:pPr>
        <w:ind w:left="400" w:right="160"/>
        <w:spacing w:after="0" w:line="243" w:lineRule="auto"/>
        <w:rPr>
          <w:rFonts w:ascii="Arial" w:cs="Arial" w:eastAsia="Arial" w:hAnsi="Arial"/>
          <w:sz w:val="17"/>
          <w:szCs w:val="17"/>
          <w:color w:val="auto"/>
        </w:rPr>
      </w:pPr>
      <w:r>
        <w:rPr>
          <w:rFonts w:ascii="Arial" w:cs="Arial" w:eastAsia="Arial" w:hAnsi="Arial"/>
          <w:sz w:val="17"/>
          <w:szCs w:val="17"/>
          <w:i w:val="1"/>
          <w:iCs w:val="1"/>
          <w:color w:val="auto"/>
        </w:rPr>
        <w:t>$37.6 million in 2017; pension costs are expected to approximate $36.9 million in 2019</w:t>
      </w:r>
    </w:p>
    <w:p>
      <w:pPr>
        <w:spacing w:after="0" w:line="26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Direct production costs for the Building Materials business are components of cost of sales incurred at the quarries, mines, distribution yards and facilities, cement plants, ready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mixed concrete plants and asphalt plants. Cost of sales also includes the cost of resale materials, freight expenses to transport materials from a producing quarry to a distribution yard and production overhead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-2937510</wp:posOffset>
            </wp:positionV>
            <wp:extent cx="3112770" cy="24352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8">
                      <a:extLst>
                        <a:ext uri="{28A0092B-C50C-407E-A947-70E740481C1C}"/>
                      </a:extLst>
                    </a:blip>
                    <a:srcRect/>
                    <a:stretch>
                      <a:fillRect/>
                    </a:stretch>
                  </pic:blipFill>
                  <pic:spPr bwMode="auto">
                    <a:xfrm>
                      <a:off x="0" y="0"/>
                      <a:ext cx="3112770" cy="2435225"/>
                    </a:xfrm>
                    <a:prstGeom prst="rect">
                      <a:avLst/>
                    </a:prstGeom>
                    <a:noFill/>
                  </pic:spPr>
                </pic:pic>
              </a:graphicData>
            </a:graphic>
          </wp:anchor>
        </w:drawing>
      </w:r>
    </w:p>
    <w:p>
      <w:pPr>
        <w:spacing w:after="0" w:line="18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Generally, the top seven categories of direct production costs for the Building Materials business are (1) labor and related benefits; (2) raw materials; (3) depreciation, depletion and amortization (DDA); (4) repairs and maintenance; (5) energy; (6) contract services; and (7) supplies. In 2018, these categories represented 91% of the Building Materials business’ total direct production costs.</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Variable costs are expenses that fluctuate with the level of production volume while fixed costs are expenses that do not vary based on production or sales volume. Accordingly, the Company’s operating leverage can be substantial. Production is the key driver in determining the levels of variable costs, as it affects the number of hourly employees and related labor hours. Further, components of energy, supplies and repairs and maintenance costs also increase in connection with higher production volumes.</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Generally, when the Company invests capital in facilities and equipment, increased capacity and productivity, along with</w:t>
      </w:r>
    </w:p>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49</w:t>
      </w:r>
    </w:p>
    <w:p>
      <w:pPr>
        <w:sectPr>
          <w:pgSz w:w="11900" w:h="16838" w:orient="portrait"/>
          <w:cols w:equalWidth="0" w:num="1">
            <w:col w:w="11420"/>
          </w:cols>
          <w:pgMar w:left="240" w:top="265" w:right="2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reduced repair costs, can offset increased fixed depreciation costs. However, with muted aggregates demand, the increased productivity and related efficiencies may not be fully realized, resulting in under absorption of fixed costs. Further, the aggregates facilities continue to operate at a level significantly below capacity, thereby, restricting the Company’s ability to capitalize $44.5 million and $36.5 million of costs at December 31, 2018 and 2017, respectively, in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-3646805</wp:posOffset>
            </wp:positionV>
            <wp:extent cx="2898775" cy="26670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2898775" cy="2667000"/>
                    </a:xfrm>
                    <a:prstGeom prst="rect">
                      <a:avLst/>
                    </a:prstGeom>
                    <a:noFill/>
                  </pic:spPr>
                </pic:pic>
              </a:graphicData>
            </a:graphic>
          </wp:anchor>
        </w:drawing>
      </w:r>
    </w:p>
    <w:p>
      <w:pPr>
        <w:spacing w:after="0" w:line="18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Company’s ready mixed concrete and asphalt product lines require the use of raw materials in the production of their products. Cement and liquid asphalt are key raw materials in the production of ready mixed concrete and asphalt, respectively. Therefore, fluctuations in prices for these raw materials directly affect the Company’s operating results. Liquid asphalt prices were higher in 2018 versus 2017, but may not always proportionately follow changes in the prices of other energy products (e.g., oil or diesel fuel) because of complexities in the refining process which converts a barrel of oil into other fuels and petrochemical products.</w:t>
      </w:r>
    </w:p>
    <w:p>
      <w:pPr>
        <w:spacing w:after="0" w:line="20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cement product line is a capital-intensive operation with high-fixed costs to run plants that operate all day, every day, with the exception of maintenance shutdowns. Kiln and finishing mill maintenance typically requires a plant to be shut down for a period of time as repairs are made. In 2018, 2017 and 2016, the cement product line incurred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plant maintenance outage costs of $17.3 million, $14.0 million and $22.9 million, respectively. The Company adjusts production levels in anticipation of planned maintenance shutdowns.</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Diesel fuel represents the single largest component of energy costs for the Building Materials business. The average cost per gallon of diesel fuel was $2.29, $1.81 and $1.96 in 2018, 2017 and 2016, respectively. Pricing in 2016 reflects an unfavorable fixed-price agreement which expired on December 31, 2016. Changes in energy costs also affect the prices that the Company pays for related supplies, including explosives, conveyor belting and tires. Further, the Company’s contracts of affreightment for shipping products on its rail and waterborne distribution network typically include provisions for escalations or reductions in the amounts paid by the Company if the price of fuel moves outside a stated range.</w:t>
      </w: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Wage inflation and increases in labor costs may be somewhat mitigated by enhanced productivity in an expanding economy. Further, workforce reductions resulting from process automation and mobile fleet right-sizing have mitigated rising labor costs. During economic downturns, the Company reviews its operations and, where practical, temporarily idles certain sites. The Company is able to serve these markets with other open facilities that are in close proximity. Further, in certain markets, management can create production “super crews” that work on a rotating basis at various locations within a district. For example, within a market, a crew may work three days per week at one quarry and the other two workdays at another quarry within that market. This has allowed the Company to responsibly manage headcount in periods of lower demand.</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There is a risk of long-lived asset impairment at temporarily-idled locations. The timing of increased demand will determine when these locations are fully reopened. During the time that locations are temporarily idled, the locations’ plant and equipment continue to be depreciated. When appropriate, mobile equipment is transferred and used at an open location. As the Company continues to have long-term access to the supply of aggregates reserves and extend the useful lives of equipment, these locations are not impaired. When temporarily-idled locations are reopened, it is typical for equipment repair costs to, in the short term, increase.</w:t>
      </w:r>
    </w:p>
    <w:p>
      <w:pPr>
        <w:spacing w:after="0" w:line="1938"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50</w:t>
      </w:r>
    </w:p>
    <w:p>
      <w:pPr>
        <w:sectPr>
          <w:pgSz w:w="11900" w:h="16838" w:orient="portrait"/>
          <w:cols w:equalWidth="0" w:num="1">
            <w:col w:w="11420"/>
          </w:cols>
          <w:pgMar w:left="240" w:top="265" w:right="2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Rising health care costs continue to affect total labor costs. Over the past five years, national health care costs have increased approximately 6% on average, and are expected to increase at this rate in 2019. This expected cost increase is compounded for all employers by uncertainty relating to unpredictable high-cost claims. The Company’s per employee health care cost increased 8% on average per year from 2014 through 2018, driven primarily by increased high-cost claims activity in 2018. For 2019, the Company’s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2898775" cy="21266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extLst>
                        <a:ext uri="{28A0092B-C50C-407E-A947-70E740481C1C}"/>
                      </a:extLst>
                    </a:blip>
                    <a:srcRect/>
                    <a:stretch>
                      <a:fillRect/>
                    </a:stretch>
                  </pic:blipFill>
                  <pic:spPr bwMode="auto">
                    <a:xfrm>
                      <a:off x="0" y="0"/>
                      <a:ext cx="2898775"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and welfare costs are expected to increase slightly below general marketplace trends. While potential changes to the Affordable Care Act (including the 40% excise tax on high-cost plans effective in 2022) may affect the Company’s cost in the future, any impact cannot be predicted at this time.</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 xml:space="preserve">Despite a higher discount rate, the Company’s pension expense is expected to increase from $34.7 million in 2018 to an estimated $36.9 million in 2019 (see section </w:t>
      </w:r>
      <w:r>
        <w:rPr>
          <w:rFonts w:ascii="Arial" w:cs="Arial" w:eastAsia="Arial" w:hAnsi="Arial"/>
          <w:sz w:val="17"/>
          <w:szCs w:val="17"/>
          <w:i w:val="1"/>
          <w:iCs w:val="1"/>
          <w:color w:val="auto"/>
        </w:rPr>
        <w:t>Critical Accounting Policies and</w:t>
      </w:r>
      <w:r>
        <w:rPr>
          <w:rFonts w:ascii="Arial" w:cs="Arial" w:eastAsia="Arial" w:hAnsi="Arial"/>
          <w:sz w:val="17"/>
          <w:szCs w:val="17"/>
          <w:color w:val="auto"/>
        </w:rPr>
        <w:t xml:space="preserve"> </w:t>
      </w:r>
      <w:r>
        <w:rPr>
          <w:rFonts w:ascii="Arial" w:cs="Arial" w:eastAsia="Arial" w:hAnsi="Arial"/>
          <w:sz w:val="17"/>
          <w:szCs w:val="17"/>
          <w:i w:val="1"/>
          <w:iCs w:val="1"/>
          <w:color w:val="auto"/>
        </w:rPr>
        <w:t>Estimates – Pension Expense – Selection of Assumptions</w:t>
      </w:r>
      <w:r>
        <w:rPr>
          <w:rFonts w:ascii="Arial" w:cs="Arial" w:eastAsia="Arial" w:hAnsi="Arial"/>
          <w:sz w:val="17"/>
          <w:szCs w:val="17"/>
          <w:color w:val="auto"/>
        </w:rPr>
        <w:t>).</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impact of inflation on the Company’s businesses has not been significant. Historically, the Company has achieved pricing growth in periods of inflation based on its ability to increase its selling prices in a normal economic environment.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Building Materials Business’ Key Considerations</w:t>
      </w:r>
    </w:p>
    <w:p>
      <w:pPr>
        <w:spacing w:after="0" w:line="208"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b w:val="1"/>
          <w:bCs w:val="1"/>
          <w:color w:val="8D5D6C"/>
        </w:rPr>
        <w:t>Geography is critically important as products are sourced and sold locally.</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Company’s geographic footprint is primarily in attractive markets with strong, underlying growth characteristics, including population growth and/or population density and business and economic diversity, both of which generate demand for construction and the Company’s Building Materials products. The majority of the nation’s population currently resides in 11 megaregions; the RPA estimates 75% of the population will reside in these megaregions by 2050. The Company has a significant presence in five of the megaregions: Texas Triangle, Gulf Coast, Piedmont Atlantic, Front Range and Florida. The Building Materials business’ top five sales-generating states are Texas, Colorado, North Carolina, Georgia and Iowa; cumulatively they accounted for 72% of its 2018 total revenues by state of destination, four of which are discussed below as part of their respective megaregion. Iowa is discussed below as a top five sales-generating state and, while not part of a megaregion, is an attractive market that has diversified its economy over the past several years. Further, the top ten sales-generating states, which also include Florida, South Carolina, Indiana, Maryland and Nebraska, accounted for 85% of the Building Materials business’ 2018 total revenues by state of destination. As South Carolina is part of the Piedmont Atlantic megaregion and Florida is a separate megaregion, they are discussed below in their respective megaregion.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9B28F"/>
        </w:rPr>
        <w:t>Texas Triangle and Gulf Coast</w:t>
      </w:r>
    </w:p>
    <w:p>
      <w:pPr>
        <w:spacing w:after="0" w:line="4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Texas Triangle is primarily defined by the anchoring metropolises of Dallas/Fort Worth, San Antonio and Houston. The Texas Triangle’s population surged 41% in the 15-year period ended 2015, adding 5.3 million residents, and continues to experience population growth. Based on RPA’s America 2050 study performed in 2010, it projects the population in this megaregion</w:t>
      </w:r>
    </w:p>
    <w:p>
      <w:pPr>
        <w:spacing w:after="0" w:line="2035"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51</w:t>
      </w:r>
    </w:p>
    <w:p>
      <w:pPr>
        <w:sectPr>
          <w:pgSz w:w="11900" w:h="16838" w:orient="portrait"/>
          <w:cols w:equalWidth="0" w:num="1">
            <w:col w:w="11420"/>
          </w:cols>
          <w:pgMar w:left="240" w:top="265" w:right="2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will nearly double in the forty-year period ending in 2050, with 70% of the state’s population residing there. The Texas Triangle represents a diverse economy, including the finance, technology, transportation and goods and services sectors.</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Uniquely, Houston, which has consistently accounted for approximately 3% of the nation’s gross domestic product (GDP) for the past eleven years and has been ranked in the top five most populous metropolitan areas since 2010, is considered part of both the Gulf Coast and the Texas Triangle megaregions. In addition to Houston, cities in the Gulf Coast megaregion include New Orleans and Baton Rouge, Louisiana. The Gulf Coast megaregion’s population is expected to exceed 16 million in 2025 and 23 million in 2050. The economy is driven by the energy, chemical and transportation sectors. According to the Gulf Economic Survival Team, 16% of the nation’s domestic crude oil is supplied by this megaregion, supporting 430,000 jobs and contributing more than $44 billion to the national economy.</w:t>
      </w:r>
    </w:p>
    <w:p>
      <w:pPr>
        <w:spacing w:after="0" w:line="20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Texas market remains one of the strongest in the United States. According to the Bureau of Economic Analysis, at the end of 2017, the state’s GDP comprised nearly 9% of the nation’s $19.5 trillion GDP. According to the American Legislative Exchange Council (ALEC), Texas ranked first in economic performance in 2017, supported by growth in GDP, employment and population. Texas ranks fifth in the nation in employment growth for the twelve months ended November 2018, while Dallas/Fort Worth was the second-ranked metropolitan area in the country for the same period. Consistent with this trend, from 2010 through 2018, the state added approximately 3.5 million people to its population.</w:t>
      </w:r>
    </w:p>
    <w:p>
      <w:pPr>
        <w:spacing w:after="0" w:line="20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state’s Department of Transportation (TxDOT) let $7.3 billion in construction projects in fiscal 2018 and has a letting budget of $9.6 billion for fiscal 2019. As announced in 2017, TxDOT has committed to letting over $65 billion of projects over the ten-year period ending 2027. Funding for highway construction comes from dedicated sources, including Propositions 1 and 7, as opposed to the use of general funds. Proposition 1, which passed in 2014, takes a portion of the oil and gas severance tax revenues and allocates them to the state highway fund. Proposition 7 is estimated to provide an additional $2.0 billion of annual funding for non-toll roads beginning in fiscal 2018 and further increasing after 2019. Through fiscal 2018, Propositions 1 and 7 provided $5.4 billion and $2.5 billion, respectively, to the state highway fund. Further, on November 8, 2016, voters approved $990 million of additional statewide transportation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funding, including a $720 million transportation bond in Austin. All 14 ballot measures introduced and voted upon on November 6, 2018 were approved and are estimated to provide $1.2 billion of additional infrastructure funding. The strength of the Texas economy extends beyond infrastructure. Technology giant, Alphabet Inc., parent company of Google, announced in 2018 that it purchased 375 acres of land in Midlothian, Texas, for its next data center. Additionally, Apple announced it will invest $10 billion over the next five years in its data centers, including its new 133-acre campus in Austin that will have the capacity to hold 15,000 employees. Texas ranked second, behind Florida, in total housing permits and experienced a 7% increase for the twelve months ended November 2018. The Houston metropolitan area led the nation for total housing starts for the year ended December 31, 2018, driven partly due to rebuilding after the destruction brought by Hurricane Harvey.</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9B28F"/>
        </w:rPr>
        <w:t>Piedmont Atlantic</w:t>
      </w:r>
    </w:p>
    <w:p>
      <w:pPr>
        <w:spacing w:after="0" w:line="5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Piedmont Atlantic megaregion generally follows the Interstate 85/20 corridor, spanning across North Carolina, South Carolina, Georgia, Tennessee and Alabama and includes four primary cities: Raleigh, Charlotte, Atlanta and Birmingham. The Piedmont Atlantic is a fast-growing megaregion; however, it is facing challenges, including increased traffic congestion and inadequate infrastructure that accompany a growing population.</w:t>
      </w:r>
    </w:p>
    <w:p>
      <w:pPr>
        <w:spacing w:after="0" w:line="20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North Carolina continues to demonstrate solid economic growth, exceeding the nation’s average GDP increase for the past four years. Nationally, North Carolina ranked seventh for job growth for the twelve months ended November 2018 and ranked fifth in the nation for population growth according to the U.S. Census Bureau for 2018. Supported by population growth, residential housing permits increased 5% for the twelve months ended November 2018 and multi-housing permits increased 17% over the twelve months ended November 2018, ranking fourth in the nation. The state also continues to make significant investment in its infrastructure. The state’s 2018-2027 Statewide Transportation Improvement Program, or STIP, plans approximately 1,000 highway projects and approximately 300 non-highway projects, representing investment of approximately $23 billion. Consistent with this plan, the North Carolina Department of Transportation set a twelve-month letting schedule of $4.1 billion for fiscal 2019. In addition to the $1.2 billion of transportation referendums approved in November 2016, four bond referendums totaling $225.8 million of additional funding were approved in the November 2018 election.</w:t>
      </w:r>
    </w:p>
    <w:p>
      <w:pPr>
        <w:spacing w:after="0" w:line="453"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52</w:t>
      </w:r>
    </w:p>
    <w:p>
      <w:pPr>
        <w:sectPr>
          <w:pgSz w:w="11900" w:h="16838" w:orient="portrait"/>
          <w:cols w:equalWidth="0" w:num="1">
            <w:col w:w="11420"/>
          </w:cols>
          <w:pgMar w:left="240" w:top="265" w:right="2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For the past four years, South Carolina has ranked in the top ten states for population growth according to the U.S. Census Bureau. Supported by this growth, residential construction activity increased, with single-housing permits rising 4% for the twelve months ended November 2018, ranking ninth in the nation. The state’s infrastructure program should be bolstered by S.1258, also known as Act No. 275, allowing up to $4.2 billion to be devoted for highway spending over a 10-year period. South Carolina’s 10-year DOT plan includes 1,000 miles of upgrades to rural roads and improvements to 140 miles of interstate highways. These are much-needed investments as, according to the a recent report issued by the American Society of Civil Engineers, the state’s infrastructure system is in need of major repair. The report further states that 16% of South Carolina’s 76,000 miles of public roads are in poor condition. To fund infrastructure needs, the state passed House Bill 3516 in June 2017, which increases the state’s gas tax $0.02 per gallon per year for six years; this is the state’s first gas tax increase in 30 years. The house bill institutes a fee for vehicles that do not consume motor fuel, increases sales tax on vehicle purchases and charges a one-time fee for vehicles transferred from another state and registered in South Carolina. Collectively, House Bill 3516 is expected to generate an additional $625 million per year when fully implemented. In the November 2018 election, voters approved a sales tax increase to generate an additional $120 million for transportation funding for four years, or until the $120 million funding goal is met. The nonresidential market should experience benefits from the South Carolina Port Authority’s capital spending budget of $2.4 billion through 2022.</w:t>
      </w:r>
    </w:p>
    <w:p>
      <w:pPr>
        <w:spacing w:after="0" w:line="21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Though Georgia’s recovery from the Great Recession continues in certain areas, the state has largely rebounded. For the twelve months ended November 2018, Georgia ranked eighth in the country for employment growth. Further, population growth has ranked in the top seven for the last eight years, giving rise to residential growth. Total housing permits ranked fourth, and increased 11% for the twelve months ended November 2018. Further, companies continue to relocate to or expand their operations within the state. In the last two months of 2018, Norfolk Southern and Wayfair each announced expansion in Georgia, with collective investments exceeding $600 million. In January 2016, Governor Nathan Deal announced a comprehensive infrastructure maintenance plan including a 10-year plan and representing more than $10 billion in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Some elements of the Governor’s plan include the addition of toll lanes along the I-285 loop in Atlanta, interchange upgrades for I-20 and I-285 and additional capacity of metropolitan sections of I-75, I-85 and GA 400. Consistent with these plans, the infrastructure construction market continues to expand and will significantly benefit from the passage of a gas tax increase and other funding mechanisms that will add approximately $1 billion, or essentially double, the state’s annual construction budget. Further, in 2016, Georgia voters approved five local sales tax increases to provide $4 billion for road and transit projects, spanning a five- to 40-year period. Additionally, the Transportation Special-Purpose Local-Option Sales Tax (T-SPLOST) program is starting to provide benefit in the southern part of Georgia. In November 2018, Georgia approved a ballot measure to renew a 1% sales/income tax increase for six years and a $0.01 tax increase that will contribute $183 million to the transportation and road maintenance projects.</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9B28F"/>
        </w:rPr>
        <w:t>Front Range</w:t>
      </w:r>
    </w:p>
    <w:p>
      <w:pPr>
        <w:spacing w:after="0" w:line="5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Extending from the southern portion of Wyoming near Cheyenne, following Interstate 25 through Colorado into New Mexico, incorporating Santa Fe and Albuquerque, the Front Range megaregion is the nation’s fastest-growing megaregion. The Front Range represents 85% of Colorado’s population and is estimated to exceed 10 million by 2050, nearly double the 2010 population. According to Colorado’s Department of Local Affairs, during the five-year period ending 2015, 96% of Colorado’s population growth occurred along the Front Range.</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Through strategic acquisitions since 2011, the Company has built a leading position to serve the Front Range. The Colorado economy includes a diverse economic base, leading to strong employment and population growth. Employment and population are each expected to increase more than 45% from 2012 through 2040, driving an upward trend in vehicle miles traveled on the state’s highway system. Senate Bill 17-267, enacted in 2017, includes a component that focuses on new lease-purchase agreements that allocates $1.9 billion of its proceeds to Colorado’s DOT and the remainder of its proceeds to transportation and capital construction projects over a four-year period. Growth in population continues to support increased construction activity. For the twelve months ended November 2018, total housing permits in Colorado increased 9%, with single-family housing permits increasing 20%.</w:t>
      </w:r>
    </w:p>
    <w:p>
      <w:pPr>
        <w:spacing w:after="0" w:line="213"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53</w:t>
      </w:r>
    </w:p>
    <w:p>
      <w:pPr>
        <w:sectPr>
          <w:pgSz w:w="11900" w:h="16838" w:orient="portrait"/>
          <w:cols w:equalWidth="0" w:num="1">
            <w:col w:w="11420"/>
          </w:cols>
          <w:pgMar w:left="240" w:top="265" w:right="2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9B28F"/>
        </w:rPr>
        <w:t>Florida</w:t>
      </w:r>
    </w:p>
    <w:p>
      <w:pPr>
        <w:spacing w:after="0" w:line="5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Spanning nearly the entire state, the Florida megaregion is also rapidly expanding. Florida is the third-most populous state according to the Bureau of Economic Analysis, with a high volume of its population growth from foreign countries. The state added 2.1 million residents from 2010 to 2017 and is the second-highest state in population growth, behind Texas, from 2014 to 2018. In fact, the state’s GDP rose 4% in 2017 compared with 2016, and represented 5% of the nation’s GDP.</w:t>
      </w:r>
    </w:p>
    <w:p>
      <w:pPr>
        <w:spacing w:after="0" w:line="20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Florida ranks third in the country for job growth for the twelve months ended December 2018 and the state’s unemployment rate was 3.3%. Florida has a $10.8 billion DOT budget for fiscal year 2019 and continues to significantly invest in streets and highways. In fact, the state has a $46.6 billion five-year construction program that extends to 2021. In the 2018 elections, Florida voters approved six ballot initiatives benefitting infrastructure and totaling $24.9 billion. Florida is also experiencing growth in private-sector construction and leads the country in growth for single-family and total housing permits for the twelve months ended November 2018.</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9B28F"/>
        </w:rPr>
        <w:t>Iowa</w:t>
      </w:r>
    </w:p>
    <w:p>
      <w:pPr>
        <w:spacing w:after="0" w:line="4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Iowa has been a top-five Martin Marietta state for decades and has historically experienced a stable and steady economy. Iowa is the largest corn and pork-producing state in the nation and provides more than 7% of America’s food supply. The Company’s agricultural lime shipment volumes are dependent on, among other things, weather, demand for agricultural commodities, including corn and soybeans, commodity prices, farm and land values. The Iowa economy has become consistently more diverse over the past several years, in part due to its ranking as sixth in the nation for lowest cost of doing business. The state is attractive for starting and expanding businesses due to enticing tax incentives. Consistent with these facts, the state’s unemployment rate, 2.4%, remains one of the lowest in the nation. With companies including Google and Microsoft continuing to expand operations in Iowa, nonresidential construction spending is expected to benefit. In May 2018, Facebook announced plans to further expand current operations in Iowa by investing an additional $1.5 billion. Additionally, Apple plans to build a $1.3 billion data center. The state’s infrastructure market has benefitted from the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rPr>
          <w:sz w:val="20"/>
          <w:szCs w:val="20"/>
          <w:color w:val="auto"/>
        </w:rPr>
      </w:pPr>
      <w:r>
        <w:rPr>
          <w:rFonts w:ascii="Arial" w:cs="Arial" w:eastAsia="Arial" w:hAnsi="Arial"/>
          <w:sz w:val="17"/>
          <w:szCs w:val="17"/>
          <w:color w:val="auto"/>
        </w:rPr>
        <w:t>$0.10 per gallon increase in the state gas tax, raising an additional $515 million since enactment for state and local roads and bridges. This funding has resulted in new infrastructure projects being started and existing projects expected to be completed sooner than originally estimated. Further, Iowa is expected to increase wind-based energy production to reduce dependency on fossil fuels, another driver of economic expansion.</w:t>
      </w:r>
    </w:p>
    <w:p>
      <w:pPr>
        <w:spacing w:after="0" w:line="200" w:lineRule="exact"/>
        <w:rPr>
          <w:sz w:val="20"/>
          <w:szCs w:val="20"/>
          <w:color w:val="auto"/>
        </w:rPr>
      </w:pPr>
    </w:p>
    <w:p>
      <w:pPr>
        <w:spacing w:after="0" w:line="2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color w:val="8D5D6C"/>
        </w:rPr>
        <w:t>Growth markets with limited supply of indigenous stone must be served via a long-haul distribution network.</w:t>
      </w:r>
    </w:p>
    <w:p>
      <w:pPr>
        <w:jc w:val="both"/>
        <w:spacing w:after="0" w:line="234" w:lineRule="auto"/>
        <w:rPr>
          <w:sz w:val="20"/>
          <w:szCs w:val="20"/>
          <w:color w:val="auto"/>
        </w:rPr>
      </w:pPr>
      <w:r>
        <w:rPr>
          <w:rFonts w:ascii="Arial" w:cs="Arial" w:eastAsia="Arial" w:hAnsi="Arial"/>
          <w:sz w:val="17"/>
          <w:szCs w:val="17"/>
          <w:color w:val="auto"/>
        </w:rPr>
        <w:t>The U.S. Department of the Interior’s geological map of the United States depicts the possible sources of indigenous surface rock and illustrates its limited supply in certain areas of the United States, including the coastal areas from Virginia to Texas. Further, certain interior United States markets may experience limited availability of locally sourced aggregates resulting from increasingly restrictive zoning, permitting and/or environmental laws and regulations. The Company’s long-haul distribution network is used to supplement, or in many cases wholly supply, the local crushed stone needs in these areas.</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long-haul distribution network can diversify market risk for locations that engage in long-haul transportation of their aggregates products. Particularly where a producing quarry serves a local market and transports products via rail, water and/or truck to be sold in other markets, the risk of a downturn in one market may be somewhat mitigated by other markets served by the location.</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Product shipments are moved by rail, water and truck through the Company’s long-haul distribution network. The Company’s rail network primarily serves its Texas, Florida, Colorado and Gulf Coast markets, while the Company’s Bahamas and Nova Scotia locations transport materials via oceangoing ships. The Company’s strategic focus includes expanding inland and offshore capacity and acquiring distribution yards and port locations to offload transported material. At December 31, 2018, the distribution network available to the Company consisted of 98 distribution facilities.</w:t>
      </w:r>
    </w:p>
    <w:p>
      <w:pPr>
        <w:spacing w:after="0" w:line="202"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The Company’s increased dependence on rail shipments has made it more reliant on railroad performance issues, including track congestion, crew and availability, the effects</w:t>
      </w:r>
    </w:p>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54</w:t>
      </w:r>
    </w:p>
    <w:p>
      <w:pPr>
        <w:sectPr>
          <w:pgSz w:w="11900" w:h="16838" w:orient="portrait"/>
          <w:cols w:equalWidth="0" w:num="1">
            <w:col w:w="11420"/>
          </w:cols>
          <w:pgMar w:left="240" w:top="265" w:right="2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of adverse weather conditions and the ability to renegotiate favorable railroad shipping contracts. Further, changes in the operating strategy of rail transportation providers can create operational inefficiencies and increased costs from the Company’s rail network.</w:t>
      </w:r>
    </w:p>
    <w:p>
      <w:pPr>
        <w:spacing w:after="0" w:line="31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 portion of railcars and all ships of the Company’s long-haul distribution network are obtained with short- and long-term leases, some with purchase options, and contracts of affreightment. The limited availability of water and rail transportation providers, coupled with limited distribution sites, can adversely affect lease rates for such services and ultimately the freight rate. The Company has not purchased ships.</w:t>
      </w:r>
    </w:p>
    <w:p>
      <w:pPr>
        <w:spacing w:after="0" w:line="31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Company has long-term agreements providing dedicated shipping capacity from its Bahamas and Nova Scotia operations to its coastal ports. These contracts of affreightment are take-or-pay contracts with minimum and maximum shipping requirements. The Company’s waterborne contracts of affreightment have varying expiration dates ranging from 2023 to 2027 and generally contain renewal options. However, there can be no assurance that such contracts can be renewed upon expiration or that terms will continue without significant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3001645" cy="16979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7">
                      <a:extLst>
                        <a:ext uri="{28A0092B-C50C-407E-A947-70E740481C1C}"/>
                      </a:extLst>
                    </a:blip>
                    <a:srcRect/>
                    <a:stretch>
                      <a:fillRect/>
                    </a:stretch>
                  </pic:blipFill>
                  <pic:spPr bwMode="auto">
                    <a:xfrm>
                      <a:off x="0" y="0"/>
                      <a:ext cx="3001645" cy="16979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b w:val="1"/>
          <w:bCs w:val="1"/>
          <w:color w:val="8D5D6C"/>
        </w:rPr>
        <w:t>Public infrastructure, the Company’s largest end-use market, is funded through a combination of federal, state and local sources.</w:t>
      </w:r>
    </w:p>
    <w:p>
      <w:pPr>
        <w:spacing w:after="0" w:line="1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Public-sector construction projects are funded through a combination of federal, state and local sources. The federal highway bill provides annual funding for public-sector highway construction projects and includes spending authorizations, which represent the maximum financial obligation that will result from the immediate or future outlays of federal funds for highway and transit programs. The federal government’s surface transportation programs are financed mostly through the receipts of highway user taxes placed in the Highway Trust Fund, which is divided into the Highway Account and the Mass Transit Account. Revenues credited to the Highway Trust Fund are primarily derived from a federal gas tax, a federal tax on certain other motor fuels and interest on the accounts’ accumulated balances. Of the currently imposed federal gas tax of $0.184 per gallon, which has been static since 1993, $0.15 is allocated to the Highway Account of the Highway Trust Fund.</w:t>
      </w:r>
    </w:p>
    <w:p>
      <w:pPr>
        <w:spacing w:after="0" w:line="31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Federal highway laws require Congress to annually appropriate funding levels for highways and other programs. Once the annual appropriation is passed, federal funds are distributed to each state based on formulas (apportionments) or other procedures (allocations). Apportioned and allocated funds generally must be spent on specific programs as outlined in the federal legislation. Most federal funds are available for four years. Once the federal government approves a state project, funds are committed and considered expended regardless of when the cash is actually spent by the state and reimbursed by the federal government. According to the Federal Highway Administration, funds are generally spent by the state over a period of years, with 27% in the year of funding authorization, 41% in the succeeding year, 16% in the third year and the remaining 16% in the fourth year and beyond.</w:t>
      </w:r>
    </w:p>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55</w:t>
      </w:r>
    </w:p>
    <w:p>
      <w:pPr>
        <w:sectPr>
          <w:pgSz w:w="11900" w:h="16838" w:orient="portrait"/>
          <w:cols w:equalWidth="0" w:num="1">
            <w:col w:w="11420"/>
          </w:cols>
          <w:pgMar w:left="240" w:top="265" w:right="2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 xml:space="preserve">The FAST Act, a five-year, $305 billion federal highway bill, reauthorizes federal highway and public transportation programs and stabilizes the Highway Trust Fund. The FAST Act retains the programs supported under its predecessor legislation, </w:t>
      </w:r>
      <w:r>
        <w:rPr>
          <w:rFonts w:ascii="Arial" w:cs="Arial" w:eastAsia="Arial" w:hAnsi="Arial"/>
          <w:sz w:val="17"/>
          <w:szCs w:val="17"/>
          <w:i w:val="1"/>
          <w:iCs w:val="1"/>
          <w:color w:val="auto"/>
        </w:rPr>
        <w:t>Moving Ahead for Progress in the 21st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Century </w:t>
      </w:r>
      <w:r>
        <w:rPr>
          <w:rFonts w:ascii="Arial" w:cs="Arial" w:eastAsia="Arial" w:hAnsi="Arial"/>
          <w:sz w:val="17"/>
          <w:szCs w:val="17"/>
          <w:color w:val="auto"/>
        </w:rPr>
        <w:t>(MAP-21), but with some changes. Specifically, TIFIA, a U.S.</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of Transportation alternative funding mechanism, which under MAP-21 provided three types of federal credit assistance for nationally or regionally significant surface transportation projects, now allows more diversification of projects. TIFIA is designed to fill market gaps and leverage substantial private co-investment by providing projects with supplemental or subordinate debt which is not subject to national debt ceiling challenges or sequestration. Since inception, TIFIA has provided more than $25 billion of credit assistance to over 50 projects representing over $90 billion in infrastructure investment. As of January 2019, TIFIA-funded projects for the Company’s top five sales-generating states approximated $30 billion. Under the FAST Act, annual TIFIA funding ranges from $275 million to $300 million, but no longer requires the 20% matching funds from state DOTs. Consequently, states can advance construction projects immediately with potentially no upfront outlay of state DOT dollars. TIFIA requires projects to have a revenue source to pay back the credit assistance within a 30-to-40-year period. Therefore, the TIFIA program has the ability to significantly leverage construction dollars. Private investment in transportation projects funded through TIFIA is particularly attractive, in part due to the subordination of public investment to private. Management believes TIFIA could provide a substantial boost for state DOT construction programs well above what is currently budgeted.</w:t>
      </w:r>
    </w:p>
    <w:p>
      <w:pPr>
        <w:spacing w:after="0" w:line="32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Excluding TIFIA-approved projects, states are required to match funds at a predetermined rate in order to receive federal funds for highways. Matching levels vary depending on the type of project. If a state is unable to match its allocated federal funds, funding is forfeited and reallocated to states providing the appropriate matching funds. Although a significant portion of state highway construction programs are financed from highway user fees, significant increases in federal infrastructure funding typically require state governments to increase highway user fees to match federal spending. While states rarely forfeit federal highway funds, the possibility of forfeiture increases when states face declining tax revenues and struggle to balance budgets.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Given that most states are required to balance their budgets, reductions in revenues generally require a reduction in states’ expenditures. However, the impact of state revenue reductions on highway spending will vary depending on whether the spending comes from dedicated revenue sources, such as highway user fees, or whether portions are funded with general funds. Based on national averages, user taxes represent the largest component of highway revenues, averaging 42% in fiscal year 2015, the latest available statistic. The use of general funds as a percentage of each state’s highway revenues varies, with a national average of 4% in fiscal year 2015, the latest available statistic. Therefore, state budget spending cuts typically only affect a small percentage of a state’s highway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-5060315</wp:posOffset>
            </wp:positionV>
            <wp:extent cx="2821305" cy="3481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2821305" cy="3481705"/>
                    </a:xfrm>
                    <a:prstGeom prst="rect">
                      <a:avLst/>
                    </a:prstGeom>
                    <a:noFill/>
                  </pic:spPr>
                </pic:pic>
              </a:graphicData>
            </a:graphic>
          </wp:anchor>
        </w:drawing>
      </w:r>
    </w:p>
    <w:p>
      <w:pPr>
        <w:spacing w:after="0" w:line="296"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States continue to play an expanding role in infrastructure investment. In addition to federal appropriations, each state funds its infrastructure investment from specifically allocated amounts collected from various user taxes, typically gasoline taxes and vehicle fees. Over the past several years, states have taken on a significantly larger role in funding infrastructure investment, including initiating special-purpose taxes and raising gas taxes. Management believes</w:t>
      </w:r>
    </w:p>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56</w:t>
      </w:r>
    </w:p>
    <w:p>
      <w:pPr>
        <w:sectPr>
          <w:pgSz w:w="11900" w:h="16838" w:orient="portrait"/>
          <w:cols w:equalWidth="0" w:num="1">
            <w:col w:w="11420"/>
          </w:cols>
          <w:pgMar w:left="240" w:top="265" w:right="2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that financing at the state level, such as bond issuances, toll roads and tax initiatives, will grow at a faster rate than federal funding. State spending on infrastructure generally leads to increased growth opportunities for the Company. The level of state public-works spending is varied across the nation and dependent upon individual state economies. The degree to which the Company could be affected by a reduction or slowdown in infrastructure spending varies by state. The state economies of the Building Materials business’ five largest sales-generating states may disproportionately affect the Company’s financial performance.</w:t>
      </w:r>
    </w:p>
    <w:p>
      <w:pPr>
        <w:spacing w:after="0" w:line="20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Governmental appropriations and expenditures are typically less interest rate-sensitive than private-sector spending. Obligations of federal funds is a leading indicator of highway construction activity in the United States. Before a state or local department of transportation can solicit bids on an eligible construction project, it enters into an agreement with the Federal Highway Administration to obligate the federal government to pay its portion of the project cost. Federal obligations are subject to annual funding appropriations by Congress.</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need for surface transportation improvements continues to significantly outpace the amount of available funding. A large number of roads, highways and bridges built following the establishment of the Interstate Highway System in 1956 are now in need of major repair or reconstruction. According to The Road Information Program (TRIP), a national transportation research group, vehicle travel on United States highways increased 16% from 2000 to 2016, while new lane road mileage increased only 5% over the same period. TRIP also reports that 45% of the nation’s major roads are in poor or mediocre condition and 9% of the nation’s bridges are structurally deficient or functionally obsolete. Currently, the Federal Highway Administration estimates that $142.5 billion is needed in annual capital investment through 2032 to significantly improve the current conditions and performance of the nation’s highways. While state DOTs and contractors are slowly addressing their labor constraints, the Company believes that if an enhanced infrastructure bill was enacted, those efforts would be more rapidly addressed. However, even in the absence of an enhanced infrastructure bill, strong customer confidence and improving sentiment leads management to believe that infrastructure activity for 2019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beyond should benefit from the FAST Act, the Tax Cuts and Jobs Act of 2017 (2017 Tax Act), and additional state and local infrastructure initiatives.</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Transportation investments generally boost the national economy by enhancing mobility and access and by creating jobs, which is a priority of many of the government’s economic plans. According to the Federal Highway Administration, every $1 billion in federal highway investment creates approximately 28,000 jobs. The number of jobs created is often dependent on the nature and aggregates intensity of the projects. Approximately half of the Building Materials business’ total revenues from the infrastructure end-use market come from federal funding authorizations, including matching funds from the states. For each dollar spent on road, highway and bridge improvements, the Federal Highway Administration estimates an average benefit of $5.20 is recognized in the form of reduced vehicle maintenance costs, reduced delays, reduced fuel consumption, improved safety, reduced road and bridge maintenance costs and reduced emissions as a result of improved traffic flow.</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addition to highways and bridges, transportation infrastructure includes aviation, mass transit, and ports and waterways. Public-sector construction related to transportation infrastructure can be aggregates intensive.</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Railroad construction continues to benefit from economic growth, which ultimately generates a need for additional maintenance and improvements. According to the American Road &amp; Transportation Builders Association, subway and light rail work is expected to benefit slightly from the FAST Act.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Erratic weather can significantly impact operations.</w:t>
      </w:r>
    </w:p>
    <w:p>
      <w:pPr>
        <w:spacing w:after="0" w:line="53"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Production and shipment levels for the Building Materials business correlate with general construction activity, most of which occurs outdoors and, as a result, is affected by erratic weather, seasonal changes and other weather-related conditions which can significantly affect the business. Typically, due to a general slowdown in construction activity during winter months, the first and fourth quarters generally experience lower production and shipment activity. As such, temperature plays a significant role in the months of March and November, meaningfully affecting the Company’s first- and fourth-quarter results, respectively, where warm and/or</w:t>
      </w:r>
    </w:p>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57</w:t>
      </w:r>
    </w:p>
    <w:p>
      <w:pPr>
        <w:sectPr>
          <w:pgSz w:w="11900" w:h="16838" w:orient="portrait"/>
          <w:cols w:equalWidth="0" w:num="1">
            <w:col w:w="11420"/>
          </w:cols>
          <w:pgMar w:left="240" w:top="265" w:right="2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moderate temperatures in March and November allow the construction season to start earlier and end later, respectively. NOAA reports that since 1895, the contiguous United States has experienced an average temperature increase of 1.5°F per century, with 2018 averaging 1.5°F above the 20th century average. In 2018, the nation experienced near-average temperatures for March. Colorado and Texas reported above-average temperatures while Florida, North Carolina, South Carolina and Virginia reported cooler-than-average temperatures in March 2018. For November 2018, the average temperature for the nation was below average, where the Midwestern and southwestern states, namely Texas, Oklahoma, Kansas, Arkansas and Iowa, were below or much below average temperatures.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2898775" cy="26244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extLst>
                        <a:ext uri="{28A0092B-C50C-407E-A947-70E740481C1C}"/>
                      </a:extLst>
                    </a:blip>
                    <a:srcRect/>
                    <a:stretch>
                      <a:fillRect/>
                    </a:stretch>
                  </pic:blipFill>
                  <pic:spPr bwMode="auto">
                    <a:xfrm>
                      <a:off x="0" y="0"/>
                      <a:ext cx="2898775"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Nationally, 2018 marked the third-wettest year on record and the sixth consecutive year with above-average precipitation. 2018 marked the wettest year for nine states, including North Carolina, Maryland, Virginia, West Vriginia and Tennessee. The last few years have brought an unprecedented amount of precipitation to many areas in the United States. Excessive rainfall jeopardizes production efficiencies, shipments and profitability in all markets served by the Company. In particular, the Company’s operations in the southeastern and Gulf Coast regions of the United States and the Bahamas are at risk for hurricane activity, most notably in August, September and October. In September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2018, Hurricane Florence, the second-wettest storm in 70 years and ranking only behind Hurricane Harvey, made landfall in the Carolinas as a Category 4 storm, bringing with it 13 trillion gallons of rain. In August 2017, Hurricane Harvey, a Category 4 storm that made landfall in Houston, brought nearly 20 trillion gallons of precipitation. In the Southeast, Hurricane Irma, also a Category 4 storm, made landfall in Florida in September 2017 and brought excessive rainfall to the southeastern United States, notably Florida and Georgia. In October 2016, rainfall along the eastern seaboard of the United States from Hurricane Matthew, a Category 5 hurricane, approximated 13.6 trillion gallons. Hurricane Matthew was the first major hurricane on record to make landfall in the Bahamas.</w:t>
      </w:r>
    </w:p>
    <w:p>
      <w:pPr>
        <w:spacing w:after="0" w:line="2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color w:val="8D5D6C"/>
        </w:rPr>
        <w:t>Capital investment decisions driven by capital intensity of the Building Materials business and focus on land.</w:t>
      </w:r>
    </w:p>
    <w:p>
      <w:pPr>
        <w:jc w:val="both"/>
        <w:spacing w:after="0" w:line="233" w:lineRule="auto"/>
        <w:rPr>
          <w:sz w:val="20"/>
          <w:szCs w:val="20"/>
          <w:color w:val="auto"/>
        </w:rPr>
      </w:pPr>
      <w:r>
        <w:rPr>
          <w:rFonts w:ascii="Arial" w:cs="Arial" w:eastAsia="Arial" w:hAnsi="Arial"/>
          <w:sz w:val="17"/>
          <w:szCs w:val="17"/>
          <w:color w:val="auto"/>
        </w:rPr>
        <w:t>The Company’s organic capital program is designed to take advantage of construction market growth through investment in both permanent and portable facilities at the Company’s operations. Over an economic cycle, the Company typically invests organic capital at an annual level that approximates depreciation expense. At mid-cycle and through cyclical peaks, organic capital investment typically exceeds depreciation expense, as the Company supports current capacity needs and invests for future capacity growth. Conversely, at a cyclical trough, the Company can reduce levels of capital investment. Regardless of cycle, the Company sets a priority of investing capital to ensure safe, environmentally-sound and efficient operations and to provide the highest quality of customer service and establish a foundation for future growth.</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Company is diligent in its focus on land opportunities, including greensites and expanding locations. Land purchases are usually opportunistic and require the Company to be flexible in its ability to secure the land. Land purchases can include contiguous property around existing quarry locations. Such property can serve as buffer property or additional mineral reserve capacity, assuming regulatory hurdles can be cleared and the underlying geology supports economical aggregates mining. In either instance, the acquisition of additional property around an existing quarry allows the expansion of the quarry footprint and an extension of quarry life.</w:t>
      </w:r>
    </w:p>
    <w:p>
      <w:pPr>
        <w:spacing w:after="0" w:line="1645"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58</w:t>
      </w:r>
    </w:p>
    <w:p>
      <w:pPr>
        <w:sectPr>
          <w:pgSz w:w="11900" w:h="16838" w:orient="portrait"/>
          <w:cols w:equalWidth="0" w:num="1">
            <w:col w:w="11420"/>
          </w:cols>
          <w:pgMar w:left="240" w:top="265" w:right="2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Magnesia Specialties Business</w:t>
      </w:r>
    </w:p>
    <w:p>
      <w:pPr>
        <w:spacing w:after="0" w:line="53"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Magnesia Specialties business produces and sells dolomitic lime from its Woodville, Ohio facility. Additionally, at its Manistee, Michigan facility, Magnesia Specialties manufactures magnesia-based chemicals products for industrial, agricultural and environmental applications. In 2018, this business achieved record total revenues and earnings from operations of $287.7 million and $88.1 million, respectively. Of 2018 total revenues, 70% were attributable to chemicals products, 29% were attributable to lime and 1% was attributable to stone.</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2018, 81% of the lime produced was sold to third-party customers, while the remaining 19% was used internally as a raw material for the business’ manufacturing of chemicals products. Dolomitic lime products sold to external customers are primarily used by the steel industry, and overall, 33% of Magnesia Specialties’ 2018 total revenues related to products used in the steel industry. Accordingly, a portion of the segment’s revenues and profits is affected by production and inventory trends within the steel industry, which are guided by the rate of consumer consumption, the flow of offshore imports and other economic factors. Steel production in 2018 increased 6.2% compared with 2017. The dolomitic lime business runs most profitably at 70% or greater steel capacity utilization; domestic capacity utilization averaged 78% in 2018. The chemical products business focuses on higher-margin specialty chemicals that can be produced at volumes that support efficient operations.</w:t>
      </w:r>
    </w:p>
    <w:p>
      <w:pPr>
        <w:spacing w:after="0" w:line="206"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Total revenues of the Magnesia Specialties business in 2018 were predominantly from North America, but a small amount was derived from overseas. No single foreign country accounted for 10% or more of the total revenues for the Company. Financial results can be affected by foreign currency exchange rates, increasing transportation costs or weak economic conditions in foreign markets. To mitigate the short-term effect of currency exchange rates, foreign transactions are denominated in United States dollars. However, the current strength of the United States dollar in foreign markets is affecting the overall price of Magnesia Specialties’ products when compared to foreign-domiciled competitors.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A significant portion of the Magnesia Specialties business’ costs is of a fixed or semi-fixed nature. The production process requires the use of natural gas, coal and petroleum coke. Therefore, fluctuations in their pricing directly affect operating results. To help mitigate this risk, the Company has fixed price agreements for approximately 100% of its 2019 coal needs, approximately 50% of its 2019 natural gas needs and 100% of its 2019 petroleum coke needs. For 2018, the segment’s average cost per MCF (thousand cubic feet) for natural gas decreased 4% versus 2017. Given high fixed costs, low capacity utilization can negatively affect the segment’s results of operations. Management expects future organic profit growth to result from increased pricing, rationalization of the current product portfolio and/or further cost reductions.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-3860165</wp:posOffset>
            </wp:positionV>
            <wp:extent cx="2924175" cy="2306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4">
                      <a:extLst>
                        <a:ext uri="{28A0092B-C50C-407E-A947-70E740481C1C}"/>
                      </a:extLst>
                    </a:blip>
                    <a:srcRect/>
                    <a:stretch>
                      <a:fillRect/>
                    </a:stretch>
                  </pic:blipFill>
                  <pic:spPr bwMode="auto">
                    <a:xfrm>
                      <a:off x="0" y="0"/>
                      <a:ext cx="2924175" cy="23069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135890</wp:posOffset>
            </wp:positionV>
            <wp:extent cx="2889885" cy="27101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5">
                      <a:extLst>
                        <a:ext uri="{28A0092B-C50C-407E-A947-70E740481C1C}"/>
                      </a:extLst>
                    </a:blip>
                    <a:srcRect/>
                    <a:stretch>
                      <a:fillRect/>
                    </a:stretch>
                  </pic:blipFill>
                  <pic:spPr bwMode="auto">
                    <a:xfrm>
                      <a:off x="0" y="0"/>
                      <a:ext cx="2889885" cy="2710180"/>
                    </a:xfrm>
                    <a:prstGeom prst="rect">
                      <a:avLst/>
                    </a:prstGeom>
                    <a:noFill/>
                  </pic:spPr>
                </pic:pic>
              </a:graphicData>
            </a:graphic>
          </wp:anchor>
        </w:drawing>
      </w:r>
    </w:p>
    <w:p>
      <w:pPr>
        <w:spacing w:after="0" w:line="1044"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59</w:t>
      </w:r>
    </w:p>
    <w:p>
      <w:pPr>
        <w:sectPr>
          <w:pgSz w:w="11900" w:h="16838" w:orient="portrait"/>
          <w:cols w:equalWidth="0" w:num="1">
            <w:col w:w="11420"/>
          </w:cols>
          <w:pgMar w:left="240" w:top="265" w:right="2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The Magnesia Specialties business is highly dependent on rail transportation, particularly for movement of dolomitic lime from Woodville to Manistee and direct customer shipments of dolomitic lime and magnesia chemicals products from both Woodville and Manistee. The segment can be affected by the risks mentioned in the long-haul distribution discussion in the </w:t>
      </w:r>
      <w:r>
        <w:rPr>
          <w:rFonts w:ascii="Arial" w:cs="Arial" w:eastAsia="Arial" w:hAnsi="Arial"/>
          <w:sz w:val="17"/>
          <w:szCs w:val="17"/>
          <w:i w:val="1"/>
          <w:iCs w:val="1"/>
          <w:color w:val="auto"/>
        </w:rPr>
        <w:t>Building Materials Business’ Key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Considerations </w:t>
      </w:r>
      <w:r>
        <w:rPr>
          <w:rFonts w:ascii="Arial" w:cs="Arial" w:eastAsia="Arial" w:hAnsi="Arial"/>
          <w:sz w:val="17"/>
          <w:szCs w:val="17"/>
          <w:color w:val="auto"/>
        </w:rPr>
        <w:t>section.</w:t>
      </w:r>
    </w:p>
    <w:p>
      <w:pPr>
        <w:spacing w:after="0" w:line="20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All of Magnesia Specialties’ hourly workforce belongs to a labor union. Union contracts cover hourly employees at the Manistee, magnesia-based chemicals plant and the Woodville, lime plant. The labor contracts for the Manistee and Woodville locations expire in August 2019 and June 2022,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Environmental Regulation and Litigation</w:t>
      </w:r>
    </w:p>
    <w:p>
      <w:pPr>
        <w:spacing w:after="0" w:line="5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expansion and growth of the aggregates industry is subject to increasing challenges from environmental and political advocates aiming to control the pace and direction of future development. Certain environmental groups have published lists of targeted municipal areas, including areas within the Company’s marketplace, for environmental and suburban growth control. The effect of these initiatives on the Company’s growth is typically localized. Further challenges are expected as the momentum of these initiatives ebb and flow across the United States. Rail and other transportation alternatives are being heralded by these special-interest groups as solutions to mitigate road traffic congestion and overcrowding.</w:t>
      </w:r>
    </w:p>
    <w:p>
      <w:pPr>
        <w:spacing w:after="0" w:line="316"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Company’s operations are subject to and affected by federal, state and local laws and regulations relating to the environment, health and safety and other regulatory matters. Certain of the Company’s operations may occasionally use substances classified as toxic or hazardous. The Company regularly monitors and reviews its operations, procedures and policies for compliance with these laws and regulations. Despite these compliance efforts, risk of environmental liability is inherent in the operation of the Company’s businesses, as it is with other companies engaged in similar businesses.</w:t>
      </w:r>
    </w:p>
    <w:p>
      <w:pPr>
        <w:spacing w:after="0" w:line="31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Environmental operating permits are, or may be, required for certain of the Company’s operations; such permits are subject to modification, renewal and revocation. New permits are generally required for opening new sites or for expansion at existing operations and can take several years to obtain. In the area of land use, rezoning and special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conditional use permits are increasingly difficult to obtain. Once a permit is issued, the location is required to generally operate in accordance with the approved site plan.</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As is the case with others in the cement industry, the Company’s cement operations produce varying quantities of cement kiln dust (CKD). This by-product consists of fine-grained, solid, highly alkaline material removed from cement kiln exhaust gas by air pollution control devices. Because much of the CKD is actually unreacted raw materials, it is generally permissible to recycle the CKD back into the production process, and large amounts are often treated in such manner. CKD that is not returned to the production process is disposed in landfills. CKD is currently exempted from federal hazardous waste regulations under Subtitle C of the Resource Conservation and Recovery Act (RCRA).</w:t>
      </w:r>
    </w:p>
    <w:p>
      <w:pPr>
        <w:spacing w:after="0" w:line="30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Clean Air Act, originally passed in 1963 and periodically updated by amendments, is the United States’ national air pollution control program that granted the Environmental Protection Agency (EPA) authority to set limits on the level of various air pollutants. To be in compliance with National Ambient Air Quality Standards (NAAQS), a defined geographic area must be below established limits for six pollutants. Environmental groups have been successful in lawsuits against the federal and certain state departments of transportation, delaying highway construction in municipal areas not in compliance with the Clean Air Act. The EPA designates geographic areas as nonattainment areas when the level of air pollutants exceeds the national standard. Nonattainment areas receive deadlines to reduce air pollutants by instituting various control strategies or otherwise face fines or control by the EPA. Included as nonattainment areas are several major metropolitan areas in the Company’s markets, such as Houston/Brazoria/Galveston, Texas; Dallas/Fort Worth, Texas; Denver, Colorado; Boulder, Colorado; Fort Collins/Greeley/ Loveland, Colorado; Council Bluffs, Iowa; Atlanta, Georgia; and Indianapolis, Indiana. Federal transportation funding has been directly tied to compliance with the Clean Air Act.</w:t>
      </w:r>
    </w:p>
    <w:p>
      <w:pPr>
        <w:spacing w:after="0" w:line="1927"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60</w:t>
      </w:r>
    </w:p>
    <w:p>
      <w:pPr>
        <w:sectPr>
          <w:pgSz w:w="11900" w:h="16838" w:orient="portrait"/>
          <w:cols w:equalWidth="0" w:num="1">
            <w:col w:w="11420"/>
          </w:cols>
          <w:pgMar w:left="240" w:top="265" w:right="2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Large emitters (facilities that emit 25,000 metric tons or more per year) of greenhouse gases (GHG) must report GHG generation to comply with the EPA’s Mandatory Greenhouse Gases Reporting Rule (GHG Rule). The Company files annual reports in accordance with the GHG Rule relating to operations at its Magnesia Specialties facilities in Woodville, Ohio, and Manistee, Michigan, as well as the two cement plants in Texas, each of which emit certain GHG, including carbon dioxide, methane and nitrous oxide. If Congress passes legislation on GHG, these operations will likely be subject to the new program. Under President Trump’s administration, it is unknown whether the EPA is likely to impose additional regulatory restrictions on emissions of GHG. However, the Company believes that any increased operating costs or taxes related to GHG emission limitations at its Woodville or cement operations would be passed on to its customers. The Manistee facility may have to absorb extra costs due to the regulation of GHG emissions in order to maintain competitive pricing in its markets. The Company cannot reasonably predict how much those increased costs may be.</w:t>
      </w:r>
    </w:p>
    <w:p>
      <w:pPr>
        <w:spacing w:after="0" w:line="31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Company is engaged in certain legal and administrative proceedings incidental to its normal business activities. In the opinion of management, based upon currently available facts, the likelihood is remote that the ultimate outcome of any litigation or other proceedings, including those pertaining to environmental matters, relating to the Company and its subsidiaries, will have a material adverse effect on the overall results of the Company’s operations, cash flows or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481705" cy="2101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8">
                      <a:extLst>
                        <a:ext uri="{28A0092B-C50C-407E-A947-70E740481C1C}"/>
                      </a:extLst>
                    </a:blip>
                    <a:srcRect/>
                    <a:stretch>
                      <a:fillRect/>
                    </a:stretch>
                  </pic:blipFill>
                  <pic:spPr bwMode="auto">
                    <a:xfrm>
                      <a:off x="0" y="0"/>
                      <a:ext cx="3481705" cy="210185"/>
                    </a:xfrm>
                    <a:prstGeom prst="rect">
                      <a:avLst/>
                    </a:prstGeom>
                    <a:noFill/>
                  </pic:spPr>
                </pic:pic>
              </a:graphicData>
            </a:graphic>
          </wp:anchor>
        </w:drawing>
      </w:r>
    </w:p>
    <w:p>
      <w:pPr>
        <w:spacing w:after="0" w:line="127"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FFFFFF"/>
        </w:rPr>
        <w:t>FINANCIAL OVERVIEW</w:t>
      </w:r>
    </w:p>
    <w:p>
      <w:pPr>
        <w:spacing w:after="0" w:line="18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Company set a record for total revenues and earnings before interest, taxes, depreciation and amortization (EBITDA) in 2018, despite volume headwinds in the Building Materials business, including erratic weather, government uncertainty, tight labor markets and logistical challenges, which were prevalent throughout much of the year. The Magnesia Specialties business achieved record revenues and profitability.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Highlights of 2018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-152400</wp:posOffset>
            </wp:positionV>
            <wp:extent cx="3550285" cy="28340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9">
                      <a:extLst>
                        <a:ext uri="{28A0092B-C50C-407E-A947-70E740481C1C}"/>
                      </a:extLst>
                    </a:blip>
                    <a:srcRect/>
                    <a:stretch>
                      <a:fillRect/>
                    </a:stretch>
                  </pic:blipFill>
                  <pic:spPr bwMode="auto">
                    <a:xfrm>
                      <a:off x="0" y="0"/>
                      <a:ext cx="3550285" cy="28340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(all comparisons are versus 2017)</w:t>
      </w:r>
    </w:p>
    <w:p>
      <w:pPr>
        <w:spacing w:after="0" w:line="121" w:lineRule="exact"/>
        <w:rPr>
          <w:sz w:val="20"/>
          <w:szCs w:val="20"/>
          <w:color w:val="auto"/>
        </w:rPr>
      </w:pPr>
    </w:p>
    <w:p>
      <w:pPr>
        <w:ind w:left="400" w:right="340" w:hanging="298"/>
        <w:spacing w:after="0" w:line="239" w:lineRule="auto"/>
        <w:tabs>
          <w:tab w:leader="none" w:pos="40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Earnings per diluted share of $7.43 compared with $11.25; 2017 includes $4.07 per diluted share benefit from the provisional assessment of the 2017 Tax Act</w:t>
      </w:r>
    </w:p>
    <w:p>
      <w:pPr>
        <w:spacing w:after="0" w:line="1" w:lineRule="exact"/>
        <w:rPr>
          <w:rFonts w:ascii="Arial" w:cs="Arial" w:eastAsia="Arial" w:hAnsi="Arial"/>
          <w:sz w:val="17"/>
          <w:szCs w:val="17"/>
          <w:color w:val="auto"/>
        </w:rPr>
      </w:pPr>
    </w:p>
    <w:p>
      <w:pPr>
        <w:ind w:left="400" w:right="60" w:hanging="298"/>
        <w:spacing w:after="0" w:line="232" w:lineRule="auto"/>
        <w:tabs>
          <w:tab w:leader="none" w:pos="40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Net earnings attributable to Martin Marietta of $470.0 million in 2018 compared with $713.3 million in 2017; 2017 includes the</w:t>
      </w:r>
    </w:p>
    <w:p>
      <w:pPr>
        <w:jc w:val="both"/>
        <w:ind w:left="400" w:right="60"/>
        <w:spacing w:after="0" w:line="232" w:lineRule="auto"/>
        <w:rPr>
          <w:rFonts w:ascii="Arial" w:cs="Arial" w:eastAsia="Arial" w:hAnsi="Arial"/>
          <w:sz w:val="17"/>
          <w:szCs w:val="17"/>
          <w:color w:val="auto"/>
        </w:rPr>
      </w:pPr>
      <w:r>
        <w:rPr>
          <w:rFonts w:ascii="Arial" w:cs="Arial" w:eastAsia="Arial" w:hAnsi="Arial"/>
          <w:sz w:val="17"/>
          <w:szCs w:val="17"/>
          <w:i w:val="1"/>
          <w:iCs w:val="1"/>
          <w:color w:val="auto"/>
        </w:rPr>
        <w:t>$258.1 million one-time income tax benefit from the remeasurement of deferred tax assets and liabilities following enactment of the 2017 Tax Act</w:t>
      </w:r>
    </w:p>
    <w:p>
      <w:pPr>
        <w:ind w:left="400" w:right="660" w:hanging="298"/>
        <w:spacing w:after="0" w:line="232" w:lineRule="auto"/>
        <w:tabs>
          <w:tab w:leader="none" w:pos="40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Record consolidated EBITDA of $1.05 billion compared with $1.00 billion</w:t>
      </w:r>
    </w:p>
    <w:p>
      <w:pPr>
        <w:ind w:left="400" w:right="220" w:hanging="298"/>
        <w:spacing w:after="0" w:line="232" w:lineRule="auto"/>
        <w:tabs>
          <w:tab w:leader="none" w:pos="40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Record consolidated total revenues of $4.24 billion compared with $3.97 billion, an increase of 7.0%</w:t>
      </w:r>
    </w:p>
    <w:p>
      <w:pPr>
        <w:ind w:left="400" w:right="160" w:hanging="298"/>
        <w:spacing w:after="0" w:line="232" w:lineRule="auto"/>
        <w:tabs>
          <w:tab w:leader="none" w:pos="40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Heritage aggregates pricing increase of 3.0%; heritage aggregates volume relatively flat</w:t>
      </w:r>
    </w:p>
    <w:p>
      <w:pPr>
        <w:ind w:left="400" w:right="160" w:hanging="298"/>
        <w:spacing w:after="0" w:line="232" w:lineRule="auto"/>
        <w:tabs>
          <w:tab w:leader="none" w:pos="40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Cement total product revenues of $387.8 million and gross profit of $126.2 million</w:t>
      </w:r>
    </w:p>
    <w:p>
      <w:pPr>
        <w:ind w:left="400" w:right="60" w:hanging="298"/>
        <w:spacing w:after="0" w:line="232" w:lineRule="auto"/>
        <w:tabs>
          <w:tab w:leader="none" w:pos="40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Magnesia Specialties total revenues of $287.7 million, a record, and gross profit of $98.7 million</w:t>
      </w:r>
    </w:p>
    <w:p>
      <w:pPr>
        <w:ind w:left="400" w:right="160" w:hanging="298"/>
        <w:spacing w:after="0" w:line="243" w:lineRule="auto"/>
        <w:tabs>
          <w:tab w:leader="none" w:pos="40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Consolidated earnings from operations of $690.7 million compared with $700.4 million</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Results of Operations</w:t>
      </w:r>
    </w:p>
    <w:p>
      <w:pPr>
        <w:spacing w:after="0" w:line="39"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discussion and analysis that follow reflect management’s assessment of the financial condition and results of operations of the Company and should be read in conjunction with the audited consolidated financial statements. As discussed in more detail herein, the Company’s operating results are highly dependent upon activity within the construction marketplace, economic cycles within the public and private business sectors and seasonal and other weather-related conditions. Accordingly, financial results for any year presented, or year-to-year comparisons of reported results, may not be indicative of future operating results.</w:t>
      </w:r>
    </w:p>
    <w:p>
      <w:pPr>
        <w:spacing w:after="0" w:line="200" w:lineRule="exact"/>
        <w:rPr>
          <w:sz w:val="20"/>
          <w:szCs w:val="20"/>
          <w:color w:val="auto"/>
        </w:rPr>
      </w:pPr>
    </w:p>
    <w:p>
      <w:pPr>
        <w:spacing w:after="0" w:line="256"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Company’s Building Materials business generated the majority of consolidated total revenues and earnings from operations. The following comparative analysis and discussion should be read within this context. Further, sensitivity analysis and certain other data are provided to enhance the reader’s understanding of Management’s Discussion and Analysis of Financial Condition and Results of Operations and are not intended to be indicative of management’s judgment of materiality.</w:t>
      </w:r>
    </w:p>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61</w:t>
      </w:r>
    </w:p>
    <w:p>
      <w:pPr>
        <w:sectPr>
          <w:pgSz w:w="11900" w:h="16838" w:orient="portrait"/>
          <w:cols w:equalWidth="0" w:num="1">
            <w:col w:w="11420"/>
          </w:cols>
          <w:pgMar w:left="240" w:top="265" w:right="2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6"/>
          <w:szCs w:val="16"/>
          <w:color w:val="4D5358"/>
        </w:rPr>
        <w:t>(continued)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consolidated operating results and operating results as a percentage of total revenues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60" w:type="dxa"/>
            <w:vAlign w:val="bottom"/>
            <w:shd w:val="clear" w:color="auto" w:fill="0085CD"/>
          </w:tcPr>
          <w:p>
            <w:pPr>
              <w:spacing w:after="0"/>
              <w:rPr>
                <w:sz w:val="17"/>
                <w:szCs w:val="17"/>
                <w:color w:val="auto"/>
              </w:rPr>
            </w:pPr>
          </w:p>
        </w:tc>
        <w:tc>
          <w:tcPr>
            <w:tcW w:w="940" w:type="dxa"/>
            <w:vAlign w:val="bottom"/>
            <w:shd w:val="clear" w:color="auto" w:fill="0085CD"/>
          </w:tcPr>
          <w:p>
            <w:pPr>
              <w:spacing w:after="0"/>
              <w:rPr>
                <w:sz w:val="17"/>
                <w:szCs w:val="17"/>
                <w:color w:val="auto"/>
              </w:rPr>
            </w:pPr>
          </w:p>
        </w:tc>
        <w:tc>
          <w:tcPr>
            <w:tcW w:w="220" w:type="dxa"/>
            <w:vAlign w:val="bottom"/>
            <w:shd w:val="clear" w:color="auto" w:fill="0085CD"/>
          </w:tcPr>
          <w:p>
            <w:pPr>
              <w:spacing w:after="0"/>
              <w:rPr>
                <w:sz w:val="17"/>
                <w:szCs w:val="17"/>
                <w:color w:val="auto"/>
              </w:rPr>
            </w:pPr>
          </w:p>
        </w:tc>
        <w:tc>
          <w:tcPr>
            <w:tcW w:w="920" w:type="dxa"/>
            <w:vAlign w:val="bottom"/>
            <w:shd w:val="clear" w:color="auto" w:fill="0085CD"/>
          </w:tcPr>
          <w:p>
            <w:pPr>
              <w:ind w:left="100"/>
              <w:spacing w:after="0"/>
              <w:rPr>
                <w:sz w:val="20"/>
                <w:szCs w:val="20"/>
                <w:color w:val="auto"/>
              </w:rPr>
            </w:pPr>
            <w:r>
              <w:rPr>
                <w:rFonts w:ascii="Arial" w:cs="Arial" w:eastAsia="Arial" w:hAnsi="Arial"/>
                <w:sz w:val="18"/>
                <w:szCs w:val="18"/>
                <w:b w:val="1"/>
                <w:bCs w:val="1"/>
                <w:color w:val="FFFFFF"/>
              </w:rPr>
              <w:t>% of</w:t>
            </w:r>
          </w:p>
        </w:tc>
        <w:tc>
          <w:tcPr>
            <w:tcW w:w="300" w:type="dxa"/>
            <w:vAlign w:val="bottom"/>
          </w:tcPr>
          <w:p>
            <w:pPr>
              <w:spacing w:after="0"/>
              <w:rPr>
                <w:sz w:val="17"/>
                <w:szCs w:val="17"/>
                <w:color w:val="auto"/>
              </w:rPr>
            </w:pPr>
          </w:p>
        </w:tc>
        <w:tc>
          <w:tcPr>
            <w:tcW w:w="280" w:type="dxa"/>
            <w:vAlign w:val="bottom"/>
            <w:shd w:val="clear" w:color="auto" w:fill="EDEDEE"/>
          </w:tcPr>
          <w:p>
            <w:pPr>
              <w:spacing w:after="0"/>
              <w:rPr>
                <w:sz w:val="17"/>
                <w:szCs w:val="17"/>
                <w:color w:val="auto"/>
              </w:rPr>
            </w:pPr>
          </w:p>
        </w:tc>
        <w:tc>
          <w:tcPr>
            <w:tcW w:w="1020" w:type="dxa"/>
            <w:vAlign w:val="bottom"/>
            <w:shd w:val="clear" w:color="auto" w:fill="EDEDEE"/>
          </w:tcPr>
          <w:p>
            <w:pPr>
              <w:spacing w:after="0"/>
              <w:rPr>
                <w:sz w:val="17"/>
                <w:szCs w:val="17"/>
                <w:color w:val="auto"/>
              </w:rPr>
            </w:pPr>
          </w:p>
        </w:tc>
        <w:tc>
          <w:tcPr>
            <w:tcW w:w="200" w:type="dxa"/>
            <w:vAlign w:val="bottom"/>
            <w:shd w:val="clear" w:color="auto" w:fill="EDEDEE"/>
          </w:tcPr>
          <w:p>
            <w:pPr>
              <w:spacing w:after="0"/>
              <w:rPr>
                <w:sz w:val="17"/>
                <w:szCs w:val="17"/>
                <w:color w:val="auto"/>
              </w:rPr>
            </w:pPr>
          </w:p>
        </w:tc>
        <w:tc>
          <w:tcPr>
            <w:tcW w:w="900" w:type="dxa"/>
            <w:vAlign w:val="bottom"/>
            <w:shd w:val="clear" w:color="auto" w:fill="EDEDEE"/>
          </w:tcPr>
          <w:p>
            <w:pPr>
              <w:jc w:val="right"/>
              <w:ind w:right="350"/>
              <w:spacing w:after="0"/>
              <w:rPr>
                <w:sz w:val="20"/>
                <w:szCs w:val="20"/>
                <w:color w:val="auto"/>
              </w:rPr>
            </w:pPr>
            <w:r>
              <w:rPr>
                <w:rFonts w:ascii="Arial" w:cs="Arial" w:eastAsia="Arial" w:hAnsi="Arial"/>
                <w:sz w:val="18"/>
                <w:szCs w:val="18"/>
                <w:color w:val="auto"/>
              </w:rPr>
              <w:t>% of</w:t>
            </w:r>
          </w:p>
        </w:tc>
        <w:tc>
          <w:tcPr>
            <w:tcW w:w="280" w:type="dxa"/>
            <w:vAlign w:val="bottom"/>
          </w:tcPr>
          <w:p>
            <w:pPr>
              <w:spacing w:after="0"/>
              <w:rPr>
                <w:sz w:val="17"/>
                <w:szCs w:val="17"/>
                <w:color w:val="auto"/>
              </w:rPr>
            </w:pPr>
          </w:p>
        </w:tc>
        <w:tc>
          <w:tcPr>
            <w:tcW w:w="280" w:type="dxa"/>
            <w:vAlign w:val="bottom"/>
            <w:shd w:val="clear" w:color="auto" w:fill="EDEDEE"/>
          </w:tcPr>
          <w:p>
            <w:pPr>
              <w:spacing w:after="0"/>
              <w:rPr>
                <w:sz w:val="17"/>
                <w:szCs w:val="17"/>
                <w:color w:val="auto"/>
              </w:rPr>
            </w:pPr>
          </w:p>
        </w:tc>
        <w:tc>
          <w:tcPr>
            <w:tcW w:w="1020" w:type="dxa"/>
            <w:vAlign w:val="bottom"/>
            <w:shd w:val="clear" w:color="auto" w:fill="EDEDEE"/>
          </w:tcPr>
          <w:p>
            <w:pPr>
              <w:spacing w:after="0"/>
              <w:rPr>
                <w:sz w:val="17"/>
                <w:szCs w:val="17"/>
                <w:color w:val="auto"/>
              </w:rPr>
            </w:pPr>
          </w:p>
        </w:tc>
        <w:tc>
          <w:tcPr>
            <w:tcW w:w="200" w:type="dxa"/>
            <w:vAlign w:val="bottom"/>
            <w:shd w:val="clear" w:color="auto" w:fill="EDEDEE"/>
          </w:tcPr>
          <w:p>
            <w:pPr>
              <w:spacing w:after="0"/>
              <w:rPr>
                <w:sz w:val="17"/>
                <w:szCs w:val="17"/>
                <w:color w:val="auto"/>
              </w:rPr>
            </w:pPr>
          </w:p>
        </w:tc>
        <w:tc>
          <w:tcPr>
            <w:tcW w:w="900" w:type="dxa"/>
            <w:vAlign w:val="bottom"/>
            <w:shd w:val="clear" w:color="auto" w:fill="EDEDEE"/>
          </w:tcPr>
          <w:p>
            <w:pPr>
              <w:jc w:val="right"/>
              <w:ind w:right="350"/>
              <w:spacing w:after="0"/>
              <w:rPr>
                <w:sz w:val="20"/>
                <w:szCs w:val="20"/>
                <w:color w:val="auto"/>
              </w:rPr>
            </w:pPr>
            <w:r>
              <w:rPr>
                <w:rFonts w:ascii="Arial" w:cs="Arial" w:eastAsia="Arial" w:hAnsi="Arial"/>
                <w:sz w:val="18"/>
                <w:szCs w:val="18"/>
                <w:color w:val="auto"/>
              </w:rPr>
              <w:t>% of</w:t>
            </w:r>
          </w:p>
        </w:tc>
      </w:tr>
      <w:tr>
        <w:trPr>
          <w:trHeight w:val="203"/>
        </w:trPr>
        <w:tc>
          <w:tcPr>
            <w:tcW w:w="3700" w:type="dxa"/>
            <w:vAlign w:val="bottom"/>
            <w:gridSpan w:val="2"/>
          </w:tcPr>
          <w:p>
            <w:pPr>
              <w:spacing w:after="0"/>
              <w:rPr>
                <w:sz w:val="20"/>
                <w:szCs w:val="20"/>
                <w:color w:val="auto"/>
              </w:rPr>
            </w:pPr>
            <w:r>
              <w:rPr>
                <w:rFonts w:ascii="Arial" w:cs="Arial" w:eastAsia="Arial" w:hAnsi="Arial"/>
                <w:sz w:val="16"/>
                <w:szCs w:val="16"/>
                <w:i w:val="1"/>
                <w:iCs w:val="1"/>
                <w:color w:val="auto"/>
              </w:rPr>
              <w:t>years ended December 31</w:t>
            </w:r>
          </w:p>
        </w:tc>
        <w:tc>
          <w:tcPr>
            <w:tcW w:w="260" w:type="dxa"/>
            <w:vAlign w:val="bottom"/>
            <w:shd w:val="clear" w:color="auto" w:fill="0085CD"/>
          </w:tcPr>
          <w:p>
            <w:pPr>
              <w:spacing w:after="0"/>
              <w:rPr>
                <w:sz w:val="17"/>
                <w:szCs w:val="17"/>
                <w:color w:val="auto"/>
              </w:rPr>
            </w:pPr>
          </w:p>
        </w:tc>
        <w:tc>
          <w:tcPr>
            <w:tcW w:w="940" w:type="dxa"/>
            <w:vAlign w:val="bottom"/>
            <w:shd w:val="clear" w:color="auto" w:fill="0085CD"/>
          </w:tcPr>
          <w:p>
            <w:pPr>
              <w:spacing w:after="0"/>
              <w:rPr>
                <w:sz w:val="17"/>
                <w:szCs w:val="17"/>
                <w:color w:val="auto"/>
              </w:rPr>
            </w:pPr>
          </w:p>
        </w:tc>
        <w:tc>
          <w:tcPr>
            <w:tcW w:w="220" w:type="dxa"/>
            <w:vAlign w:val="bottom"/>
            <w:shd w:val="clear" w:color="auto" w:fill="0085CD"/>
          </w:tcPr>
          <w:p>
            <w:pPr>
              <w:spacing w:after="0"/>
              <w:rPr>
                <w:sz w:val="17"/>
                <w:szCs w:val="17"/>
                <w:color w:val="auto"/>
              </w:rPr>
            </w:pPr>
          </w:p>
        </w:tc>
        <w:tc>
          <w:tcPr>
            <w:tcW w:w="920" w:type="dxa"/>
            <w:vAlign w:val="bottom"/>
            <w:shd w:val="clear" w:color="auto" w:fill="0085CD"/>
          </w:tcPr>
          <w:p>
            <w:pPr>
              <w:ind w:left="100"/>
              <w:spacing w:after="0" w:line="202" w:lineRule="exact"/>
              <w:rPr>
                <w:sz w:val="20"/>
                <w:szCs w:val="20"/>
                <w:color w:val="auto"/>
              </w:rPr>
            </w:pPr>
            <w:r>
              <w:rPr>
                <w:rFonts w:ascii="Arial" w:cs="Arial" w:eastAsia="Arial" w:hAnsi="Arial"/>
                <w:sz w:val="18"/>
                <w:szCs w:val="18"/>
                <w:b w:val="1"/>
                <w:bCs w:val="1"/>
                <w:color w:val="FFFFFF"/>
              </w:rPr>
              <w:t>Total</w:t>
            </w:r>
          </w:p>
        </w:tc>
        <w:tc>
          <w:tcPr>
            <w:tcW w:w="300" w:type="dxa"/>
            <w:vAlign w:val="bottom"/>
          </w:tcPr>
          <w:p>
            <w:pPr>
              <w:spacing w:after="0"/>
              <w:rPr>
                <w:sz w:val="17"/>
                <w:szCs w:val="17"/>
                <w:color w:val="auto"/>
              </w:rPr>
            </w:pPr>
          </w:p>
        </w:tc>
        <w:tc>
          <w:tcPr>
            <w:tcW w:w="280" w:type="dxa"/>
            <w:vAlign w:val="bottom"/>
            <w:shd w:val="clear" w:color="auto" w:fill="EDEDEE"/>
          </w:tcPr>
          <w:p>
            <w:pPr>
              <w:spacing w:after="0"/>
              <w:rPr>
                <w:sz w:val="17"/>
                <w:szCs w:val="17"/>
                <w:color w:val="auto"/>
              </w:rPr>
            </w:pPr>
          </w:p>
        </w:tc>
        <w:tc>
          <w:tcPr>
            <w:tcW w:w="1020" w:type="dxa"/>
            <w:vAlign w:val="bottom"/>
            <w:shd w:val="clear" w:color="auto" w:fill="EDEDEE"/>
          </w:tcPr>
          <w:p>
            <w:pPr>
              <w:spacing w:after="0"/>
              <w:rPr>
                <w:sz w:val="17"/>
                <w:szCs w:val="17"/>
                <w:color w:val="auto"/>
              </w:rPr>
            </w:pPr>
          </w:p>
        </w:tc>
        <w:tc>
          <w:tcPr>
            <w:tcW w:w="200" w:type="dxa"/>
            <w:vAlign w:val="bottom"/>
            <w:shd w:val="clear" w:color="auto" w:fill="EDEDEE"/>
          </w:tcPr>
          <w:p>
            <w:pPr>
              <w:spacing w:after="0"/>
              <w:rPr>
                <w:sz w:val="17"/>
                <w:szCs w:val="17"/>
                <w:color w:val="auto"/>
              </w:rPr>
            </w:pPr>
          </w:p>
        </w:tc>
        <w:tc>
          <w:tcPr>
            <w:tcW w:w="900" w:type="dxa"/>
            <w:vAlign w:val="bottom"/>
            <w:shd w:val="clear" w:color="auto" w:fill="EDEDEE"/>
          </w:tcPr>
          <w:p>
            <w:pPr>
              <w:jc w:val="right"/>
              <w:ind w:right="310"/>
              <w:spacing w:after="0" w:line="202" w:lineRule="exact"/>
              <w:rPr>
                <w:sz w:val="20"/>
                <w:szCs w:val="20"/>
                <w:color w:val="auto"/>
              </w:rPr>
            </w:pPr>
            <w:r>
              <w:rPr>
                <w:rFonts w:ascii="Arial" w:cs="Arial" w:eastAsia="Arial" w:hAnsi="Arial"/>
                <w:sz w:val="18"/>
                <w:szCs w:val="18"/>
                <w:color w:val="auto"/>
              </w:rPr>
              <w:t>Total</w:t>
            </w:r>
          </w:p>
        </w:tc>
        <w:tc>
          <w:tcPr>
            <w:tcW w:w="280" w:type="dxa"/>
            <w:vAlign w:val="bottom"/>
          </w:tcPr>
          <w:p>
            <w:pPr>
              <w:spacing w:after="0"/>
              <w:rPr>
                <w:sz w:val="17"/>
                <w:szCs w:val="17"/>
                <w:color w:val="auto"/>
              </w:rPr>
            </w:pPr>
          </w:p>
        </w:tc>
        <w:tc>
          <w:tcPr>
            <w:tcW w:w="280" w:type="dxa"/>
            <w:vAlign w:val="bottom"/>
            <w:shd w:val="clear" w:color="auto" w:fill="EDEDEE"/>
          </w:tcPr>
          <w:p>
            <w:pPr>
              <w:spacing w:after="0"/>
              <w:rPr>
                <w:sz w:val="17"/>
                <w:szCs w:val="17"/>
                <w:color w:val="auto"/>
              </w:rPr>
            </w:pPr>
          </w:p>
        </w:tc>
        <w:tc>
          <w:tcPr>
            <w:tcW w:w="1020" w:type="dxa"/>
            <w:vAlign w:val="bottom"/>
            <w:shd w:val="clear" w:color="auto" w:fill="EDEDEE"/>
          </w:tcPr>
          <w:p>
            <w:pPr>
              <w:spacing w:after="0"/>
              <w:rPr>
                <w:sz w:val="17"/>
                <w:szCs w:val="17"/>
                <w:color w:val="auto"/>
              </w:rPr>
            </w:pPr>
          </w:p>
        </w:tc>
        <w:tc>
          <w:tcPr>
            <w:tcW w:w="200" w:type="dxa"/>
            <w:vAlign w:val="bottom"/>
            <w:shd w:val="clear" w:color="auto" w:fill="EDEDEE"/>
          </w:tcPr>
          <w:p>
            <w:pPr>
              <w:spacing w:after="0"/>
              <w:rPr>
                <w:sz w:val="17"/>
                <w:szCs w:val="17"/>
                <w:color w:val="auto"/>
              </w:rPr>
            </w:pPr>
          </w:p>
        </w:tc>
        <w:tc>
          <w:tcPr>
            <w:tcW w:w="900" w:type="dxa"/>
            <w:vAlign w:val="bottom"/>
            <w:shd w:val="clear" w:color="auto" w:fill="EDEDEE"/>
          </w:tcPr>
          <w:p>
            <w:pPr>
              <w:jc w:val="right"/>
              <w:ind w:right="310"/>
              <w:spacing w:after="0" w:line="202" w:lineRule="exact"/>
              <w:rPr>
                <w:sz w:val="20"/>
                <w:szCs w:val="20"/>
                <w:color w:val="auto"/>
              </w:rPr>
            </w:pPr>
            <w:r>
              <w:rPr>
                <w:rFonts w:ascii="Arial" w:cs="Arial" w:eastAsia="Arial" w:hAnsi="Arial"/>
                <w:sz w:val="18"/>
                <w:szCs w:val="18"/>
                <w:color w:val="auto"/>
              </w:rPr>
              <w:t>Total</w:t>
            </w:r>
          </w:p>
        </w:tc>
      </w:tr>
      <w:tr>
        <w:trPr>
          <w:trHeight w:val="225"/>
        </w:trPr>
        <w:tc>
          <w:tcPr>
            <w:tcW w:w="3700" w:type="dxa"/>
            <w:vAlign w:val="bottom"/>
            <w:gridSpan w:val="2"/>
          </w:tcPr>
          <w:p>
            <w:pPr>
              <w:spacing w:after="0"/>
              <w:rPr>
                <w:sz w:val="20"/>
                <w:szCs w:val="20"/>
                <w:color w:val="auto"/>
              </w:rPr>
            </w:pPr>
            <w:r>
              <w:rPr>
                <w:rFonts w:ascii="Arial" w:cs="Arial" w:eastAsia="Arial" w:hAnsi="Arial"/>
                <w:sz w:val="16"/>
                <w:szCs w:val="16"/>
                <w:color w:val="auto"/>
              </w:rPr>
              <w:t>(add 000, except for % of net sales)</w:t>
            </w:r>
          </w:p>
        </w:tc>
        <w:tc>
          <w:tcPr>
            <w:tcW w:w="260" w:type="dxa"/>
            <w:vAlign w:val="bottom"/>
            <w:shd w:val="clear" w:color="auto" w:fill="0085CD"/>
          </w:tcPr>
          <w:p>
            <w:pPr>
              <w:spacing w:after="0"/>
              <w:rPr>
                <w:sz w:val="19"/>
                <w:szCs w:val="19"/>
                <w:color w:val="auto"/>
              </w:rPr>
            </w:pPr>
          </w:p>
        </w:tc>
        <w:tc>
          <w:tcPr>
            <w:tcW w:w="940" w:type="dxa"/>
            <w:vAlign w:val="bottom"/>
            <w:shd w:val="clear" w:color="auto" w:fill="0085CD"/>
          </w:tcPr>
          <w:p>
            <w:pPr>
              <w:jc w:val="right"/>
              <w:ind w:right="290"/>
              <w:spacing w:after="0"/>
              <w:rPr>
                <w:sz w:val="20"/>
                <w:szCs w:val="20"/>
                <w:color w:val="auto"/>
              </w:rPr>
            </w:pPr>
            <w:r>
              <w:rPr>
                <w:rFonts w:ascii="Arial" w:cs="Arial" w:eastAsia="Arial" w:hAnsi="Arial"/>
                <w:sz w:val="18"/>
                <w:szCs w:val="18"/>
                <w:b w:val="1"/>
                <w:bCs w:val="1"/>
                <w:color w:val="FFFFFF"/>
              </w:rPr>
              <w:t>2018</w:t>
            </w:r>
          </w:p>
        </w:tc>
        <w:tc>
          <w:tcPr>
            <w:tcW w:w="1140" w:type="dxa"/>
            <w:vAlign w:val="bottom"/>
            <w:gridSpan w:val="2"/>
            <w:shd w:val="clear" w:color="auto" w:fill="0085CD"/>
          </w:tcPr>
          <w:p>
            <w:pPr>
              <w:jc w:val="right"/>
              <w:ind w:right="130"/>
              <w:spacing w:after="0"/>
              <w:rPr>
                <w:sz w:val="20"/>
                <w:szCs w:val="20"/>
                <w:color w:val="auto"/>
              </w:rPr>
            </w:pPr>
            <w:r>
              <w:rPr>
                <w:rFonts w:ascii="Arial" w:cs="Arial" w:eastAsia="Arial" w:hAnsi="Arial"/>
                <w:sz w:val="18"/>
                <w:szCs w:val="18"/>
                <w:b w:val="1"/>
                <w:bCs w:val="1"/>
                <w:color w:val="FFFFFF"/>
              </w:rPr>
              <w:t>revenues</w:t>
            </w:r>
          </w:p>
        </w:tc>
        <w:tc>
          <w:tcPr>
            <w:tcW w:w="300" w:type="dxa"/>
            <w:vAlign w:val="bottom"/>
          </w:tcPr>
          <w:p>
            <w:pPr>
              <w:spacing w:after="0"/>
              <w:rPr>
                <w:sz w:val="19"/>
                <w:szCs w:val="19"/>
                <w:color w:val="auto"/>
              </w:rPr>
            </w:pPr>
          </w:p>
        </w:tc>
        <w:tc>
          <w:tcPr>
            <w:tcW w:w="280" w:type="dxa"/>
            <w:vAlign w:val="bottom"/>
            <w:shd w:val="clear" w:color="auto" w:fill="EDEDEE"/>
          </w:tcPr>
          <w:p>
            <w:pPr>
              <w:spacing w:after="0"/>
              <w:rPr>
                <w:sz w:val="19"/>
                <w:szCs w:val="19"/>
                <w:color w:val="auto"/>
              </w:rPr>
            </w:pPr>
          </w:p>
        </w:tc>
        <w:tc>
          <w:tcPr>
            <w:tcW w:w="1020" w:type="dxa"/>
            <w:vAlign w:val="bottom"/>
            <w:shd w:val="clear" w:color="auto" w:fill="EDEDEE"/>
          </w:tcPr>
          <w:p>
            <w:pPr>
              <w:jc w:val="right"/>
              <w:ind w:right="330"/>
              <w:spacing w:after="0"/>
              <w:rPr>
                <w:sz w:val="20"/>
                <w:szCs w:val="20"/>
                <w:color w:val="auto"/>
              </w:rPr>
            </w:pPr>
            <w:r>
              <w:rPr>
                <w:rFonts w:ascii="Arial" w:cs="Arial" w:eastAsia="Arial" w:hAnsi="Arial"/>
                <w:sz w:val="18"/>
                <w:szCs w:val="18"/>
                <w:color w:val="auto"/>
              </w:rPr>
              <w:t>2017</w:t>
            </w:r>
          </w:p>
        </w:tc>
        <w:tc>
          <w:tcPr>
            <w:tcW w:w="1100" w:type="dxa"/>
            <w:vAlign w:val="bottom"/>
            <w:gridSpan w:val="2"/>
            <w:shd w:val="clear" w:color="auto" w:fill="EDEDEE"/>
          </w:tcPr>
          <w:p>
            <w:pPr>
              <w:jc w:val="right"/>
              <w:ind w:right="13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19"/>
                <w:szCs w:val="19"/>
                <w:color w:val="auto"/>
              </w:rPr>
            </w:pPr>
          </w:p>
        </w:tc>
        <w:tc>
          <w:tcPr>
            <w:tcW w:w="280" w:type="dxa"/>
            <w:vAlign w:val="bottom"/>
            <w:shd w:val="clear" w:color="auto" w:fill="EDEDEE"/>
          </w:tcPr>
          <w:p>
            <w:pPr>
              <w:spacing w:after="0"/>
              <w:rPr>
                <w:sz w:val="19"/>
                <w:szCs w:val="19"/>
                <w:color w:val="auto"/>
              </w:rPr>
            </w:pPr>
          </w:p>
        </w:tc>
        <w:tc>
          <w:tcPr>
            <w:tcW w:w="1020" w:type="dxa"/>
            <w:vAlign w:val="bottom"/>
            <w:shd w:val="clear" w:color="auto" w:fill="EDEDEE"/>
          </w:tcPr>
          <w:p>
            <w:pPr>
              <w:jc w:val="right"/>
              <w:ind w:right="330"/>
              <w:spacing w:after="0"/>
              <w:rPr>
                <w:sz w:val="20"/>
                <w:szCs w:val="20"/>
                <w:color w:val="auto"/>
              </w:rPr>
            </w:pPr>
            <w:r>
              <w:rPr>
                <w:rFonts w:ascii="Arial" w:cs="Arial" w:eastAsia="Arial" w:hAnsi="Arial"/>
                <w:sz w:val="18"/>
                <w:szCs w:val="18"/>
                <w:color w:val="auto"/>
              </w:rPr>
              <w:t>2016</w:t>
            </w:r>
          </w:p>
        </w:tc>
        <w:tc>
          <w:tcPr>
            <w:tcW w:w="1100" w:type="dxa"/>
            <w:vAlign w:val="bottom"/>
            <w:gridSpan w:val="2"/>
            <w:shd w:val="clear" w:color="auto" w:fill="EDEDEE"/>
          </w:tcPr>
          <w:p>
            <w:pPr>
              <w:jc w:val="right"/>
              <w:ind w:right="130"/>
              <w:spacing w:after="0"/>
              <w:rPr>
                <w:sz w:val="20"/>
                <w:szCs w:val="20"/>
                <w:color w:val="auto"/>
              </w:rPr>
            </w:pPr>
            <w:r>
              <w:rPr>
                <w:rFonts w:ascii="Arial" w:cs="Arial" w:eastAsia="Arial" w:hAnsi="Arial"/>
                <w:sz w:val="18"/>
                <w:szCs w:val="18"/>
                <w:color w:val="auto"/>
              </w:rPr>
              <w:t>revenues</w:t>
            </w:r>
          </w:p>
        </w:tc>
      </w:tr>
      <w:tr>
        <w:trPr>
          <w:trHeight w:val="195"/>
        </w:trPr>
        <w:tc>
          <w:tcPr>
            <w:tcW w:w="20" w:type="dxa"/>
            <w:vAlign w:val="bottom"/>
          </w:tcPr>
          <w:p>
            <w:pPr>
              <w:spacing w:after="0"/>
              <w:rPr>
                <w:sz w:val="16"/>
                <w:szCs w:val="16"/>
                <w:color w:val="auto"/>
              </w:rPr>
            </w:pPr>
          </w:p>
        </w:tc>
        <w:tc>
          <w:tcPr>
            <w:tcW w:w="3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Product and service revenues</w:t>
            </w:r>
          </w:p>
        </w:tc>
        <w:tc>
          <w:tcPr>
            <w:tcW w:w="260" w:type="dxa"/>
            <w:vAlign w:val="bottom"/>
            <w:tcBorders>
              <w:top w:val="single" w:sz="8" w:color="auto"/>
            </w:tcBorders>
            <w:shd w:val="clear" w:color="auto" w:fill="CDDEE7"/>
          </w:tcPr>
          <w:p>
            <w:pPr>
              <w:jc w:val="right"/>
              <w:spacing w:after="0" w:line="195"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DDEE7"/>
          </w:tcPr>
          <w:p>
            <w:pPr>
              <w:jc w:val="right"/>
              <w:ind w:right="30"/>
              <w:spacing w:after="0" w:line="195" w:lineRule="exact"/>
              <w:rPr>
                <w:sz w:val="20"/>
                <w:szCs w:val="20"/>
                <w:color w:val="auto"/>
              </w:rPr>
            </w:pPr>
            <w:r>
              <w:rPr>
                <w:rFonts w:ascii="Arial" w:cs="Arial" w:eastAsia="Arial" w:hAnsi="Arial"/>
                <w:sz w:val="18"/>
                <w:szCs w:val="18"/>
                <w:color w:val="auto"/>
                <w:w w:val="99"/>
              </w:rPr>
              <w:t>3,980,351</w:t>
            </w:r>
          </w:p>
        </w:tc>
        <w:tc>
          <w:tcPr>
            <w:tcW w:w="220" w:type="dxa"/>
            <w:vAlign w:val="bottom"/>
            <w:tcBorders>
              <w:top w:val="single" w:sz="8" w:color="auto"/>
            </w:tcBorders>
            <w:shd w:val="clear" w:color="auto" w:fill="CDDEE7"/>
          </w:tcPr>
          <w:p>
            <w:pPr>
              <w:spacing w:after="0"/>
              <w:rPr>
                <w:sz w:val="16"/>
                <w:szCs w:val="16"/>
                <w:color w:val="auto"/>
              </w:rPr>
            </w:pPr>
          </w:p>
        </w:tc>
        <w:tc>
          <w:tcPr>
            <w:tcW w:w="920" w:type="dxa"/>
            <w:vAlign w:val="bottom"/>
            <w:tcBorders>
              <w:top w:val="single" w:sz="8" w:color="auto"/>
            </w:tcBorders>
            <w:shd w:val="clear" w:color="auto" w:fill="CDDEE7"/>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shd w:val="clear" w:color="auto" w:fill="EDEDEE"/>
          </w:tcPr>
          <w:p>
            <w:pPr>
              <w:jc w:val="right"/>
              <w:spacing w:after="0" w:line="195"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EDEDEE"/>
          </w:tcPr>
          <w:p>
            <w:pPr>
              <w:jc w:val="right"/>
              <w:ind w:right="30"/>
              <w:spacing w:after="0" w:line="195" w:lineRule="exact"/>
              <w:rPr>
                <w:sz w:val="20"/>
                <w:szCs w:val="20"/>
                <w:color w:val="auto"/>
              </w:rPr>
            </w:pPr>
            <w:r>
              <w:rPr>
                <w:rFonts w:ascii="Arial" w:cs="Arial" w:eastAsia="Arial" w:hAnsi="Arial"/>
                <w:sz w:val="18"/>
                <w:szCs w:val="18"/>
                <w:color w:val="auto"/>
              </w:rPr>
              <w:t>3,723,478</w:t>
            </w:r>
          </w:p>
        </w:tc>
        <w:tc>
          <w:tcPr>
            <w:tcW w:w="200" w:type="dxa"/>
            <w:vAlign w:val="bottom"/>
            <w:tcBorders>
              <w:top w:val="single" w:sz="8" w:color="auto"/>
            </w:tcBorders>
            <w:shd w:val="clear" w:color="auto" w:fill="EDEDEE"/>
          </w:tcPr>
          <w:p>
            <w:pPr>
              <w:spacing w:after="0"/>
              <w:rPr>
                <w:sz w:val="16"/>
                <w:szCs w:val="16"/>
                <w:color w:val="auto"/>
              </w:rPr>
            </w:pPr>
          </w:p>
        </w:tc>
        <w:tc>
          <w:tcPr>
            <w:tcW w:w="900" w:type="dxa"/>
            <w:vAlign w:val="bottom"/>
            <w:tcBorders>
              <w:top w:val="single" w:sz="8" w:color="auto"/>
            </w:tcBorders>
            <w:shd w:val="clear" w:color="auto" w:fill="EDEDEE"/>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shd w:val="clear" w:color="auto" w:fill="EDEDEE"/>
          </w:tcPr>
          <w:p>
            <w:pPr>
              <w:jc w:val="right"/>
              <w:spacing w:after="0" w:line="195"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EDEDEE"/>
          </w:tcPr>
          <w:p>
            <w:pPr>
              <w:jc w:val="right"/>
              <w:ind w:right="30"/>
              <w:spacing w:after="0" w:line="195" w:lineRule="exact"/>
              <w:rPr>
                <w:sz w:val="20"/>
                <w:szCs w:val="20"/>
                <w:color w:val="auto"/>
              </w:rPr>
            </w:pPr>
            <w:r>
              <w:rPr>
                <w:rFonts w:ascii="Arial" w:cs="Arial" w:eastAsia="Arial" w:hAnsi="Arial"/>
                <w:sz w:val="18"/>
                <w:szCs w:val="18"/>
                <w:color w:val="auto"/>
              </w:rPr>
              <w:t>3,578,650</w:t>
            </w:r>
          </w:p>
        </w:tc>
        <w:tc>
          <w:tcPr>
            <w:tcW w:w="200" w:type="dxa"/>
            <w:vAlign w:val="bottom"/>
            <w:tcBorders>
              <w:top w:val="single" w:sz="8" w:color="auto"/>
            </w:tcBorders>
            <w:shd w:val="clear" w:color="auto" w:fill="EDEDEE"/>
          </w:tcPr>
          <w:p>
            <w:pPr>
              <w:spacing w:after="0"/>
              <w:rPr>
                <w:sz w:val="16"/>
                <w:szCs w:val="16"/>
                <w:color w:val="auto"/>
              </w:rPr>
            </w:pPr>
          </w:p>
        </w:tc>
        <w:tc>
          <w:tcPr>
            <w:tcW w:w="900" w:type="dxa"/>
            <w:vAlign w:val="bottom"/>
            <w:tcBorders>
              <w:top w:val="single" w:sz="8" w:color="auto"/>
            </w:tcBorders>
            <w:shd w:val="clear" w:color="auto" w:fill="EDEDEE"/>
          </w:tcPr>
          <w:p>
            <w:pPr>
              <w:spacing w:after="0"/>
              <w:rPr>
                <w:sz w:val="16"/>
                <w:szCs w:val="16"/>
                <w:color w:val="auto"/>
              </w:rPr>
            </w:pPr>
          </w:p>
        </w:tc>
      </w:tr>
      <w:tr>
        <w:trPr>
          <w:trHeight w:val="203"/>
        </w:trPr>
        <w:tc>
          <w:tcPr>
            <w:tcW w:w="3700" w:type="dxa"/>
            <w:vAlign w:val="bottom"/>
            <w:gridSpan w:val="2"/>
          </w:tcPr>
          <w:p>
            <w:pPr>
              <w:spacing w:after="0" w:line="203" w:lineRule="exact"/>
              <w:rPr>
                <w:sz w:val="20"/>
                <w:szCs w:val="20"/>
                <w:color w:val="auto"/>
              </w:rPr>
            </w:pPr>
            <w:r>
              <w:rPr>
                <w:rFonts w:ascii="Arial" w:cs="Arial" w:eastAsia="Arial" w:hAnsi="Arial"/>
                <w:sz w:val="18"/>
                <w:szCs w:val="18"/>
                <w:color w:val="auto"/>
              </w:rPr>
              <w:t>Freight revenues</w:t>
            </w:r>
          </w:p>
        </w:tc>
        <w:tc>
          <w:tcPr>
            <w:tcW w:w="260" w:type="dxa"/>
            <w:vAlign w:val="bottom"/>
            <w:tcBorders>
              <w:bottom w:val="single" w:sz="8" w:color="auto"/>
            </w:tcBorders>
            <w:shd w:val="clear" w:color="auto" w:fill="CDDEE7"/>
          </w:tcPr>
          <w:p>
            <w:pPr>
              <w:spacing w:after="0"/>
              <w:rPr>
                <w:sz w:val="17"/>
                <w:szCs w:val="17"/>
                <w:color w:val="auto"/>
              </w:rPr>
            </w:pPr>
          </w:p>
        </w:tc>
        <w:tc>
          <w:tcPr>
            <w:tcW w:w="940" w:type="dxa"/>
            <w:vAlign w:val="bottom"/>
            <w:tcBorders>
              <w:bottom w:val="single" w:sz="8" w:color="auto"/>
            </w:tcBorders>
            <w:shd w:val="clear" w:color="auto" w:fill="CDDEE7"/>
          </w:tcPr>
          <w:p>
            <w:pPr>
              <w:jc w:val="right"/>
              <w:ind w:right="30"/>
              <w:spacing w:after="0" w:line="203" w:lineRule="exact"/>
              <w:rPr>
                <w:sz w:val="20"/>
                <w:szCs w:val="20"/>
                <w:color w:val="auto"/>
              </w:rPr>
            </w:pPr>
            <w:r>
              <w:rPr>
                <w:rFonts w:ascii="Arial" w:cs="Arial" w:eastAsia="Arial" w:hAnsi="Arial"/>
                <w:sz w:val="18"/>
                <w:szCs w:val="18"/>
                <w:color w:val="auto"/>
              </w:rPr>
              <w:t>263,914</w:t>
            </w:r>
          </w:p>
        </w:tc>
        <w:tc>
          <w:tcPr>
            <w:tcW w:w="220" w:type="dxa"/>
            <w:vAlign w:val="bottom"/>
            <w:tcBorders>
              <w:bottom w:val="single" w:sz="8" w:color="auto"/>
            </w:tcBorders>
            <w:shd w:val="clear" w:color="auto" w:fill="CDDEE7"/>
          </w:tcPr>
          <w:p>
            <w:pPr>
              <w:spacing w:after="0"/>
              <w:rPr>
                <w:sz w:val="17"/>
                <w:szCs w:val="17"/>
                <w:color w:val="auto"/>
              </w:rPr>
            </w:pPr>
          </w:p>
        </w:tc>
        <w:tc>
          <w:tcPr>
            <w:tcW w:w="920" w:type="dxa"/>
            <w:vAlign w:val="bottom"/>
            <w:tcBorders>
              <w:bottom w:val="single" w:sz="8" w:color="auto"/>
            </w:tcBorders>
            <w:shd w:val="clear" w:color="auto" w:fill="CDDEE7"/>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EDEDEE"/>
          </w:tcPr>
          <w:p>
            <w:pPr>
              <w:spacing w:after="0"/>
              <w:rPr>
                <w:sz w:val="17"/>
                <w:szCs w:val="17"/>
                <w:color w:val="auto"/>
              </w:rPr>
            </w:pPr>
          </w:p>
        </w:tc>
        <w:tc>
          <w:tcPr>
            <w:tcW w:w="1020" w:type="dxa"/>
            <w:vAlign w:val="bottom"/>
            <w:tcBorders>
              <w:bottom w:val="single" w:sz="8" w:color="auto"/>
            </w:tcBorders>
            <w:shd w:val="clear" w:color="auto" w:fill="EDEDEE"/>
          </w:tcPr>
          <w:p>
            <w:pPr>
              <w:jc w:val="right"/>
              <w:ind w:right="30"/>
              <w:spacing w:after="0" w:line="203" w:lineRule="exact"/>
              <w:rPr>
                <w:sz w:val="20"/>
                <w:szCs w:val="20"/>
                <w:color w:val="auto"/>
              </w:rPr>
            </w:pPr>
            <w:r>
              <w:rPr>
                <w:rFonts w:ascii="Arial" w:cs="Arial" w:eastAsia="Arial" w:hAnsi="Arial"/>
                <w:sz w:val="18"/>
                <w:szCs w:val="18"/>
                <w:color w:val="auto"/>
              </w:rPr>
              <w:t>242,116</w:t>
            </w:r>
          </w:p>
        </w:tc>
        <w:tc>
          <w:tcPr>
            <w:tcW w:w="200" w:type="dxa"/>
            <w:vAlign w:val="bottom"/>
            <w:tcBorders>
              <w:bottom w:val="single" w:sz="8" w:color="auto"/>
            </w:tcBorders>
            <w:shd w:val="clear" w:color="auto" w:fill="EDEDEE"/>
          </w:tcPr>
          <w:p>
            <w:pPr>
              <w:spacing w:after="0"/>
              <w:rPr>
                <w:sz w:val="17"/>
                <w:szCs w:val="17"/>
                <w:color w:val="auto"/>
              </w:rPr>
            </w:pPr>
          </w:p>
        </w:tc>
        <w:tc>
          <w:tcPr>
            <w:tcW w:w="900" w:type="dxa"/>
            <w:vAlign w:val="bottom"/>
            <w:tcBorders>
              <w:bottom w:val="single" w:sz="8" w:color="auto"/>
            </w:tcBorders>
            <w:shd w:val="clear" w:color="auto" w:fill="EDEDE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EDEDEE"/>
          </w:tcPr>
          <w:p>
            <w:pPr>
              <w:spacing w:after="0"/>
              <w:rPr>
                <w:sz w:val="17"/>
                <w:szCs w:val="17"/>
                <w:color w:val="auto"/>
              </w:rPr>
            </w:pPr>
          </w:p>
        </w:tc>
        <w:tc>
          <w:tcPr>
            <w:tcW w:w="1020" w:type="dxa"/>
            <w:vAlign w:val="bottom"/>
            <w:tcBorders>
              <w:bottom w:val="single" w:sz="8" w:color="auto"/>
            </w:tcBorders>
            <w:shd w:val="clear" w:color="auto" w:fill="EDEDEE"/>
          </w:tcPr>
          <w:p>
            <w:pPr>
              <w:jc w:val="right"/>
              <w:ind w:right="30"/>
              <w:spacing w:after="0" w:line="203" w:lineRule="exact"/>
              <w:rPr>
                <w:sz w:val="20"/>
                <w:szCs w:val="20"/>
                <w:color w:val="auto"/>
              </w:rPr>
            </w:pPr>
            <w:r>
              <w:rPr>
                <w:rFonts w:ascii="Arial" w:cs="Arial" w:eastAsia="Arial" w:hAnsi="Arial"/>
                <w:sz w:val="18"/>
                <w:szCs w:val="18"/>
                <w:color w:val="auto"/>
              </w:rPr>
              <w:t>240,099</w:t>
            </w:r>
          </w:p>
        </w:tc>
        <w:tc>
          <w:tcPr>
            <w:tcW w:w="200" w:type="dxa"/>
            <w:vAlign w:val="bottom"/>
            <w:tcBorders>
              <w:bottom w:val="single" w:sz="8" w:color="auto"/>
            </w:tcBorders>
            <w:shd w:val="clear" w:color="auto" w:fill="EDEDEE"/>
          </w:tcPr>
          <w:p>
            <w:pPr>
              <w:spacing w:after="0"/>
              <w:rPr>
                <w:sz w:val="17"/>
                <w:szCs w:val="17"/>
                <w:color w:val="auto"/>
              </w:rPr>
            </w:pPr>
          </w:p>
        </w:tc>
        <w:tc>
          <w:tcPr>
            <w:tcW w:w="900" w:type="dxa"/>
            <w:vAlign w:val="bottom"/>
            <w:tcBorders>
              <w:bottom w:val="single" w:sz="8" w:color="auto"/>
            </w:tcBorders>
            <w:shd w:val="clear" w:color="auto" w:fill="EDEDEE"/>
          </w:tcPr>
          <w:p>
            <w:pPr>
              <w:spacing w:after="0"/>
              <w:rPr>
                <w:sz w:val="17"/>
                <w:szCs w:val="17"/>
                <w:color w:val="auto"/>
              </w:rPr>
            </w:pPr>
          </w:p>
        </w:tc>
      </w:tr>
      <w:tr>
        <w:trPr>
          <w:trHeight w:val="196"/>
        </w:trPr>
        <w:tc>
          <w:tcPr>
            <w:tcW w:w="37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Total revenues</w:t>
            </w:r>
          </w:p>
        </w:tc>
        <w:tc>
          <w:tcPr>
            <w:tcW w:w="260" w:type="dxa"/>
            <w:vAlign w:val="bottom"/>
            <w:shd w:val="clear" w:color="auto" w:fill="CDDEE7"/>
          </w:tcPr>
          <w:p>
            <w:pPr>
              <w:spacing w:after="0"/>
              <w:rPr>
                <w:sz w:val="17"/>
                <w:szCs w:val="17"/>
                <w:color w:val="auto"/>
              </w:rPr>
            </w:pPr>
          </w:p>
        </w:tc>
        <w:tc>
          <w:tcPr>
            <w:tcW w:w="940" w:type="dxa"/>
            <w:vAlign w:val="bottom"/>
            <w:shd w:val="clear" w:color="auto" w:fill="CDDEE7"/>
          </w:tcPr>
          <w:p>
            <w:pPr>
              <w:jc w:val="right"/>
              <w:ind w:right="30"/>
              <w:spacing w:after="0" w:line="196" w:lineRule="exact"/>
              <w:rPr>
                <w:sz w:val="20"/>
                <w:szCs w:val="20"/>
                <w:color w:val="auto"/>
              </w:rPr>
            </w:pPr>
            <w:r>
              <w:rPr>
                <w:rFonts w:ascii="Arial" w:cs="Arial" w:eastAsia="Arial" w:hAnsi="Arial"/>
                <w:sz w:val="18"/>
                <w:szCs w:val="18"/>
                <w:b w:val="1"/>
                <w:bCs w:val="1"/>
                <w:color w:val="auto"/>
                <w:w w:val="99"/>
              </w:rPr>
              <w:t>4,244,265</w:t>
            </w:r>
          </w:p>
        </w:tc>
        <w:tc>
          <w:tcPr>
            <w:tcW w:w="1140" w:type="dxa"/>
            <w:vAlign w:val="bottom"/>
            <w:gridSpan w:val="2"/>
            <w:shd w:val="clear" w:color="auto" w:fill="CDDEE7"/>
          </w:tcPr>
          <w:p>
            <w:pPr>
              <w:jc w:val="right"/>
              <w:spacing w:after="0" w:line="196" w:lineRule="exact"/>
              <w:rPr>
                <w:sz w:val="20"/>
                <w:szCs w:val="20"/>
                <w:color w:val="auto"/>
              </w:rPr>
            </w:pPr>
            <w:r>
              <w:rPr>
                <w:rFonts w:ascii="Arial" w:cs="Arial" w:eastAsia="Arial" w:hAnsi="Arial"/>
                <w:sz w:val="18"/>
                <w:szCs w:val="18"/>
                <w:b w:val="1"/>
                <w:bCs w:val="1"/>
                <w:color w:val="auto"/>
              </w:rPr>
              <w:t>100.0%</w:t>
            </w:r>
          </w:p>
        </w:tc>
        <w:tc>
          <w:tcPr>
            <w:tcW w:w="300" w:type="dxa"/>
            <w:vAlign w:val="bottom"/>
          </w:tcPr>
          <w:p>
            <w:pPr>
              <w:spacing w:after="0"/>
              <w:rPr>
                <w:sz w:val="17"/>
                <w:szCs w:val="17"/>
                <w:color w:val="auto"/>
              </w:rPr>
            </w:pPr>
          </w:p>
        </w:tc>
        <w:tc>
          <w:tcPr>
            <w:tcW w:w="280" w:type="dxa"/>
            <w:vAlign w:val="bottom"/>
            <w:shd w:val="clear" w:color="auto" w:fill="EDEDEE"/>
          </w:tcPr>
          <w:p>
            <w:pPr>
              <w:spacing w:after="0"/>
              <w:rPr>
                <w:sz w:val="17"/>
                <w:szCs w:val="17"/>
                <w:color w:val="auto"/>
              </w:rPr>
            </w:pPr>
          </w:p>
        </w:tc>
        <w:tc>
          <w:tcPr>
            <w:tcW w:w="1020" w:type="dxa"/>
            <w:vAlign w:val="bottom"/>
            <w:shd w:val="clear" w:color="auto" w:fill="EDEDEE"/>
          </w:tcPr>
          <w:p>
            <w:pPr>
              <w:jc w:val="right"/>
              <w:ind w:right="30"/>
              <w:spacing w:after="0" w:line="196" w:lineRule="exact"/>
              <w:rPr>
                <w:sz w:val="20"/>
                <w:szCs w:val="20"/>
                <w:color w:val="auto"/>
              </w:rPr>
            </w:pPr>
            <w:r>
              <w:rPr>
                <w:rFonts w:ascii="Arial" w:cs="Arial" w:eastAsia="Arial" w:hAnsi="Arial"/>
                <w:sz w:val="18"/>
                <w:szCs w:val="18"/>
                <w:b w:val="1"/>
                <w:bCs w:val="1"/>
                <w:color w:val="auto"/>
              </w:rPr>
              <w:t>3,965,594</w:t>
            </w:r>
          </w:p>
        </w:tc>
        <w:tc>
          <w:tcPr>
            <w:tcW w:w="1100" w:type="dxa"/>
            <w:vAlign w:val="bottom"/>
            <w:gridSpan w:val="2"/>
            <w:shd w:val="clear" w:color="auto" w:fill="EDEDEE"/>
          </w:tcPr>
          <w:p>
            <w:pPr>
              <w:jc w:val="right"/>
              <w:spacing w:after="0" w:line="196" w:lineRule="exact"/>
              <w:rPr>
                <w:sz w:val="20"/>
                <w:szCs w:val="20"/>
                <w:color w:val="auto"/>
              </w:rPr>
            </w:pPr>
            <w:r>
              <w:rPr>
                <w:rFonts w:ascii="Arial" w:cs="Arial" w:eastAsia="Arial" w:hAnsi="Arial"/>
                <w:sz w:val="18"/>
                <w:szCs w:val="18"/>
                <w:b w:val="1"/>
                <w:bCs w:val="1"/>
                <w:color w:val="auto"/>
              </w:rPr>
              <w:t>100.0%</w:t>
            </w:r>
          </w:p>
        </w:tc>
        <w:tc>
          <w:tcPr>
            <w:tcW w:w="280" w:type="dxa"/>
            <w:vAlign w:val="bottom"/>
          </w:tcPr>
          <w:p>
            <w:pPr>
              <w:spacing w:after="0"/>
              <w:rPr>
                <w:sz w:val="17"/>
                <w:szCs w:val="17"/>
                <w:color w:val="auto"/>
              </w:rPr>
            </w:pPr>
          </w:p>
        </w:tc>
        <w:tc>
          <w:tcPr>
            <w:tcW w:w="280" w:type="dxa"/>
            <w:vAlign w:val="bottom"/>
            <w:shd w:val="clear" w:color="auto" w:fill="EDEDEE"/>
          </w:tcPr>
          <w:p>
            <w:pPr>
              <w:spacing w:after="0"/>
              <w:rPr>
                <w:sz w:val="17"/>
                <w:szCs w:val="17"/>
                <w:color w:val="auto"/>
              </w:rPr>
            </w:pPr>
          </w:p>
        </w:tc>
        <w:tc>
          <w:tcPr>
            <w:tcW w:w="1020" w:type="dxa"/>
            <w:vAlign w:val="bottom"/>
            <w:shd w:val="clear" w:color="auto" w:fill="EDEDEE"/>
          </w:tcPr>
          <w:p>
            <w:pPr>
              <w:jc w:val="right"/>
              <w:ind w:right="30"/>
              <w:spacing w:after="0" w:line="196" w:lineRule="exact"/>
              <w:rPr>
                <w:sz w:val="20"/>
                <w:szCs w:val="20"/>
                <w:color w:val="auto"/>
              </w:rPr>
            </w:pPr>
            <w:r>
              <w:rPr>
                <w:rFonts w:ascii="Arial" w:cs="Arial" w:eastAsia="Arial" w:hAnsi="Arial"/>
                <w:sz w:val="18"/>
                <w:szCs w:val="18"/>
                <w:b w:val="1"/>
                <w:bCs w:val="1"/>
                <w:color w:val="auto"/>
              </w:rPr>
              <w:t>3,818,749</w:t>
            </w:r>
          </w:p>
        </w:tc>
        <w:tc>
          <w:tcPr>
            <w:tcW w:w="1100" w:type="dxa"/>
            <w:vAlign w:val="bottom"/>
            <w:gridSpan w:val="2"/>
            <w:shd w:val="clear" w:color="auto" w:fill="EDEDEE"/>
          </w:tcPr>
          <w:p>
            <w:pPr>
              <w:jc w:val="right"/>
              <w:spacing w:after="0" w:line="196" w:lineRule="exact"/>
              <w:rPr>
                <w:sz w:val="20"/>
                <w:szCs w:val="20"/>
                <w:color w:val="auto"/>
              </w:rPr>
            </w:pPr>
            <w:r>
              <w:rPr>
                <w:rFonts w:ascii="Arial" w:cs="Arial" w:eastAsia="Arial" w:hAnsi="Arial"/>
                <w:sz w:val="18"/>
                <w:szCs w:val="18"/>
                <w:b w:val="1"/>
                <w:bCs w:val="1"/>
                <w:color w:val="auto"/>
              </w:rPr>
              <w:t>100.0%</w:t>
            </w:r>
          </w:p>
        </w:tc>
      </w:tr>
      <w:tr>
        <w:trPr>
          <w:trHeight w:val="195"/>
        </w:trPr>
        <w:tc>
          <w:tcPr>
            <w:tcW w:w="20" w:type="dxa"/>
            <w:vAlign w:val="bottom"/>
          </w:tcPr>
          <w:p>
            <w:pPr>
              <w:spacing w:after="0"/>
              <w:rPr>
                <w:sz w:val="16"/>
                <w:szCs w:val="16"/>
                <w:color w:val="auto"/>
              </w:rPr>
            </w:pPr>
          </w:p>
        </w:tc>
        <w:tc>
          <w:tcPr>
            <w:tcW w:w="3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Cost of sales</w:t>
            </w:r>
          </w:p>
        </w:tc>
        <w:tc>
          <w:tcPr>
            <w:tcW w:w="260" w:type="dxa"/>
            <w:vAlign w:val="bottom"/>
            <w:tcBorders>
              <w:top w:val="single" w:sz="8" w:color="auto"/>
            </w:tcBorders>
            <w:shd w:val="clear" w:color="auto" w:fill="CDDEE7"/>
          </w:tcPr>
          <w:p>
            <w:pPr>
              <w:spacing w:after="0"/>
              <w:rPr>
                <w:sz w:val="16"/>
                <w:szCs w:val="16"/>
                <w:color w:val="auto"/>
              </w:rPr>
            </w:pPr>
          </w:p>
        </w:tc>
        <w:tc>
          <w:tcPr>
            <w:tcW w:w="940" w:type="dxa"/>
            <w:vAlign w:val="bottom"/>
            <w:tcBorders>
              <w:top w:val="single" w:sz="8" w:color="auto"/>
            </w:tcBorders>
            <w:shd w:val="clear" w:color="auto" w:fill="CDDEE7"/>
          </w:tcPr>
          <w:p>
            <w:pPr>
              <w:jc w:val="right"/>
              <w:ind w:right="30"/>
              <w:spacing w:after="0" w:line="195" w:lineRule="exact"/>
              <w:rPr>
                <w:sz w:val="20"/>
                <w:szCs w:val="20"/>
                <w:color w:val="auto"/>
              </w:rPr>
            </w:pPr>
            <w:r>
              <w:rPr>
                <w:rFonts w:ascii="Arial" w:cs="Arial" w:eastAsia="Arial" w:hAnsi="Arial"/>
                <w:sz w:val="18"/>
                <w:szCs w:val="18"/>
                <w:color w:val="auto"/>
                <w:w w:val="99"/>
              </w:rPr>
              <w:t>3,009,810</w:t>
            </w:r>
          </w:p>
        </w:tc>
        <w:tc>
          <w:tcPr>
            <w:tcW w:w="220" w:type="dxa"/>
            <w:vAlign w:val="bottom"/>
            <w:tcBorders>
              <w:top w:val="single" w:sz="8" w:color="auto"/>
            </w:tcBorders>
            <w:shd w:val="clear" w:color="auto" w:fill="CDDEE7"/>
          </w:tcPr>
          <w:p>
            <w:pPr>
              <w:spacing w:after="0"/>
              <w:rPr>
                <w:sz w:val="16"/>
                <w:szCs w:val="16"/>
                <w:color w:val="auto"/>
              </w:rPr>
            </w:pPr>
          </w:p>
        </w:tc>
        <w:tc>
          <w:tcPr>
            <w:tcW w:w="920" w:type="dxa"/>
            <w:vAlign w:val="bottom"/>
            <w:tcBorders>
              <w:top w:val="single" w:sz="8" w:color="auto"/>
            </w:tcBorders>
            <w:shd w:val="clear" w:color="auto" w:fill="CDDEE7"/>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shd w:val="clear" w:color="auto" w:fill="EDEDEE"/>
          </w:tcPr>
          <w:p>
            <w:pPr>
              <w:spacing w:after="0"/>
              <w:rPr>
                <w:sz w:val="16"/>
                <w:szCs w:val="16"/>
                <w:color w:val="auto"/>
              </w:rPr>
            </w:pPr>
          </w:p>
        </w:tc>
        <w:tc>
          <w:tcPr>
            <w:tcW w:w="1020" w:type="dxa"/>
            <w:vAlign w:val="bottom"/>
            <w:tcBorders>
              <w:top w:val="single" w:sz="8" w:color="auto"/>
            </w:tcBorders>
            <w:shd w:val="clear" w:color="auto" w:fill="EDEDEE"/>
          </w:tcPr>
          <w:p>
            <w:pPr>
              <w:jc w:val="right"/>
              <w:ind w:right="30"/>
              <w:spacing w:after="0" w:line="195" w:lineRule="exact"/>
              <w:rPr>
                <w:sz w:val="20"/>
                <w:szCs w:val="20"/>
                <w:color w:val="auto"/>
              </w:rPr>
            </w:pPr>
            <w:r>
              <w:rPr>
                <w:rFonts w:ascii="Arial" w:cs="Arial" w:eastAsia="Arial" w:hAnsi="Arial"/>
                <w:sz w:val="18"/>
                <w:szCs w:val="18"/>
                <w:color w:val="auto"/>
              </w:rPr>
              <w:t>2,749,488</w:t>
            </w:r>
          </w:p>
        </w:tc>
        <w:tc>
          <w:tcPr>
            <w:tcW w:w="200" w:type="dxa"/>
            <w:vAlign w:val="bottom"/>
            <w:tcBorders>
              <w:top w:val="single" w:sz="8" w:color="auto"/>
            </w:tcBorders>
            <w:shd w:val="clear" w:color="auto" w:fill="EDEDEE"/>
          </w:tcPr>
          <w:p>
            <w:pPr>
              <w:spacing w:after="0"/>
              <w:rPr>
                <w:sz w:val="16"/>
                <w:szCs w:val="16"/>
                <w:color w:val="auto"/>
              </w:rPr>
            </w:pPr>
          </w:p>
        </w:tc>
        <w:tc>
          <w:tcPr>
            <w:tcW w:w="900" w:type="dxa"/>
            <w:vAlign w:val="bottom"/>
            <w:tcBorders>
              <w:top w:val="single" w:sz="8" w:color="auto"/>
            </w:tcBorders>
            <w:shd w:val="clear" w:color="auto" w:fill="EDEDEE"/>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shd w:val="clear" w:color="auto" w:fill="EDEDEE"/>
          </w:tcPr>
          <w:p>
            <w:pPr>
              <w:spacing w:after="0"/>
              <w:rPr>
                <w:sz w:val="16"/>
                <w:szCs w:val="16"/>
                <w:color w:val="auto"/>
              </w:rPr>
            </w:pPr>
          </w:p>
        </w:tc>
        <w:tc>
          <w:tcPr>
            <w:tcW w:w="1020" w:type="dxa"/>
            <w:vAlign w:val="bottom"/>
            <w:tcBorders>
              <w:top w:val="single" w:sz="8" w:color="auto"/>
            </w:tcBorders>
            <w:shd w:val="clear" w:color="auto" w:fill="EDEDEE"/>
          </w:tcPr>
          <w:p>
            <w:pPr>
              <w:jc w:val="right"/>
              <w:ind w:right="30"/>
              <w:spacing w:after="0" w:line="195" w:lineRule="exact"/>
              <w:rPr>
                <w:sz w:val="20"/>
                <w:szCs w:val="20"/>
                <w:color w:val="auto"/>
              </w:rPr>
            </w:pPr>
            <w:r>
              <w:rPr>
                <w:rFonts w:ascii="Arial" w:cs="Arial" w:eastAsia="Arial" w:hAnsi="Arial"/>
                <w:sz w:val="18"/>
                <w:szCs w:val="18"/>
                <w:color w:val="auto"/>
              </w:rPr>
              <w:t>2,665,029</w:t>
            </w:r>
          </w:p>
        </w:tc>
        <w:tc>
          <w:tcPr>
            <w:tcW w:w="200" w:type="dxa"/>
            <w:vAlign w:val="bottom"/>
            <w:tcBorders>
              <w:top w:val="single" w:sz="8" w:color="auto"/>
            </w:tcBorders>
            <w:shd w:val="clear" w:color="auto" w:fill="EDEDEE"/>
          </w:tcPr>
          <w:p>
            <w:pPr>
              <w:spacing w:after="0"/>
              <w:rPr>
                <w:sz w:val="16"/>
                <w:szCs w:val="16"/>
                <w:color w:val="auto"/>
              </w:rPr>
            </w:pPr>
          </w:p>
        </w:tc>
        <w:tc>
          <w:tcPr>
            <w:tcW w:w="900" w:type="dxa"/>
            <w:vAlign w:val="bottom"/>
            <w:tcBorders>
              <w:top w:val="single" w:sz="8" w:color="auto"/>
            </w:tcBorders>
            <w:shd w:val="clear" w:color="auto" w:fill="EDEDEE"/>
          </w:tcPr>
          <w:p>
            <w:pPr>
              <w:spacing w:after="0"/>
              <w:rPr>
                <w:sz w:val="16"/>
                <w:szCs w:val="16"/>
                <w:color w:val="auto"/>
              </w:rPr>
            </w:pPr>
          </w:p>
        </w:tc>
      </w:tr>
      <w:tr>
        <w:trPr>
          <w:trHeight w:val="203"/>
        </w:trPr>
        <w:tc>
          <w:tcPr>
            <w:tcW w:w="3700" w:type="dxa"/>
            <w:vAlign w:val="bottom"/>
            <w:gridSpan w:val="2"/>
          </w:tcPr>
          <w:p>
            <w:pPr>
              <w:spacing w:after="0" w:line="202" w:lineRule="exact"/>
              <w:rPr>
                <w:sz w:val="20"/>
                <w:szCs w:val="20"/>
                <w:color w:val="auto"/>
              </w:rPr>
            </w:pPr>
            <w:r>
              <w:rPr>
                <w:rFonts w:ascii="Arial" w:cs="Arial" w:eastAsia="Arial" w:hAnsi="Arial"/>
                <w:sz w:val="18"/>
                <w:szCs w:val="18"/>
                <w:color w:val="auto"/>
              </w:rPr>
              <w:t>Freight and delivery costs</w:t>
            </w:r>
          </w:p>
        </w:tc>
        <w:tc>
          <w:tcPr>
            <w:tcW w:w="260" w:type="dxa"/>
            <w:vAlign w:val="bottom"/>
            <w:tcBorders>
              <w:bottom w:val="single" w:sz="8" w:color="auto"/>
            </w:tcBorders>
            <w:shd w:val="clear" w:color="auto" w:fill="CDDEE7"/>
          </w:tcPr>
          <w:p>
            <w:pPr>
              <w:spacing w:after="0"/>
              <w:rPr>
                <w:sz w:val="17"/>
                <w:szCs w:val="17"/>
                <w:color w:val="auto"/>
              </w:rPr>
            </w:pPr>
          </w:p>
        </w:tc>
        <w:tc>
          <w:tcPr>
            <w:tcW w:w="940" w:type="dxa"/>
            <w:vAlign w:val="bottom"/>
            <w:tcBorders>
              <w:bottom w:val="single" w:sz="8" w:color="auto"/>
            </w:tcBorders>
            <w:shd w:val="clear" w:color="auto" w:fill="CDDEE7"/>
          </w:tcPr>
          <w:p>
            <w:pPr>
              <w:jc w:val="right"/>
              <w:ind w:right="30"/>
              <w:spacing w:after="0" w:line="202" w:lineRule="exact"/>
              <w:rPr>
                <w:sz w:val="20"/>
                <w:szCs w:val="20"/>
                <w:color w:val="auto"/>
              </w:rPr>
            </w:pPr>
            <w:r>
              <w:rPr>
                <w:rFonts w:ascii="Arial" w:cs="Arial" w:eastAsia="Arial" w:hAnsi="Arial"/>
                <w:sz w:val="18"/>
                <w:szCs w:val="18"/>
                <w:color w:val="auto"/>
              </w:rPr>
              <w:t>267,878</w:t>
            </w:r>
          </w:p>
        </w:tc>
        <w:tc>
          <w:tcPr>
            <w:tcW w:w="220" w:type="dxa"/>
            <w:vAlign w:val="bottom"/>
            <w:tcBorders>
              <w:bottom w:val="single" w:sz="8" w:color="auto"/>
            </w:tcBorders>
            <w:shd w:val="clear" w:color="auto" w:fill="CDDEE7"/>
          </w:tcPr>
          <w:p>
            <w:pPr>
              <w:spacing w:after="0"/>
              <w:rPr>
                <w:sz w:val="17"/>
                <w:szCs w:val="17"/>
                <w:color w:val="auto"/>
              </w:rPr>
            </w:pPr>
          </w:p>
        </w:tc>
        <w:tc>
          <w:tcPr>
            <w:tcW w:w="920" w:type="dxa"/>
            <w:vAlign w:val="bottom"/>
            <w:tcBorders>
              <w:bottom w:val="single" w:sz="8" w:color="auto"/>
            </w:tcBorders>
            <w:shd w:val="clear" w:color="auto" w:fill="CDDEE7"/>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EDEDEE"/>
          </w:tcPr>
          <w:p>
            <w:pPr>
              <w:spacing w:after="0"/>
              <w:rPr>
                <w:sz w:val="17"/>
                <w:szCs w:val="17"/>
                <w:color w:val="auto"/>
              </w:rPr>
            </w:pPr>
          </w:p>
        </w:tc>
        <w:tc>
          <w:tcPr>
            <w:tcW w:w="1020" w:type="dxa"/>
            <w:vAlign w:val="bottom"/>
            <w:tcBorders>
              <w:bottom w:val="single" w:sz="8" w:color="auto"/>
            </w:tcBorders>
            <w:shd w:val="clear" w:color="auto" w:fill="EDEDEE"/>
          </w:tcPr>
          <w:p>
            <w:pPr>
              <w:jc w:val="right"/>
              <w:ind w:right="30"/>
              <w:spacing w:after="0" w:line="202" w:lineRule="exact"/>
              <w:rPr>
                <w:sz w:val="20"/>
                <w:szCs w:val="20"/>
                <w:color w:val="auto"/>
              </w:rPr>
            </w:pPr>
            <w:r>
              <w:rPr>
                <w:rFonts w:ascii="Arial" w:cs="Arial" w:eastAsia="Arial" w:hAnsi="Arial"/>
                <w:sz w:val="18"/>
                <w:szCs w:val="18"/>
                <w:color w:val="auto"/>
              </w:rPr>
              <w:t>244,166</w:t>
            </w:r>
          </w:p>
        </w:tc>
        <w:tc>
          <w:tcPr>
            <w:tcW w:w="200" w:type="dxa"/>
            <w:vAlign w:val="bottom"/>
            <w:tcBorders>
              <w:bottom w:val="single" w:sz="8" w:color="auto"/>
            </w:tcBorders>
            <w:shd w:val="clear" w:color="auto" w:fill="EDEDEE"/>
          </w:tcPr>
          <w:p>
            <w:pPr>
              <w:spacing w:after="0"/>
              <w:rPr>
                <w:sz w:val="17"/>
                <w:szCs w:val="17"/>
                <w:color w:val="auto"/>
              </w:rPr>
            </w:pPr>
          </w:p>
        </w:tc>
        <w:tc>
          <w:tcPr>
            <w:tcW w:w="900" w:type="dxa"/>
            <w:vAlign w:val="bottom"/>
            <w:tcBorders>
              <w:bottom w:val="single" w:sz="8" w:color="auto"/>
            </w:tcBorders>
            <w:shd w:val="clear" w:color="auto" w:fill="EDEDE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EDEDEE"/>
          </w:tcPr>
          <w:p>
            <w:pPr>
              <w:spacing w:after="0"/>
              <w:rPr>
                <w:sz w:val="17"/>
                <w:szCs w:val="17"/>
                <w:color w:val="auto"/>
              </w:rPr>
            </w:pPr>
          </w:p>
        </w:tc>
        <w:tc>
          <w:tcPr>
            <w:tcW w:w="1020" w:type="dxa"/>
            <w:vAlign w:val="bottom"/>
            <w:tcBorders>
              <w:bottom w:val="single" w:sz="8" w:color="auto"/>
            </w:tcBorders>
            <w:shd w:val="clear" w:color="auto" w:fill="EDEDEE"/>
          </w:tcPr>
          <w:p>
            <w:pPr>
              <w:jc w:val="right"/>
              <w:ind w:right="30"/>
              <w:spacing w:after="0" w:line="202" w:lineRule="exact"/>
              <w:rPr>
                <w:sz w:val="20"/>
                <w:szCs w:val="20"/>
                <w:color w:val="auto"/>
              </w:rPr>
            </w:pPr>
            <w:r>
              <w:rPr>
                <w:rFonts w:ascii="Arial" w:cs="Arial" w:eastAsia="Arial" w:hAnsi="Arial"/>
                <w:sz w:val="18"/>
                <w:szCs w:val="18"/>
                <w:color w:val="auto"/>
              </w:rPr>
              <w:t>241,982</w:t>
            </w:r>
          </w:p>
        </w:tc>
        <w:tc>
          <w:tcPr>
            <w:tcW w:w="200" w:type="dxa"/>
            <w:vAlign w:val="bottom"/>
            <w:tcBorders>
              <w:bottom w:val="single" w:sz="8" w:color="auto"/>
            </w:tcBorders>
            <w:shd w:val="clear" w:color="auto" w:fill="EDEDEE"/>
          </w:tcPr>
          <w:p>
            <w:pPr>
              <w:spacing w:after="0"/>
              <w:rPr>
                <w:sz w:val="17"/>
                <w:szCs w:val="17"/>
                <w:color w:val="auto"/>
              </w:rPr>
            </w:pPr>
          </w:p>
        </w:tc>
        <w:tc>
          <w:tcPr>
            <w:tcW w:w="900" w:type="dxa"/>
            <w:vAlign w:val="bottom"/>
            <w:tcBorders>
              <w:bottom w:val="single" w:sz="8" w:color="auto"/>
            </w:tcBorders>
            <w:shd w:val="clear" w:color="auto" w:fill="EDEDEE"/>
          </w:tcPr>
          <w:p>
            <w:pPr>
              <w:spacing w:after="0"/>
              <w:rPr>
                <w:sz w:val="17"/>
                <w:szCs w:val="17"/>
                <w:color w:val="auto"/>
              </w:rPr>
            </w:pPr>
          </w:p>
        </w:tc>
      </w:tr>
      <w:tr>
        <w:trPr>
          <w:trHeight w:val="197"/>
        </w:trPr>
        <w:tc>
          <w:tcPr>
            <w:tcW w:w="3700" w:type="dxa"/>
            <w:vAlign w:val="bottom"/>
            <w:gridSpan w:val="2"/>
          </w:tcPr>
          <w:p>
            <w:pPr>
              <w:spacing w:after="0" w:line="197" w:lineRule="exact"/>
              <w:rPr>
                <w:sz w:val="20"/>
                <w:szCs w:val="20"/>
                <w:color w:val="auto"/>
              </w:rPr>
            </w:pPr>
            <w:r>
              <w:rPr>
                <w:rFonts w:ascii="Arial" w:cs="Arial" w:eastAsia="Arial" w:hAnsi="Arial"/>
                <w:sz w:val="18"/>
                <w:szCs w:val="18"/>
                <w:color w:val="auto"/>
              </w:rPr>
              <w:t>Total cost of revenues</w:t>
            </w:r>
          </w:p>
        </w:tc>
        <w:tc>
          <w:tcPr>
            <w:tcW w:w="260" w:type="dxa"/>
            <w:vAlign w:val="bottom"/>
            <w:shd w:val="clear" w:color="auto" w:fill="CDDEE7"/>
          </w:tcPr>
          <w:p>
            <w:pPr>
              <w:spacing w:after="0"/>
              <w:rPr>
                <w:sz w:val="17"/>
                <w:szCs w:val="17"/>
                <w:color w:val="auto"/>
              </w:rPr>
            </w:pPr>
          </w:p>
        </w:tc>
        <w:tc>
          <w:tcPr>
            <w:tcW w:w="940" w:type="dxa"/>
            <w:vAlign w:val="bottom"/>
            <w:shd w:val="clear" w:color="auto" w:fill="CDDEE7"/>
          </w:tcPr>
          <w:p>
            <w:pPr>
              <w:jc w:val="right"/>
              <w:ind w:right="30"/>
              <w:spacing w:after="0" w:line="197" w:lineRule="exact"/>
              <w:rPr>
                <w:sz w:val="20"/>
                <w:szCs w:val="20"/>
                <w:color w:val="auto"/>
              </w:rPr>
            </w:pPr>
            <w:r>
              <w:rPr>
                <w:rFonts w:ascii="Arial" w:cs="Arial" w:eastAsia="Arial" w:hAnsi="Arial"/>
                <w:sz w:val="18"/>
                <w:szCs w:val="18"/>
                <w:color w:val="auto"/>
                <w:w w:val="99"/>
              </w:rPr>
              <w:t>3,277,688</w:t>
            </w:r>
          </w:p>
        </w:tc>
        <w:tc>
          <w:tcPr>
            <w:tcW w:w="220" w:type="dxa"/>
            <w:vAlign w:val="bottom"/>
            <w:shd w:val="clear" w:color="auto" w:fill="CDDEE7"/>
          </w:tcPr>
          <w:p>
            <w:pPr>
              <w:spacing w:after="0"/>
              <w:rPr>
                <w:sz w:val="17"/>
                <w:szCs w:val="17"/>
                <w:color w:val="auto"/>
              </w:rPr>
            </w:pPr>
          </w:p>
        </w:tc>
        <w:tc>
          <w:tcPr>
            <w:tcW w:w="920" w:type="dxa"/>
            <w:vAlign w:val="bottom"/>
            <w:shd w:val="clear" w:color="auto" w:fill="CDDEE7"/>
          </w:tcPr>
          <w:p>
            <w:pPr>
              <w:ind w:left="360"/>
              <w:spacing w:after="0" w:line="197" w:lineRule="exact"/>
              <w:rPr>
                <w:sz w:val="20"/>
                <w:szCs w:val="20"/>
                <w:color w:val="auto"/>
              </w:rPr>
            </w:pPr>
            <w:r>
              <w:rPr>
                <w:rFonts w:ascii="Arial" w:cs="Arial" w:eastAsia="Arial" w:hAnsi="Arial"/>
                <w:sz w:val="18"/>
                <w:szCs w:val="18"/>
                <w:color w:val="auto"/>
              </w:rPr>
              <w:t>77.2</w:t>
            </w:r>
          </w:p>
        </w:tc>
        <w:tc>
          <w:tcPr>
            <w:tcW w:w="300" w:type="dxa"/>
            <w:vAlign w:val="bottom"/>
          </w:tcPr>
          <w:p>
            <w:pPr>
              <w:spacing w:after="0"/>
              <w:rPr>
                <w:sz w:val="17"/>
                <w:szCs w:val="17"/>
                <w:color w:val="auto"/>
              </w:rPr>
            </w:pPr>
          </w:p>
        </w:tc>
        <w:tc>
          <w:tcPr>
            <w:tcW w:w="280" w:type="dxa"/>
            <w:vAlign w:val="bottom"/>
            <w:shd w:val="clear" w:color="auto" w:fill="EDEDEE"/>
          </w:tcPr>
          <w:p>
            <w:pPr>
              <w:spacing w:after="0"/>
              <w:rPr>
                <w:sz w:val="17"/>
                <w:szCs w:val="17"/>
                <w:color w:val="auto"/>
              </w:rPr>
            </w:pPr>
          </w:p>
        </w:tc>
        <w:tc>
          <w:tcPr>
            <w:tcW w:w="1020" w:type="dxa"/>
            <w:vAlign w:val="bottom"/>
            <w:shd w:val="clear" w:color="auto" w:fill="EDEDEE"/>
          </w:tcPr>
          <w:p>
            <w:pPr>
              <w:jc w:val="right"/>
              <w:ind w:right="30"/>
              <w:spacing w:after="0" w:line="197" w:lineRule="exact"/>
              <w:rPr>
                <w:sz w:val="20"/>
                <w:szCs w:val="20"/>
                <w:color w:val="auto"/>
              </w:rPr>
            </w:pPr>
            <w:r>
              <w:rPr>
                <w:rFonts w:ascii="Arial" w:cs="Arial" w:eastAsia="Arial" w:hAnsi="Arial"/>
                <w:sz w:val="18"/>
                <w:szCs w:val="18"/>
                <w:color w:val="auto"/>
              </w:rPr>
              <w:t>2,993,654</w:t>
            </w:r>
          </w:p>
        </w:tc>
        <w:tc>
          <w:tcPr>
            <w:tcW w:w="200" w:type="dxa"/>
            <w:vAlign w:val="bottom"/>
            <w:shd w:val="clear" w:color="auto" w:fill="EDEDEE"/>
          </w:tcPr>
          <w:p>
            <w:pPr>
              <w:spacing w:after="0"/>
              <w:rPr>
                <w:sz w:val="17"/>
                <w:szCs w:val="17"/>
                <w:color w:val="auto"/>
              </w:rPr>
            </w:pPr>
          </w:p>
        </w:tc>
        <w:tc>
          <w:tcPr>
            <w:tcW w:w="900" w:type="dxa"/>
            <w:vAlign w:val="bottom"/>
            <w:shd w:val="clear" w:color="auto" w:fill="EDEDEE"/>
          </w:tcPr>
          <w:p>
            <w:pPr>
              <w:jc w:val="right"/>
              <w:ind w:right="130"/>
              <w:spacing w:after="0" w:line="197" w:lineRule="exact"/>
              <w:rPr>
                <w:sz w:val="20"/>
                <w:szCs w:val="20"/>
                <w:color w:val="auto"/>
              </w:rPr>
            </w:pPr>
            <w:r>
              <w:rPr>
                <w:rFonts w:ascii="Arial" w:cs="Arial" w:eastAsia="Arial" w:hAnsi="Arial"/>
                <w:sz w:val="18"/>
                <w:szCs w:val="18"/>
                <w:color w:val="auto"/>
              </w:rPr>
              <w:t>75.5</w:t>
            </w:r>
          </w:p>
        </w:tc>
        <w:tc>
          <w:tcPr>
            <w:tcW w:w="280" w:type="dxa"/>
            <w:vAlign w:val="bottom"/>
          </w:tcPr>
          <w:p>
            <w:pPr>
              <w:spacing w:after="0"/>
              <w:rPr>
                <w:sz w:val="17"/>
                <w:szCs w:val="17"/>
                <w:color w:val="auto"/>
              </w:rPr>
            </w:pPr>
          </w:p>
        </w:tc>
        <w:tc>
          <w:tcPr>
            <w:tcW w:w="280" w:type="dxa"/>
            <w:vAlign w:val="bottom"/>
            <w:shd w:val="clear" w:color="auto" w:fill="EDEDEE"/>
          </w:tcPr>
          <w:p>
            <w:pPr>
              <w:spacing w:after="0"/>
              <w:rPr>
                <w:sz w:val="17"/>
                <w:szCs w:val="17"/>
                <w:color w:val="auto"/>
              </w:rPr>
            </w:pPr>
          </w:p>
        </w:tc>
        <w:tc>
          <w:tcPr>
            <w:tcW w:w="1020" w:type="dxa"/>
            <w:vAlign w:val="bottom"/>
            <w:shd w:val="clear" w:color="auto" w:fill="EDEDEE"/>
          </w:tcPr>
          <w:p>
            <w:pPr>
              <w:jc w:val="right"/>
              <w:ind w:right="30"/>
              <w:spacing w:after="0" w:line="197" w:lineRule="exact"/>
              <w:rPr>
                <w:sz w:val="20"/>
                <w:szCs w:val="20"/>
                <w:color w:val="auto"/>
              </w:rPr>
            </w:pPr>
            <w:r>
              <w:rPr>
                <w:rFonts w:ascii="Arial" w:cs="Arial" w:eastAsia="Arial" w:hAnsi="Arial"/>
                <w:sz w:val="18"/>
                <w:szCs w:val="18"/>
                <w:color w:val="auto"/>
              </w:rPr>
              <w:t>2,907,011</w:t>
            </w:r>
          </w:p>
        </w:tc>
        <w:tc>
          <w:tcPr>
            <w:tcW w:w="200" w:type="dxa"/>
            <w:vAlign w:val="bottom"/>
            <w:shd w:val="clear" w:color="auto" w:fill="EDEDEE"/>
          </w:tcPr>
          <w:p>
            <w:pPr>
              <w:spacing w:after="0"/>
              <w:rPr>
                <w:sz w:val="17"/>
                <w:szCs w:val="17"/>
                <w:color w:val="auto"/>
              </w:rPr>
            </w:pPr>
          </w:p>
        </w:tc>
        <w:tc>
          <w:tcPr>
            <w:tcW w:w="900" w:type="dxa"/>
            <w:vAlign w:val="bottom"/>
            <w:shd w:val="clear" w:color="auto" w:fill="EDEDEE"/>
          </w:tcPr>
          <w:p>
            <w:pPr>
              <w:jc w:val="right"/>
              <w:ind w:right="130"/>
              <w:spacing w:after="0" w:line="197" w:lineRule="exact"/>
              <w:rPr>
                <w:sz w:val="20"/>
                <w:szCs w:val="20"/>
                <w:color w:val="auto"/>
              </w:rPr>
            </w:pPr>
            <w:r>
              <w:rPr>
                <w:rFonts w:ascii="Arial" w:cs="Arial" w:eastAsia="Arial" w:hAnsi="Arial"/>
                <w:sz w:val="18"/>
                <w:szCs w:val="18"/>
                <w:color w:val="auto"/>
              </w:rPr>
              <w:t>76.1</w:t>
            </w:r>
          </w:p>
        </w:tc>
      </w:tr>
      <w:tr>
        <w:trPr>
          <w:trHeight w:val="196"/>
        </w:trPr>
        <w:tc>
          <w:tcPr>
            <w:tcW w:w="20" w:type="dxa"/>
            <w:vAlign w:val="bottom"/>
          </w:tcPr>
          <w:p>
            <w:pPr>
              <w:spacing w:after="0"/>
              <w:rPr>
                <w:sz w:val="17"/>
                <w:szCs w:val="17"/>
                <w:color w:val="auto"/>
              </w:rPr>
            </w:pPr>
          </w:p>
        </w:tc>
        <w:tc>
          <w:tcPr>
            <w:tcW w:w="368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260" w:type="dxa"/>
            <w:vAlign w:val="bottom"/>
            <w:tcBorders>
              <w:top w:val="single" w:sz="8" w:color="auto"/>
            </w:tcBorders>
            <w:shd w:val="clear" w:color="auto" w:fill="CDDEE7"/>
          </w:tcPr>
          <w:p>
            <w:pPr>
              <w:spacing w:after="0"/>
              <w:rPr>
                <w:sz w:val="17"/>
                <w:szCs w:val="17"/>
                <w:color w:val="auto"/>
              </w:rPr>
            </w:pPr>
          </w:p>
        </w:tc>
        <w:tc>
          <w:tcPr>
            <w:tcW w:w="940" w:type="dxa"/>
            <w:vAlign w:val="bottom"/>
            <w:tcBorders>
              <w:top w:val="single" w:sz="8" w:color="auto"/>
            </w:tcBorders>
            <w:shd w:val="clear" w:color="auto" w:fill="CDDEE7"/>
          </w:tcPr>
          <w:p>
            <w:pPr>
              <w:jc w:val="right"/>
              <w:ind w:right="30"/>
              <w:spacing w:after="0" w:line="196" w:lineRule="exact"/>
              <w:rPr>
                <w:sz w:val="20"/>
                <w:szCs w:val="20"/>
                <w:color w:val="auto"/>
              </w:rPr>
            </w:pPr>
            <w:r>
              <w:rPr>
                <w:rFonts w:ascii="Arial" w:cs="Arial" w:eastAsia="Arial" w:hAnsi="Arial"/>
                <w:sz w:val="18"/>
                <w:szCs w:val="18"/>
                <w:b w:val="1"/>
                <w:bCs w:val="1"/>
                <w:color w:val="auto"/>
              </w:rPr>
              <w:t>966,577</w:t>
            </w:r>
          </w:p>
        </w:tc>
        <w:tc>
          <w:tcPr>
            <w:tcW w:w="220" w:type="dxa"/>
            <w:vAlign w:val="bottom"/>
            <w:tcBorders>
              <w:top w:val="single" w:sz="8" w:color="auto"/>
            </w:tcBorders>
            <w:shd w:val="clear" w:color="auto" w:fill="CDDEE7"/>
          </w:tcPr>
          <w:p>
            <w:pPr>
              <w:spacing w:after="0"/>
              <w:rPr>
                <w:sz w:val="17"/>
                <w:szCs w:val="17"/>
                <w:color w:val="auto"/>
              </w:rPr>
            </w:pPr>
          </w:p>
        </w:tc>
        <w:tc>
          <w:tcPr>
            <w:tcW w:w="920" w:type="dxa"/>
            <w:vAlign w:val="bottom"/>
            <w:tcBorders>
              <w:top w:val="single" w:sz="8" w:color="auto"/>
            </w:tcBorders>
            <w:shd w:val="clear" w:color="auto" w:fill="CDDEE7"/>
          </w:tcPr>
          <w:p>
            <w:pPr>
              <w:ind w:left="360"/>
              <w:spacing w:after="0" w:line="196" w:lineRule="exact"/>
              <w:rPr>
                <w:sz w:val="20"/>
                <w:szCs w:val="20"/>
                <w:color w:val="auto"/>
              </w:rPr>
            </w:pPr>
            <w:r>
              <w:rPr>
                <w:rFonts w:ascii="Arial" w:cs="Arial" w:eastAsia="Arial" w:hAnsi="Arial"/>
                <w:sz w:val="18"/>
                <w:szCs w:val="18"/>
                <w:b w:val="1"/>
                <w:bCs w:val="1"/>
                <w:color w:val="auto"/>
              </w:rPr>
              <w:t>22.8</w:t>
            </w:r>
          </w:p>
        </w:tc>
        <w:tc>
          <w:tcPr>
            <w:tcW w:w="3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shd w:val="clear" w:color="auto" w:fill="EDEDEE"/>
          </w:tcPr>
          <w:p>
            <w:pPr>
              <w:spacing w:after="0"/>
              <w:rPr>
                <w:sz w:val="17"/>
                <w:szCs w:val="17"/>
                <w:color w:val="auto"/>
              </w:rPr>
            </w:pPr>
          </w:p>
        </w:tc>
        <w:tc>
          <w:tcPr>
            <w:tcW w:w="1020" w:type="dxa"/>
            <w:vAlign w:val="bottom"/>
            <w:tcBorders>
              <w:top w:val="single" w:sz="8" w:color="auto"/>
            </w:tcBorders>
            <w:shd w:val="clear" w:color="auto" w:fill="EDEDEE"/>
          </w:tcPr>
          <w:p>
            <w:pPr>
              <w:jc w:val="right"/>
              <w:ind w:right="30"/>
              <w:spacing w:after="0" w:line="196" w:lineRule="exact"/>
              <w:rPr>
                <w:sz w:val="20"/>
                <w:szCs w:val="20"/>
                <w:color w:val="auto"/>
              </w:rPr>
            </w:pPr>
            <w:r>
              <w:rPr>
                <w:rFonts w:ascii="Arial" w:cs="Arial" w:eastAsia="Arial" w:hAnsi="Arial"/>
                <w:sz w:val="18"/>
                <w:szCs w:val="18"/>
                <w:b w:val="1"/>
                <w:bCs w:val="1"/>
                <w:color w:val="auto"/>
              </w:rPr>
              <w:t>971,940</w:t>
            </w:r>
          </w:p>
        </w:tc>
        <w:tc>
          <w:tcPr>
            <w:tcW w:w="200" w:type="dxa"/>
            <w:vAlign w:val="bottom"/>
            <w:tcBorders>
              <w:top w:val="single" w:sz="8" w:color="auto"/>
            </w:tcBorders>
            <w:shd w:val="clear" w:color="auto" w:fill="EDEDEE"/>
          </w:tcPr>
          <w:p>
            <w:pPr>
              <w:spacing w:after="0"/>
              <w:rPr>
                <w:sz w:val="17"/>
                <w:szCs w:val="17"/>
                <w:color w:val="auto"/>
              </w:rPr>
            </w:pPr>
          </w:p>
        </w:tc>
        <w:tc>
          <w:tcPr>
            <w:tcW w:w="900" w:type="dxa"/>
            <w:vAlign w:val="bottom"/>
            <w:tcBorders>
              <w:top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24.5</w:t>
            </w:r>
          </w:p>
        </w:tc>
        <w:tc>
          <w:tcPr>
            <w:tcW w:w="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shd w:val="clear" w:color="auto" w:fill="EDEDEE"/>
          </w:tcPr>
          <w:p>
            <w:pPr>
              <w:spacing w:after="0"/>
              <w:rPr>
                <w:sz w:val="17"/>
                <w:szCs w:val="17"/>
                <w:color w:val="auto"/>
              </w:rPr>
            </w:pPr>
          </w:p>
        </w:tc>
        <w:tc>
          <w:tcPr>
            <w:tcW w:w="1020" w:type="dxa"/>
            <w:vAlign w:val="bottom"/>
            <w:tcBorders>
              <w:top w:val="single" w:sz="8" w:color="auto"/>
            </w:tcBorders>
            <w:shd w:val="clear" w:color="auto" w:fill="EDEDEE"/>
          </w:tcPr>
          <w:p>
            <w:pPr>
              <w:jc w:val="right"/>
              <w:ind w:right="30"/>
              <w:spacing w:after="0" w:line="196" w:lineRule="exact"/>
              <w:rPr>
                <w:sz w:val="20"/>
                <w:szCs w:val="20"/>
                <w:color w:val="auto"/>
              </w:rPr>
            </w:pPr>
            <w:r>
              <w:rPr>
                <w:rFonts w:ascii="Arial" w:cs="Arial" w:eastAsia="Arial" w:hAnsi="Arial"/>
                <w:sz w:val="18"/>
                <w:szCs w:val="18"/>
                <w:b w:val="1"/>
                <w:bCs w:val="1"/>
                <w:color w:val="auto"/>
              </w:rPr>
              <w:t>911,738</w:t>
            </w:r>
          </w:p>
        </w:tc>
        <w:tc>
          <w:tcPr>
            <w:tcW w:w="200" w:type="dxa"/>
            <w:vAlign w:val="bottom"/>
            <w:tcBorders>
              <w:top w:val="single" w:sz="8" w:color="auto"/>
            </w:tcBorders>
            <w:shd w:val="clear" w:color="auto" w:fill="EDEDEE"/>
          </w:tcPr>
          <w:p>
            <w:pPr>
              <w:spacing w:after="0"/>
              <w:rPr>
                <w:sz w:val="17"/>
                <w:szCs w:val="17"/>
                <w:color w:val="auto"/>
              </w:rPr>
            </w:pPr>
          </w:p>
        </w:tc>
        <w:tc>
          <w:tcPr>
            <w:tcW w:w="900" w:type="dxa"/>
            <w:vAlign w:val="bottom"/>
            <w:tcBorders>
              <w:top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23.9</w:t>
            </w:r>
          </w:p>
        </w:tc>
      </w:tr>
      <w:tr>
        <w:trPr>
          <w:trHeight w:val="202"/>
        </w:trPr>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DDEE7"/>
          </w:tcPr>
          <w:p>
            <w:pPr>
              <w:spacing w:after="0"/>
              <w:rPr>
                <w:sz w:val="17"/>
                <w:szCs w:val="17"/>
                <w:color w:val="auto"/>
              </w:rPr>
            </w:pPr>
          </w:p>
        </w:tc>
        <w:tc>
          <w:tcPr>
            <w:tcW w:w="940" w:type="dxa"/>
            <w:vAlign w:val="bottom"/>
            <w:shd w:val="clear" w:color="auto" w:fill="CDDEE7"/>
          </w:tcPr>
          <w:p>
            <w:pPr>
              <w:jc w:val="right"/>
              <w:ind w:right="30"/>
              <w:spacing w:after="0" w:line="201" w:lineRule="exact"/>
              <w:rPr>
                <w:sz w:val="20"/>
                <w:szCs w:val="20"/>
                <w:color w:val="auto"/>
              </w:rPr>
            </w:pPr>
            <w:r>
              <w:rPr>
                <w:rFonts w:ascii="Arial" w:cs="Arial" w:eastAsia="Arial" w:hAnsi="Arial"/>
                <w:sz w:val="18"/>
                <w:szCs w:val="18"/>
                <w:color w:val="auto"/>
              </w:rPr>
              <w:t>280,554</w:t>
            </w:r>
          </w:p>
        </w:tc>
        <w:tc>
          <w:tcPr>
            <w:tcW w:w="220" w:type="dxa"/>
            <w:vAlign w:val="bottom"/>
            <w:shd w:val="clear" w:color="auto" w:fill="CDDEE7"/>
          </w:tcPr>
          <w:p>
            <w:pPr>
              <w:spacing w:after="0"/>
              <w:rPr>
                <w:sz w:val="17"/>
                <w:szCs w:val="17"/>
                <w:color w:val="auto"/>
              </w:rPr>
            </w:pPr>
          </w:p>
        </w:tc>
        <w:tc>
          <w:tcPr>
            <w:tcW w:w="92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6.6</w:t>
            </w:r>
          </w:p>
        </w:tc>
        <w:tc>
          <w:tcPr>
            <w:tcW w:w="300" w:type="dxa"/>
            <w:vAlign w:val="bottom"/>
          </w:tcPr>
          <w:p>
            <w:pPr>
              <w:spacing w:after="0"/>
              <w:rPr>
                <w:sz w:val="17"/>
                <w:szCs w:val="17"/>
                <w:color w:val="auto"/>
              </w:rPr>
            </w:pPr>
          </w:p>
        </w:tc>
        <w:tc>
          <w:tcPr>
            <w:tcW w:w="280" w:type="dxa"/>
            <w:vAlign w:val="bottom"/>
            <w:shd w:val="clear" w:color="auto" w:fill="EDEDEE"/>
          </w:tcPr>
          <w:p>
            <w:pPr>
              <w:spacing w:after="0"/>
              <w:rPr>
                <w:sz w:val="17"/>
                <w:szCs w:val="17"/>
                <w:color w:val="auto"/>
              </w:rPr>
            </w:pPr>
          </w:p>
        </w:tc>
        <w:tc>
          <w:tcPr>
            <w:tcW w:w="1020" w:type="dxa"/>
            <w:vAlign w:val="bottom"/>
            <w:shd w:val="clear" w:color="auto" w:fill="EDEDEE"/>
          </w:tcPr>
          <w:p>
            <w:pPr>
              <w:jc w:val="right"/>
              <w:ind w:right="30"/>
              <w:spacing w:after="0" w:line="201" w:lineRule="exact"/>
              <w:rPr>
                <w:sz w:val="20"/>
                <w:szCs w:val="20"/>
                <w:color w:val="auto"/>
              </w:rPr>
            </w:pPr>
            <w:r>
              <w:rPr>
                <w:rFonts w:ascii="Arial" w:cs="Arial" w:eastAsia="Arial" w:hAnsi="Arial"/>
                <w:sz w:val="18"/>
                <w:szCs w:val="18"/>
                <w:color w:val="auto"/>
              </w:rPr>
              <w:t>262,128</w:t>
            </w:r>
          </w:p>
        </w:tc>
        <w:tc>
          <w:tcPr>
            <w:tcW w:w="200" w:type="dxa"/>
            <w:vAlign w:val="bottom"/>
            <w:shd w:val="clear" w:color="auto" w:fill="EDEDEE"/>
          </w:tcPr>
          <w:p>
            <w:pPr>
              <w:spacing w:after="0"/>
              <w:rPr>
                <w:sz w:val="17"/>
                <w:szCs w:val="17"/>
                <w:color w:val="auto"/>
              </w:rPr>
            </w:pPr>
          </w:p>
        </w:tc>
        <w:tc>
          <w:tcPr>
            <w:tcW w:w="90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6.6</w:t>
            </w:r>
          </w:p>
        </w:tc>
        <w:tc>
          <w:tcPr>
            <w:tcW w:w="280" w:type="dxa"/>
            <w:vAlign w:val="bottom"/>
          </w:tcPr>
          <w:p>
            <w:pPr>
              <w:spacing w:after="0"/>
              <w:rPr>
                <w:sz w:val="17"/>
                <w:szCs w:val="17"/>
                <w:color w:val="auto"/>
              </w:rPr>
            </w:pPr>
          </w:p>
        </w:tc>
        <w:tc>
          <w:tcPr>
            <w:tcW w:w="280" w:type="dxa"/>
            <w:vAlign w:val="bottom"/>
            <w:shd w:val="clear" w:color="auto" w:fill="EDEDEE"/>
          </w:tcPr>
          <w:p>
            <w:pPr>
              <w:spacing w:after="0"/>
              <w:rPr>
                <w:sz w:val="17"/>
                <w:szCs w:val="17"/>
                <w:color w:val="auto"/>
              </w:rPr>
            </w:pPr>
          </w:p>
        </w:tc>
        <w:tc>
          <w:tcPr>
            <w:tcW w:w="1020" w:type="dxa"/>
            <w:vAlign w:val="bottom"/>
            <w:shd w:val="clear" w:color="auto" w:fill="EDEDEE"/>
          </w:tcPr>
          <w:p>
            <w:pPr>
              <w:jc w:val="right"/>
              <w:ind w:right="30"/>
              <w:spacing w:after="0" w:line="201" w:lineRule="exact"/>
              <w:rPr>
                <w:sz w:val="20"/>
                <w:szCs w:val="20"/>
                <w:color w:val="auto"/>
              </w:rPr>
            </w:pPr>
            <w:r>
              <w:rPr>
                <w:rFonts w:ascii="Arial" w:cs="Arial" w:eastAsia="Arial" w:hAnsi="Arial"/>
                <w:sz w:val="18"/>
                <w:szCs w:val="18"/>
                <w:color w:val="auto"/>
              </w:rPr>
              <w:t>241,606</w:t>
            </w:r>
          </w:p>
        </w:tc>
        <w:tc>
          <w:tcPr>
            <w:tcW w:w="200" w:type="dxa"/>
            <w:vAlign w:val="bottom"/>
            <w:shd w:val="clear" w:color="auto" w:fill="EDEDEE"/>
          </w:tcPr>
          <w:p>
            <w:pPr>
              <w:spacing w:after="0"/>
              <w:rPr>
                <w:sz w:val="17"/>
                <w:szCs w:val="17"/>
                <w:color w:val="auto"/>
              </w:rPr>
            </w:pPr>
          </w:p>
        </w:tc>
        <w:tc>
          <w:tcPr>
            <w:tcW w:w="90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6.3</w:t>
            </w:r>
          </w:p>
        </w:tc>
      </w:tr>
      <w:tr>
        <w:trPr>
          <w:trHeight w:val="203"/>
        </w:trPr>
        <w:tc>
          <w:tcPr>
            <w:tcW w:w="3700" w:type="dxa"/>
            <w:vAlign w:val="bottom"/>
            <w:gridSpan w:val="2"/>
          </w:tcPr>
          <w:p>
            <w:pPr>
              <w:spacing w:after="0" w:line="202" w:lineRule="exact"/>
              <w:rPr>
                <w:sz w:val="20"/>
                <w:szCs w:val="20"/>
                <w:color w:val="auto"/>
              </w:rPr>
            </w:pPr>
            <w:r>
              <w:rPr>
                <w:rFonts w:ascii="Arial" w:cs="Arial" w:eastAsia="Arial" w:hAnsi="Arial"/>
                <w:sz w:val="18"/>
                <w:szCs w:val="18"/>
                <w:color w:val="auto"/>
              </w:rPr>
              <w:t>Acquisition related expenses, net</w:t>
            </w:r>
          </w:p>
        </w:tc>
        <w:tc>
          <w:tcPr>
            <w:tcW w:w="260" w:type="dxa"/>
            <w:vAlign w:val="bottom"/>
            <w:shd w:val="clear" w:color="auto" w:fill="CDDEE7"/>
          </w:tcPr>
          <w:p>
            <w:pPr>
              <w:spacing w:after="0"/>
              <w:rPr>
                <w:sz w:val="17"/>
                <w:szCs w:val="17"/>
                <w:color w:val="auto"/>
              </w:rPr>
            </w:pPr>
          </w:p>
        </w:tc>
        <w:tc>
          <w:tcPr>
            <w:tcW w:w="940" w:type="dxa"/>
            <w:vAlign w:val="bottom"/>
            <w:shd w:val="clear" w:color="auto" w:fill="CDDEE7"/>
          </w:tcPr>
          <w:p>
            <w:pPr>
              <w:jc w:val="right"/>
              <w:ind w:right="30"/>
              <w:spacing w:after="0" w:line="202" w:lineRule="exact"/>
              <w:rPr>
                <w:sz w:val="20"/>
                <w:szCs w:val="20"/>
                <w:color w:val="auto"/>
              </w:rPr>
            </w:pPr>
            <w:r>
              <w:rPr>
                <w:rFonts w:ascii="Arial" w:cs="Arial" w:eastAsia="Arial" w:hAnsi="Arial"/>
                <w:sz w:val="18"/>
                <w:szCs w:val="18"/>
                <w:color w:val="auto"/>
              </w:rPr>
              <w:t>13,479</w:t>
            </w:r>
          </w:p>
        </w:tc>
        <w:tc>
          <w:tcPr>
            <w:tcW w:w="220" w:type="dxa"/>
            <w:vAlign w:val="bottom"/>
            <w:shd w:val="clear" w:color="auto" w:fill="CDDEE7"/>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shd w:val="clear" w:color="auto" w:fill="EDEDEE"/>
          </w:tcPr>
          <w:p>
            <w:pPr>
              <w:spacing w:after="0"/>
              <w:rPr>
                <w:sz w:val="17"/>
                <w:szCs w:val="17"/>
                <w:color w:val="auto"/>
              </w:rPr>
            </w:pPr>
          </w:p>
        </w:tc>
        <w:tc>
          <w:tcPr>
            <w:tcW w:w="1020" w:type="dxa"/>
            <w:vAlign w:val="bottom"/>
            <w:shd w:val="clear" w:color="auto" w:fill="EDEDEE"/>
          </w:tcPr>
          <w:p>
            <w:pPr>
              <w:jc w:val="right"/>
              <w:ind w:right="30"/>
              <w:spacing w:after="0" w:line="202" w:lineRule="exact"/>
              <w:rPr>
                <w:sz w:val="20"/>
                <w:szCs w:val="20"/>
                <w:color w:val="auto"/>
              </w:rPr>
            </w:pPr>
            <w:r>
              <w:rPr>
                <w:rFonts w:ascii="Arial" w:cs="Arial" w:eastAsia="Arial" w:hAnsi="Arial"/>
                <w:sz w:val="18"/>
                <w:szCs w:val="18"/>
                <w:color w:val="auto"/>
              </w:rPr>
              <w:t>8,638</w:t>
            </w:r>
          </w:p>
        </w:tc>
        <w:tc>
          <w:tcPr>
            <w:tcW w:w="200" w:type="dxa"/>
            <w:vAlign w:val="bottom"/>
            <w:shd w:val="clear" w:color="auto" w:fill="EDEDEE"/>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shd w:val="clear" w:color="auto" w:fill="EDEDEE"/>
          </w:tcPr>
          <w:p>
            <w:pPr>
              <w:spacing w:after="0"/>
              <w:rPr>
                <w:sz w:val="17"/>
                <w:szCs w:val="17"/>
                <w:color w:val="auto"/>
              </w:rPr>
            </w:pPr>
          </w:p>
        </w:tc>
        <w:tc>
          <w:tcPr>
            <w:tcW w:w="1020" w:type="dxa"/>
            <w:vAlign w:val="bottom"/>
            <w:shd w:val="clear" w:color="auto" w:fill="EDEDEE"/>
          </w:tcPr>
          <w:p>
            <w:pPr>
              <w:jc w:val="right"/>
              <w:ind w:right="30"/>
              <w:spacing w:after="0" w:line="202" w:lineRule="exact"/>
              <w:rPr>
                <w:sz w:val="20"/>
                <w:szCs w:val="20"/>
                <w:color w:val="auto"/>
              </w:rPr>
            </w:pPr>
            <w:r>
              <w:rPr>
                <w:rFonts w:ascii="Arial" w:cs="Arial" w:eastAsia="Arial" w:hAnsi="Arial"/>
                <w:sz w:val="18"/>
                <w:szCs w:val="18"/>
                <w:color w:val="auto"/>
              </w:rPr>
              <w:t>909</w:t>
            </w:r>
          </w:p>
        </w:tc>
        <w:tc>
          <w:tcPr>
            <w:tcW w:w="200" w:type="dxa"/>
            <w:vAlign w:val="bottom"/>
            <w:shd w:val="clear" w:color="auto" w:fill="EDEDEE"/>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70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Other operating (income) and expenses, net</w:t>
            </w:r>
          </w:p>
        </w:tc>
        <w:tc>
          <w:tcPr>
            <w:tcW w:w="260" w:type="dxa"/>
            <w:vAlign w:val="bottom"/>
            <w:tcBorders>
              <w:bottom w:val="single" w:sz="8" w:color="auto"/>
            </w:tcBorders>
            <w:shd w:val="clear" w:color="auto" w:fill="CDDEE7"/>
          </w:tcPr>
          <w:p>
            <w:pPr>
              <w:spacing w:after="0"/>
              <w:rPr>
                <w:sz w:val="17"/>
                <w:szCs w:val="17"/>
                <w:color w:val="auto"/>
              </w:rPr>
            </w:pPr>
          </w:p>
        </w:tc>
        <w:tc>
          <w:tcPr>
            <w:tcW w:w="940" w:type="dxa"/>
            <w:vAlign w:val="bottom"/>
            <w:tcBorders>
              <w:bottom w:val="single" w:sz="8" w:color="auto"/>
            </w:tcBorders>
            <w:shd w:val="clear" w:color="auto" w:fill="CDDEE7"/>
          </w:tcPr>
          <w:p>
            <w:pPr>
              <w:jc w:val="right"/>
              <w:ind w:right="30"/>
              <w:spacing w:after="0" w:line="203" w:lineRule="exact"/>
              <w:rPr>
                <w:sz w:val="20"/>
                <w:szCs w:val="20"/>
                <w:color w:val="auto"/>
              </w:rPr>
            </w:pPr>
            <w:r>
              <w:rPr>
                <w:rFonts w:ascii="Arial" w:cs="Arial" w:eastAsia="Arial" w:hAnsi="Arial"/>
                <w:sz w:val="18"/>
                <w:szCs w:val="18"/>
                <w:color w:val="auto"/>
              </w:rPr>
              <w:t>(18,193)</w:t>
            </w:r>
          </w:p>
        </w:tc>
        <w:tc>
          <w:tcPr>
            <w:tcW w:w="220" w:type="dxa"/>
            <w:vAlign w:val="bottom"/>
            <w:tcBorders>
              <w:bottom w:val="single" w:sz="8" w:color="auto"/>
            </w:tcBorders>
            <w:shd w:val="clear" w:color="auto" w:fill="CDDEE7"/>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EDEDEE"/>
          </w:tcPr>
          <w:p>
            <w:pPr>
              <w:spacing w:after="0"/>
              <w:rPr>
                <w:sz w:val="17"/>
                <w:szCs w:val="17"/>
                <w:color w:val="auto"/>
              </w:rPr>
            </w:pPr>
          </w:p>
        </w:tc>
        <w:tc>
          <w:tcPr>
            <w:tcW w:w="1020" w:type="dxa"/>
            <w:vAlign w:val="bottom"/>
            <w:tcBorders>
              <w:bottom w:val="single" w:sz="8" w:color="auto"/>
            </w:tcBorders>
            <w:shd w:val="clear" w:color="auto" w:fill="EDEDEE"/>
          </w:tcPr>
          <w:p>
            <w:pPr>
              <w:jc w:val="right"/>
              <w:ind w:right="30"/>
              <w:spacing w:after="0" w:line="203" w:lineRule="exact"/>
              <w:rPr>
                <w:sz w:val="20"/>
                <w:szCs w:val="20"/>
                <w:color w:val="auto"/>
              </w:rPr>
            </w:pPr>
            <w:r>
              <w:rPr>
                <w:rFonts w:ascii="Arial" w:cs="Arial" w:eastAsia="Arial" w:hAnsi="Arial"/>
                <w:sz w:val="18"/>
                <w:szCs w:val="18"/>
                <w:color w:val="auto"/>
              </w:rPr>
              <w:t>793</w:t>
            </w:r>
          </w:p>
        </w:tc>
        <w:tc>
          <w:tcPr>
            <w:tcW w:w="200" w:type="dxa"/>
            <w:vAlign w:val="bottom"/>
            <w:tcBorders>
              <w:bottom w:val="single" w:sz="8" w:color="auto"/>
            </w:tcBorders>
            <w:shd w:val="clear" w:color="auto" w:fill="EDEDE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EDEDEE"/>
          </w:tcPr>
          <w:p>
            <w:pPr>
              <w:spacing w:after="0"/>
              <w:rPr>
                <w:sz w:val="17"/>
                <w:szCs w:val="17"/>
                <w:color w:val="auto"/>
              </w:rPr>
            </w:pPr>
          </w:p>
        </w:tc>
        <w:tc>
          <w:tcPr>
            <w:tcW w:w="1020" w:type="dxa"/>
            <w:vAlign w:val="bottom"/>
            <w:tcBorders>
              <w:bottom w:val="single" w:sz="8" w:color="auto"/>
            </w:tcBorders>
            <w:shd w:val="clear" w:color="auto" w:fill="EDEDEE"/>
          </w:tcPr>
          <w:p>
            <w:pPr>
              <w:jc w:val="right"/>
              <w:ind w:right="30"/>
              <w:spacing w:after="0" w:line="203" w:lineRule="exact"/>
              <w:rPr>
                <w:sz w:val="20"/>
                <w:szCs w:val="20"/>
                <w:color w:val="auto"/>
              </w:rPr>
            </w:pPr>
            <w:r>
              <w:rPr>
                <w:rFonts w:ascii="Arial" w:cs="Arial" w:eastAsia="Arial" w:hAnsi="Arial"/>
                <w:sz w:val="18"/>
                <w:szCs w:val="18"/>
                <w:color w:val="auto"/>
              </w:rPr>
              <w:t>(8,043)</w:t>
            </w:r>
          </w:p>
        </w:tc>
        <w:tc>
          <w:tcPr>
            <w:tcW w:w="200" w:type="dxa"/>
            <w:vAlign w:val="bottom"/>
            <w:tcBorders>
              <w:bottom w:val="single" w:sz="8" w:color="auto"/>
            </w:tcBorders>
            <w:shd w:val="clear" w:color="auto" w:fill="EDEDE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95"/>
        </w:trPr>
        <w:tc>
          <w:tcPr>
            <w:tcW w:w="370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Earnings from operations</w:t>
            </w:r>
          </w:p>
        </w:tc>
        <w:tc>
          <w:tcPr>
            <w:tcW w:w="260" w:type="dxa"/>
            <w:vAlign w:val="bottom"/>
            <w:shd w:val="clear" w:color="auto" w:fill="CDDEE7"/>
          </w:tcPr>
          <w:p>
            <w:pPr>
              <w:spacing w:after="0"/>
              <w:rPr>
                <w:sz w:val="16"/>
                <w:szCs w:val="16"/>
                <w:color w:val="auto"/>
              </w:rPr>
            </w:pPr>
          </w:p>
        </w:tc>
        <w:tc>
          <w:tcPr>
            <w:tcW w:w="940" w:type="dxa"/>
            <w:vAlign w:val="bottom"/>
            <w:shd w:val="clear" w:color="auto" w:fill="CDDEE7"/>
          </w:tcPr>
          <w:p>
            <w:pPr>
              <w:jc w:val="right"/>
              <w:ind w:right="30"/>
              <w:spacing w:after="0" w:line="195" w:lineRule="exact"/>
              <w:rPr>
                <w:sz w:val="20"/>
                <w:szCs w:val="20"/>
                <w:color w:val="auto"/>
              </w:rPr>
            </w:pPr>
            <w:r>
              <w:rPr>
                <w:rFonts w:ascii="Arial" w:cs="Arial" w:eastAsia="Arial" w:hAnsi="Arial"/>
                <w:sz w:val="18"/>
                <w:szCs w:val="18"/>
                <w:b w:val="1"/>
                <w:bCs w:val="1"/>
                <w:color w:val="auto"/>
              </w:rPr>
              <w:t>690,737</w:t>
            </w:r>
          </w:p>
        </w:tc>
        <w:tc>
          <w:tcPr>
            <w:tcW w:w="220" w:type="dxa"/>
            <w:vAlign w:val="bottom"/>
            <w:shd w:val="clear" w:color="auto" w:fill="CDDEE7"/>
          </w:tcPr>
          <w:p>
            <w:pPr>
              <w:spacing w:after="0"/>
              <w:rPr>
                <w:sz w:val="16"/>
                <w:szCs w:val="16"/>
                <w:color w:val="auto"/>
              </w:rPr>
            </w:pPr>
          </w:p>
        </w:tc>
        <w:tc>
          <w:tcPr>
            <w:tcW w:w="920" w:type="dxa"/>
            <w:vAlign w:val="bottom"/>
          </w:tcPr>
          <w:p>
            <w:pPr>
              <w:ind w:left="360"/>
              <w:spacing w:after="0" w:line="195" w:lineRule="exact"/>
              <w:rPr>
                <w:sz w:val="20"/>
                <w:szCs w:val="20"/>
                <w:color w:val="auto"/>
              </w:rPr>
            </w:pPr>
            <w:r>
              <w:rPr>
                <w:rFonts w:ascii="Arial" w:cs="Arial" w:eastAsia="Arial" w:hAnsi="Arial"/>
                <w:sz w:val="18"/>
                <w:szCs w:val="18"/>
                <w:b w:val="1"/>
                <w:bCs w:val="1"/>
                <w:color w:val="auto"/>
              </w:rPr>
              <w:t>16.3</w:t>
            </w:r>
          </w:p>
        </w:tc>
        <w:tc>
          <w:tcPr>
            <w:tcW w:w="300" w:type="dxa"/>
            <w:vAlign w:val="bottom"/>
          </w:tcPr>
          <w:p>
            <w:pPr>
              <w:spacing w:after="0"/>
              <w:rPr>
                <w:sz w:val="16"/>
                <w:szCs w:val="16"/>
                <w:color w:val="auto"/>
              </w:rPr>
            </w:pPr>
          </w:p>
        </w:tc>
        <w:tc>
          <w:tcPr>
            <w:tcW w:w="280" w:type="dxa"/>
            <w:vAlign w:val="bottom"/>
            <w:shd w:val="clear" w:color="auto" w:fill="EDEDEE"/>
          </w:tcPr>
          <w:p>
            <w:pPr>
              <w:spacing w:after="0"/>
              <w:rPr>
                <w:sz w:val="16"/>
                <w:szCs w:val="16"/>
                <w:color w:val="auto"/>
              </w:rPr>
            </w:pPr>
          </w:p>
        </w:tc>
        <w:tc>
          <w:tcPr>
            <w:tcW w:w="1020" w:type="dxa"/>
            <w:vAlign w:val="bottom"/>
            <w:shd w:val="clear" w:color="auto" w:fill="EDEDEE"/>
          </w:tcPr>
          <w:p>
            <w:pPr>
              <w:jc w:val="right"/>
              <w:ind w:right="30"/>
              <w:spacing w:after="0" w:line="195" w:lineRule="exact"/>
              <w:rPr>
                <w:sz w:val="20"/>
                <w:szCs w:val="20"/>
                <w:color w:val="auto"/>
              </w:rPr>
            </w:pPr>
            <w:r>
              <w:rPr>
                <w:rFonts w:ascii="Arial" w:cs="Arial" w:eastAsia="Arial" w:hAnsi="Arial"/>
                <w:sz w:val="18"/>
                <w:szCs w:val="18"/>
                <w:b w:val="1"/>
                <w:bCs w:val="1"/>
                <w:color w:val="auto"/>
              </w:rPr>
              <w:t>700,381</w:t>
            </w:r>
          </w:p>
        </w:tc>
        <w:tc>
          <w:tcPr>
            <w:tcW w:w="200" w:type="dxa"/>
            <w:vAlign w:val="bottom"/>
            <w:shd w:val="clear" w:color="auto" w:fill="EDEDEE"/>
          </w:tcPr>
          <w:p>
            <w:pPr>
              <w:spacing w:after="0"/>
              <w:rPr>
                <w:sz w:val="16"/>
                <w:szCs w:val="16"/>
                <w:color w:val="auto"/>
              </w:rPr>
            </w:pPr>
          </w:p>
        </w:tc>
        <w:tc>
          <w:tcPr>
            <w:tcW w:w="900" w:type="dxa"/>
            <w:vAlign w:val="bottom"/>
          </w:tcPr>
          <w:p>
            <w:pPr>
              <w:jc w:val="right"/>
              <w:ind w:right="130"/>
              <w:spacing w:after="0" w:line="195" w:lineRule="exact"/>
              <w:rPr>
                <w:sz w:val="20"/>
                <w:szCs w:val="20"/>
                <w:color w:val="auto"/>
              </w:rPr>
            </w:pPr>
            <w:r>
              <w:rPr>
                <w:rFonts w:ascii="Arial" w:cs="Arial" w:eastAsia="Arial" w:hAnsi="Arial"/>
                <w:sz w:val="18"/>
                <w:szCs w:val="18"/>
                <w:b w:val="1"/>
                <w:bCs w:val="1"/>
                <w:color w:val="auto"/>
              </w:rPr>
              <w:t>17.7</w:t>
            </w:r>
          </w:p>
        </w:tc>
        <w:tc>
          <w:tcPr>
            <w:tcW w:w="280" w:type="dxa"/>
            <w:vAlign w:val="bottom"/>
          </w:tcPr>
          <w:p>
            <w:pPr>
              <w:spacing w:after="0"/>
              <w:rPr>
                <w:sz w:val="16"/>
                <w:szCs w:val="16"/>
                <w:color w:val="auto"/>
              </w:rPr>
            </w:pPr>
          </w:p>
        </w:tc>
        <w:tc>
          <w:tcPr>
            <w:tcW w:w="280" w:type="dxa"/>
            <w:vAlign w:val="bottom"/>
            <w:shd w:val="clear" w:color="auto" w:fill="EDEDEE"/>
          </w:tcPr>
          <w:p>
            <w:pPr>
              <w:spacing w:after="0"/>
              <w:rPr>
                <w:sz w:val="16"/>
                <w:szCs w:val="16"/>
                <w:color w:val="auto"/>
              </w:rPr>
            </w:pPr>
          </w:p>
        </w:tc>
        <w:tc>
          <w:tcPr>
            <w:tcW w:w="1020" w:type="dxa"/>
            <w:vAlign w:val="bottom"/>
            <w:shd w:val="clear" w:color="auto" w:fill="EDEDEE"/>
          </w:tcPr>
          <w:p>
            <w:pPr>
              <w:jc w:val="right"/>
              <w:ind w:right="30"/>
              <w:spacing w:after="0" w:line="195" w:lineRule="exact"/>
              <w:rPr>
                <w:sz w:val="20"/>
                <w:szCs w:val="20"/>
                <w:color w:val="auto"/>
              </w:rPr>
            </w:pPr>
            <w:r>
              <w:rPr>
                <w:rFonts w:ascii="Arial" w:cs="Arial" w:eastAsia="Arial" w:hAnsi="Arial"/>
                <w:sz w:val="18"/>
                <w:szCs w:val="18"/>
                <w:b w:val="1"/>
                <w:bCs w:val="1"/>
                <w:color w:val="auto"/>
              </w:rPr>
              <w:t>677,266</w:t>
            </w:r>
          </w:p>
        </w:tc>
        <w:tc>
          <w:tcPr>
            <w:tcW w:w="200" w:type="dxa"/>
            <w:vAlign w:val="bottom"/>
            <w:shd w:val="clear" w:color="auto" w:fill="EDEDEE"/>
          </w:tcPr>
          <w:p>
            <w:pPr>
              <w:spacing w:after="0"/>
              <w:rPr>
                <w:sz w:val="16"/>
                <w:szCs w:val="16"/>
                <w:color w:val="auto"/>
              </w:rPr>
            </w:pPr>
          </w:p>
        </w:tc>
        <w:tc>
          <w:tcPr>
            <w:tcW w:w="900" w:type="dxa"/>
            <w:vAlign w:val="bottom"/>
          </w:tcPr>
          <w:p>
            <w:pPr>
              <w:jc w:val="right"/>
              <w:ind w:right="130"/>
              <w:spacing w:after="0" w:line="195" w:lineRule="exact"/>
              <w:rPr>
                <w:sz w:val="20"/>
                <w:szCs w:val="20"/>
                <w:color w:val="auto"/>
              </w:rPr>
            </w:pPr>
            <w:r>
              <w:rPr>
                <w:rFonts w:ascii="Arial" w:cs="Arial" w:eastAsia="Arial" w:hAnsi="Arial"/>
                <w:sz w:val="18"/>
                <w:szCs w:val="18"/>
                <w:b w:val="1"/>
                <w:bCs w:val="1"/>
                <w:color w:val="auto"/>
              </w:rPr>
              <w:t>17.7</w:t>
            </w:r>
          </w:p>
        </w:tc>
      </w:tr>
      <w:tr>
        <w:trPr>
          <w:trHeight w:val="203"/>
        </w:trPr>
        <w:tc>
          <w:tcPr>
            <w:tcW w:w="370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DDEE7"/>
          </w:tcPr>
          <w:p>
            <w:pPr>
              <w:spacing w:after="0"/>
              <w:rPr>
                <w:sz w:val="17"/>
                <w:szCs w:val="17"/>
                <w:color w:val="auto"/>
              </w:rPr>
            </w:pPr>
          </w:p>
        </w:tc>
        <w:tc>
          <w:tcPr>
            <w:tcW w:w="940" w:type="dxa"/>
            <w:vAlign w:val="bottom"/>
            <w:shd w:val="clear" w:color="auto" w:fill="CDDEE7"/>
          </w:tcPr>
          <w:p>
            <w:pPr>
              <w:jc w:val="right"/>
              <w:ind w:right="30"/>
              <w:spacing w:after="0" w:line="202" w:lineRule="exact"/>
              <w:rPr>
                <w:sz w:val="20"/>
                <w:szCs w:val="20"/>
                <w:color w:val="auto"/>
              </w:rPr>
            </w:pPr>
            <w:r>
              <w:rPr>
                <w:rFonts w:ascii="Arial" w:cs="Arial" w:eastAsia="Arial" w:hAnsi="Arial"/>
                <w:sz w:val="18"/>
                <w:szCs w:val="18"/>
                <w:color w:val="auto"/>
              </w:rPr>
              <w:t>137,069</w:t>
            </w:r>
          </w:p>
        </w:tc>
        <w:tc>
          <w:tcPr>
            <w:tcW w:w="220" w:type="dxa"/>
            <w:vAlign w:val="bottom"/>
            <w:shd w:val="clear" w:color="auto" w:fill="CDDEE7"/>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shd w:val="clear" w:color="auto" w:fill="EDEDEE"/>
          </w:tcPr>
          <w:p>
            <w:pPr>
              <w:spacing w:after="0"/>
              <w:rPr>
                <w:sz w:val="17"/>
                <w:szCs w:val="17"/>
                <w:color w:val="auto"/>
              </w:rPr>
            </w:pPr>
          </w:p>
        </w:tc>
        <w:tc>
          <w:tcPr>
            <w:tcW w:w="1020" w:type="dxa"/>
            <w:vAlign w:val="bottom"/>
            <w:shd w:val="clear" w:color="auto" w:fill="EDEDEE"/>
          </w:tcPr>
          <w:p>
            <w:pPr>
              <w:jc w:val="right"/>
              <w:ind w:right="30"/>
              <w:spacing w:after="0" w:line="202" w:lineRule="exact"/>
              <w:rPr>
                <w:sz w:val="20"/>
                <w:szCs w:val="20"/>
                <w:color w:val="auto"/>
              </w:rPr>
            </w:pPr>
            <w:r>
              <w:rPr>
                <w:rFonts w:ascii="Arial" w:cs="Arial" w:eastAsia="Arial" w:hAnsi="Arial"/>
                <w:sz w:val="18"/>
                <w:szCs w:val="18"/>
                <w:color w:val="auto"/>
              </w:rPr>
              <w:t>91,487</w:t>
            </w:r>
          </w:p>
        </w:tc>
        <w:tc>
          <w:tcPr>
            <w:tcW w:w="200" w:type="dxa"/>
            <w:vAlign w:val="bottom"/>
            <w:shd w:val="clear" w:color="auto" w:fill="EDEDEE"/>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shd w:val="clear" w:color="auto" w:fill="EDEDEE"/>
          </w:tcPr>
          <w:p>
            <w:pPr>
              <w:spacing w:after="0"/>
              <w:rPr>
                <w:sz w:val="17"/>
                <w:szCs w:val="17"/>
                <w:color w:val="auto"/>
              </w:rPr>
            </w:pPr>
          </w:p>
        </w:tc>
        <w:tc>
          <w:tcPr>
            <w:tcW w:w="1020" w:type="dxa"/>
            <w:vAlign w:val="bottom"/>
            <w:shd w:val="clear" w:color="auto" w:fill="EDEDEE"/>
          </w:tcPr>
          <w:p>
            <w:pPr>
              <w:jc w:val="right"/>
              <w:ind w:right="30"/>
              <w:spacing w:after="0" w:line="202" w:lineRule="exact"/>
              <w:rPr>
                <w:sz w:val="20"/>
                <w:szCs w:val="20"/>
                <w:color w:val="auto"/>
              </w:rPr>
            </w:pPr>
            <w:r>
              <w:rPr>
                <w:rFonts w:ascii="Arial" w:cs="Arial" w:eastAsia="Arial" w:hAnsi="Arial"/>
                <w:sz w:val="18"/>
                <w:szCs w:val="18"/>
                <w:color w:val="auto"/>
              </w:rPr>
              <w:t>81,677</w:t>
            </w:r>
          </w:p>
        </w:tc>
        <w:tc>
          <w:tcPr>
            <w:tcW w:w="200" w:type="dxa"/>
            <w:vAlign w:val="bottom"/>
            <w:shd w:val="clear" w:color="auto" w:fill="EDEDEE"/>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70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Other nonoperating income, net</w:t>
            </w:r>
          </w:p>
        </w:tc>
        <w:tc>
          <w:tcPr>
            <w:tcW w:w="260" w:type="dxa"/>
            <w:vAlign w:val="bottom"/>
            <w:tcBorders>
              <w:bottom w:val="single" w:sz="8" w:color="auto"/>
            </w:tcBorders>
            <w:shd w:val="clear" w:color="auto" w:fill="CDDEE7"/>
          </w:tcPr>
          <w:p>
            <w:pPr>
              <w:spacing w:after="0"/>
              <w:rPr>
                <w:sz w:val="17"/>
                <w:szCs w:val="17"/>
                <w:color w:val="auto"/>
              </w:rPr>
            </w:pPr>
          </w:p>
        </w:tc>
        <w:tc>
          <w:tcPr>
            <w:tcW w:w="940" w:type="dxa"/>
            <w:vAlign w:val="bottom"/>
            <w:tcBorders>
              <w:bottom w:val="single" w:sz="8" w:color="auto"/>
            </w:tcBorders>
            <w:shd w:val="clear" w:color="auto" w:fill="CDDEE7"/>
          </w:tcPr>
          <w:p>
            <w:pPr>
              <w:jc w:val="right"/>
              <w:ind w:right="30"/>
              <w:spacing w:after="0" w:line="203" w:lineRule="exact"/>
              <w:rPr>
                <w:sz w:val="20"/>
                <w:szCs w:val="20"/>
                <w:color w:val="auto"/>
              </w:rPr>
            </w:pPr>
            <w:r>
              <w:rPr>
                <w:rFonts w:ascii="Arial" w:cs="Arial" w:eastAsia="Arial" w:hAnsi="Arial"/>
                <w:sz w:val="18"/>
                <w:szCs w:val="18"/>
                <w:color w:val="auto"/>
              </w:rPr>
              <w:t>(22,413)</w:t>
            </w:r>
          </w:p>
        </w:tc>
        <w:tc>
          <w:tcPr>
            <w:tcW w:w="220" w:type="dxa"/>
            <w:vAlign w:val="bottom"/>
            <w:tcBorders>
              <w:bottom w:val="single" w:sz="8" w:color="auto"/>
            </w:tcBorders>
            <w:shd w:val="clear" w:color="auto" w:fill="CDDEE7"/>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EDEDEE"/>
          </w:tcPr>
          <w:p>
            <w:pPr>
              <w:spacing w:after="0"/>
              <w:rPr>
                <w:sz w:val="17"/>
                <w:szCs w:val="17"/>
                <w:color w:val="auto"/>
              </w:rPr>
            </w:pPr>
          </w:p>
        </w:tc>
        <w:tc>
          <w:tcPr>
            <w:tcW w:w="1020" w:type="dxa"/>
            <w:vAlign w:val="bottom"/>
            <w:tcBorders>
              <w:bottom w:val="single" w:sz="8" w:color="auto"/>
            </w:tcBorders>
            <w:shd w:val="clear" w:color="auto" w:fill="EDEDEE"/>
          </w:tcPr>
          <w:p>
            <w:pPr>
              <w:jc w:val="right"/>
              <w:ind w:right="30"/>
              <w:spacing w:after="0" w:line="203" w:lineRule="exact"/>
              <w:rPr>
                <w:sz w:val="20"/>
                <w:szCs w:val="20"/>
                <w:color w:val="auto"/>
              </w:rPr>
            </w:pPr>
            <w:r>
              <w:rPr>
                <w:rFonts w:ascii="Arial" w:cs="Arial" w:eastAsia="Arial" w:hAnsi="Arial"/>
                <w:sz w:val="18"/>
                <w:szCs w:val="18"/>
                <w:color w:val="auto"/>
              </w:rPr>
              <w:t>(10,034)</w:t>
            </w:r>
          </w:p>
        </w:tc>
        <w:tc>
          <w:tcPr>
            <w:tcW w:w="200" w:type="dxa"/>
            <w:vAlign w:val="bottom"/>
            <w:tcBorders>
              <w:bottom w:val="single" w:sz="8" w:color="auto"/>
            </w:tcBorders>
            <w:shd w:val="clear" w:color="auto" w:fill="EDEDE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EDEDEE"/>
          </w:tcPr>
          <w:p>
            <w:pPr>
              <w:spacing w:after="0"/>
              <w:rPr>
                <w:sz w:val="17"/>
                <w:szCs w:val="17"/>
                <w:color w:val="auto"/>
              </w:rPr>
            </w:pPr>
          </w:p>
        </w:tc>
        <w:tc>
          <w:tcPr>
            <w:tcW w:w="1020" w:type="dxa"/>
            <w:vAlign w:val="bottom"/>
            <w:tcBorders>
              <w:bottom w:val="single" w:sz="8" w:color="auto"/>
            </w:tcBorders>
            <w:shd w:val="clear" w:color="auto" w:fill="EDEDEE"/>
          </w:tcPr>
          <w:p>
            <w:pPr>
              <w:jc w:val="right"/>
              <w:ind w:right="30"/>
              <w:spacing w:after="0" w:line="203" w:lineRule="exact"/>
              <w:rPr>
                <w:sz w:val="20"/>
                <w:szCs w:val="20"/>
                <w:color w:val="auto"/>
              </w:rPr>
            </w:pPr>
            <w:r>
              <w:rPr>
                <w:rFonts w:ascii="Arial" w:cs="Arial" w:eastAsia="Arial" w:hAnsi="Arial"/>
                <w:sz w:val="18"/>
                <w:szCs w:val="18"/>
                <w:color w:val="auto"/>
              </w:rPr>
              <w:t>(11,439)</w:t>
            </w:r>
          </w:p>
        </w:tc>
        <w:tc>
          <w:tcPr>
            <w:tcW w:w="200" w:type="dxa"/>
            <w:vAlign w:val="bottom"/>
            <w:tcBorders>
              <w:bottom w:val="single" w:sz="8" w:color="auto"/>
            </w:tcBorders>
            <w:shd w:val="clear" w:color="auto" w:fill="EDEDE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95"/>
        </w:trPr>
        <w:tc>
          <w:tcPr>
            <w:tcW w:w="3700" w:type="dxa"/>
            <w:vAlign w:val="bottom"/>
            <w:gridSpan w:val="2"/>
          </w:tcPr>
          <w:p>
            <w:pPr>
              <w:spacing w:after="0" w:line="195" w:lineRule="exact"/>
              <w:rPr>
                <w:sz w:val="20"/>
                <w:szCs w:val="20"/>
                <w:color w:val="auto"/>
              </w:rPr>
            </w:pPr>
            <w:r>
              <w:rPr>
                <w:rFonts w:ascii="Arial" w:cs="Arial" w:eastAsia="Arial" w:hAnsi="Arial"/>
                <w:sz w:val="18"/>
                <w:szCs w:val="18"/>
                <w:color w:val="auto"/>
              </w:rPr>
              <w:t>Earnings before income tax expense (benefit)</w:t>
            </w:r>
          </w:p>
        </w:tc>
        <w:tc>
          <w:tcPr>
            <w:tcW w:w="260" w:type="dxa"/>
            <w:vAlign w:val="bottom"/>
            <w:shd w:val="clear" w:color="auto" w:fill="CDDEE7"/>
          </w:tcPr>
          <w:p>
            <w:pPr>
              <w:spacing w:after="0"/>
              <w:rPr>
                <w:sz w:val="16"/>
                <w:szCs w:val="16"/>
                <w:color w:val="auto"/>
              </w:rPr>
            </w:pPr>
          </w:p>
        </w:tc>
        <w:tc>
          <w:tcPr>
            <w:tcW w:w="940" w:type="dxa"/>
            <w:vAlign w:val="bottom"/>
            <w:shd w:val="clear" w:color="auto" w:fill="CDDEE7"/>
          </w:tcPr>
          <w:p>
            <w:pPr>
              <w:jc w:val="right"/>
              <w:ind w:right="30"/>
              <w:spacing w:after="0" w:line="195" w:lineRule="exact"/>
              <w:rPr>
                <w:sz w:val="20"/>
                <w:szCs w:val="20"/>
                <w:color w:val="auto"/>
              </w:rPr>
            </w:pPr>
            <w:r>
              <w:rPr>
                <w:rFonts w:ascii="Arial" w:cs="Arial" w:eastAsia="Arial" w:hAnsi="Arial"/>
                <w:sz w:val="18"/>
                <w:szCs w:val="18"/>
                <w:color w:val="auto"/>
              </w:rPr>
              <w:t>576,081</w:t>
            </w:r>
          </w:p>
        </w:tc>
        <w:tc>
          <w:tcPr>
            <w:tcW w:w="220" w:type="dxa"/>
            <w:vAlign w:val="bottom"/>
            <w:shd w:val="clear" w:color="auto" w:fill="CDDEE7"/>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shd w:val="clear" w:color="auto" w:fill="EDEDEE"/>
          </w:tcPr>
          <w:p>
            <w:pPr>
              <w:spacing w:after="0"/>
              <w:rPr>
                <w:sz w:val="16"/>
                <w:szCs w:val="16"/>
                <w:color w:val="auto"/>
              </w:rPr>
            </w:pPr>
          </w:p>
        </w:tc>
        <w:tc>
          <w:tcPr>
            <w:tcW w:w="1020" w:type="dxa"/>
            <w:vAlign w:val="bottom"/>
            <w:shd w:val="clear" w:color="auto" w:fill="EDEDEE"/>
          </w:tcPr>
          <w:p>
            <w:pPr>
              <w:jc w:val="right"/>
              <w:ind w:right="30"/>
              <w:spacing w:after="0" w:line="195" w:lineRule="exact"/>
              <w:rPr>
                <w:sz w:val="20"/>
                <w:szCs w:val="20"/>
                <w:color w:val="auto"/>
              </w:rPr>
            </w:pPr>
            <w:r>
              <w:rPr>
                <w:rFonts w:ascii="Arial" w:cs="Arial" w:eastAsia="Arial" w:hAnsi="Arial"/>
                <w:sz w:val="18"/>
                <w:szCs w:val="18"/>
                <w:color w:val="auto"/>
              </w:rPr>
              <w:t>618,928</w:t>
            </w:r>
          </w:p>
        </w:tc>
        <w:tc>
          <w:tcPr>
            <w:tcW w:w="200" w:type="dxa"/>
            <w:vAlign w:val="bottom"/>
            <w:shd w:val="clear" w:color="auto" w:fill="EDEDEE"/>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shd w:val="clear" w:color="auto" w:fill="EDEDEE"/>
          </w:tcPr>
          <w:p>
            <w:pPr>
              <w:spacing w:after="0"/>
              <w:rPr>
                <w:sz w:val="16"/>
                <w:szCs w:val="16"/>
                <w:color w:val="auto"/>
              </w:rPr>
            </w:pPr>
          </w:p>
        </w:tc>
        <w:tc>
          <w:tcPr>
            <w:tcW w:w="1020" w:type="dxa"/>
            <w:vAlign w:val="bottom"/>
            <w:shd w:val="clear" w:color="auto" w:fill="EDEDEE"/>
          </w:tcPr>
          <w:p>
            <w:pPr>
              <w:jc w:val="right"/>
              <w:ind w:right="30"/>
              <w:spacing w:after="0" w:line="195" w:lineRule="exact"/>
              <w:rPr>
                <w:sz w:val="20"/>
                <w:szCs w:val="20"/>
                <w:color w:val="auto"/>
              </w:rPr>
            </w:pPr>
            <w:r>
              <w:rPr>
                <w:rFonts w:ascii="Arial" w:cs="Arial" w:eastAsia="Arial" w:hAnsi="Arial"/>
                <w:sz w:val="18"/>
                <w:szCs w:val="18"/>
                <w:color w:val="auto"/>
              </w:rPr>
              <w:t>607,028</w:t>
            </w:r>
          </w:p>
        </w:tc>
        <w:tc>
          <w:tcPr>
            <w:tcW w:w="200" w:type="dxa"/>
            <w:vAlign w:val="bottom"/>
            <w:shd w:val="clear" w:color="auto" w:fill="EDEDEE"/>
          </w:tcPr>
          <w:p>
            <w:pPr>
              <w:spacing w:after="0"/>
              <w:rPr>
                <w:sz w:val="16"/>
                <w:szCs w:val="16"/>
                <w:color w:val="auto"/>
              </w:rPr>
            </w:pPr>
          </w:p>
        </w:tc>
        <w:tc>
          <w:tcPr>
            <w:tcW w:w="900" w:type="dxa"/>
            <w:vAlign w:val="bottom"/>
          </w:tcPr>
          <w:p>
            <w:pPr>
              <w:spacing w:after="0"/>
              <w:rPr>
                <w:sz w:val="16"/>
                <w:szCs w:val="16"/>
                <w:color w:val="auto"/>
              </w:rPr>
            </w:pPr>
          </w:p>
        </w:tc>
      </w:tr>
      <w:tr>
        <w:trPr>
          <w:trHeight w:val="203"/>
        </w:trPr>
        <w:tc>
          <w:tcPr>
            <w:tcW w:w="370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shd w:val="clear" w:color="auto" w:fill="CDDEE7"/>
          </w:tcPr>
          <w:p>
            <w:pPr>
              <w:spacing w:after="0"/>
              <w:rPr>
                <w:sz w:val="17"/>
                <w:szCs w:val="17"/>
                <w:color w:val="auto"/>
              </w:rPr>
            </w:pPr>
          </w:p>
        </w:tc>
        <w:tc>
          <w:tcPr>
            <w:tcW w:w="940" w:type="dxa"/>
            <w:vAlign w:val="bottom"/>
            <w:tcBorders>
              <w:bottom w:val="single" w:sz="8" w:color="auto"/>
            </w:tcBorders>
            <w:shd w:val="clear" w:color="auto" w:fill="CDDEE7"/>
          </w:tcPr>
          <w:p>
            <w:pPr>
              <w:jc w:val="right"/>
              <w:ind w:right="30"/>
              <w:spacing w:after="0" w:line="203" w:lineRule="exact"/>
              <w:rPr>
                <w:sz w:val="20"/>
                <w:szCs w:val="20"/>
                <w:color w:val="auto"/>
              </w:rPr>
            </w:pPr>
            <w:r>
              <w:rPr>
                <w:rFonts w:ascii="Arial" w:cs="Arial" w:eastAsia="Arial" w:hAnsi="Arial"/>
                <w:sz w:val="18"/>
                <w:szCs w:val="18"/>
                <w:color w:val="auto"/>
              </w:rPr>
              <w:t>105,705</w:t>
            </w:r>
          </w:p>
        </w:tc>
        <w:tc>
          <w:tcPr>
            <w:tcW w:w="220" w:type="dxa"/>
            <w:vAlign w:val="bottom"/>
            <w:tcBorders>
              <w:bottom w:val="single" w:sz="8" w:color="auto"/>
            </w:tcBorders>
            <w:shd w:val="clear" w:color="auto" w:fill="CDDEE7"/>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EDEDEE"/>
          </w:tcPr>
          <w:p>
            <w:pPr>
              <w:spacing w:after="0"/>
              <w:rPr>
                <w:sz w:val="17"/>
                <w:szCs w:val="17"/>
                <w:color w:val="auto"/>
              </w:rPr>
            </w:pPr>
          </w:p>
        </w:tc>
        <w:tc>
          <w:tcPr>
            <w:tcW w:w="1020" w:type="dxa"/>
            <w:vAlign w:val="bottom"/>
            <w:tcBorders>
              <w:bottom w:val="single" w:sz="8" w:color="auto"/>
            </w:tcBorders>
            <w:shd w:val="clear" w:color="auto" w:fill="EDEDEE"/>
          </w:tcPr>
          <w:p>
            <w:pPr>
              <w:jc w:val="right"/>
              <w:ind w:right="30"/>
              <w:spacing w:after="0" w:line="203" w:lineRule="exact"/>
              <w:rPr>
                <w:sz w:val="20"/>
                <w:szCs w:val="20"/>
                <w:color w:val="auto"/>
              </w:rPr>
            </w:pPr>
            <w:r>
              <w:rPr>
                <w:rFonts w:ascii="Arial" w:cs="Arial" w:eastAsia="Arial" w:hAnsi="Arial"/>
                <w:sz w:val="18"/>
                <w:szCs w:val="18"/>
                <w:color w:val="auto"/>
              </w:rPr>
              <w:t>(94,457)</w:t>
            </w:r>
          </w:p>
        </w:tc>
        <w:tc>
          <w:tcPr>
            <w:tcW w:w="200" w:type="dxa"/>
            <w:vAlign w:val="bottom"/>
            <w:tcBorders>
              <w:bottom w:val="single" w:sz="8" w:color="auto"/>
            </w:tcBorders>
            <w:shd w:val="clear" w:color="auto" w:fill="EDEDE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EDEDEE"/>
          </w:tcPr>
          <w:p>
            <w:pPr>
              <w:spacing w:after="0"/>
              <w:rPr>
                <w:sz w:val="17"/>
                <w:szCs w:val="17"/>
                <w:color w:val="auto"/>
              </w:rPr>
            </w:pPr>
          </w:p>
        </w:tc>
        <w:tc>
          <w:tcPr>
            <w:tcW w:w="1020" w:type="dxa"/>
            <w:vAlign w:val="bottom"/>
            <w:tcBorders>
              <w:bottom w:val="single" w:sz="8" w:color="auto"/>
            </w:tcBorders>
            <w:shd w:val="clear" w:color="auto" w:fill="EDEDEE"/>
          </w:tcPr>
          <w:p>
            <w:pPr>
              <w:jc w:val="right"/>
              <w:ind w:right="30"/>
              <w:spacing w:after="0" w:line="203" w:lineRule="exact"/>
              <w:rPr>
                <w:sz w:val="20"/>
                <w:szCs w:val="20"/>
                <w:color w:val="auto"/>
              </w:rPr>
            </w:pPr>
            <w:r>
              <w:rPr>
                <w:rFonts w:ascii="Arial" w:cs="Arial" w:eastAsia="Arial" w:hAnsi="Arial"/>
                <w:sz w:val="18"/>
                <w:szCs w:val="18"/>
                <w:color w:val="auto"/>
              </w:rPr>
              <w:t>181,584</w:t>
            </w:r>
          </w:p>
        </w:tc>
        <w:tc>
          <w:tcPr>
            <w:tcW w:w="200" w:type="dxa"/>
            <w:vAlign w:val="bottom"/>
            <w:tcBorders>
              <w:bottom w:val="single" w:sz="8" w:color="auto"/>
            </w:tcBorders>
            <w:shd w:val="clear" w:color="auto" w:fill="EDEDE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95"/>
        </w:trPr>
        <w:tc>
          <w:tcPr>
            <w:tcW w:w="370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Consolidated net earnings</w:t>
            </w:r>
          </w:p>
        </w:tc>
        <w:tc>
          <w:tcPr>
            <w:tcW w:w="260" w:type="dxa"/>
            <w:vAlign w:val="bottom"/>
            <w:shd w:val="clear" w:color="auto" w:fill="CDDEE7"/>
          </w:tcPr>
          <w:p>
            <w:pPr>
              <w:spacing w:after="0"/>
              <w:rPr>
                <w:sz w:val="16"/>
                <w:szCs w:val="16"/>
                <w:color w:val="auto"/>
              </w:rPr>
            </w:pPr>
          </w:p>
        </w:tc>
        <w:tc>
          <w:tcPr>
            <w:tcW w:w="940" w:type="dxa"/>
            <w:vAlign w:val="bottom"/>
            <w:shd w:val="clear" w:color="auto" w:fill="CDDEE7"/>
          </w:tcPr>
          <w:p>
            <w:pPr>
              <w:jc w:val="right"/>
              <w:ind w:right="30"/>
              <w:spacing w:after="0" w:line="195" w:lineRule="exact"/>
              <w:rPr>
                <w:sz w:val="20"/>
                <w:szCs w:val="20"/>
                <w:color w:val="auto"/>
              </w:rPr>
            </w:pPr>
            <w:r>
              <w:rPr>
                <w:rFonts w:ascii="Arial" w:cs="Arial" w:eastAsia="Arial" w:hAnsi="Arial"/>
                <w:sz w:val="18"/>
                <w:szCs w:val="18"/>
                <w:b w:val="1"/>
                <w:bCs w:val="1"/>
                <w:color w:val="auto"/>
              </w:rPr>
              <w:t>470,376</w:t>
            </w:r>
          </w:p>
        </w:tc>
        <w:tc>
          <w:tcPr>
            <w:tcW w:w="220" w:type="dxa"/>
            <w:vAlign w:val="bottom"/>
            <w:shd w:val="clear" w:color="auto" w:fill="CDDEE7"/>
          </w:tcPr>
          <w:p>
            <w:pPr>
              <w:spacing w:after="0"/>
              <w:rPr>
                <w:sz w:val="16"/>
                <w:szCs w:val="16"/>
                <w:color w:val="auto"/>
              </w:rPr>
            </w:pPr>
          </w:p>
        </w:tc>
        <w:tc>
          <w:tcPr>
            <w:tcW w:w="920" w:type="dxa"/>
            <w:vAlign w:val="bottom"/>
          </w:tcPr>
          <w:p>
            <w:pPr>
              <w:ind w:left="360"/>
              <w:spacing w:after="0" w:line="195" w:lineRule="exact"/>
              <w:rPr>
                <w:sz w:val="20"/>
                <w:szCs w:val="20"/>
                <w:color w:val="auto"/>
              </w:rPr>
            </w:pPr>
            <w:r>
              <w:rPr>
                <w:rFonts w:ascii="Arial" w:cs="Arial" w:eastAsia="Arial" w:hAnsi="Arial"/>
                <w:sz w:val="18"/>
                <w:szCs w:val="18"/>
                <w:b w:val="1"/>
                <w:bCs w:val="1"/>
                <w:color w:val="auto"/>
              </w:rPr>
              <w:t>11.1</w:t>
            </w:r>
          </w:p>
        </w:tc>
        <w:tc>
          <w:tcPr>
            <w:tcW w:w="300" w:type="dxa"/>
            <w:vAlign w:val="bottom"/>
          </w:tcPr>
          <w:p>
            <w:pPr>
              <w:spacing w:after="0"/>
              <w:rPr>
                <w:sz w:val="16"/>
                <w:szCs w:val="16"/>
                <w:color w:val="auto"/>
              </w:rPr>
            </w:pPr>
          </w:p>
        </w:tc>
        <w:tc>
          <w:tcPr>
            <w:tcW w:w="280" w:type="dxa"/>
            <w:vAlign w:val="bottom"/>
            <w:shd w:val="clear" w:color="auto" w:fill="EDEDEE"/>
          </w:tcPr>
          <w:p>
            <w:pPr>
              <w:spacing w:after="0"/>
              <w:rPr>
                <w:sz w:val="16"/>
                <w:szCs w:val="16"/>
                <w:color w:val="auto"/>
              </w:rPr>
            </w:pPr>
          </w:p>
        </w:tc>
        <w:tc>
          <w:tcPr>
            <w:tcW w:w="1020" w:type="dxa"/>
            <w:vAlign w:val="bottom"/>
            <w:shd w:val="clear" w:color="auto" w:fill="EDEDEE"/>
          </w:tcPr>
          <w:p>
            <w:pPr>
              <w:jc w:val="right"/>
              <w:ind w:right="30"/>
              <w:spacing w:after="0" w:line="195" w:lineRule="exact"/>
              <w:rPr>
                <w:sz w:val="20"/>
                <w:szCs w:val="20"/>
                <w:color w:val="auto"/>
              </w:rPr>
            </w:pPr>
            <w:r>
              <w:rPr>
                <w:rFonts w:ascii="Arial" w:cs="Arial" w:eastAsia="Arial" w:hAnsi="Arial"/>
                <w:sz w:val="18"/>
                <w:szCs w:val="18"/>
                <w:b w:val="1"/>
                <w:bCs w:val="1"/>
                <w:color w:val="auto"/>
              </w:rPr>
              <w:t>713,385</w:t>
            </w:r>
          </w:p>
        </w:tc>
        <w:tc>
          <w:tcPr>
            <w:tcW w:w="200" w:type="dxa"/>
            <w:vAlign w:val="bottom"/>
            <w:shd w:val="clear" w:color="auto" w:fill="EDEDEE"/>
          </w:tcPr>
          <w:p>
            <w:pPr>
              <w:spacing w:after="0"/>
              <w:rPr>
                <w:sz w:val="16"/>
                <w:szCs w:val="16"/>
                <w:color w:val="auto"/>
              </w:rPr>
            </w:pPr>
          </w:p>
        </w:tc>
        <w:tc>
          <w:tcPr>
            <w:tcW w:w="900" w:type="dxa"/>
            <w:vAlign w:val="bottom"/>
          </w:tcPr>
          <w:p>
            <w:pPr>
              <w:jc w:val="right"/>
              <w:ind w:right="130"/>
              <w:spacing w:after="0" w:line="195" w:lineRule="exact"/>
              <w:rPr>
                <w:sz w:val="20"/>
                <w:szCs w:val="20"/>
                <w:color w:val="auto"/>
              </w:rPr>
            </w:pPr>
            <w:r>
              <w:rPr>
                <w:rFonts w:ascii="Arial" w:cs="Arial" w:eastAsia="Arial" w:hAnsi="Arial"/>
                <w:sz w:val="18"/>
                <w:szCs w:val="18"/>
                <w:b w:val="1"/>
                <w:bCs w:val="1"/>
                <w:color w:val="auto"/>
              </w:rPr>
              <w:t>18.0</w:t>
            </w:r>
          </w:p>
        </w:tc>
        <w:tc>
          <w:tcPr>
            <w:tcW w:w="280" w:type="dxa"/>
            <w:vAlign w:val="bottom"/>
          </w:tcPr>
          <w:p>
            <w:pPr>
              <w:spacing w:after="0"/>
              <w:rPr>
                <w:sz w:val="16"/>
                <w:szCs w:val="16"/>
                <w:color w:val="auto"/>
              </w:rPr>
            </w:pPr>
          </w:p>
        </w:tc>
        <w:tc>
          <w:tcPr>
            <w:tcW w:w="280" w:type="dxa"/>
            <w:vAlign w:val="bottom"/>
            <w:shd w:val="clear" w:color="auto" w:fill="EDEDEE"/>
          </w:tcPr>
          <w:p>
            <w:pPr>
              <w:spacing w:after="0"/>
              <w:rPr>
                <w:sz w:val="16"/>
                <w:szCs w:val="16"/>
                <w:color w:val="auto"/>
              </w:rPr>
            </w:pPr>
          </w:p>
        </w:tc>
        <w:tc>
          <w:tcPr>
            <w:tcW w:w="1020" w:type="dxa"/>
            <w:vAlign w:val="bottom"/>
            <w:shd w:val="clear" w:color="auto" w:fill="EDEDEE"/>
          </w:tcPr>
          <w:p>
            <w:pPr>
              <w:jc w:val="right"/>
              <w:ind w:right="30"/>
              <w:spacing w:after="0" w:line="195" w:lineRule="exact"/>
              <w:rPr>
                <w:sz w:val="20"/>
                <w:szCs w:val="20"/>
                <w:color w:val="auto"/>
              </w:rPr>
            </w:pPr>
            <w:r>
              <w:rPr>
                <w:rFonts w:ascii="Arial" w:cs="Arial" w:eastAsia="Arial" w:hAnsi="Arial"/>
                <w:sz w:val="18"/>
                <w:szCs w:val="18"/>
                <w:b w:val="1"/>
                <w:bCs w:val="1"/>
                <w:color w:val="auto"/>
              </w:rPr>
              <w:t>425,444</w:t>
            </w:r>
          </w:p>
        </w:tc>
        <w:tc>
          <w:tcPr>
            <w:tcW w:w="200" w:type="dxa"/>
            <w:vAlign w:val="bottom"/>
            <w:shd w:val="clear" w:color="auto" w:fill="EDEDEE"/>
          </w:tcPr>
          <w:p>
            <w:pPr>
              <w:spacing w:after="0"/>
              <w:rPr>
                <w:sz w:val="16"/>
                <w:szCs w:val="16"/>
                <w:color w:val="auto"/>
              </w:rPr>
            </w:pPr>
          </w:p>
        </w:tc>
        <w:tc>
          <w:tcPr>
            <w:tcW w:w="900" w:type="dxa"/>
            <w:vAlign w:val="bottom"/>
          </w:tcPr>
          <w:p>
            <w:pPr>
              <w:jc w:val="right"/>
              <w:ind w:right="130"/>
              <w:spacing w:after="0" w:line="195" w:lineRule="exact"/>
              <w:rPr>
                <w:sz w:val="20"/>
                <w:szCs w:val="20"/>
                <w:color w:val="auto"/>
              </w:rPr>
            </w:pPr>
            <w:r>
              <w:rPr>
                <w:rFonts w:ascii="Arial" w:cs="Arial" w:eastAsia="Arial" w:hAnsi="Arial"/>
                <w:sz w:val="18"/>
                <w:szCs w:val="18"/>
                <w:b w:val="1"/>
                <w:bCs w:val="1"/>
                <w:color w:val="auto"/>
              </w:rPr>
              <w:t>11.1</w:t>
            </w:r>
          </w:p>
        </w:tc>
      </w:tr>
      <w:tr>
        <w:trPr>
          <w:trHeight w:val="203"/>
        </w:trPr>
        <w:tc>
          <w:tcPr>
            <w:tcW w:w="3700" w:type="dxa"/>
            <w:vAlign w:val="bottom"/>
            <w:gridSpan w:val="2"/>
          </w:tcPr>
          <w:p>
            <w:pPr>
              <w:spacing w:after="0" w:line="202" w:lineRule="exact"/>
              <w:rPr>
                <w:sz w:val="20"/>
                <w:szCs w:val="20"/>
                <w:color w:val="auto"/>
              </w:rPr>
            </w:pPr>
            <w:r>
              <w:rPr>
                <w:rFonts w:ascii="Arial" w:cs="Arial" w:eastAsia="Arial" w:hAnsi="Arial"/>
                <w:sz w:val="18"/>
                <w:szCs w:val="18"/>
                <w:color w:val="auto"/>
              </w:rPr>
              <w:t>Less: Net earnings attributable to</w:t>
            </w:r>
          </w:p>
        </w:tc>
        <w:tc>
          <w:tcPr>
            <w:tcW w:w="260" w:type="dxa"/>
            <w:vAlign w:val="bottom"/>
            <w:shd w:val="clear" w:color="auto" w:fill="CDDEE7"/>
          </w:tcPr>
          <w:p>
            <w:pPr>
              <w:spacing w:after="0"/>
              <w:rPr>
                <w:sz w:val="17"/>
                <w:szCs w:val="17"/>
                <w:color w:val="auto"/>
              </w:rPr>
            </w:pPr>
          </w:p>
        </w:tc>
        <w:tc>
          <w:tcPr>
            <w:tcW w:w="940" w:type="dxa"/>
            <w:vAlign w:val="bottom"/>
            <w:shd w:val="clear" w:color="auto" w:fill="CDDEE7"/>
          </w:tcPr>
          <w:p>
            <w:pPr>
              <w:spacing w:after="0"/>
              <w:rPr>
                <w:sz w:val="17"/>
                <w:szCs w:val="17"/>
                <w:color w:val="auto"/>
              </w:rPr>
            </w:pPr>
          </w:p>
        </w:tc>
        <w:tc>
          <w:tcPr>
            <w:tcW w:w="220" w:type="dxa"/>
            <w:vAlign w:val="bottom"/>
            <w:shd w:val="clear" w:color="auto" w:fill="CDDEE7"/>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shd w:val="clear" w:color="auto" w:fill="EDEDEE"/>
          </w:tcPr>
          <w:p>
            <w:pPr>
              <w:spacing w:after="0"/>
              <w:rPr>
                <w:sz w:val="17"/>
                <w:szCs w:val="17"/>
                <w:color w:val="auto"/>
              </w:rPr>
            </w:pPr>
          </w:p>
        </w:tc>
        <w:tc>
          <w:tcPr>
            <w:tcW w:w="1020" w:type="dxa"/>
            <w:vAlign w:val="bottom"/>
            <w:shd w:val="clear" w:color="auto" w:fill="EDEDEE"/>
          </w:tcPr>
          <w:p>
            <w:pPr>
              <w:spacing w:after="0"/>
              <w:rPr>
                <w:sz w:val="17"/>
                <w:szCs w:val="17"/>
                <w:color w:val="auto"/>
              </w:rPr>
            </w:pPr>
          </w:p>
        </w:tc>
        <w:tc>
          <w:tcPr>
            <w:tcW w:w="200" w:type="dxa"/>
            <w:vAlign w:val="bottom"/>
            <w:shd w:val="clear" w:color="auto" w:fill="EDEDEE"/>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shd w:val="clear" w:color="auto" w:fill="EDEDEE"/>
          </w:tcPr>
          <w:p>
            <w:pPr>
              <w:spacing w:after="0"/>
              <w:rPr>
                <w:sz w:val="17"/>
                <w:szCs w:val="17"/>
                <w:color w:val="auto"/>
              </w:rPr>
            </w:pPr>
          </w:p>
        </w:tc>
        <w:tc>
          <w:tcPr>
            <w:tcW w:w="1020" w:type="dxa"/>
            <w:vAlign w:val="bottom"/>
            <w:shd w:val="clear" w:color="auto" w:fill="EDEDEE"/>
          </w:tcPr>
          <w:p>
            <w:pPr>
              <w:spacing w:after="0"/>
              <w:rPr>
                <w:sz w:val="17"/>
                <w:szCs w:val="17"/>
                <w:color w:val="auto"/>
              </w:rPr>
            </w:pPr>
          </w:p>
        </w:tc>
        <w:tc>
          <w:tcPr>
            <w:tcW w:w="200" w:type="dxa"/>
            <w:vAlign w:val="bottom"/>
            <w:shd w:val="clear" w:color="auto" w:fill="EDEDEE"/>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8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DDEE7"/>
          </w:tcPr>
          <w:p>
            <w:pPr>
              <w:spacing w:after="0"/>
              <w:rPr>
                <w:sz w:val="17"/>
                <w:szCs w:val="17"/>
                <w:color w:val="auto"/>
              </w:rPr>
            </w:pPr>
          </w:p>
        </w:tc>
        <w:tc>
          <w:tcPr>
            <w:tcW w:w="940" w:type="dxa"/>
            <w:vAlign w:val="bottom"/>
            <w:tcBorders>
              <w:bottom w:val="single" w:sz="8" w:color="auto"/>
            </w:tcBorders>
            <w:shd w:val="clear" w:color="auto" w:fill="CDDEE7"/>
          </w:tcPr>
          <w:p>
            <w:pPr>
              <w:jc w:val="right"/>
              <w:ind w:right="30"/>
              <w:spacing w:after="0" w:line="203" w:lineRule="exact"/>
              <w:rPr>
                <w:sz w:val="20"/>
                <w:szCs w:val="20"/>
                <w:color w:val="auto"/>
              </w:rPr>
            </w:pPr>
            <w:r>
              <w:rPr>
                <w:rFonts w:ascii="Arial" w:cs="Arial" w:eastAsia="Arial" w:hAnsi="Arial"/>
                <w:sz w:val="18"/>
                <w:szCs w:val="18"/>
                <w:color w:val="auto"/>
              </w:rPr>
              <w:t>378</w:t>
            </w:r>
          </w:p>
        </w:tc>
        <w:tc>
          <w:tcPr>
            <w:tcW w:w="220" w:type="dxa"/>
            <w:vAlign w:val="bottom"/>
            <w:tcBorders>
              <w:bottom w:val="single" w:sz="8" w:color="auto"/>
            </w:tcBorders>
            <w:shd w:val="clear" w:color="auto" w:fill="CDDEE7"/>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EDEDEE"/>
          </w:tcPr>
          <w:p>
            <w:pPr>
              <w:spacing w:after="0"/>
              <w:rPr>
                <w:sz w:val="17"/>
                <w:szCs w:val="17"/>
                <w:color w:val="auto"/>
              </w:rPr>
            </w:pPr>
          </w:p>
        </w:tc>
        <w:tc>
          <w:tcPr>
            <w:tcW w:w="1020" w:type="dxa"/>
            <w:vAlign w:val="bottom"/>
            <w:tcBorders>
              <w:bottom w:val="single" w:sz="8" w:color="auto"/>
            </w:tcBorders>
            <w:shd w:val="clear" w:color="auto" w:fill="EDEDEE"/>
          </w:tcPr>
          <w:p>
            <w:pPr>
              <w:jc w:val="right"/>
              <w:ind w:right="30"/>
              <w:spacing w:after="0" w:line="203" w:lineRule="exact"/>
              <w:rPr>
                <w:sz w:val="20"/>
                <w:szCs w:val="20"/>
                <w:color w:val="auto"/>
              </w:rPr>
            </w:pPr>
            <w:r>
              <w:rPr>
                <w:rFonts w:ascii="Arial" w:cs="Arial" w:eastAsia="Arial" w:hAnsi="Arial"/>
                <w:sz w:val="18"/>
                <w:szCs w:val="18"/>
                <w:color w:val="auto"/>
              </w:rPr>
              <w:t>43</w:t>
            </w:r>
          </w:p>
        </w:tc>
        <w:tc>
          <w:tcPr>
            <w:tcW w:w="200" w:type="dxa"/>
            <w:vAlign w:val="bottom"/>
            <w:tcBorders>
              <w:bottom w:val="single" w:sz="8" w:color="auto"/>
            </w:tcBorders>
            <w:shd w:val="clear" w:color="auto" w:fill="EDEDE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EDEDEE"/>
          </w:tcPr>
          <w:p>
            <w:pPr>
              <w:spacing w:after="0"/>
              <w:rPr>
                <w:sz w:val="17"/>
                <w:szCs w:val="17"/>
                <w:color w:val="auto"/>
              </w:rPr>
            </w:pPr>
          </w:p>
        </w:tc>
        <w:tc>
          <w:tcPr>
            <w:tcW w:w="1020" w:type="dxa"/>
            <w:vAlign w:val="bottom"/>
            <w:tcBorders>
              <w:bottom w:val="single" w:sz="8" w:color="auto"/>
            </w:tcBorders>
            <w:shd w:val="clear" w:color="auto" w:fill="EDEDEE"/>
          </w:tcPr>
          <w:p>
            <w:pPr>
              <w:jc w:val="right"/>
              <w:ind w:right="30"/>
              <w:spacing w:after="0" w:line="203" w:lineRule="exact"/>
              <w:rPr>
                <w:sz w:val="20"/>
                <w:szCs w:val="20"/>
                <w:color w:val="auto"/>
              </w:rPr>
            </w:pPr>
            <w:r>
              <w:rPr>
                <w:rFonts w:ascii="Arial" w:cs="Arial" w:eastAsia="Arial" w:hAnsi="Arial"/>
                <w:sz w:val="18"/>
                <w:szCs w:val="18"/>
                <w:color w:val="auto"/>
              </w:rPr>
              <w:t>58</w:t>
            </w:r>
          </w:p>
        </w:tc>
        <w:tc>
          <w:tcPr>
            <w:tcW w:w="200" w:type="dxa"/>
            <w:vAlign w:val="bottom"/>
            <w:tcBorders>
              <w:bottom w:val="single" w:sz="8" w:color="auto"/>
            </w:tcBorders>
            <w:shd w:val="clear" w:color="auto" w:fill="EDEDE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73"/>
        </w:trPr>
        <w:tc>
          <w:tcPr>
            <w:tcW w:w="20" w:type="dxa"/>
            <w:vAlign w:val="bottom"/>
          </w:tcPr>
          <w:p>
            <w:pPr>
              <w:spacing w:after="0"/>
              <w:rPr>
                <w:sz w:val="15"/>
                <w:szCs w:val="15"/>
                <w:color w:val="auto"/>
              </w:rPr>
            </w:pPr>
          </w:p>
        </w:tc>
        <w:tc>
          <w:tcPr>
            <w:tcW w:w="3680" w:type="dxa"/>
            <w:vAlign w:val="bottom"/>
          </w:tcPr>
          <w:p>
            <w:pPr>
              <w:spacing w:after="0" w:line="173" w:lineRule="exact"/>
              <w:rPr>
                <w:sz w:val="20"/>
                <w:szCs w:val="20"/>
                <w:color w:val="auto"/>
              </w:rPr>
            </w:pPr>
            <w:r>
              <w:rPr>
                <w:rFonts w:ascii="Arial" w:cs="Arial" w:eastAsia="Arial" w:hAnsi="Arial"/>
                <w:sz w:val="18"/>
                <w:szCs w:val="18"/>
                <w:b w:val="1"/>
                <w:bCs w:val="1"/>
                <w:color w:val="auto"/>
              </w:rPr>
              <w:t>Net Earnings Attributable to</w:t>
            </w:r>
          </w:p>
        </w:tc>
        <w:tc>
          <w:tcPr>
            <w:tcW w:w="260" w:type="dxa"/>
            <w:vAlign w:val="bottom"/>
            <w:shd w:val="clear" w:color="auto" w:fill="CDDEE7"/>
          </w:tcPr>
          <w:p>
            <w:pPr>
              <w:spacing w:after="0"/>
              <w:rPr>
                <w:sz w:val="15"/>
                <w:szCs w:val="15"/>
                <w:color w:val="auto"/>
              </w:rPr>
            </w:pPr>
          </w:p>
        </w:tc>
        <w:tc>
          <w:tcPr>
            <w:tcW w:w="940" w:type="dxa"/>
            <w:vAlign w:val="bottom"/>
            <w:shd w:val="clear" w:color="auto" w:fill="CDDEE7"/>
          </w:tcPr>
          <w:p>
            <w:pPr>
              <w:spacing w:after="0"/>
              <w:rPr>
                <w:sz w:val="15"/>
                <w:szCs w:val="15"/>
                <w:color w:val="auto"/>
              </w:rPr>
            </w:pPr>
          </w:p>
        </w:tc>
        <w:tc>
          <w:tcPr>
            <w:tcW w:w="220" w:type="dxa"/>
            <w:vAlign w:val="bottom"/>
            <w:shd w:val="clear" w:color="auto" w:fill="CDDEE7"/>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shd w:val="clear" w:color="auto" w:fill="EDEDEE"/>
          </w:tcPr>
          <w:p>
            <w:pPr>
              <w:spacing w:after="0"/>
              <w:rPr>
                <w:sz w:val="15"/>
                <w:szCs w:val="15"/>
                <w:color w:val="auto"/>
              </w:rPr>
            </w:pPr>
          </w:p>
        </w:tc>
        <w:tc>
          <w:tcPr>
            <w:tcW w:w="1020" w:type="dxa"/>
            <w:vAlign w:val="bottom"/>
            <w:shd w:val="clear" w:color="auto" w:fill="EDEDEE"/>
          </w:tcPr>
          <w:p>
            <w:pPr>
              <w:spacing w:after="0"/>
              <w:rPr>
                <w:sz w:val="15"/>
                <w:szCs w:val="15"/>
                <w:color w:val="auto"/>
              </w:rPr>
            </w:pPr>
          </w:p>
        </w:tc>
        <w:tc>
          <w:tcPr>
            <w:tcW w:w="200" w:type="dxa"/>
            <w:vAlign w:val="bottom"/>
            <w:shd w:val="clear" w:color="auto" w:fill="EDEDEE"/>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shd w:val="clear" w:color="auto" w:fill="EDEDEE"/>
          </w:tcPr>
          <w:p>
            <w:pPr>
              <w:spacing w:after="0"/>
              <w:rPr>
                <w:sz w:val="15"/>
                <w:szCs w:val="15"/>
                <w:color w:val="auto"/>
              </w:rPr>
            </w:pPr>
          </w:p>
        </w:tc>
        <w:tc>
          <w:tcPr>
            <w:tcW w:w="1020" w:type="dxa"/>
            <w:vAlign w:val="bottom"/>
            <w:shd w:val="clear" w:color="auto" w:fill="EDEDEE"/>
          </w:tcPr>
          <w:p>
            <w:pPr>
              <w:spacing w:after="0"/>
              <w:rPr>
                <w:sz w:val="15"/>
                <w:szCs w:val="15"/>
                <w:color w:val="auto"/>
              </w:rPr>
            </w:pPr>
          </w:p>
        </w:tc>
        <w:tc>
          <w:tcPr>
            <w:tcW w:w="200" w:type="dxa"/>
            <w:vAlign w:val="bottom"/>
            <w:shd w:val="clear" w:color="auto" w:fill="EDEDEE"/>
          </w:tcPr>
          <w:p>
            <w:pPr>
              <w:spacing w:after="0"/>
              <w:rPr>
                <w:sz w:val="15"/>
                <w:szCs w:val="15"/>
                <w:color w:val="auto"/>
              </w:rPr>
            </w:pPr>
          </w:p>
        </w:tc>
        <w:tc>
          <w:tcPr>
            <w:tcW w:w="900" w:type="dxa"/>
            <w:vAlign w:val="bottom"/>
          </w:tcPr>
          <w:p>
            <w:pPr>
              <w:spacing w:after="0"/>
              <w:rPr>
                <w:sz w:val="15"/>
                <w:szCs w:val="15"/>
                <w:color w:val="auto"/>
              </w:rPr>
            </w:pPr>
          </w:p>
        </w:tc>
      </w:tr>
      <w:tr>
        <w:trPr>
          <w:trHeight w:val="225"/>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Martin Marietta</w:t>
            </w:r>
          </w:p>
        </w:tc>
        <w:tc>
          <w:tcPr>
            <w:tcW w:w="260" w:type="dxa"/>
            <w:vAlign w:val="bottom"/>
            <w:shd w:val="clear" w:color="auto" w:fill="CDDEE7"/>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DDEE7"/>
          </w:tcPr>
          <w:p>
            <w:pPr>
              <w:jc w:val="right"/>
              <w:ind w:right="30"/>
              <w:spacing w:after="0"/>
              <w:rPr>
                <w:sz w:val="20"/>
                <w:szCs w:val="20"/>
                <w:color w:val="auto"/>
              </w:rPr>
            </w:pPr>
            <w:r>
              <w:rPr>
                <w:rFonts w:ascii="Arial" w:cs="Arial" w:eastAsia="Arial" w:hAnsi="Arial"/>
                <w:sz w:val="18"/>
                <w:szCs w:val="18"/>
                <w:b w:val="1"/>
                <w:bCs w:val="1"/>
                <w:color w:val="auto"/>
              </w:rPr>
              <w:t>469,998</w:t>
            </w:r>
          </w:p>
        </w:tc>
        <w:tc>
          <w:tcPr>
            <w:tcW w:w="220" w:type="dxa"/>
            <w:vAlign w:val="bottom"/>
            <w:shd w:val="clear" w:color="auto" w:fill="CDDEE7"/>
          </w:tcPr>
          <w:p>
            <w:pPr>
              <w:spacing w:after="0"/>
              <w:rPr>
                <w:sz w:val="19"/>
                <w:szCs w:val="19"/>
                <w:color w:val="auto"/>
              </w:rPr>
            </w:pPr>
          </w:p>
        </w:tc>
        <w:tc>
          <w:tcPr>
            <w:tcW w:w="920" w:type="dxa"/>
            <w:vAlign w:val="bottom"/>
          </w:tcPr>
          <w:p>
            <w:pPr>
              <w:ind w:left="360"/>
              <w:spacing w:after="0"/>
              <w:rPr>
                <w:sz w:val="20"/>
                <w:szCs w:val="20"/>
                <w:color w:val="auto"/>
              </w:rPr>
            </w:pPr>
            <w:r>
              <w:rPr>
                <w:rFonts w:ascii="Arial" w:cs="Arial" w:eastAsia="Arial" w:hAnsi="Arial"/>
                <w:sz w:val="18"/>
                <w:szCs w:val="18"/>
                <w:b w:val="1"/>
                <w:bCs w:val="1"/>
                <w:color w:val="auto"/>
              </w:rPr>
              <w:t>11.1%</w:t>
            </w:r>
          </w:p>
        </w:tc>
        <w:tc>
          <w:tcPr>
            <w:tcW w:w="300" w:type="dxa"/>
            <w:vAlign w:val="bottom"/>
          </w:tcPr>
          <w:p>
            <w:pPr>
              <w:spacing w:after="0"/>
              <w:rPr>
                <w:sz w:val="19"/>
                <w:szCs w:val="19"/>
                <w:color w:val="auto"/>
              </w:rPr>
            </w:pPr>
          </w:p>
        </w:tc>
        <w:tc>
          <w:tcPr>
            <w:tcW w:w="280" w:type="dxa"/>
            <w:vAlign w:val="bottom"/>
            <w:shd w:val="clear" w:color="auto" w:fill="EDEDEE"/>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DEDEE"/>
          </w:tcPr>
          <w:p>
            <w:pPr>
              <w:jc w:val="right"/>
              <w:ind w:right="30"/>
              <w:spacing w:after="0"/>
              <w:rPr>
                <w:sz w:val="20"/>
                <w:szCs w:val="20"/>
                <w:color w:val="auto"/>
              </w:rPr>
            </w:pPr>
            <w:r>
              <w:rPr>
                <w:rFonts w:ascii="Arial" w:cs="Arial" w:eastAsia="Arial" w:hAnsi="Arial"/>
                <w:sz w:val="18"/>
                <w:szCs w:val="18"/>
                <w:b w:val="1"/>
                <w:bCs w:val="1"/>
                <w:color w:val="auto"/>
              </w:rPr>
              <w:t>713,342</w:t>
            </w:r>
          </w:p>
        </w:tc>
        <w:tc>
          <w:tcPr>
            <w:tcW w:w="200" w:type="dxa"/>
            <w:vAlign w:val="bottom"/>
            <w:shd w:val="clear" w:color="auto" w:fill="EDEDE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280" w:type="dxa"/>
            <w:vAlign w:val="bottom"/>
          </w:tcPr>
          <w:p>
            <w:pPr>
              <w:spacing w:after="0"/>
              <w:rPr>
                <w:sz w:val="19"/>
                <w:szCs w:val="19"/>
                <w:color w:val="auto"/>
              </w:rPr>
            </w:pPr>
          </w:p>
        </w:tc>
        <w:tc>
          <w:tcPr>
            <w:tcW w:w="280" w:type="dxa"/>
            <w:vAlign w:val="bottom"/>
            <w:shd w:val="clear" w:color="auto" w:fill="EDEDEE"/>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DEDEE"/>
          </w:tcPr>
          <w:p>
            <w:pPr>
              <w:jc w:val="right"/>
              <w:ind w:right="30"/>
              <w:spacing w:after="0"/>
              <w:rPr>
                <w:sz w:val="20"/>
                <w:szCs w:val="20"/>
                <w:color w:val="auto"/>
              </w:rPr>
            </w:pPr>
            <w:r>
              <w:rPr>
                <w:rFonts w:ascii="Arial" w:cs="Arial" w:eastAsia="Arial" w:hAnsi="Arial"/>
                <w:sz w:val="18"/>
                <w:szCs w:val="18"/>
                <w:b w:val="1"/>
                <w:bCs w:val="1"/>
                <w:color w:val="auto"/>
              </w:rPr>
              <w:t>425,386</w:t>
            </w:r>
          </w:p>
        </w:tc>
        <w:tc>
          <w:tcPr>
            <w:tcW w:w="200" w:type="dxa"/>
            <w:vAlign w:val="bottom"/>
            <w:shd w:val="clear" w:color="auto" w:fill="EDEDE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11.1%</w:t>
            </w:r>
          </w:p>
        </w:tc>
      </w:tr>
      <w:tr>
        <w:trPr>
          <w:trHeight w:val="27"/>
        </w:trPr>
        <w:tc>
          <w:tcPr>
            <w:tcW w:w="20" w:type="dxa"/>
            <w:vAlign w:val="bottom"/>
          </w:tcPr>
          <w:p>
            <w:pPr>
              <w:spacing w:after="0"/>
              <w:rPr>
                <w:sz w:val="2"/>
                <w:szCs w:val="2"/>
                <w:color w:val="auto"/>
              </w:rPr>
            </w:pPr>
          </w:p>
        </w:tc>
        <w:tc>
          <w:tcPr>
            <w:tcW w:w="36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-1860550</wp:posOffset>
            </wp:positionV>
            <wp:extent cx="591820" cy="18522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1">
                      <a:extLst>
                        <a:ext uri="{28A0092B-C50C-407E-A947-70E740481C1C}"/>
                      </a:extLst>
                    </a:blip>
                    <a:srcRect/>
                    <a:stretch>
                      <a:fillRect/>
                    </a:stretch>
                  </pic:blipFill>
                  <pic:spPr bwMode="auto">
                    <a:xfrm>
                      <a:off x="0" y="0"/>
                      <a:ext cx="591820" cy="185229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-1997710</wp:posOffset>
            </wp:positionV>
            <wp:extent cx="565785" cy="19894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2">
                      <a:extLst>
                        <a:ext uri="{28A0092B-C50C-407E-A947-70E740481C1C}"/>
                      </a:extLst>
                    </a:blip>
                    <a:srcRect/>
                    <a:stretch>
                      <a:fillRect/>
                    </a:stretch>
                  </pic:blipFill>
                  <pic:spPr bwMode="auto">
                    <a:xfrm>
                      <a:off x="0" y="0"/>
                      <a:ext cx="565785" cy="1989455"/>
                    </a:xfrm>
                    <a:prstGeom prst="rect">
                      <a:avLst/>
                    </a:prstGeom>
                    <a:noFill/>
                  </pic:spPr>
                </pic:pic>
              </a:graphicData>
            </a:graphic>
          </wp:anchor>
        </w:drawing>
        <w:drawing>
          <wp:anchor simplePos="0" relativeHeight="251657728" behindDoc="1" locked="0" layoutInCell="0" allowOverlap="1">
            <wp:simplePos x="0" y="0"/>
            <wp:positionH relativeFrom="column">
              <wp:posOffset>6685915</wp:posOffset>
            </wp:positionH>
            <wp:positionV relativeFrom="paragraph">
              <wp:posOffset>-1997710</wp:posOffset>
            </wp:positionV>
            <wp:extent cx="565785" cy="19894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3">
                      <a:extLst>
                        <a:ext uri="{28A0092B-C50C-407E-A947-70E740481C1C}"/>
                      </a:extLst>
                    </a:blip>
                    <a:srcRect/>
                    <a:stretch>
                      <a:fillRect/>
                    </a:stretch>
                  </pic:blipFill>
                  <pic:spPr bwMode="auto">
                    <a:xfrm>
                      <a:off x="0" y="0"/>
                      <a:ext cx="565785" cy="198945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p>
      <w:pPr>
        <w:spacing w:after="0" w:line="4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EBITDA is a widely accepted financial indicator of a company’s ability to service and/or incur indebtedness. EBITDA is not defined by generally accepted accounting principles (GAAP) and, as such, should not be construed as an alternative to net earnings or operating cash flow. Management utilizes EBITDA as a meaningful measure of the Company’s operating performance. Additionally, management presents EBITDA to provide investors additional information with regard to the Company’s ability to meet working capital requirements, service debt and return capital to its shareholders.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net earnings attributable to</w:t>
      </w:r>
    </w:p>
    <w:p>
      <w:pPr>
        <w:spacing w:after="0"/>
        <w:rPr>
          <w:sz w:val="20"/>
          <w:szCs w:val="20"/>
          <w:color w:val="auto"/>
        </w:rPr>
      </w:pPr>
      <w:r>
        <w:rPr>
          <w:rFonts w:ascii="Arial" w:cs="Arial" w:eastAsia="Arial" w:hAnsi="Arial"/>
          <w:sz w:val="17"/>
          <w:szCs w:val="17"/>
          <w:color w:val="auto"/>
        </w:rPr>
        <w:t>Martin Marietta to consolidated EBITDA: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80" w:type="dxa"/>
            <w:vAlign w:val="bottom"/>
          </w:tcPr>
          <w:p>
            <w:pPr>
              <w:spacing w:after="0"/>
              <w:rPr>
                <w:sz w:val="20"/>
                <w:szCs w:val="20"/>
                <w:color w:val="auto"/>
              </w:rPr>
            </w:pPr>
            <w:r>
              <w:rPr>
                <w:rFonts w:ascii="Arial" w:cs="Arial" w:eastAsia="Arial" w:hAnsi="Arial"/>
                <w:sz w:val="15"/>
                <w:szCs w:val="15"/>
                <w:b w:val="1"/>
                <w:bCs w:val="1"/>
                <w:color w:val="auto"/>
              </w:rPr>
              <w:t>Consolidated EBITDA</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5"/>
                <w:szCs w:val="15"/>
                <w:i w:val="1"/>
                <w:iCs w:val="1"/>
                <w:color w:val="auto"/>
              </w:rPr>
              <w:t>years ended December 31</w:t>
            </w:r>
          </w:p>
        </w:tc>
        <w:tc>
          <w:tcPr>
            <w:tcW w:w="280" w:type="dxa"/>
            <w:vAlign w:val="bottom"/>
          </w:tcPr>
          <w:p>
            <w:pPr>
              <w:spacing w:after="0"/>
              <w:rPr>
                <w:sz w:val="15"/>
                <w:szCs w:val="15"/>
                <w:color w:val="auto"/>
              </w:rPr>
            </w:pPr>
          </w:p>
        </w:tc>
        <w:tc>
          <w:tcPr>
            <w:tcW w:w="90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0085CD"/>
              </w:rPr>
              <w:t>2018</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2017</w:t>
            </w: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2"/>
        </w:trPr>
        <w:tc>
          <w:tcPr>
            <w:tcW w:w="2280" w:type="dxa"/>
            <w:vAlign w:val="bottom"/>
            <w:shd w:val="clear" w:color="auto" w:fill="CCEEFF"/>
          </w:tcPr>
          <w:p>
            <w:pPr>
              <w:spacing w:after="0" w:line="152" w:lineRule="exact"/>
              <w:rPr>
                <w:sz w:val="20"/>
                <w:szCs w:val="20"/>
                <w:color w:val="auto"/>
              </w:rPr>
            </w:pPr>
            <w:r>
              <w:rPr>
                <w:rFonts w:ascii="Arial" w:cs="Arial" w:eastAsia="Arial" w:hAnsi="Arial"/>
                <w:sz w:val="15"/>
                <w:szCs w:val="15"/>
                <w:color w:val="auto"/>
              </w:rPr>
              <w:t>Net earnings attributable to</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469,998</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80" w:type="dxa"/>
            <w:vAlign w:val="bottom"/>
            <w:shd w:val="clear" w:color="auto" w:fill="CCEEFF"/>
          </w:tcPr>
          <w:p>
            <w:pPr>
              <w:ind w:left="160"/>
              <w:spacing w:after="0" w:line="166" w:lineRule="exact"/>
              <w:rPr>
                <w:sz w:val="20"/>
                <w:szCs w:val="20"/>
                <w:color w:val="auto"/>
              </w:rPr>
            </w:pPr>
            <w:r>
              <w:rPr>
                <w:rFonts w:ascii="Arial" w:cs="Arial" w:eastAsia="Arial" w:hAnsi="Arial"/>
                <w:sz w:val="15"/>
                <w:szCs w:val="15"/>
                <w:color w:val="auto"/>
              </w:rPr>
              <w:t>Martin Marietta</w:t>
            </w:r>
          </w:p>
        </w:tc>
        <w:tc>
          <w:tcPr>
            <w:tcW w:w="28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103"/>
              <w:spacing w:after="0" w:line="166" w:lineRule="exact"/>
              <w:rPr>
                <w:sz w:val="20"/>
                <w:szCs w:val="20"/>
                <w:color w:val="auto"/>
              </w:rPr>
            </w:pPr>
            <w:r>
              <w:rPr>
                <w:rFonts w:ascii="Arial" w:cs="Arial" w:eastAsia="Arial" w:hAnsi="Arial"/>
                <w:sz w:val="15"/>
                <w:szCs w:val="15"/>
                <w:color w:val="auto"/>
              </w:rPr>
              <w:t>713,342</w:t>
            </w:r>
          </w:p>
        </w:tc>
        <w:tc>
          <w:tcPr>
            <w:tcW w:w="2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425,386</w:t>
            </w:r>
          </w:p>
        </w:tc>
        <w:tc>
          <w:tcPr>
            <w:tcW w:w="0" w:type="dxa"/>
            <w:vAlign w:val="bottom"/>
          </w:tcPr>
          <w:p>
            <w:pPr>
              <w:spacing w:after="0"/>
              <w:rPr>
                <w:sz w:val="1"/>
                <w:szCs w:val="1"/>
                <w:color w:val="auto"/>
              </w:rPr>
            </w:pPr>
          </w:p>
        </w:tc>
      </w:tr>
      <w:tr>
        <w:trPr>
          <w:trHeight w:val="162"/>
        </w:trPr>
        <w:tc>
          <w:tcPr>
            <w:tcW w:w="2280" w:type="dxa"/>
            <w:vAlign w:val="bottom"/>
          </w:tcPr>
          <w:p>
            <w:pPr>
              <w:spacing w:after="0" w:line="162" w:lineRule="exact"/>
              <w:rPr>
                <w:sz w:val="20"/>
                <w:szCs w:val="20"/>
                <w:color w:val="auto"/>
              </w:rPr>
            </w:pPr>
            <w:r>
              <w:rPr>
                <w:rFonts w:ascii="Arial" w:cs="Arial" w:eastAsia="Arial" w:hAnsi="Arial"/>
                <w:sz w:val="15"/>
                <w:szCs w:val="15"/>
                <w:color w:val="auto"/>
              </w:rPr>
              <w:t>Add back (deduct):</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Interest expense</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b w:val="1"/>
                <w:bCs w:val="1"/>
                <w:color w:val="auto"/>
              </w:rPr>
              <w:t>137,069</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91,487</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81,677</w:t>
            </w:r>
          </w:p>
        </w:tc>
        <w:tc>
          <w:tcPr>
            <w:tcW w:w="0" w:type="dxa"/>
            <w:vAlign w:val="bottom"/>
          </w:tcPr>
          <w:p>
            <w:pPr>
              <w:spacing w:after="0"/>
              <w:rPr>
                <w:sz w:val="1"/>
                <w:szCs w:val="1"/>
                <w:color w:val="auto"/>
              </w:rPr>
            </w:pPr>
          </w:p>
        </w:tc>
      </w:tr>
      <w:tr>
        <w:trPr>
          <w:trHeight w:val="159"/>
        </w:trPr>
        <w:tc>
          <w:tcPr>
            <w:tcW w:w="2280" w:type="dxa"/>
            <w:vAlign w:val="bottom"/>
          </w:tcPr>
          <w:p>
            <w:pPr>
              <w:ind w:left="160"/>
              <w:spacing w:after="0" w:line="159" w:lineRule="exact"/>
              <w:rPr>
                <w:sz w:val="20"/>
                <w:szCs w:val="20"/>
                <w:color w:val="auto"/>
              </w:rPr>
            </w:pPr>
            <w:r>
              <w:rPr>
                <w:rFonts w:ascii="Arial" w:cs="Arial" w:eastAsia="Arial" w:hAnsi="Arial"/>
                <w:sz w:val="15"/>
                <w:szCs w:val="15"/>
                <w:color w:val="auto"/>
              </w:rPr>
              <w:t>Income tax expense (benefit)</w:t>
            </w:r>
          </w:p>
        </w:tc>
        <w:tc>
          <w:tcPr>
            <w:tcW w:w="280" w:type="dxa"/>
            <w:vAlign w:val="bottom"/>
          </w:tcPr>
          <w:p>
            <w:pPr>
              <w:spacing w:after="0"/>
              <w:rPr>
                <w:sz w:val="13"/>
                <w:szCs w:val="13"/>
                <w:color w:val="auto"/>
              </w:rPr>
            </w:pPr>
          </w:p>
        </w:tc>
        <w:tc>
          <w:tcPr>
            <w:tcW w:w="90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105,637</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80" w:type="dxa"/>
            <w:vAlign w:val="bottom"/>
          </w:tcPr>
          <w:p>
            <w:pPr>
              <w:ind w:left="320"/>
              <w:spacing w:after="0" w:line="166" w:lineRule="exact"/>
              <w:rPr>
                <w:sz w:val="20"/>
                <w:szCs w:val="20"/>
                <w:color w:val="auto"/>
              </w:rPr>
            </w:pPr>
            <w:r>
              <w:rPr>
                <w:rFonts w:ascii="Arial" w:cs="Arial" w:eastAsia="Arial" w:hAnsi="Arial"/>
                <w:sz w:val="15"/>
                <w:szCs w:val="15"/>
                <w:color w:val="auto"/>
              </w:rPr>
              <w:t>for controlling interests</w:t>
            </w:r>
          </w:p>
        </w:tc>
        <w:tc>
          <w:tcPr>
            <w:tcW w:w="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63"/>
              <w:spacing w:after="0" w:line="166" w:lineRule="exact"/>
              <w:rPr>
                <w:sz w:val="20"/>
                <w:szCs w:val="20"/>
                <w:color w:val="auto"/>
              </w:rPr>
            </w:pPr>
            <w:r>
              <w:rPr>
                <w:rFonts w:ascii="Arial" w:cs="Arial" w:eastAsia="Arial" w:hAnsi="Arial"/>
                <w:sz w:val="15"/>
                <w:szCs w:val="15"/>
                <w:color w:val="auto"/>
              </w:rPr>
              <w:t>(94,401)</w:t>
            </w:r>
          </w:p>
        </w:tc>
        <w:tc>
          <w:tcPr>
            <w:tcW w:w="280" w:type="dxa"/>
            <w:vAlign w:val="bottom"/>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Arial" w:cs="Arial" w:eastAsia="Arial" w:hAnsi="Arial"/>
                <w:sz w:val="15"/>
                <w:szCs w:val="15"/>
                <w:color w:val="auto"/>
              </w:rPr>
              <w:t>181,524</w:t>
            </w:r>
          </w:p>
        </w:tc>
        <w:tc>
          <w:tcPr>
            <w:tcW w:w="0" w:type="dxa"/>
            <w:vAlign w:val="bottom"/>
          </w:tcPr>
          <w:p>
            <w:pPr>
              <w:spacing w:after="0"/>
              <w:rPr>
                <w:sz w:val="1"/>
                <w:szCs w:val="1"/>
                <w:color w:val="auto"/>
              </w:rPr>
            </w:pPr>
          </w:p>
        </w:tc>
      </w:tr>
      <w:tr>
        <w:trPr>
          <w:trHeight w:val="159"/>
        </w:trPr>
        <w:tc>
          <w:tcPr>
            <w:tcW w:w="228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Depreciation, depletion and</w:t>
            </w: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340,006</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80" w:type="dxa"/>
            <w:vAlign w:val="bottom"/>
            <w:tcBorders>
              <w:bottom w:val="single" w:sz="8" w:color="auto"/>
            </w:tcBorders>
            <w:shd w:val="clear" w:color="auto" w:fill="CCEEFF"/>
          </w:tcPr>
          <w:p>
            <w:pPr>
              <w:ind w:left="320"/>
              <w:spacing w:after="0" w:line="166" w:lineRule="exact"/>
              <w:rPr>
                <w:sz w:val="20"/>
                <w:szCs w:val="20"/>
                <w:color w:val="auto"/>
              </w:rPr>
            </w:pPr>
            <w:r>
              <w:rPr>
                <w:rFonts w:ascii="Arial" w:cs="Arial" w:eastAsia="Arial" w:hAnsi="Arial"/>
                <w:sz w:val="15"/>
                <w:szCs w:val="15"/>
                <w:color w:val="auto"/>
              </w:rPr>
              <w:t>amortization expense</w:t>
            </w: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03"/>
              <w:spacing w:after="0" w:line="166" w:lineRule="exact"/>
              <w:rPr>
                <w:sz w:val="20"/>
                <w:szCs w:val="20"/>
                <w:color w:val="auto"/>
              </w:rPr>
            </w:pPr>
            <w:r>
              <w:rPr>
                <w:rFonts w:ascii="Arial" w:cs="Arial" w:eastAsia="Arial" w:hAnsi="Arial"/>
                <w:sz w:val="15"/>
                <w:szCs w:val="15"/>
                <w:color w:val="auto"/>
              </w:rPr>
              <w:t>293,951</w:t>
            </w:r>
          </w:p>
        </w:tc>
        <w:tc>
          <w:tcPr>
            <w:tcW w:w="2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283,003</w:t>
            </w:r>
          </w:p>
        </w:tc>
        <w:tc>
          <w:tcPr>
            <w:tcW w:w="0" w:type="dxa"/>
            <w:vAlign w:val="bottom"/>
          </w:tcPr>
          <w:p>
            <w:pPr>
              <w:spacing w:after="0"/>
              <w:rPr>
                <w:sz w:val="1"/>
                <w:szCs w:val="1"/>
                <w:color w:val="auto"/>
              </w:rPr>
            </w:pPr>
          </w:p>
        </w:tc>
      </w:tr>
      <w:tr>
        <w:trPr>
          <w:trHeight w:val="163"/>
        </w:trPr>
        <w:tc>
          <w:tcPr>
            <w:tcW w:w="228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Consolidated EBITDA</w:t>
            </w:r>
          </w:p>
        </w:tc>
        <w:tc>
          <w:tcPr>
            <w:tcW w:w="2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83"/>
              <w:spacing w:after="0" w:line="156" w:lineRule="exact"/>
              <w:rPr>
                <w:sz w:val="20"/>
                <w:szCs w:val="20"/>
                <w:color w:val="auto"/>
              </w:rPr>
            </w:pPr>
            <w:r>
              <w:rPr>
                <w:rFonts w:ascii="Arial" w:cs="Arial" w:eastAsia="Arial" w:hAnsi="Arial"/>
                <w:sz w:val="15"/>
                <w:szCs w:val="15"/>
                <w:b w:val="1"/>
                <w:bCs w:val="1"/>
                <w:color w:val="auto"/>
              </w:rPr>
              <w:t>1,052,710</w:t>
            </w:r>
          </w:p>
        </w:tc>
        <w:tc>
          <w:tcPr>
            <w:tcW w:w="2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103"/>
              <w:spacing w:after="0" w:line="156" w:lineRule="exact"/>
              <w:rPr>
                <w:sz w:val="20"/>
                <w:szCs w:val="20"/>
                <w:color w:val="auto"/>
              </w:rPr>
            </w:pPr>
            <w:r>
              <w:rPr>
                <w:rFonts w:ascii="Arial" w:cs="Arial" w:eastAsia="Arial" w:hAnsi="Arial"/>
                <w:sz w:val="15"/>
                <w:szCs w:val="15"/>
                <w:color w:val="auto"/>
              </w:rPr>
              <w:t>1,004,379</w:t>
            </w:r>
          </w:p>
        </w:tc>
        <w:tc>
          <w:tcPr>
            <w:tcW w:w="2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971,590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62</w:t>
      </w:r>
    </w:p>
    <w:p>
      <w:pPr>
        <w:sectPr>
          <w:pgSz w:w="11900" w:h="16838" w:orient="portrait"/>
          <w:cols w:equalWidth="0" w:num="1">
            <w:col w:w="11420"/>
          </w:cols>
          <w:pgMar w:left="240" w:top="265" w:right="2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D5D6C"/>
        </w:rPr>
        <w:t>Total Revenues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Total revenues by reportable segment are as follows: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years ended December 31</w:t>
      </w:r>
    </w:p>
    <w:tbl>
      <w:tblPr>
        <w:tblLayout w:type="fixed"/>
        <w:tblInd w:w="0" w:type="dxa"/>
        <w:tblCellMar>
          <w:top w:w="0" w:type="dxa"/>
          <w:left w:w="0" w:type="dxa"/>
          <w:bottom w:w="0" w:type="dxa"/>
          <w:right w:w="0" w:type="dxa"/>
        </w:tblCellMar>
      </w:tblPr>
      <w:tr>
        <w:trPr>
          <w:trHeight w:val="165"/>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(add 000)</w:t>
            </w:r>
          </w:p>
        </w:tc>
        <w:tc>
          <w:tcPr>
            <w:tcW w:w="1140" w:type="dxa"/>
            <w:vAlign w:val="bottom"/>
            <w:tcBorders>
              <w:bottom w:val="single" w:sz="8" w:color="auto"/>
            </w:tcBorders>
          </w:tcPr>
          <w:p>
            <w:pPr>
              <w:jc w:val="right"/>
              <w:ind w:right="83"/>
              <w:spacing w:after="0" w:line="166" w:lineRule="exact"/>
              <w:rPr>
                <w:sz w:val="20"/>
                <w:szCs w:val="20"/>
                <w:color w:val="auto"/>
              </w:rPr>
            </w:pPr>
            <w:r>
              <w:rPr>
                <w:rFonts w:ascii="Arial" w:cs="Arial" w:eastAsia="Arial" w:hAnsi="Arial"/>
                <w:sz w:val="15"/>
                <w:szCs w:val="15"/>
                <w:b w:val="1"/>
                <w:bCs w:val="1"/>
                <w:color w:val="0085CD"/>
              </w:rPr>
              <w:t>2018</w:t>
            </w:r>
          </w:p>
        </w:tc>
        <w:tc>
          <w:tcPr>
            <w:tcW w:w="1140" w:type="dxa"/>
            <w:vAlign w:val="bottom"/>
            <w:tcBorders>
              <w:bottom w:val="single" w:sz="8" w:color="auto"/>
            </w:tcBorders>
          </w:tcPr>
          <w:p>
            <w:pPr>
              <w:jc w:val="right"/>
              <w:ind w:right="83"/>
              <w:spacing w:after="0" w:line="166" w:lineRule="exact"/>
              <w:rPr>
                <w:sz w:val="20"/>
                <w:szCs w:val="20"/>
                <w:color w:val="auto"/>
              </w:rPr>
            </w:pPr>
            <w:r>
              <w:rPr>
                <w:rFonts w:ascii="Arial" w:cs="Arial" w:eastAsia="Arial" w:hAnsi="Arial"/>
                <w:sz w:val="15"/>
                <w:szCs w:val="15"/>
                <w:color w:val="auto"/>
              </w:rPr>
              <w:t>2017</w:t>
            </w:r>
          </w:p>
        </w:tc>
        <w:tc>
          <w:tcPr>
            <w:tcW w:w="10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216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Building Materials Business:</w:t>
            </w:r>
          </w:p>
        </w:tc>
        <w:tc>
          <w:tcPr>
            <w:tcW w:w="1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160"/>
              <w:spacing w:after="0" w:line="162" w:lineRule="exact"/>
              <w:rPr>
                <w:sz w:val="20"/>
                <w:szCs w:val="20"/>
                <w:color w:val="auto"/>
              </w:rPr>
            </w:pPr>
            <w:r>
              <w:rPr>
                <w:rFonts w:ascii="Arial" w:cs="Arial" w:eastAsia="Arial" w:hAnsi="Arial"/>
                <w:sz w:val="15"/>
                <w:szCs w:val="15"/>
                <w:color w:val="auto"/>
              </w:rPr>
              <w:t>Mid-America Group</w:t>
            </w:r>
          </w:p>
        </w:tc>
        <w:tc>
          <w:tcPr>
            <w:tcW w:w="1140" w:type="dxa"/>
            <w:vAlign w:val="bottom"/>
          </w:tcPr>
          <w:p>
            <w:pPr>
              <w:jc w:val="right"/>
              <w:ind w:right="83"/>
              <w:spacing w:after="0" w:line="162" w:lineRule="exact"/>
              <w:rPr>
                <w:sz w:val="20"/>
                <w:szCs w:val="20"/>
                <w:color w:val="auto"/>
              </w:rPr>
            </w:pPr>
            <w:r>
              <w:rPr>
                <w:rFonts w:ascii="Arial" w:cs="Arial" w:eastAsia="Arial" w:hAnsi="Arial"/>
                <w:sz w:val="15"/>
                <w:szCs w:val="15"/>
                <w:b w:val="1"/>
                <w:bCs w:val="1"/>
                <w:color w:val="auto"/>
              </w:rPr>
              <w:t>$ 1,223,236</w:t>
            </w:r>
          </w:p>
        </w:tc>
        <w:tc>
          <w:tcPr>
            <w:tcW w:w="1140" w:type="dxa"/>
            <w:vAlign w:val="bottom"/>
          </w:tcPr>
          <w:p>
            <w:pPr>
              <w:jc w:val="right"/>
              <w:ind w:right="83"/>
              <w:spacing w:after="0" w:line="162" w:lineRule="exact"/>
              <w:rPr>
                <w:sz w:val="20"/>
                <w:szCs w:val="20"/>
                <w:color w:val="auto"/>
              </w:rPr>
            </w:pPr>
            <w:r>
              <w:rPr>
                <w:rFonts w:ascii="Arial" w:cs="Arial" w:eastAsia="Arial" w:hAnsi="Arial"/>
                <w:sz w:val="15"/>
                <w:szCs w:val="15"/>
                <w:color w:val="auto"/>
              </w:rPr>
              <w:t>$ 1,053,326</w:t>
            </w:r>
          </w:p>
        </w:tc>
        <w:tc>
          <w:tcPr>
            <w:tcW w:w="1040" w:type="dxa"/>
            <w:vAlign w:val="bottom"/>
          </w:tcPr>
          <w:p>
            <w:pPr>
              <w:jc w:val="right"/>
              <w:spacing w:after="0" w:line="162" w:lineRule="exact"/>
              <w:rPr>
                <w:sz w:val="20"/>
                <w:szCs w:val="20"/>
                <w:color w:val="auto"/>
              </w:rPr>
            </w:pPr>
            <w:r>
              <w:rPr>
                <w:rFonts w:ascii="Arial" w:cs="Arial" w:eastAsia="Arial" w:hAnsi="Arial"/>
                <w:sz w:val="15"/>
                <w:szCs w:val="15"/>
                <w:color w:val="auto"/>
              </w:rPr>
              <w:t>$ 1,017,098</w:t>
            </w:r>
          </w:p>
        </w:tc>
        <w:tc>
          <w:tcPr>
            <w:tcW w:w="0" w:type="dxa"/>
            <w:vAlign w:val="bottom"/>
          </w:tcPr>
          <w:p>
            <w:pPr>
              <w:spacing w:after="0"/>
              <w:rPr>
                <w:sz w:val="1"/>
                <w:szCs w:val="1"/>
                <w:color w:val="auto"/>
              </w:rPr>
            </w:pPr>
          </w:p>
        </w:tc>
      </w:tr>
      <w:tr>
        <w:trPr>
          <w:trHeight w:val="162"/>
        </w:trPr>
        <w:tc>
          <w:tcPr>
            <w:tcW w:w="216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Southeast Group</w:t>
            </w:r>
          </w:p>
        </w:tc>
        <w:tc>
          <w:tcPr>
            <w:tcW w:w="114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b w:val="1"/>
                <w:bCs w:val="1"/>
                <w:color w:val="auto"/>
              </w:rPr>
              <w:t>423,382</w:t>
            </w:r>
          </w:p>
        </w:tc>
        <w:tc>
          <w:tcPr>
            <w:tcW w:w="114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362,555</w:t>
            </w: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321,078</w:t>
            </w:r>
          </w:p>
        </w:tc>
        <w:tc>
          <w:tcPr>
            <w:tcW w:w="0" w:type="dxa"/>
            <w:vAlign w:val="bottom"/>
          </w:tcPr>
          <w:p>
            <w:pPr>
              <w:spacing w:after="0"/>
              <w:rPr>
                <w:sz w:val="1"/>
                <w:szCs w:val="1"/>
                <w:color w:val="auto"/>
              </w:rPr>
            </w:pPr>
          </w:p>
        </w:tc>
      </w:tr>
      <w:tr>
        <w:trPr>
          <w:trHeight w:val="162"/>
        </w:trPr>
        <w:tc>
          <w:tcPr>
            <w:tcW w:w="2160" w:type="dxa"/>
            <w:vAlign w:val="bottom"/>
            <w:tcBorders>
              <w:bottom w:val="single" w:sz="8" w:color="auto"/>
            </w:tcBorders>
          </w:tcPr>
          <w:p>
            <w:pPr>
              <w:ind w:left="160"/>
              <w:spacing w:after="0" w:line="162" w:lineRule="exact"/>
              <w:rPr>
                <w:sz w:val="20"/>
                <w:szCs w:val="20"/>
                <w:color w:val="auto"/>
              </w:rPr>
            </w:pPr>
            <w:r>
              <w:rPr>
                <w:rFonts w:ascii="Arial" w:cs="Arial" w:eastAsia="Arial" w:hAnsi="Arial"/>
                <w:sz w:val="15"/>
                <w:szCs w:val="15"/>
                <w:color w:val="auto"/>
              </w:rPr>
              <w:t>West Group</w:t>
            </w:r>
          </w:p>
        </w:tc>
        <w:tc>
          <w:tcPr>
            <w:tcW w:w="114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b w:val="1"/>
                <w:bCs w:val="1"/>
                <w:color w:val="auto"/>
              </w:rPr>
              <w:t>2,309,924</w:t>
            </w:r>
          </w:p>
        </w:tc>
        <w:tc>
          <w:tcPr>
            <w:tcW w:w="114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color w:val="auto"/>
              </w:rPr>
              <w:t>2,279,723</w:t>
            </w:r>
          </w:p>
        </w:tc>
        <w:tc>
          <w:tcPr>
            <w:tcW w:w="10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2,223,515</w:t>
            </w:r>
          </w:p>
        </w:tc>
        <w:tc>
          <w:tcPr>
            <w:tcW w:w="0" w:type="dxa"/>
            <w:vAlign w:val="bottom"/>
          </w:tcPr>
          <w:p>
            <w:pPr>
              <w:spacing w:after="0"/>
              <w:rPr>
                <w:sz w:val="1"/>
                <w:szCs w:val="1"/>
                <w:color w:val="auto"/>
              </w:rPr>
            </w:pPr>
          </w:p>
        </w:tc>
      </w:tr>
      <w:tr>
        <w:trPr>
          <w:trHeight w:val="152"/>
        </w:trPr>
        <w:tc>
          <w:tcPr>
            <w:tcW w:w="216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rPr>
              <w:t>Total Building</w:t>
            </w:r>
          </w:p>
        </w:tc>
        <w:tc>
          <w:tcPr>
            <w:tcW w:w="114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3,956,542</w:t>
            </w:r>
          </w:p>
        </w:tc>
        <w:tc>
          <w:tcPr>
            <w:tcW w:w="1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160" w:type="dxa"/>
            <w:vAlign w:val="bottom"/>
            <w:shd w:val="clear" w:color="auto" w:fill="CCEEFF"/>
          </w:tcPr>
          <w:p>
            <w:pPr>
              <w:ind w:left="160"/>
              <w:spacing w:after="0" w:line="166" w:lineRule="exact"/>
              <w:rPr>
                <w:sz w:val="20"/>
                <w:szCs w:val="20"/>
                <w:color w:val="auto"/>
              </w:rPr>
            </w:pPr>
            <w:r>
              <w:rPr>
                <w:rFonts w:ascii="Arial" w:cs="Arial" w:eastAsia="Arial" w:hAnsi="Arial"/>
                <w:sz w:val="15"/>
                <w:szCs w:val="15"/>
                <w:color w:val="auto"/>
              </w:rPr>
              <w:t>Materials Business</w:t>
            </w:r>
          </w:p>
        </w:tc>
        <w:tc>
          <w:tcPr>
            <w:tcW w:w="1140" w:type="dxa"/>
            <w:vAlign w:val="bottom"/>
            <w:vMerge w:val="continue"/>
            <w:shd w:val="clear" w:color="auto" w:fill="CCEEFF"/>
          </w:tcPr>
          <w:p>
            <w:pPr>
              <w:spacing w:after="0"/>
              <w:rPr>
                <w:sz w:val="14"/>
                <w:szCs w:val="14"/>
                <w:color w:val="auto"/>
              </w:rPr>
            </w:pPr>
          </w:p>
        </w:tc>
        <w:tc>
          <w:tcPr>
            <w:tcW w:w="1140" w:type="dxa"/>
            <w:vAlign w:val="bottom"/>
            <w:shd w:val="clear" w:color="auto" w:fill="CCEEFF"/>
          </w:tcPr>
          <w:p>
            <w:pPr>
              <w:jc w:val="right"/>
              <w:ind w:right="83"/>
              <w:spacing w:after="0" w:line="166" w:lineRule="exact"/>
              <w:rPr>
                <w:sz w:val="20"/>
                <w:szCs w:val="20"/>
                <w:color w:val="auto"/>
              </w:rPr>
            </w:pPr>
            <w:r>
              <w:rPr>
                <w:rFonts w:ascii="Arial" w:cs="Arial" w:eastAsia="Arial" w:hAnsi="Arial"/>
                <w:sz w:val="15"/>
                <w:szCs w:val="15"/>
                <w:color w:val="auto"/>
              </w:rPr>
              <w:t>3,695,604</w:t>
            </w:r>
          </w:p>
        </w:tc>
        <w:tc>
          <w:tcPr>
            <w:tcW w:w="10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3,561,691</w:t>
            </w:r>
          </w:p>
        </w:tc>
        <w:tc>
          <w:tcPr>
            <w:tcW w:w="0" w:type="dxa"/>
            <w:vAlign w:val="bottom"/>
          </w:tcPr>
          <w:p>
            <w:pPr>
              <w:spacing w:after="0"/>
              <w:rPr>
                <w:sz w:val="1"/>
                <w:szCs w:val="1"/>
                <w:color w:val="auto"/>
              </w:rPr>
            </w:pPr>
          </w:p>
        </w:tc>
      </w:tr>
      <w:tr>
        <w:trPr>
          <w:trHeight w:val="162"/>
        </w:trPr>
        <w:tc>
          <w:tcPr>
            <w:tcW w:w="2160" w:type="dxa"/>
            <w:vAlign w:val="bottom"/>
            <w:tcBorders>
              <w:bottom w:val="single" w:sz="8" w:color="auto"/>
            </w:tcBorders>
          </w:tcPr>
          <w:p>
            <w:pPr>
              <w:ind w:left="20"/>
              <w:spacing w:after="0" w:line="162" w:lineRule="exact"/>
              <w:rPr>
                <w:sz w:val="20"/>
                <w:szCs w:val="20"/>
                <w:color w:val="auto"/>
              </w:rPr>
            </w:pPr>
            <w:r>
              <w:rPr>
                <w:rFonts w:ascii="Arial" w:cs="Arial" w:eastAsia="Arial" w:hAnsi="Arial"/>
                <w:sz w:val="15"/>
                <w:szCs w:val="15"/>
                <w:color w:val="auto"/>
              </w:rPr>
              <w:t>Magnesia Specialties</w:t>
            </w:r>
          </w:p>
        </w:tc>
        <w:tc>
          <w:tcPr>
            <w:tcW w:w="114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b w:val="1"/>
                <w:bCs w:val="1"/>
                <w:color w:val="auto"/>
              </w:rPr>
              <w:t>287,723</w:t>
            </w:r>
          </w:p>
        </w:tc>
        <w:tc>
          <w:tcPr>
            <w:tcW w:w="114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color w:val="auto"/>
              </w:rPr>
              <w:t>269,990</w:t>
            </w:r>
          </w:p>
        </w:tc>
        <w:tc>
          <w:tcPr>
            <w:tcW w:w="10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257,058</w:t>
            </w:r>
          </w:p>
        </w:tc>
        <w:tc>
          <w:tcPr>
            <w:tcW w:w="0" w:type="dxa"/>
            <w:vAlign w:val="bottom"/>
          </w:tcPr>
          <w:p>
            <w:pPr>
              <w:spacing w:after="0"/>
              <w:rPr>
                <w:sz w:val="1"/>
                <w:szCs w:val="1"/>
                <w:color w:val="auto"/>
              </w:rPr>
            </w:pPr>
          </w:p>
        </w:tc>
      </w:tr>
      <w:tr>
        <w:trPr>
          <w:trHeight w:val="163"/>
        </w:trPr>
        <w:tc>
          <w:tcPr>
            <w:tcW w:w="2160" w:type="dxa"/>
            <w:vAlign w:val="bottom"/>
            <w:tcBorders>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Total Consolidated Revenues</w:t>
            </w:r>
          </w:p>
        </w:tc>
        <w:tc>
          <w:tcPr>
            <w:tcW w:w="1140" w:type="dxa"/>
            <w:vAlign w:val="bottom"/>
            <w:tcBorders>
              <w:bottom w:val="single" w:sz="8" w:color="auto"/>
            </w:tcBorders>
            <w:shd w:val="clear" w:color="auto" w:fill="CCEEFF"/>
          </w:tcPr>
          <w:p>
            <w:pPr>
              <w:jc w:val="right"/>
              <w:ind w:right="83"/>
              <w:spacing w:after="0" w:line="156" w:lineRule="exact"/>
              <w:rPr>
                <w:sz w:val="20"/>
                <w:szCs w:val="20"/>
                <w:color w:val="auto"/>
              </w:rPr>
            </w:pPr>
            <w:r>
              <w:rPr>
                <w:rFonts w:ascii="Arial" w:cs="Arial" w:eastAsia="Arial" w:hAnsi="Arial"/>
                <w:sz w:val="15"/>
                <w:szCs w:val="15"/>
                <w:b w:val="1"/>
                <w:bCs w:val="1"/>
                <w:color w:val="auto"/>
              </w:rPr>
              <w:t>$ 4,244,265</w:t>
            </w:r>
          </w:p>
        </w:tc>
        <w:tc>
          <w:tcPr>
            <w:tcW w:w="1140" w:type="dxa"/>
            <w:vAlign w:val="bottom"/>
            <w:tcBorders>
              <w:bottom w:val="single" w:sz="8" w:color="auto"/>
            </w:tcBorders>
            <w:shd w:val="clear" w:color="auto" w:fill="CCEEFF"/>
          </w:tcPr>
          <w:p>
            <w:pPr>
              <w:jc w:val="right"/>
              <w:ind w:right="83"/>
              <w:spacing w:after="0" w:line="156" w:lineRule="exact"/>
              <w:rPr>
                <w:sz w:val="20"/>
                <w:szCs w:val="20"/>
                <w:color w:val="auto"/>
              </w:rPr>
            </w:pPr>
            <w:r>
              <w:rPr>
                <w:rFonts w:ascii="Arial" w:cs="Arial" w:eastAsia="Arial" w:hAnsi="Arial"/>
                <w:sz w:val="15"/>
                <w:szCs w:val="15"/>
                <w:color w:val="auto"/>
              </w:rPr>
              <w:t>$ 3,965,594</w:t>
            </w:r>
          </w:p>
        </w:tc>
        <w:tc>
          <w:tcPr>
            <w:tcW w:w="10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$ 3,818,749</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Total revenues by product line are as follows:</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years ended December 31</w:t>
      </w:r>
    </w:p>
    <w:tbl>
      <w:tblPr>
        <w:tblLayout w:type="fixed"/>
        <w:tblInd w:w="0" w:type="dxa"/>
        <w:tblCellMar>
          <w:top w:w="0" w:type="dxa"/>
          <w:left w:w="0" w:type="dxa"/>
          <w:bottom w:w="0" w:type="dxa"/>
          <w:right w:w="0" w:type="dxa"/>
        </w:tblCellMar>
      </w:tblPr>
      <w:tr>
        <w:trPr>
          <w:trHeight w:val="165"/>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(add 000)</w:t>
            </w:r>
          </w:p>
        </w:tc>
        <w:tc>
          <w:tcPr>
            <w:tcW w:w="1180" w:type="dxa"/>
            <w:vAlign w:val="bottom"/>
            <w:tcBorders>
              <w:bottom w:val="single" w:sz="8" w:color="auto"/>
            </w:tcBorders>
          </w:tcPr>
          <w:p>
            <w:pPr>
              <w:jc w:val="right"/>
              <w:ind w:right="103"/>
              <w:spacing w:after="0" w:line="166" w:lineRule="exact"/>
              <w:rPr>
                <w:sz w:val="20"/>
                <w:szCs w:val="20"/>
                <w:color w:val="auto"/>
              </w:rPr>
            </w:pPr>
            <w:r>
              <w:rPr>
                <w:rFonts w:ascii="Arial" w:cs="Arial" w:eastAsia="Arial" w:hAnsi="Arial"/>
                <w:sz w:val="15"/>
                <w:szCs w:val="15"/>
                <w:b w:val="1"/>
                <w:bCs w:val="1"/>
                <w:color w:val="0085CD"/>
              </w:rPr>
              <w:t>2018</w:t>
            </w:r>
          </w:p>
        </w:tc>
        <w:tc>
          <w:tcPr>
            <w:tcW w:w="1120" w:type="dxa"/>
            <w:vAlign w:val="bottom"/>
            <w:tcBorders>
              <w:bottom w:val="single" w:sz="8" w:color="auto"/>
            </w:tcBorders>
          </w:tcPr>
          <w:p>
            <w:pPr>
              <w:jc w:val="right"/>
              <w:ind w:right="103"/>
              <w:spacing w:after="0" w:line="166" w:lineRule="exact"/>
              <w:rPr>
                <w:sz w:val="20"/>
                <w:szCs w:val="20"/>
                <w:color w:val="auto"/>
              </w:rPr>
            </w:pPr>
            <w:r>
              <w:rPr>
                <w:rFonts w:ascii="Arial" w:cs="Arial" w:eastAsia="Arial" w:hAnsi="Arial"/>
                <w:sz w:val="15"/>
                <w:szCs w:val="15"/>
                <w:color w:val="auto"/>
              </w:rPr>
              <w:t>2017</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
              <w:spacing w:after="0" w:line="166" w:lineRule="exact"/>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210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Building Materials Business:</w:t>
            </w:r>
          </w:p>
        </w:tc>
        <w:tc>
          <w:tcPr>
            <w:tcW w:w="1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00" w:type="dxa"/>
            <w:vAlign w:val="bottom"/>
          </w:tcPr>
          <w:p>
            <w:pPr>
              <w:ind w:left="160"/>
              <w:spacing w:after="0" w:line="162" w:lineRule="exact"/>
              <w:rPr>
                <w:sz w:val="20"/>
                <w:szCs w:val="20"/>
                <w:color w:val="auto"/>
              </w:rPr>
            </w:pPr>
            <w:r>
              <w:rPr>
                <w:rFonts w:ascii="Arial" w:cs="Arial" w:eastAsia="Arial" w:hAnsi="Arial"/>
                <w:sz w:val="15"/>
                <w:szCs w:val="15"/>
                <w:color w:val="auto"/>
              </w:rPr>
              <w:t>Aggregates</w:t>
            </w:r>
          </w:p>
        </w:tc>
        <w:tc>
          <w:tcPr>
            <w:tcW w:w="1180" w:type="dxa"/>
            <w:vAlign w:val="bottom"/>
          </w:tcPr>
          <w:p>
            <w:pPr>
              <w:jc w:val="right"/>
              <w:ind w:right="103"/>
              <w:spacing w:after="0" w:line="162" w:lineRule="exact"/>
              <w:rPr>
                <w:sz w:val="20"/>
                <w:szCs w:val="20"/>
                <w:color w:val="auto"/>
              </w:rPr>
            </w:pPr>
            <w:r>
              <w:rPr>
                <w:rFonts w:ascii="Arial" w:cs="Arial" w:eastAsia="Arial" w:hAnsi="Arial"/>
                <w:sz w:val="15"/>
                <w:szCs w:val="15"/>
                <w:b w:val="1"/>
                <w:bCs w:val="1"/>
                <w:color w:val="auto"/>
              </w:rPr>
              <w:t>$ 2,578,007</w:t>
            </w:r>
          </w:p>
        </w:tc>
        <w:tc>
          <w:tcPr>
            <w:tcW w:w="112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$ 2,341,540</w:t>
            </w:r>
          </w:p>
        </w:tc>
        <w:tc>
          <w:tcPr>
            <w:tcW w:w="2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2,267,574</w:t>
            </w:r>
          </w:p>
        </w:tc>
        <w:tc>
          <w:tcPr>
            <w:tcW w:w="0" w:type="dxa"/>
            <w:vAlign w:val="bottom"/>
          </w:tcPr>
          <w:p>
            <w:pPr>
              <w:spacing w:after="0"/>
              <w:rPr>
                <w:sz w:val="1"/>
                <w:szCs w:val="1"/>
                <w:color w:val="auto"/>
              </w:rPr>
            </w:pPr>
          </w:p>
        </w:tc>
      </w:tr>
      <w:tr>
        <w:trPr>
          <w:trHeight w:val="162"/>
        </w:trPr>
        <w:tc>
          <w:tcPr>
            <w:tcW w:w="21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Cement</w:t>
            </w:r>
          </w:p>
        </w:tc>
        <w:tc>
          <w:tcPr>
            <w:tcW w:w="118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b w:val="1"/>
                <w:bCs w:val="1"/>
                <w:color w:val="auto"/>
              </w:rPr>
              <w:t>404,125</w:t>
            </w:r>
          </w:p>
        </w:tc>
        <w:tc>
          <w:tcPr>
            <w:tcW w:w="112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384,112</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375,814</w:t>
            </w:r>
          </w:p>
        </w:tc>
        <w:tc>
          <w:tcPr>
            <w:tcW w:w="0" w:type="dxa"/>
            <w:vAlign w:val="bottom"/>
          </w:tcPr>
          <w:p>
            <w:pPr>
              <w:spacing w:after="0"/>
              <w:rPr>
                <w:sz w:val="1"/>
                <w:szCs w:val="1"/>
                <w:color w:val="auto"/>
              </w:rPr>
            </w:pPr>
          </w:p>
        </w:tc>
      </w:tr>
      <w:tr>
        <w:trPr>
          <w:trHeight w:val="162"/>
        </w:trPr>
        <w:tc>
          <w:tcPr>
            <w:tcW w:w="2100" w:type="dxa"/>
            <w:vAlign w:val="bottom"/>
          </w:tcPr>
          <w:p>
            <w:pPr>
              <w:ind w:left="160"/>
              <w:spacing w:after="0" w:line="162" w:lineRule="exact"/>
              <w:rPr>
                <w:sz w:val="20"/>
                <w:szCs w:val="20"/>
                <w:color w:val="auto"/>
              </w:rPr>
            </w:pPr>
            <w:r>
              <w:rPr>
                <w:rFonts w:ascii="Arial" w:cs="Arial" w:eastAsia="Arial" w:hAnsi="Arial"/>
                <w:sz w:val="15"/>
                <w:szCs w:val="15"/>
                <w:color w:val="auto"/>
              </w:rPr>
              <w:t>Ready Mixed Concrete</w:t>
            </w:r>
          </w:p>
        </w:tc>
        <w:tc>
          <w:tcPr>
            <w:tcW w:w="1180" w:type="dxa"/>
            <w:vAlign w:val="bottom"/>
          </w:tcPr>
          <w:p>
            <w:pPr>
              <w:jc w:val="right"/>
              <w:ind w:right="103"/>
              <w:spacing w:after="0" w:line="162" w:lineRule="exact"/>
              <w:rPr>
                <w:sz w:val="20"/>
                <w:szCs w:val="20"/>
                <w:color w:val="auto"/>
              </w:rPr>
            </w:pPr>
            <w:r>
              <w:rPr>
                <w:rFonts w:ascii="Arial" w:cs="Arial" w:eastAsia="Arial" w:hAnsi="Arial"/>
                <w:sz w:val="15"/>
                <w:szCs w:val="15"/>
                <w:b w:val="1"/>
                <w:bCs w:val="1"/>
                <w:color w:val="auto"/>
              </w:rPr>
              <w:t>964,751</w:t>
            </w:r>
          </w:p>
        </w:tc>
        <w:tc>
          <w:tcPr>
            <w:tcW w:w="112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936,979</w:t>
            </w:r>
          </w:p>
        </w:tc>
        <w:tc>
          <w:tcPr>
            <w:tcW w:w="260" w:type="dxa"/>
            <w:vAlign w:val="bottom"/>
          </w:tcPr>
          <w:p>
            <w:pPr>
              <w:spacing w:after="0"/>
              <w:rPr>
                <w:sz w:val="14"/>
                <w:szCs w:val="14"/>
                <w:color w:val="auto"/>
              </w:rPr>
            </w:pPr>
          </w:p>
        </w:tc>
        <w:tc>
          <w:tcPr>
            <w:tcW w:w="8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903,803</w:t>
            </w:r>
          </w:p>
        </w:tc>
        <w:tc>
          <w:tcPr>
            <w:tcW w:w="0" w:type="dxa"/>
            <w:vAlign w:val="bottom"/>
          </w:tcPr>
          <w:p>
            <w:pPr>
              <w:spacing w:after="0"/>
              <w:rPr>
                <w:sz w:val="1"/>
                <w:szCs w:val="1"/>
                <w:color w:val="auto"/>
              </w:rPr>
            </w:pPr>
          </w:p>
        </w:tc>
      </w:tr>
      <w:tr>
        <w:trPr>
          <w:trHeight w:val="159"/>
        </w:trPr>
        <w:tc>
          <w:tcPr>
            <w:tcW w:w="2100" w:type="dxa"/>
            <w:vAlign w:val="bottom"/>
            <w:shd w:val="clear" w:color="auto" w:fill="CCEEFF"/>
          </w:tcPr>
          <w:p>
            <w:pPr>
              <w:ind w:left="160"/>
              <w:spacing w:after="0" w:line="159" w:lineRule="exact"/>
              <w:rPr>
                <w:sz w:val="20"/>
                <w:szCs w:val="20"/>
                <w:color w:val="auto"/>
              </w:rPr>
            </w:pPr>
            <w:r>
              <w:rPr>
                <w:rFonts w:ascii="Arial" w:cs="Arial" w:eastAsia="Arial" w:hAnsi="Arial"/>
                <w:sz w:val="15"/>
                <w:szCs w:val="15"/>
                <w:color w:val="auto"/>
              </w:rPr>
              <w:t>Asphalt and Paving</w:t>
            </w:r>
          </w:p>
        </w:tc>
        <w:tc>
          <w:tcPr>
            <w:tcW w:w="11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273,896</w:t>
            </w:r>
          </w:p>
        </w:tc>
        <w:tc>
          <w:tcPr>
            <w:tcW w:w="1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100" w:type="dxa"/>
            <w:vAlign w:val="bottom"/>
            <w:shd w:val="clear" w:color="auto" w:fill="CCEEFF"/>
          </w:tcPr>
          <w:p>
            <w:pPr>
              <w:ind w:left="320"/>
              <w:spacing w:after="0" w:line="166" w:lineRule="exact"/>
              <w:rPr>
                <w:sz w:val="20"/>
                <w:szCs w:val="20"/>
                <w:color w:val="auto"/>
              </w:rPr>
            </w:pPr>
            <w:r>
              <w:rPr>
                <w:rFonts w:ascii="Arial" w:cs="Arial" w:eastAsia="Arial" w:hAnsi="Arial"/>
                <w:sz w:val="15"/>
                <w:szCs w:val="15"/>
                <w:color w:val="auto"/>
              </w:rPr>
              <w:t>Services</w:t>
            </w:r>
          </w:p>
        </w:tc>
        <w:tc>
          <w:tcPr>
            <w:tcW w:w="1180" w:type="dxa"/>
            <w:vAlign w:val="bottom"/>
            <w:vMerge w:val="continue"/>
            <w:shd w:val="clear" w:color="auto" w:fill="CCEEFF"/>
          </w:tcPr>
          <w:p>
            <w:pPr>
              <w:spacing w:after="0"/>
              <w:rPr>
                <w:sz w:val="14"/>
                <w:szCs w:val="14"/>
                <w:color w:val="auto"/>
              </w:rPr>
            </w:pPr>
          </w:p>
        </w:tc>
        <w:tc>
          <w:tcPr>
            <w:tcW w:w="1120" w:type="dxa"/>
            <w:vAlign w:val="bottom"/>
            <w:shd w:val="clear" w:color="auto" w:fill="CCEEFF"/>
          </w:tcPr>
          <w:p>
            <w:pPr>
              <w:jc w:val="right"/>
              <w:ind w:right="103"/>
              <w:spacing w:after="0" w:line="166" w:lineRule="exact"/>
              <w:rPr>
                <w:sz w:val="20"/>
                <w:szCs w:val="20"/>
                <w:color w:val="auto"/>
              </w:rPr>
            </w:pPr>
            <w:r>
              <w:rPr>
                <w:rFonts w:ascii="Arial" w:cs="Arial" w:eastAsia="Arial" w:hAnsi="Arial"/>
                <w:sz w:val="15"/>
                <w:szCs w:val="15"/>
                <w:color w:val="auto"/>
              </w:rPr>
              <w:t>296,984</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3"/>
              <w:spacing w:after="0" w:line="166" w:lineRule="exact"/>
              <w:rPr>
                <w:sz w:val="20"/>
                <w:szCs w:val="20"/>
                <w:color w:val="auto"/>
              </w:rPr>
            </w:pPr>
            <w:r>
              <w:rPr>
                <w:rFonts w:ascii="Arial" w:cs="Arial" w:eastAsia="Arial" w:hAnsi="Arial"/>
                <w:sz w:val="15"/>
                <w:szCs w:val="15"/>
                <w:color w:val="auto"/>
              </w:rPr>
              <w:t>261,612</w:t>
            </w:r>
          </w:p>
        </w:tc>
        <w:tc>
          <w:tcPr>
            <w:tcW w:w="0" w:type="dxa"/>
            <w:vAlign w:val="bottom"/>
          </w:tcPr>
          <w:p>
            <w:pPr>
              <w:spacing w:after="0"/>
              <w:rPr>
                <w:sz w:val="1"/>
                <w:szCs w:val="1"/>
                <w:color w:val="auto"/>
              </w:rPr>
            </w:pPr>
          </w:p>
        </w:tc>
      </w:tr>
      <w:tr>
        <w:trPr>
          <w:trHeight w:val="159"/>
        </w:trPr>
        <w:tc>
          <w:tcPr>
            <w:tcW w:w="2100" w:type="dxa"/>
            <w:vAlign w:val="bottom"/>
          </w:tcPr>
          <w:p>
            <w:pPr>
              <w:ind w:left="160"/>
              <w:spacing w:after="0" w:line="159" w:lineRule="exact"/>
              <w:rPr>
                <w:sz w:val="20"/>
                <w:szCs w:val="20"/>
                <w:color w:val="auto"/>
              </w:rPr>
            </w:pPr>
            <w:r>
              <w:rPr>
                <w:rFonts w:ascii="Arial" w:cs="Arial" w:eastAsia="Arial" w:hAnsi="Arial"/>
                <w:sz w:val="15"/>
                <w:szCs w:val="15"/>
                <w:color w:val="auto"/>
              </w:rPr>
              <w:t>Less: Interproduct</w:t>
            </w:r>
          </w:p>
        </w:tc>
        <w:tc>
          <w:tcPr>
            <w:tcW w:w="118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(264,237)</w:t>
            </w: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100" w:type="dxa"/>
            <w:vAlign w:val="bottom"/>
            <w:tcBorders>
              <w:bottom w:val="single" w:sz="8" w:color="auto"/>
            </w:tcBorders>
          </w:tcPr>
          <w:p>
            <w:pPr>
              <w:ind w:left="320"/>
              <w:spacing w:after="0" w:line="166" w:lineRule="exact"/>
              <w:rPr>
                <w:sz w:val="20"/>
                <w:szCs w:val="20"/>
                <w:color w:val="auto"/>
              </w:rPr>
            </w:pPr>
            <w:r>
              <w:rPr>
                <w:rFonts w:ascii="Arial" w:cs="Arial" w:eastAsia="Arial" w:hAnsi="Arial"/>
                <w:sz w:val="15"/>
                <w:szCs w:val="15"/>
                <w:color w:val="auto"/>
              </w:rPr>
              <w:t>revenues</w:t>
            </w:r>
          </w:p>
        </w:tc>
        <w:tc>
          <w:tcPr>
            <w:tcW w:w="118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tcPr>
          <w:p>
            <w:pPr>
              <w:jc w:val="right"/>
              <w:ind w:right="43"/>
              <w:spacing w:after="0" w:line="166" w:lineRule="exact"/>
              <w:rPr>
                <w:sz w:val="20"/>
                <w:szCs w:val="20"/>
                <w:color w:val="auto"/>
              </w:rPr>
            </w:pPr>
            <w:r>
              <w:rPr>
                <w:rFonts w:ascii="Arial" w:cs="Arial" w:eastAsia="Arial" w:hAnsi="Arial"/>
                <w:sz w:val="15"/>
                <w:szCs w:val="15"/>
                <w:color w:val="auto"/>
              </w:rPr>
              <w:t>(264,011)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(247,112)</w:t>
            </w:r>
          </w:p>
        </w:tc>
        <w:tc>
          <w:tcPr>
            <w:tcW w:w="0" w:type="dxa"/>
            <w:vAlign w:val="bottom"/>
          </w:tcPr>
          <w:p>
            <w:pPr>
              <w:spacing w:after="0"/>
              <w:rPr>
                <w:sz w:val="1"/>
                <w:szCs w:val="1"/>
                <w:color w:val="auto"/>
              </w:rPr>
            </w:pPr>
          </w:p>
        </w:tc>
      </w:tr>
      <w:tr>
        <w:trPr>
          <w:trHeight w:val="152"/>
        </w:trPr>
        <w:tc>
          <w:tcPr>
            <w:tcW w:w="210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rPr>
              <w:t>Total Building</w:t>
            </w:r>
          </w:p>
        </w:tc>
        <w:tc>
          <w:tcPr>
            <w:tcW w:w="11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3,956,542</w:t>
            </w:r>
          </w:p>
        </w:tc>
        <w:tc>
          <w:tcPr>
            <w:tcW w:w="1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100" w:type="dxa"/>
            <w:vAlign w:val="bottom"/>
            <w:shd w:val="clear" w:color="auto" w:fill="CCEEFF"/>
          </w:tcPr>
          <w:p>
            <w:pPr>
              <w:ind w:left="160"/>
              <w:spacing w:after="0" w:line="166" w:lineRule="exact"/>
              <w:rPr>
                <w:sz w:val="20"/>
                <w:szCs w:val="20"/>
                <w:color w:val="auto"/>
              </w:rPr>
            </w:pPr>
            <w:r>
              <w:rPr>
                <w:rFonts w:ascii="Arial" w:cs="Arial" w:eastAsia="Arial" w:hAnsi="Arial"/>
                <w:sz w:val="15"/>
                <w:szCs w:val="15"/>
                <w:color w:val="auto"/>
              </w:rPr>
              <w:t>Materials Business</w:t>
            </w:r>
          </w:p>
        </w:tc>
        <w:tc>
          <w:tcPr>
            <w:tcW w:w="1180" w:type="dxa"/>
            <w:vAlign w:val="bottom"/>
            <w:vMerge w:val="continue"/>
            <w:shd w:val="clear" w:color="auto" w:fill="CCEEFF"/>
          </w:tcPr>
          <w:p>
            <w:pPr>
              <w:spacing w:after="0"/>
              <w:rPr>
                <w:sz w:val="14"/>
                <w:szCs w:val="14"/>
                <w:color w:val="auto"/>
              </w:rPr>
            </w:pPr>
          </w:p>
        </w:tc>
        <w:tc>
          <w:tcPr>
            <w:tcW w:w="1120" w:type="dxa"/>
            <w:vAlign w:val="bottom"/>
            <w:shd w:val="clear" w:color="auto" w:fill="CCEEFF"/>
          </w:tcPr>
          <w:p>
            <w:pPr>
              <w:jc w:val="right"/>
              <w:ind w:right="103"/>
              <w:spacing w:after="0" w:line="166" w:lineRule="exact"/>
              <w:rPr>
                <w:sz w:val="20"/>
                <w:szCs w:val="20"/>
                <w:color w:val="auto"/>
              </w:rPr>
            </w:pPr>
            <w:r>
              <w:rPr>
                <w:rFonts w:ascii="Arial" w:cs="Arial" w:eastAsia="Arial" w:hAnsi="Arial"/>
                <w:sz w:val="15"/>
                <w:szCs w:val="15"/>
                <w:color w:val="auto"/>
              </w:rPr>
              <w:t>3,695,604</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3"/>
              <w:spacing w:after="0" w:line="166" w:lineRule="exact"/>
              <w:rPr>
                <w:sz w:val="20"/>
                <w:szCs w:val="20"/>
                <w:color w:val="auto"/>
              </w:rPr>
            </w:pPr>
            <w:r>
              <w:rPr>
                <w:rFonts w:ascii="Arial" w:cs="Arial" w:eastAsia="Arial" w:hAnsi="Arial"/>
                <w:sz w:val="15"/>
                <w:szCs w:val="15"/>
                <w:color w:val="auto"/>
              </w:rPr>
              <w:t>3,561,691</w:t>
            </w:r>
          </w:p>
        </w:tc>
        <w:tc>
          <w:tcPr>
            <w:tcW w:w="0" w:type="dxa"/>
            <w:vAlign w:val="bottom"/>
          </w:tcPr>
          <w:p>
            <w:pPr>
              <w:spacing w:after="0"/>
              <w:rPr>
                <w:sz w:val="1"/>
                <w:szCs w:val="1"/>
                <w:color w:val="auto"/>
              </w:rPr>
            </w:pPr>
          </w:p>
        </w:tc>
      </w:tr>
      <w:tr>
        <w:trPr>
          <w:trHeight w:val="162"/>
        </w:trPr>
        <w:tc>
          <w:tcPr>
            <w:tcW w:w="2100" w:type="dxa"/>
            <w:vAlign w:val="bottom"/>
            <w:tcBorders>
              <w:bottom w:val="single" w:sz="8" w:color="auto"/>
            </w:tcBorders>
          </w:tcPr>
          <w:p>
            <w:pPr>
              <w:ind w:left="20"/>
              <w:spacing w:after="0" w:line="162" w:lineRule="exact"/>
              <w:rPr>
                <w:sz w:val="20"/>
                <w:szCs w:val="20"/>
                <w:color w:val="auto"/>
              </w:rPr>
            </w:pPr>
            <w:r>
              <w:rPr>
                <w:rFonts w:ascii="Arial" w:cs="Arial" w:eastAsia="Arial" w:hAnsi="Arial"/>
                <w:sz w:val="15"/>
                <w:szCs w:val="15"/>
                <w:color w:val="auto"/>
              </w:rPr>
              <w:t>Magnesia Specialties</w:t>
            </w:r>
          </w:p>
        </w:tc>
        <w:tc>
          <w:tcPr>
            <w:tcW w:w="118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b w:val="1"/>
                <w:bCs w:val="1"/>
                <w:color w:val="auto"/>
              </w:rPr>
              <w:t>287,723</w:t>
            </w:r>
          </w:p>
        </w:tc>
        <w:tc>
          <w:tcPr>
            <w:tcW w:w="112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269,990</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257,058</w:t>
            </w:r>
          </w:p>
        </w:tc>
        <w:tc>
          <w:tcPr>
            <w:tcW w:w="0" w:type="dxa"/>
            <w:vAlign w:val="bottom"/>
          </w:tcPr>
          <w:p>
            <w:pPr>
              <w:spacing w:after="0"/>
              <w:rPr>
                <w:sz w:val="1"/>
                <w:szCs w:val="1"/>
                <w:color w:val="auto"/>
              </w:rPr>
            </w:pPr>
          </w:p>
        </w:tc>
      </w:tr>
      <w:tr>
        <w:trPr>
          <w:trHeight w:val="152"/>
        </w:trPr>
        <w:tc>
          <w:tcPr>
            <w:tcW w:w="210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rPr>
              <w:t>Total Consolidated</w:t>
            </w:r>
          </w:p>
        </w:tc>
        <w:tc>
          <w:tcPr>
            <w:tcW w:w="11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$ 4,244,265</w:t>
            </w:r>
          </w:p>
        </w:tc>
        <w:tc>
          <w:tcPr>
            <w:tcW w:w="1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100" w:type="dxa"/>
            <w:vAlign w:val="bottom"/>
            <w:tcBorders>
              <w:bottom w:val="single" w:sz="8" w:color="auto"/>
            </w:tcBorders>
            <w:shd w:val="clear" w:color="auto" w:fill="CCEEFF"/>
          </w:tcPr>
          <w:p>
            <w:pPr>
              <w:ind w:left="160"/>
              <w:spacing w:after="0" w:line="166" w:lineRule="exact"/>
              <w:rPr>
                <w:sz w:val="20"/>
                <w:szCs w:val="20"/>
                <w:color w:val="auto"/>
              </w:rPr>
            </w:pPr>
            <w:r>
              <w:rPr>
                <w:rFonts w:ascii="Arial" w:cs="Arial" w:eastAsia="Arial" w:hAnsi="Arial"/>
                <w:sz w:val="15"/>
                <w:szCs w:val="15"/>
                <w:color w:val="auto"/>
              </w:rPr>
              <w:t>Revenues</w:t>
            </w:r>
          </w:p>
        </w:tc>
        <w:tc>
          <w:tcPr>
            <w:tcW w:w="1180" w:type="dxa"/>
            <w:vAlign w:val="bottom"/>
            <w:tcBorders>
              <w:bottom w:val="single" w:sz="8" w:color="auto"/>
            </w:tcBorders>
            <w:vMerge w:val="continue"/>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03"/>
              <w:spacing w:after="0" w:line="166" w:lineRule="exact"/>
              <w:rPr>
                <w:sz w:val="20"/>
                <w:szCs w:val="20"/>
                <w:color w:val="auto"/>
              </w:rPr>
            </w:pPr>
            <w:r>
              <w:rPr>
                <w:rFonts w:ascii="Arial" w:cs="Arial" w:eastAsia="Arial" w:hAnsi="Arial"/>
                <w:sz w:val="15"/>
                <w:szCs w:val="15"/>
                <w:color w:val="auto"/>
              </w:rPr>
              <w:t>$ 3,965,594</w:t>
            </w:r>
          </w:p>
        </w:tc>
        <w:tc>
          <w:tcPr>
            <w:tcW w:w="26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ind w:right="23"/>
              <w:spacing w:after="0" w:line="166" w:lineRule="exact"/>
              <w:rPr>
                <w:sz w:val="20"/>
                <w:szCs w:val="20"/>
                <w:color w:val="auto"/>
              </w:rPr>
            </w:pPr>
            <w:r>
              <w:rPr>
                <w:rFonts w:ascii="Arial" w:cs="Arial" w:eastAsia="Arial" w:hAnsi="Arial"/>
                <w:sz w:val="15"/>
                <w:szCs w:val="15"/>
                <w:color w:val="auto"/>
              </w:rPr>
              <w:t>3,818,749</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Products and Services Revenues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Products and services revenues by reportable segment are as follows:</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years ended December 31</w:t>
      </w:r>
    </w:p>
    <w:tbl>
      <w:tblPr>
        <w:tblLayout w:type="fixed"/>
        <w:tblInd w:w="0" w:type="dxa"/>
        <w:tblCellMar>
          <w:top w:w="0" w:type="dxa"/>
          <w:left w:w="0" w:type="dxa"/>
          <w:bottom w:w="0" w:type="dxa"/>
          <w:right w:w="0" w:type="dxa"/>
        </w:tblCellMar>
      </w:tblPr>
      <w:tr>
        <w:trPr>
          <w:trHeight w:val="165"/>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(add 000)</w:t>
            </w:r>
          </w:p>
        </w:tc>
        <w:tc>
          <w:tcPr>
            <w:tcW w:w="1180" w:type="dxa"/>
            <w:vAlign w:val="bottom"/>
            <w:tcBorders>
              <w:bottom w:val="single" w:sz="8" w:color="auto"/>
            </w:tcBorders>
          </w:tcPr>
          <w:p>
            <w:pPr>
              <w:jc w:val="right"/>
              <w:ind w:right="83"/>
              <w:spacing w:after="0" w:line="166" w:lineRule="exact"/>
              <w:rPr>
                <w:sz w:val="20"/>
                <w:szCs w:val="20"/>
                <w:color w:val="auto"/>
              </w:rPr>
            </w:pPr>
            <w:r>
              <w:rPr>
                <w:rFonts w:ascii="Arial" w:cs="Arial" w:eastAsia="Arial" w:hAnsi="Arial"/>
                <w:sz w:val="15"/>
                <w:szCs w:val="15"/>
                <w:b w:val="1"/>
                <w:bCs w:val="1"/>
                <w:color w:val="0085CD"/>
              </w:rPr>
              <w:t>2018</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3"/>
              <w:spacing w:after="0" w:line="166" w:lineRule="exact"/>
              <w:rPr>
                <w:sz w:val="20"/>
                <w:szCs w:val="20"/>
                <w:color w:val="auto"/>
              </w:rPr>
            </w:pPr>
            <w:r>
              <w:rPr>
                <w:rFonts w:ascii="Arial" w:cs="Arial" w:eastAsia="Arial" w:hAnsi="Arial"/>
                <w:sz w:val="15"/>
                <w:szCs w:val="15"/>
                <w:color w:val="auto"/>
              </w:rPr>
              <w:t>2017</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212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Building Materials Business:</w:t>
            </w:r>
          </w:p>
        </w:tc>
        <w:tc>
          <w:tcPr>
            <w:tcW w:w="1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160"/>
              <w:spacing w:after="0" w:line="162" w:lineRule="exact"/>
              <w:rPr>
                <w:sz w:val="20"/>
                <w:szCs w:val="20"/>
                <w:color w:val="auto"/>
              </w:rPr>
            </w:pPr>
            <w:r>
              <w:rPr>
                <w:rFonts w:ascii="Arial" w:cs="Arial" w:eastAsia="Arial" w:hAnsi="Arial"/>
                <w:sz w:val="15"/>
                <w:szCs w:val="15"/>
                <w:color w:val="auto"/>
              </w:rPr>
              <w:t>Mid-America Group</w:t>
            </w:r>
          </w:p>
        </w:tc>
        <w:tc>
          <w:tcPr>
            <w:tcW w:w="1180" w:type="dxa"/>
            <w:vAlign w:val="bottom"/>
          </w:tcPr>
          <w:p>
            <w:pPr>
              <w:jc w:val="right"/>
              <w:ind w:right="83"/>
              <w:spacing w:after="0" w:line="162" w:lineRule="exact"/>
              <w:rPr>
                <w:sz w:val="20"/>
                <w:szCs w:val="20"/>
                <w:color w:val="auto"/>
              </w:rPr>
            </w:pPr>
            <w:r>
              <w:rPr>
                <w:rFonts w:ascii="Arial" w:cs="Arial" w:eastAsia="Arial" w:hAnsi="Arial"/>
                <w:sz w:val="15"/>
                <w:szCs w:val="15"/>
                <w:b w:val="1"/>
                <w:bCs w:val="1"/>
                <w:color w:val="auto"/>
              </w:rPr>
              <w:t>$ 1,133,754</w:t>
            </w:r>
          </w:p>
        </w:tc>
        <w:tc>
          <w:tcPr>
            <w:tcW w:w="2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83"/>
              <w:spacing w:after="0" w:line="162" w:lineRule="exact"/>
              <w:rPr>
                <w:sz w:val="20"/>
                <w:szCs w:val="20"/>
                <w:color w:val="auto"/>
              </w:rPr>
            </w:pPr>
            <w:r>
              <w:rPr>
                <w:rFonts w:ascii="Arial" w:cs="Arial" w:eastAsia="Arial" w:hAnsi="Arial"/>
                <w:sz w:val="15"/>
                <w:szCs w:val="15"/>
                <w:color w:val="auto"/>
              </w:rPr>
              <w:t>982,214</w:t>
            </w:r>
          </w:p>
        </w:tc>
        <w:tc>
          <w:tcPr>
            <w:tcW w:w="2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945,193</w:t>
            </w:r>
          </w:p>
        </w:tc>
        <w:tc>
          <w:tcPr>
            <w:tcW w:w="0" w:type="dxa"/>
            <w:vAlign w:val="bottom"/>
          </w:tcPr>
          <w:p>
            <w:pPr>
              <w:spacing w:after="0"/>
              <w:rPr>
                <w:sz w:val="1"/>
                <w:szCs w:val="1"/>
                <w:color w:val="auto"/>
              </w:rPr>
            </w:pPr>
          </w:p>
        </w:tc>
      </w:tr>
      <w:tr>
        <w:trPr>
          <w:trHeight w:val="162"/>
        </w:trPr>
        <w:tc>
          <w:tcPr>
            <w:tcW w:w="212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Southeast Group</w:t>
            </w:r>
          </w:p>
        </w:tc>
        <w:tc>
          <w:tcPr>
            <w:tcW w:w="118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b w:val="1"/>
                <w:bCs w:val="1"/>
                <w:color w:val="auto"/>
              </w:rPr>
              <w:t>409,543</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348,675</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304,722</w:t>
            </w:r>
          </w:p>
        </w:tc>
        <w:tc>
          <w:tcPr>
            <w:tcW w:w="0" w:type="dxa"/>
            <w:vAlign w:val="bottom"/>
          </w:tcPr>
          <w:p>
            <w:pPr>
              <w:spacing w:after="0"/>
              <w:rPr>
                <w:sz w:val="1"/>
                <w:szCs w:val="1"/>
                <w:color w:val="auto"/>
              </w:rPr>
            </w:pPr>
          </w:p>
        </w:tc>
      </w:tr>
      <w:tr>
        <w:trPr>
          <w:trHeight w:val="162"/>
        </w:trPr>
        <w:tc>
          <w:tcPr>
            <w:tcW w:w="2120" w:type="dxa"/>
            <w:vAlign w:val="bottom"/>
            <w:tcBorders>
              <w:bottom w:val="single" w:sz="8" w:color="auto"/>
            </w:tcBorders>
          </w:tcPr>
          <w:p>
            <w:pPr>
              <w:ind w:left="160"/>
              <w:spacing w:after="0" w:line="162" w:lineRule="exact"/>
              <w:rPr>
                <w:sz w:val="20"/>
                <w:szCs w:val="20"/>
                <w:color w:val="auto"/>
              </w:rPr>
            </w:pPr>
            <w:r>
              <w:rPr>
                <w:rFonts w:ascii="Arial" w:cs="Arial" w:eastAsia="Arial" w:hAnsi="Arial"/>
                <w:sz w:val="15"/>
                <w:szCs w:val="15"/>
                <w:color w:val="auto"/>
              </w:rPr>
              <w:t>West Group</w:t>
            </w:r>
          </w:p>
        </w:tc>
        <w:tc>
          <w:tcPr>
            <w:tcW w:w="118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b w:val="1"/>
                <w:bCs w:val="1"/>
                <w:color w:val="auto"/>
              </w:rPr>
              <w:t>2,168,418</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color w:val="auto"/>
              </w:rPr>
              <w:t>2,139,867</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2,086,351</w:t>
            </w:r>
          </w:p>
        </w:tc>
        <w:tc>
          <w:tcPr>
            <w:tcW w:w="0" w:type="dxa"/>
            <w:vAlign w:val="bottom"/>
          </w:tcPr>
          <w:p>
            <w:pPr>
              <w:spacing w:after="0"/>
              <w:rPr>
                <w:sz w:val="1"/>
                <w:szCs w:val="1"/>
                <w:color w:val="auto"/>
              </w:rPr>
            </w:pPr>
          </w:p>
        </w:tc>
      </w:tr>
      <w:tr>
        <w:trPr>
          <w:trHeight w:val="152"/>
        </w:trPr>
        <w:tc>
          <w:tcPr>
            <w:tcW w:w="212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rPr>
              <w:t>Total Building</w:t>
            </w:r>
          </w:p>
        </w:tc>
        <w:tc>
          <w:tcPr>
            <w:tcW w:w="11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3,711,715</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160"/>
              <w:spacing w:after="0" w:line="166" w:lineRule="exact"/>
              <w:rPr>
                <w:sz w:val="20"/>
                <w:szCs w:val="20"/>
                <w:color w:val="auto"/>
              </w:rPr>
            </w:pPr>
            <w:r>
              <w:rPr>
                <w:rFonts w:ascii="Arial" w:cs="Arial" w:eastAsia="Arial" w:hAnsi="Arial"/>
                <w:sz w:val="15"/>
                <w:szCs w:val="15"/>
                <w:color w:val="auto"/>
              </w:rPr>
              <w:t>Materials Business</w:t>
            </w:r>
          </w:p>
        </w:tc>
        <w:tc>
          <w:tcPr>
            <w:tcW w:w="118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3"/>
              <w:spacing w:after="0" w:line="166" w:lineRule="exact"/>
              <w:rPr>
                <w:sz w:val="20"/>
                <w:szCs w:val="20"/>
                <w:color w:val="auto"/>
              </w:rPr>
            </w:pPr>
            <w:r>
              <w:rPr>
                <w:rFonts w:ascii="Arial" w:cs="Arial" w:eastAsia="Arial" w:hAnsi="Arial"/>
                <w:sz w:val="15"/>
                <w:szCs w:val="15"/>
                <w:color w:val="auto"/>
              </w:rPr>
              <w:t>3,470,756</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3,336,266</w:t>
            </w:r>
          </w:p>
        </w:tc>
        <w:tc>
          <w:tcPr>
            <w:tcW w:w="0" w:type="dxa"/>
            <w:vAlign w:val="bottom"/>
          </w:tcPr>
          <w:p>
            <w:pPr>
              <w:spacing w:after="0"/>
              <w:rPr>
                <w:sz w:val="1"/>
                <w:szCs w:val="1"/>
                <w:color w:val="auto"/>
              </w:rPr>
            </w:pPr>
          </w:p>
        </w:tc>
      </w:tr>
      <w:tr>
        <w:trPr>
          <w:trHeight w:val="162"/>
        </w:trPr>
        <w:tc>
          <w:tcPr>
            <w:tcW w:w="2120" w:type="dxa"/>
            <w:vAlign w:val="bottom"/>
            <w:tcBorders>
              <w:bottom w:val="single" w:sz="8" w:color="auto"/>
            </w:tcBorders>
          </w:tcPr>
          <w:p>
            <w:pPr>
              <w:ind w:left="20"/>
              <w:spacing w:after="0" w:line="162" w:lineRule="exact"/>
              <w:rPr>
                <w:sz w:val="20"/>
                <w:szCs w:val="20"/>
                <w:color w:val="auto"/>
              </w:rPr>
            </w:pPr>
            <w:r>
              <w:rPr>
                <w:rFonts w:ascii="Arial" w:cs="Arial" w:eastAsia="Arial" w:hAnsi="Arial"/>
                <w:sz w:val="15"/>
                <w:szCs w:val="15"/>
                <w:color w:val="auto"/>
              </w:rPr>
              <w:t>Magnesia Specialties</w:t>
            </w:r>
          </w:p>
        </w:tc>
        <w:tc>
          <w:tcPr>
            <w:tcW w:w="118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b w:val="1"/>
                <w:bCs w:val="1"/>
                <w:color w:val="auto"/>
              </w:rPr>
              <w:t>268,636</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color w:val="auto"/>
              </w:rPr>
              <w:t>252,722</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242,384</w:t>
            </w:r>
          </w:p>
        </w:tc>
        <w:tc>
          <w:tcPr>
            <w:tcW w:w="0" w:type="dxa"/>
            <w:vAlign w:val="bottom"/>
          </w:tcPr>
          <w:p>
            <w:pPr>
              <w:spacing w:after="0"/>
              <w:rPr>
                <w:sz w:val="1"/>
                <w:szCs w:val="1"/>
                <w:color w:val="auto"/>
              </w:rPr>
            </w:pPr>
          </w:p>
        </w:tc>
      </w:tr>
      <w:tr>
        <w:trPr>
          <w:trHeight w:val="152"/>
        </w:trPr>
        <w:tc>
          <w:tcPr>
            <w:tcW w:w="212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rPr>
              <w:t>Total Consolidated Products</w:t>
            </w:r>
          </w:p>
        </w:tc>
        <w:tc>
          <w:tcPr>
            <w:tcW w:w="11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$ 3,980,351</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120" w:type="dxa"/>
            <w:vAlign w:val="bottom"/>
            <w:tcBorders>
              <w:bottom w:val="single" w:sz="8" w:color="auto"/>
            </w:tcBorders>
            <w:shd w:val="clear" w:color="auto" w:fill="CCEEFF"/>
          </w:tcPr>
          <w:p>
            <w:pPr>
              <w:ind w:left="160"/>
              <w:spacing w:after="0" w:line="166" w:lineRule="exact"/>
              <w:rPr>
                <w:sz w:val="20"/>
                <w:szCs w:val="20"/>
                <w:color w:val="auto"/>
              </w:rPr>
            </w:pPr>
            <w:r>
              <w:rPr>
                <w:rFonts w:ascii="Arial" w:cs="Arial" w:eastAsia="Arial" w:hAnsi="Arial"/>
                <w:sz w:val="15"/>
                <w:szCs w:val="15"/>
                <w:color w:val="auto"/>
              </w:rPr>
              <w:t>and Services Revenues</w:t>
            </w:r>
          </w:p>
        </w:tc>
        <w:tc>
          <w:tcPr>
            <w:tcW w:w="1180" w:type="dxa"/>
            <w:vAlign w:val="bottom"/>
            <w:tcBorders>
              <w:bottom w:val="single" w:sz="8" w:color="auto"/>
            </w:tcBorders>
            <w:vMerge w:val="continue"/>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83"/>
              <w:spacing w:after="0" w:line="166" w:lineRule="exact"/>
              <w:rPr>
                <w:sz w:val="20"/>
                <w:szCs w:val="20"/>
                <w:color w:val="auto"/>
              </w:rPr>
            </w:pPr>
            <w:r>
              <w:rPr>
                <w:rFonts w:ascii="Arial" w:cs="Arial" w:eastAsia="Arial" w:hAnsi="Arial"/>
                <w:sz w:val="15"/>
                <w:szCs w:val="15"/>
                <w:color w:val="auto"/>
              </w:rPr>
              <w:t>3,723,478</w:t>
            </w:r>
          </w:p>
        </w:tc>
        <w:tc>
          <w:tcPr>
            <w:tcW w:w="28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3,578,650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Products and services revenues by product line for the Company are as follows: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years ended December 31</w:t>
      </w:r>
    </w:p>
    <w:tbl>
      <w:tblPr>
        <w:tblLayout w:type="fixed"/>
        <w:tblInd w:w="0" w:type="dxa"/>
        <w:tblCellMar>
          <w:top w:w="0" w:type="dxa"/>
          <w:left w:w="0" w:type="dxa"/>
          <w:bottom w:w="0" w:type="dxa"/>
          <w:right w:w="0" w:type="dxa"/>
        </w:tblCellMar>
      </w:tblPr>
      <w:tr>
        <w:trPr>
          <w:trHeight w:val="165"/>
        </w:trPr>
        <w:tc>
          <w:tcPr>
            <w:tcW w:w="22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(add 000)</w:t>
            </w:r>
          </w:p>
        </w:tc>
        <w:tc>
          <w:tcPr>
            <w:tcW w:w="1160" w:type="dxa"/>
            <w:vAlign w:val="bottom"/>
            <w:tcBorders>
              <w:bottom w:val="single" w:sz="8" w:color="auto"/>
            </w:tcBorders>
          </w:tcPr>
          <w:p>
            <w:pPr>
              <w:jc w:val="right"/>
              <w:ind w:right="103"/>
              <w:spacing w:after="0" w:line="166" w:lineRule="exact"/>
              <w:rPr>
                <w:sz w:val="20"/>
                <w:szCs w:val="20"/>
                <w:color w:val="auto"/>
              </w:rPr>
            </w:pPr>
            <w:r>
              <w:rPr>
                <w:rFonts w:ascii="Arial" w:cs="Arial" w:eastAsia="Arial" w:hAnsi="Arial"/>
                <w:sz w:val="15"/>
                <w:szCs w:val="15"/>
                <w:b w:val="1"/>
                <w:bCs w:val="1"/>
                <w:color w:val="0085CD"/>
              </w:rPr>
              <w:t>2018</w:t>
            </w:r>
          </w:p>
        </w:tc>
        <w:tc>
          <w:tcPr>
            <w:tcW w:w="1140" w:type="dxa"/>
            <w:vAlign w:val="bottom"/>
            <w:tcBorders>
              <w:bottom w:val="single" w:sz="8" w:color="auto"/>
            </w:tcBorders>
          </w:tcPr>
          <w:p>
            <w:pPr>
              <w:jc w:val="right"/>
              <w:ind w:right="103"/>
              <w:spacing w:after="0" w:line="166" w:lineRule="exact"/>
              <w:rPr>
                <w:sz w:val="20"/>
                <w:szCs w:val="20"/>
                <w:color w:val="auto"/>
              </w:rPr>
            </w:pPr>
            <w:r>
              <w:rPr>
                <w:rFonts w:ascii="Arial" w:cs="Arial" w:eastAsia="Arial" w:hAnsi="Arial"/>
                <w:sz w:val="15"/>
                <w:szCs w:val="15"/>
                <w:color w:val="auto"/>
              </w:rPr>
              <w:t>2017</w:t>
            </w:r>
          </w:p>
        </w:tc>
        <w:tc>
          <w:tcPr>
            <w:tcW w:w="1040" w:type="dxa"/>
            <w:vAlign w:val="bottom"/>
            <w:tcBorders>
              <w:bottom w:val="single" w:sz="8" w:color="auto"/>
            </w:tcBorders>
          </w:tcPr>
          <w:p>
            <w:pPr>
              <w:jc w:val="right"/>
              <w:ind w:right="23"/>
              <w:spacing w:after="0" w:line="166" w:lineRule="exact"/>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226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Building Materials Business:</w:t>
            </w:r>
          </w:p>
        </w:tc>
        <w:tc>
          <w:tcPr>
            <w:tcW w:w="1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160"/>
              <w:spacing w:after="0" w:line="162" w:lineRule="exact"/>
              <w:rPr>
                <w:sz w:val="20"/>
                <w:szCs w:val="20"/>
                <w:color w:val="auto"/>
              </w:rPr>
            </w:pPr>
            <w:r>
              <w:rPr>
                <w:rFonts w:ascii="Arial" w:cs="Arial" w:eastAsia="Arial" w:hAnsi="Arial"/>
                <w:sz w:val="15"/>
                <w:szCs w:val="15"/>
                <w:color w:val="auto"/>
              </w:rPr>
              <w:t>Aggregates</w:t>
            </w:r>
          </w:p>
        </w:tc>
        <w:tc>
          <w:tcPr>
            <w:tcW w:w="1160" w:type="dxa"/>
            <w:vAlign w:val="bottom"/>
          </w:tcPr>
          <w:p>
            <w:pPr>
              <w:jc w:val="right"/>
              <w:ind w:right="103"/>
              <w:spacing w:after="0" w:line="162" w:lineRule="exact"/>
              <w:rPr>
                <w:sz w:val="20"/>
                <w:szCs w:val="20"/>
                <w:color w:val="auto"/>
              </w:rPr>
            </w:pPr>
            <w:r>
              <w:rPr>
                <w:rFonts w:ascii="Arial" w:cs="Arial" w:eastAsia="Arial" w:hAnsi="Arial"/>
                <w:sz w:val="15"/>
                <w:szCs w:val="15"/>
                <w:b w:val="1"/>
                <w:bCs w:val="1"/>
                <w:color w:val="auto"/>
              </w:rPr>
              <w:t>$ 2,355,673</w:t>
            </w:r>
          </w:p>
        </w:tc>
        <w:tc>
          <w:tcPr>
            <w:tcW w:w="114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$ 2,134,927</w:t>
            </w:r>
          </w:p>
        </w:tc>
        <w:tc>
          <w:tcPr>
            <w:tcW w:w="1040" w:type="dxa"/>
            <w:vAlign w:val="bottom"/>
          </w:tcPr>
          <w:p>
            <w:pPr>
              <w:jc w:val="right"/>
              <w:ind w:right="23"/>
              <w:spacing w:after="0" w:line="162" w:lineRule="exact"/>
              <w:rPr>
                <w:sz w:val="20"/>
                <w:szCs w:val="20"/>
                <w:color w:val="auto"/>
              </w:rPr>
            </w:pPr>
            <w:r>
              <w:rPr>
                <w:rFonts w:ascii="Arial" w:cs="Arial" w:eastAsia="Arial" w:hAnsi="Arial"/>
                <w:sz w:val="15"/>
                <w:szCs w:val="15"/>
                <w:color w:val="auto"/>
              </w:rPr>
              <w:t>$ 2,058,687</w:t>
            </w:r>
          </w:p>
        </w:tc>
        <w:tc>
          <w:tcPr>
            <w:tcW w:w="0" w:type="dxa"/>
            <w:vAlign w:val="bottom"/>
          </w:tcPr>
          <w:p>
            <w:pPr>
              <w:spacing w:after="0"/>
              <w:rPr>
                <w:sz w:val="1"/>
                <w:szCs w:val="1"/>
                <w:color w:val="auto"/>
              </w:rPr>
            </w:pPr>
          </w:p>
        </w:tc>
      </w:tr>
      <w:tr>
        <w:trPr>
          <w:trHeight w:val="162"/>
        </w:trPr>
        <w:tc>
          <w:tcPr>
            <w:tcW w:w="226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Cement</w:t>
            </w:r>
          </w:p>
        </w:tc>
        <w:tc>
          <w:tcPr>
            <w:tcW w:w="116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b w:val="1"/>
                <w:bCs w:val="1"/>
                <w:color w:val="auto"/>
              </w:rPr>
              <w:t>387,830</w:t>
            </w:r>
          </w:p>
        </w:tc>
        <w:tc>
          <w:tcPr>
            <w:tcW w:w="114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371,233</w:t>
            </w:r>
          </w:p>
        </w:tc>
        <w:tc>
          <w:tcPr>
            <w:tcW w:w="104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364,139</w:t>
            </w:r>
          </w:p>
        </w:tc>
        <w:tc>
          <w:tcPr>
            <w:tcW w:w="0" w:type="dxa"/>
            <w:vAlign w:val="bottom"/>
          </w:tcPr>
          <w:p>
            <w:pPr>
              <w:spacing w:after="0"/>
              <w:rPr>
                <w:sz w:val="1"/>
                <w:szCs w:val="1"/>
                <w:color w:val="auto"/>
              </w:rPr>
            </w:pPr>
          </w:p>
        </w:tc>
      </w:tr>
      <w:tr>
        <w:trPr>
          <w:trHeight w:val="162"/>
        </w:trPr>
        <w:tc>
          <w:tcPr>
            <w:tcW w:w="2260" w:type="dxa"/>
            <w:vAlign w:val="bottom"/>
          </w:tcPr>
          <w:p>
            <w:pPr>
              <w:ind w:left="160"/>
              <w:spacing w:after="0" w:line="162" w:lineRule="exact"/>
              <w:rPr>
                <w:sz w:val="20"/>
                <w:szCs w:val="20"/>
                <w:color w:val="auto"/>
              </w:rPr>
            </w:pPr>
            <w:r>
              <w:rPr>
                <w:rFonts w:ascii="Arial" w:cs="Arial" w:eastAsia="Arial" w:hAnsi="Arial"/>
                <w:sz w:val="15"/>
                <w:szCs w:val="15"/>
                <w:color w:val="auto"/>
              </w:rPr>
              <w:t>Ready Mixed Concrete</w:t>
            </w:r>
          </w:p>
        </w:tc>
        <w:tc>
          <w:tcPr>
            <w:tcW w:w="1160" w:type="dxa"/>
            <w:vAlign w:val="bottom"/>
          </w:tcPr>
          <w:p>
            <w:pPr>
              <w:jc w:val="right"/>
              <w:ind w:right="103"/>
              <w:spacing w:after="0" w:line="162" w:lineRule="exact"/>
              <w:rPr>
                <w:sz w:val="20"/>
                <w:szCs w:val="20"/>
                <w:color w:val="auto"/>
              </w:rPr>
            </w:pPr>
            <w:r>
              <w:rPr>
                <w:rFonts w:ascii="Arial" w:cs="Arial" w:eastAsia="Arial" w:hAnsi="Arial"/>
                <w:sz w:val="15"/>
                <w:szCs w:val="15"/>
                <w:b w:val="1"/>
                <w:bCs w:val="1"/>
                <w:color w:val="auto"/>
              </w:rPr>
              <w:t>963,770</w:t>
            </w:r>
          </w:p>
        </w:tc>
        <w:tc>
          <w:tcPr>
            <w:tcW w:w="114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936,037</w:t>
            </w:r>
          </w:p>
        </w:tc>
        <w:tc>
          <w:tcPr>
            <w:tcW w:w="1040" w:type="dxa"/>
            <w:vAlign w:val="bottom"/>
          </w:tcPr>
          <w:p>
            <w:pPr>
              <w:jc w:val="right"/>
              <w:ind w:right="23"/>
              <w:spacing w:after="0" w:line="162" w:lineRule="exact"/>
              <w:rPr>
                <w:sz w:val="20"/>
                <w:szCs w:val="20"/>
                <w:color w:val="auto"/>
              </w:rPr>
            </w:pPr>
            <w:r>
              <w:rPr>
                <w:rFonts w:ascii="Arial" w:cs="Arial" w:eastAsia="Arial" w:hAnsi="Arial"/>
                <w:sz w:val="15"/>
                <w:szCs w:val="15"/>
                <w:color w:val="auto"/>
              </w:rPr>
              <w:t>902,678</w:t>
            </w:r>
          </w:p>
        </w:tc>
        <w:tc>
          <w:tcPr>
            <w:tcW w:w="0" w:type="dxa"/>
            <w:vAlign w:val="bottom"/>
          </w:tcPr>
          <w:p>
            <w:pPr>
              <w:spacing w:after="0"/>
              <w:rPr>
                <w:sz w:val="1"/>
                <w:szCs w:val="1"/>
                <w:color w:val="auto"/>
              </w:rPr>
            </w:pPr>
          </w:p>
        </w:tc>
      </w:tr>
      <w:tr>
        <w:trPr>
          <w:trHeight w:val="162"/>
        </w:trPr>
        <w:tc>
          <w:tcPr>
            <w:tcW w:w="226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Asphalt and Paving Services</w:t>
            </w:r>
          </w:p>
        </w:tc>
        <w:tc>
          <w:tcPr>
            <w:tcW w:w="116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b w:val="1"/>
                <w:bCs w:val="1"/>
                <w:color w:val="auto"/>
              </w:rPr>
              <w:t>268,679</w:t>
            </w:r>
          </w:p>
        </w:tc>
        <w:tc>
          <w:tcPr>
            <w:tcW w:w="114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292,571</w:t>
            </w:r>
          </w:p>
        </w:tc>
        <w:tc>
          <w:tcPr>
            <w:tcW w:w="104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257,873</w:t>
            </w:r>
          </w:p>
        </w:tc>
        <w:tc>
          <w:tcPr>
            <w:tcW w:w="0" w:type="dxa"/>
            <w:vAlign w:val="bottom"/>
          </w:tcPr>
          <w:p>
            <w:pPr>
              <w:spacing w:after="0"/>
              <w:rPr>
                <w:sz w:val="1"/>
                <w:szCs w:val="1"/>
                <w:color w:val="auto"/>
              </w:rPr>
            </w:pPr>
          </w:p>
        </w:tc>
      </w:tr>
      <w:tr>
        <w:trPr>
          <w:trHeight w:val="162"/>
        </w:trPr>
        <w:tc>
          <w:tcPr>
            <w:tcW w:w="2260" w:type="dxa"/>
            <w:vAlign w:val="bottom"/>
            <w:tcBorders>
              <w:bottom w:val="single" w:sz="8" w:color="auto"/>
            </w:tcBorders>
          </w:tcPr>
          <w:p>
            <w:pPr>
              <w:ind w:left="160"/>
              <w:spacing w:after="0" w:line="162" w:lineRule="exact"/>
              <w:rPr>
                <w:sz w:val="20"/>
                <w:szCs w:val="20"/>
                <w:color w:val="auto"/>
              </w:rPr>
            </w:pPr>
            <w:r>
              <w:rPr>
                <w:rFonts w:ascii="Arial" w:cs="Arial" w:eastAsia="Arial" w:hAnsi="Arial"/>
                <w:sz w:val="15"/>
                <w:szCs w:val="15"/>
                <w:color w:val="auto"/>
              </w:rPr>
              <w:t>Less: Interproduct revenues</w:t>
            </w:r>
          </w:p>
        </w:tc>
        <w:tc>
          <w:tcPr>
            <w:tcW w:w="116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b w:val="1"/>
                <w:bCs w:val="1"/>
                <w:color w:val="auto"/>
              </w:rPr>
              <w:t>(264,237)</w:t>
            </w:r>
          </w:p>
        </w:tc>
        <w:tc>
          <w:tcPr>
            <w:tcW w:w="114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(264,012)</w:t>
            </w:r>
          </w:p>
        </w:tc>
        <w:tc>
          <w:tcPr>
            <w:tcW w:w="10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(247,111)</w:t>
            </w:r>
          </w:p>
        </w:tc>
        <w:tc>
          <w:tcPr>
            <w:tcW w:w="0" w:type="dxa"/>
            <w:vAlign w:val="bottom"/>
          </w:tcPr>
          <w:p>
            <w:pPr>
              <w:spacing w:after="0"/>
              <w:rPr>
                <w:sz w:val="1"/>
                <w:szCs w:val="1"/>
                <w:color w:val="auto"/>
              </w:rPr>
            </w:pPr>
          </w:p>
        </w:tc>
      </w:tr>
      <w:tr>
        <w:trPr>
          <w:trHeight w:val="152"/>
        </w:trPr>
        <w:tc>
          <w:tcPr>
            <w:tcW w:w="2260" w:type="dxa"/>
            <w:vAlign w:val="bottom"/>
            <w:shd w:val="clear" w:color="auto" w:fill="CCEEFF"/>
          </w:tcPr>
          <w:p>
            <w:pPr>
              <w:spacing w:after="0" w:line="152" w:lineRule="exact"/>
              <w:rPr>
                <w:sz w:val="20"/>
                <w:szCs w:val="20"/>
                <w:color w:val="auto"/>
              </w:rPr>
            </w:pPr>
            <w:r>
              <w:rPr>
                <w:rFonts w:ascii="Arial" w:cs="Arial" w:eastAsia="Arial" w:hAnsi="Arial"/>
                <w:sz w:val="15"/>
                <w:szCs w:val="15"/>
                <w:color w:val="auto"/>
              </w:rPr>
              <w:t>Total Building Materials</w:t>
            </w:r>
          </w:p>
        </w:tc>
        <w:tc>
          <w:tcPr>
            <w:tcW w:w="116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3,711,715</w:t>
            </w:r>
          </w:p>
        </w:tc>
        <w:tc>
          <w:tcPr>
            <w:tcW w:w="1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60" w:type="dxa"/>
            <w:vAlign w:val="bottom"/>
            <w:shd w:val="clear" w:color="auto" w:fill="CCEEFF"/>
          </w:tcPr>
          <w:p>
            <w:pPr>
              <w:ind w:left="160"/>
              <w:spacing w:after="0" w:line="166" w:lineRule="exact"/>
              <w:rPr>
                <w:sz w:val="20"/>
                <w:szCs w:val="20"/>
                <w:color w:val="auto"/>
              </w:rPr>
            </w:pPr>
            <w:r>
              <w:rPr>
                <w:rFonts w:ascii="Arial" w:cs="Arial" w:eastAsia="Arial" w:hAnsi="Arial"/>
                <w:sz w:val="15"/>
                <w:szCs w:val="15"/>
                <w:color w:val="auto"/>
              </w:rPr>
              <w:t>Business</w:t>
            </w:r>
          </w:p>
        </w:tc>
        <w:tc>
          <w:tcPr>
            <w:tcW w:w="1160" w:type="dxa"/>
            <w:vAlign w:val="bottom"/>
            <w:vMerge w:val="continue"/>
            <w:shd w:val="clear" w:color="auto" w:fill="CCEEFF"/>
          </w:tcPr>
          <w:p>
            <w:pPr>
              <w:spacing w:after="0"/>
              <w:rPr>
                <w:sz w:val="14"/>
                <w:szCs w:val="14"/>
                <w:color w:val="auto"/>
              </w:rPr>
            </w:pPr>
          </w:p>
        </w:tc>
        <w:tc>
          <w:tcPr>
            <w:tcW w:w="1140" w:type="dxa"/>
            <w:vAlign w:val="bottom"/>
            <w:shd w:val="clear" w:color="auto" w:fill="CCEEFF"/>
          </w:tcPr>
          <w:p>
            <w:pPr>
              <w:jc w:val="right"/>
              <w:ind w:right="103"/>
              <w:spacing w:after="0" w:line="166" w:lineRule="exact"/>
              <w:rPr>
                <w:sz w:val="20"/>
                <w:szCs w:val="20"/>
                <w:color w:val="auto"/>
              </w:rPr>
            </w:pPr>
            <w:r>
              <w:rPr>
                <w:rFonts w:ascii="Arial" w:cs="Arial" w:eastAsia="Arial" w:hAnsi="Arial"/>
                <w:sz w:val="15"/>
                <w:szCs w:val="15"/>
                <w:color w:val="auto"/>
              </w:rPr>
              <w:t>3,470,756</w:t>
            </w:r>
          </w:p>
        </w:tc>
        <w:tc>
          <w:tcPr>
            <w:tcW w:w="1040" w:type="dxa"/>
            <w:vAlign w:val="bottom"/>
            <w:shd w:val="clear" w:color="auto" w:fill="CCEEFF"/>
          </w:tcPr>
          <w:p>
            <w:pPr>
              <w:jc w:val="right"/>
              <w:ind w:right="23"/>
              <w:spacing w:after="0" w:line="166" w:lineRule="exact"/>
              <w:rPr>
                <w:sz w:val="20"/>
                <w:szCs w:val="20"/>
                <w:color w:val="auto"/>
              </w:rPr>
            </w:pPr>
            <w:r>
              <w:rPr>
                <w:rFonts w:ascii="Arial" w:cs="Arial" w:eastAsia="Arial" w:hAnsi="Arial"/>
                <w:sz w:val="15"/>
                <w:szCs w:val="15"/>
                <w:color w:val="auto"/>
              </w:rPr>
              <w:t>3,336,266</w:t>
            </w:r>
          </w:p>
        </w:tc>
        <w:tc>
          <w:tcPr>
            <w:tcW w:w="0" w:type="dxa"/>
            <w:vAlign w:val="bottom"/>
          </w:tcPr>
          <w:p>
            <w:pPr>
              <w:spacing w:after="0"/>
              <w:rPr>
                <w:sz w:val="1"/>
                <w:szCs w:val="1"/>
                <w:color w:val="auto"/>
              </w:rPr>
            </w:pPr>
          </w:p>
        </w:tc>
      </w:tr>
      <w:tr>
        <w:trPr>
          <w:trHeight w:val="162"/>
        </w:trPr>
        <w:tc>
          <w:tcPr>
            <w:tcW w:w="226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Magnesia Specialties</w:t>
            </w:r>
          </w:p>
        </w:tc>
        <w:tc>
          <w:tcPr>
            <w:tcW w:w="116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b w:val="1"/>
                <w:bCs w:val="1"/>
                <w:color w:val="auto"/>
              </w:rPr>
              <w:t>268,636</w:t>
            </w:r>
          </w:p>
        </w:tc>
        <w:tc>
          <w:tcPr>
            <w:tcW w:w="114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color w:val="auto"/>
              </w:rPr>
              <w:t>252,722</w:t>
            </w:r>
          </w:p>
        </w:tc>
        <w:tc>
          <w:tcPr>
            <w:tcW w:w="104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242,384</w:t>
            </w:r>
          </w:p>
        </w:tc>
        <w:tc>
          <w:tcPr>
            <w:tcW w:w="0" w:type="dxa"/>
            <w:vAlign w:val="bottom"/>
          </w:tcPr>
          <w:p>
            <w:pPr>
              <w:spacing w:after="0"/>
              <w:rPr>
                <w:sz w:val="1"/>
                <w:szCs w:val="1"/>
                <w:color w:val="auto"/>
              </w:rPr>
            </w:pPr>
          </w:p>
        </w:tc>
      </w:tr>
      <w:tr>
        <w:trPr>
          <w:trHeight w:val="152"/>
        </w:trPr>
        <w:tc>
          <w:tcPr>
            <w:tcW w:w="2260" w:type="dxa"/>
            <w:vAlign w:val="bottom"/>
            <w:shd w:val="clear" w:color="auto" w:fill="CCEEFF"/>
          </w:tcPr>
          <w:p>
            <w:pPr>
              <w:spacing w:after="0" w:line="152" w:lineRule="exact"/>
              <w:rPr>
                <w:sz w:val="20"/>
                <w:szCs w:val="20"/>
                <w:color w:val="auto"/>
              </w:rPr>
            </w:pPr>
            <w:r>
              <w:rPr>
                <w:rFonts w:ascii="Arial" w:cs="Arial" w:eastAsia="Arial" w:hAnsi="Arial"/>
                <w:sz w:val="15"/>
                <w:szCs w:val="15"/>
                <w:color w:val="auto"/>
              </w:rPr>
              <w:t>Total Consolidated Products</w:t>
            </w:r>
          </w:p>
        </w:tc>
        <w:tc>
          <w:tcPr>
            <w:tcW w:w="116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$ 3,980,351</w:t>
            </w:r>
          </w:p>
        </w:tc>
        <w:tc>
          <w:tcPr>
            <w:tcW w:w="1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260" w:type="dxa"/>
            <w:vAlign w:val="bottom"/>
            <w:tcBorders>
              <w:bottom w:val="single" w:sz="8" w:color="auto"/>
            </w:tcBorders>
            <w:shd w:val="clear" w:color="auto" w:fill="CCEEFF"/>
          </w:tcPr>
          <w:p>
            <w:pPr>
              <w:ind w:left="160"/>
              <w:spacing w:after="0" w:line="166" w:lineRule="exact"/>
              <w:rPr>
                <w:sz w:val="20"/>
                <w:szCs w:val="20"/>
                <w:color w:val="auto"/>
              </w:rPr>
            </w:pPr>
            <w:r>
              <w:rPr>
                <w:rFonts w:ascii="Arial" w:cs="Arial" w:eastAsia="Arial" w:hAnsi="Arial"/>
                <w:sz w:val="15"/>
                <w:szCs w:val="15"/>
                <w:color w:val="auto"/>
              </w:rPr>
              <w:t>and Services Revenues</w:t>
            </w: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03"/>
              <w:spacing w:after="0" w:line="166" w:lineRule="exact"/>
              <w:rPr>
                <w:sz w:val="20"/>
                <w:szCs w:val="20"/>
                <w:color w:val="auto"/>
              </w:rPr>
            </w:pPr>
            <w:r>
              <w:rPr>
                <w:rFonts w:ascii="Arial" w:cs="Arial" w:eastAsia="Arial" w:hAnsi="Arial"/>
                <w:sz w:val="15"/>
                <w:szCs w:val="15"/>
                <w:color w:val="auto"/>
              </w:rPr>
              <w:t>$ 3,723,478</w:t>
            </w:r>
          </w:p>
        </w:tc>
        <w:tc>
          <w:tcPr>
            <w:tcW w:w="1040" w:type="dxa"/>
            <w:vAlign w:val="bottom"/>
            <w:tcBorders>
              <w:bottom w:val="single" w:sz="8" w:color="auto"/>
            </w:tcBorders>
            <w:shd w:val="clear" w:color="auto" w:fill="CCEEFF"/>
          </w:tcPr>
          <w:p>
            <w:pPr>
              <w:jc w:val="right"/>
              <w:ind w:right="23"/>
              <w:spacing w:after="0" w:line="166" w:lineRule="exact"/>
              <w:rPr>
                <w:sz w:val="20"/>
                <w:szCs w:val="20"/>
                <w:color w:val="auto"/>
              </w:rPr>
            </w:pPr>
            <w:r>
              <w:rPr>
                <w:rFonts w:ascii="Arial" w:cs="Arial" w:eastAsia="Arial" w:hAnsi="Arial"/>
                <w:sz w:val="15"/>
                <w:szCs w:val="15"/>
                <w:color w:val="auto"/>
              </w:rPr>
              <w:t>$ 3,578,650</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9B28F"/>
        </w:rPr>
        <w:t>Aggregates.</w:t>
      </w:r>
    </w:p>
    <w:p>
      <w:pPr>
        <w:spacing w:after="0" w:line="5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Aggregates average selling price increases compared to the prior year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62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years ended December 31</w:t>
            </w:r>
          </w:p>
        </w:tc>
        <w:tc>
          <w:tcPr>
            <w:tcW w:w="144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0085CD"/>
              </w:rPr>
              <w:t>2018</w:t>
            </w: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color w:val="auto"/>
              </w:rPr>
              <w:t>2017</w:t>
            </w:r>
          </w:p>
        </w:tc>
        <w:tc>
          <w:tcPr>
            <w:tcW w:w="720" w:type="dxa"/>
            <w:vAlign w:val="bottom"/>
            <w:tcBorders>
              <w:bottom w:val="single" w:sz="8" w:color="auto"/>
            </w:tcBorders>
          </w:tcPr>
          <w:p>
            <w:pPr>
              <w:jc w:val="right"/>
              <w:ind w:right="115"/>
              <w:spacing w:after="0"/>
              <w:rPr>
                <w:sz w:val="20"/>
                <w:szCs w:val="20"/>
                <w:color w:val="auto"/>
              </w:rPr>
            </w:pPr>
            <w:r>
              <w:rPr>
                <w:rFonts w:ascii="Arial" w:cs="Arial" w:eastAsia="Arial" w:hAnsi="Arial"/>
                <w:sz w:val="15"/>
                <w:szCs w:val="15"/>
                <w:color w:val="auto"/>
              </w:rPr>
              <w:t>2016</w:t>
            </w:r>
          </w:p>
        </w:tc>
      </w:tr>
      <w:tr>
        <w:trPr>
          <w:trHeight w:val="156"/>
        </w:trPr>
        <w:tc>
          <w:tcPr>
            <w:tcW w:w="262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Heritage Operations:</w:t>
            </w:r>
          </w:p>
        </w:tc>
        <w:tc>
          <w:tcPr>
            <w:tcW w:w="1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62"/>
        </w:trPr>
        <w:tc>
          <w:tcPr>
            <w:tcW w:w="2620" w:type="dxa"/>
            <w:vAlign w:val="bottom"/>
          </w:tcPr>
          <w:p>
            <w:pPr>
              <w:ind w:left="160"/>
              <w:spacing w:after="0" w:line="162" w:lineRule="exact"/>
              <w:rPr>
                <w:sz w:val="20"/>
                <w:szCs w:val="20"/>
                <w:color w:val="auto"/>
              </w:rPr>
            </w:pPr>
            <w:r>
              <w:rPr>
                <w:rFonts w:ascii="Arial" w:cs="Arial" w:eastAsia="Arial" w:hAnsi="Arial"/>
                <w:sz w:val="15"/>
                <w:szCs w:val="15"/>
                <w:color w:val="auto"/>
              </w:rPr>
              <w:t>Mid-America Group</w:t>
            </w:r>
          </w:p>
        </w:tc>
        <w:tc>
          <w:tcPr>
            <w:tcW w:w="1440" w:type="dxa"/>
            <w:vAlign w:val="bottom"/>
          </w:tcPr>
          <w:p>
            <w:pPr>
              <w:jc w:val="right"/>
              <w:ind w:right="115"/>
              <w:spacing w:after="0" w:line="162" w:lineRule="exact"/>
              <w:rPr>
                <w:sz w:val="20"/>
                <w:szCs w:val="20"/>
                <w:color w:val="auto"/>
              </w:rPr>
            </w:pPr>
            <w:r>
              <w:rPr>
                <w:rFonts w:ascii="Arial" w:cs="Arial" w:eastAsia="Arial" w:hAnsi="Arial"/>
                <w:sz w:val="15"/>
                <w:szCs w:val="15"/>
                <w:b w:val="1"/>
                <w:bCs w:val="1"/>
                <w:color w:val="auto"/>
              </w:rPr>
              <w:t>3.8%</w:t>
            </w:r>
          </w:p>
        </w:tc>
        <w:tc>
          <w:tcPr>
            <w:tcW w:w="820" w:type="dxa"/>
            <w:vAlign w:val="bottom"/>
          </w:tcPr>
          <w:p>
            <w:pPr>
              <w:jc w:val="right"/>
              <w:ind w:right="115"/>
              <w:spacing w:after="0" w:line="162" w:lineRule="exact"/>
              <w:rPr>
                <w:sz w:val="20"/>
                <w:szCs w:val="20"/>
                <w:color w:val="auto"/>
              </w:rPr>
            </w:pPr>
            <w:r>
              <w:rPr>
                <w:rFonts w:ascii="Arial" w:cs="Arial" w:eastAsia="Arial" w:hAnsi="Arial"/>
                <w:sz w:val="15"/>
                <w:szCs w:val="15"/>
                <w:color w:val="auto"/>
              </w:rPr>
              <w:t>5.0%</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4.3%</w:t>
            </w:r>
          </w:p>
        </w:tc>
      </w:tr>
      <w:tr>
        <w:trPr>
          <w:trHeight w:val="162"/>
        </w:trPr>
        <w:tc>
          <w:tcPr>
            <w:tcW w:w="262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Southeast Group</w:t>
            </w:r>
          </w:p>
        </w:tc>
        <w:tc>
          <w:tcPr>
            <w:tcW w:w="1440" w:type="dxa"/>
            <w:vAlign w:val="bottom"/>
            <w:shd w:val="clear" w:color="auto" w:fill="CCEEFF"/>
          </w:tcPr>
          <w:p>
            <w:pPr>
              <w:jc w:val="right"/>
              <w:ind w:right="115"/>
              <w:spacing w:after="0" w:line="162" w:lineRule="exact"/>
              <w:rPr>
                <w:sz w:val="20"/>
                <w:szCs w:val="20"/>
                <w:color w:val="auto"/>
              </w:rPr>
            </w:pPr>
            <w:r>
              <w:rPr>
                <w:rFonts w:ascii="Arial" w:cs="Arial" w:eastAsia="Arial" w:hAnsi="Arial"/>
                <w:sz w:val="15"/>
                <w:szCs w:val="15"/>
                <w:b w:val="1"/>
                <w:bCs w:val="1"/>
                <w:color w:val="auto"/>
              </w:rPr>
              <w:t>3.0%</w:t>
            </w:r>
          </w:p>
        </w:tc>
        <w:tc>
          <w:tcPr>
            <w:tcW w:w="820" w:type="dxa"/>
            <w:vAlign w:val="bottom"/>
            <w:shd w:val="clear" w:color="auto" w:fill="CCEEFF"/>
          </w:tcPr>
          <w:p>
            <w:pPr>
              <w:jc w:val="right"/>
              <w:ind w:right="115"/>
              <w:spacing w:after="0" w:line="162" w:lineRule="exact"/>
              <w:rPr>
                <w:sz w:val="20"/>
                <w:szCs w:val="20"/>
                <w:color w:val="auto"/>
              </w:rPr>
            </w:pPr>
            <w:r>
              <w:rPr>
                <w:rFonts w:ascii="Arial" w:cs="Arial" w:eastAsia="Arial" w:hAnsi="Arial"/>
                <w:sz w:val="15"/>
                <w:szCs w:val="15"/>
                <w:color w:val="auto"/>
              </w:rPr>
              <w:t>8.7%</w:t>
            </w: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7.1%</w:t>
            </w:r>
          </w:p>
        </w:tc>
      </w:tr>
      <w:tr>
        <w:trPr>
          <w:trHeight w:val="162"/>
        </w:trPr>
        <w:tc>
          <w:tcPr>
            <w:tcW w:w="2620" w:type="dxa"/>
            <w:vAlign w:val="bottom"/>
          </w:tcPr>
          <w:p>
            <w:pPr>
              <w:ind w:left="160"/>
              <w:spacing w:after="0" w:line="162" w:lineRule="exact"/>
              <w:rPr>
                <w:sz w:val="20"/>
                <w:szCs w:val="20"/>
                <w:color w:val="auto"/>
              </w:rPr>
            </w:pPr>
            <w:r>
              <w:rPr>
                <w:rFonts w:ascii="Arial" w:cs="Arial" w:eastAsia="Arial" w:hAnsi="Arial"/>
                <w:sz w:val="15"/>
                <w:szCs w:val="15"/>
                <w:color w:val="auto"/>
              </w:rPr>
              <w:t>West Group</w:t>
            </w:r>
          </w:p>
        </w:tc>
        <w:tc>
          <w:tcPr>
            <w:tcW w:w="1440" w:type="dxa"/>
            <w:vAlign w:val="bottom"/>
          </w:tcPr>
          <w:p>
            <w:pPr>
              <w:jc w:val="right"/>
              <w:ind w:right="115"/>
              <w:spacing w:after="0" w:line="162" w:lineRule="exact"/>
              <w:rPr>
                <w:sz w:val="20"/>
                <w:szCs w:val="20"/>
                <w:color w:val="auto"/>
              </w:rPr>
            </w:pPr>
            <w:r>
              <w:rPr>
                <w:rFonts w:ascii="Arial" w:cs="Arial" w:eastAsia="Arial" w:hAnsi="Arial"/>
                <w:sz w:val="15"/>
                <w:szCs w:val="15"/>
                <w:b w:val="1"/>
                <w:bCs w:val="1"/>
                <w:color w:val="auto"/>
              </w:rPr>
              <w:t>2.0%</w:t>
            </w:r>
          </w:p>
        </w:tc>
        <w:tc>
          <w:tcPr>
            <w:tcW w:w="820" w:type="dxa"/>
            <w:vAlign w:val="bottom"/>
          </w:tcPr>
          <w:p>
            <w:pPr>
              <w:jc w:val="right"/>
              <w:ind w:right="115"/>
              <w:spacing w:after="0" w:line="162" w:lineRule="exact"/>
              <w:rPr>
                <w:sz w:val="20"/>
                <w:szCs w:val="20"/>
                <w:color w:val="auto"/>
              </w:rPr>
            </w:pPr>
            <w:r>
              <w:rPr>
                <w:rFonts w:ascii="Arial" w:cs="Arial" w:eastAsia="Arial" w:hAnsi="Arial"/>
                <w:sz w:val="15"/>
                <w:szCs w:val="15"/>
                <w:color w:val="auto"/>
              </w:rPr>
              <w:t>1.7%</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10.6%</w:t>
            </w:r>
          </w:p>
        </w:tc>
      </w:tr>
      <w:tr>
        <w:trPr>
          <w:trHeight w:val="4"/>
        </w:trPr>
        <w:tc>
          <w:tcPr>
            <w:tcW w:w="262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Total Heritage Aggregates</w:t>
            </w:r>
          </w:p>
        </w:tc>
        <w:tc>
          <w:tcPr>
            <w:tcW w:w="1440" w:type="dxa"/>
            <w:vAlign w:val="bottom"/>
            <w:shd w:val="clear" w:color="auto" w:fill="CCEEFF"/>
          </w:tcPr>
          <w:p>
            <w:pPr>
              <w:jc w:val="right"/>
              <w:ind w:right="115"/>
              <w:spacing w:after="0" w:line="4" w:lineRule="exact"/>
              <w:rPr>
                <w:sz w:val="20"/>
                <w:szCs w:val="20"/>
                <w:color w:val="auto"/>
              </w:rPr>
            </w:pPr>
            <w:r>
              <w:rPr>
                <w:rFonts w:ascii="Arial" w:cs="Arial" w:eastAsia="Arial" w:hAnsi="Arial"/>
                <w:sz w:val="1"/>
                <w:szCs w:val="1"/>
                <w:b w:val="1"/>
                <w:bCs w:val="1"/>
                <w:color w:val="auto"/>
              </w:rPr>
              <w:t>3.0%</w:t>
            </w:r>
          </w:p>
        </w:tc>
        <w:tc>
          <w:tcPr>
            <w:tcW w:w="820" w:type="dxa"/>
            <w:vAlign w:val="bottom"/>
            <w:shd w:val="clear" w:color="auto" w:fill="CCEEFF"/>
          </w:tcPr>
          <w:p>
            <w:pPr>
              <w:jc w:val="right"/>
              <w:ind w:right="115"/>
              <w:spacing w:after="0" w:line="4" w:lineRule="exact"/>
              <w:rPr>
                <w:sz w:val="20"/>
                <w:szCs w:val="20"/>
                <w:color w:val="auto"/>
              </w:rPr>
            </w:pPr>
            <w:r>
              <w:rPr>
                <w:rFonts w:ascii="Arial" w:cs="Arial" w:eastAsia="Arial" w:hAnsi="Arial"/>
                <w:sz w:val="1"/>
                <w:szCs w:val="1"/>
                <w:color w:val="auto"/>
              </w:rPr>
              <w:t>4.5%</w:t>
            </w:r>
          </w:p>
        </w:tc>
        <w:tc>
          <w:tcPr>
            <w:tcW w:w="720" w:type="dxa"/>
            <w:vAlign w:val="bottom"/>
            <w:shd w:val="clear" w:color="auto" w:fill="CCEEFF"/>
          </w:tcPr>
          <w:p>
            <w:pPr>
              <w:jc w:val="right"/>
              <w:spacing w:after="0" w:line="4" w:lineRule="exact"/>
              <w:rPr>
                <w:sz w:val="20"/>
                <w:szCs w:val="20"/>
                <w:color w:val="auto"/>
              </w:rPr>
            </w:pPr>
            <w:r>
              <w:rPr>
                <w:rFonts w:ascii="Arial" w:cs="Arial" w:eastAsia="Arial" w:hAnsi="Arial"/>
                <w:sz w:val="1"/>
                <w:szCs w:val="1"/>
                <w:color w:val="auto"/>
              </w:rPr>
              <w:t>7.3%</w:t>
            </w:r>
          </w:p>
        </w:tc>
      </w:tr>
      <w:tr>
        <w:trPr>
          <w:trHeight w:val="158"/>
        </w:trPr>
        <w:tc>
          <w:tcPr>
            <w:tcW w:w="2620" w:type="dxa"/>
            <w:vAlign w:val="bottom"/>
            <w:shd w:val="clear" w:color="auto" w:fill="CCEEFF"/>
          </w:tcPr>
          <w:p>
            <w:pPr>
              <w:ind w:left="1780"/>
              <w:spacing w:after="0"/>
              <w:rPr>
                <w:sz w:val="20"/>
                <w:szCs w:val="20"/>
                <w:color w:val="auto"/>
              </w:rPr>
            </w:pPr>
            <w:r>
              <w:rPr>
                <w:rFonts w:ascii="Arial" w:cs="Arial" w:eastAsia="Arial" w:hAnsi="Arial"/>
                <w:sz w:val="13"/>
                <w:szCs w:val="13"/>
                <w:color w:val="auto"/>
              </w:rPr>
              <w:t>1</w:t>
            </w:r>
          </w:p>
        </w:tc>
        <w:tc>
          <w:tcPr>
            <w:tcW w:w="1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202"/>
        </w:trPr>
        <w:tc>
          <w:tcPr>
            <w:tcW w:w="2620" w:type="dxa"/>
            <w:vAlign w:val="bottom"/>
          </w:tcPr>
          <w:p>
            <w:pPr>
              <w:spacing w:after="0"/>
              <w:rPr>
                <w:sz w:val="20"/>
                <w:szCs w:val="20"/>
                <w:color w:val="auto"/>
              </w:rPr>
            </w:pPr>
            <w:r>
              <w:rPr>
                <w:rFonts w:ascii="Arial" w:cs="Arial" w:eastAsia="Arial" w:hAnsi="Arial"/>
                <w:sz w:val="15"/>
                <w:szCs w:val="15"/>
                <w:color w:val="auto"/>
              </w:rPr>
              <w:t>Total Aggregates</w:t>
            </w:r>
            <w:r>
              <w:rPr>
                <w:rFonts w:ascii="Arial" w:cs="Arial" w:eastAsia="Arial" w:hAnsi="Arial"/>
                <w:sz w:val="13"/>
                <w:szCs w:val="13"/>
                <w:color w:val="auto"/>
              </w:rPr>
              <w:t>2</w:t>
            </w:r>
          </w:p>
        </w:tc>
        <w:tc>
          <w:tcPr>
            <w:tcW w:w="1440" w:type="dxa"/>
            <w:vAlign w:val="bottom"/>
          </w:tcPr>
          <w:p>
            <w:pPr>
              <w:jc w:val="right"/>
              <w:ind w:right="115"/>
              <w:spacing w:after="0"/>
              <w:rPr>
                <w:sz w:val="20"/>
                <w:szCs w:val="20"/>
                <w:color w:val="auto"/>
              </w:rPr>
            </w:pPr>
            <w:r>
              <w:rPr>
                <w:rFonts w:ascii="Arial" w:cs="Arial" w:eastAsia="Arial" w:hAnsi="Arial"/>
                <w:sz w:val="15"/>
                <w:szCs w:val="15"/>
                <w:b w:val="1"/>
                <w:bCs w:val="1"/>
                <w:color w:val="auto"/>
              </w:rPr>
              <w:t>1.9%</w:t>
            </w:r>
          </w:p>
        </w:tc>
        <w:tc>
          <w:tcPr>
            <w:tcW w:w="820" w:type="dxa"/>
            <w:vAlign w:val="bottom"/>
          </w:tcPr>
          <w:p>
            <w:pPr>
              <w:jc w:val="right"/>
              <w:ind w:right="115"/>
              <w:spacing w:after="0"/>
              <w:rPr>
                <w:sz w:val="20"/>
                <w:szCs w:val="20"/>
                <w:color w:val="auto"/>
              </w:rPr>
            </w:pPr>
            <w:r>
              <w:rPr>
                <w:rFonts w:ascii="Arial" w:cs="Arial" w:eastAsia="Arial" w:hAnsi="Arial"/>
                <w:sz w:val="15"/>
                <w:szCs w:val="15"/>
                <w:color w:val="auto"/>
              </w:rPr>
              <w:t>4.5%</w:t>
            </w:r>
          </w:p>
        </w:tc>
        <w:tc>
          <w:tcPr>
            <w:tcW w:w="720" w:type="dxa"/>
            <w:vAlign w:val="bottom"/>
          </w:tcPr>
          <w:p>
            <w:pPr>
              <w:jc w:val="right"/>
              <w:spacing w:after="0"/>
              <w:rPr>
                <w:sz w:val="20"/>
                <w:szCs w:val="20"/>
                <w:color w:val="auto"/>
              </w:rPr>
            </w:pPr>
            <w:r>
              <w:rPr>
                <w:rFonts w:ascii="Arial" w:cs="Arial" w:eastAsia="Arial" w:hAnsi="Arial"/>
                <w:sz w:val="15"/>
                <w:szCs w:val="15"/>
                <w:color w:val="auto"/>
              </w:rPr>
              <w:t>7.3%</w:t>
            </w:r>
          </w:p>
        </w:tc>
      </w:tr>
    </w:tbl>
    <w:p>
      <w:pPr>
        <w:spacing w:after="0" w:line="94" w:lineRule="exact"/>
        <w:rPr>
          <w:sz w:val="20"/>
          <w:szCs w:val="20"/>
          <w:color w:val="auto"/>
        </w:rPr>
      </w:pPr>
    </w:p>
    <w:p>
      <w:pPr>
        <w:ind w:left="220" w:hanging="211"/>
        <w:spacing w:after="0"/>
        <w:tabs>
          <w:tab w:leader="none" w:pos="220" w:val="left"/>
        </w:tabs>
        <w:numPr>
          <w:ilvl w:val="0"/>
          <w:numId w:val="66"/>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Heritage aggregates operations exclude acquisitions that have not been included in</w:t>
      </w:r>
    </w:p>
    <w:p>
      <w:pPr>
        <w:ind w:left="220"/>
        <w:spacing w:after="0" w:line="230" w:lineRule="auto"/>
        <w:rPr>
          <w:sz w:val="20"/>
          <w:szCs w:val="20"/>
          <w:color w:val="auto"/>
        </w:rPr>
      </w:pPr>
      <w:r>
        <w:rPr>
          <w:rFonts w:ascii="Arial" w:cs="Arial" w:eastAsia="Arial" w:hAnsi="Arial"/>
          <w:sz w:val="14"/>
          <w:szCs w:val="14"/>
          <w:i w:val="1"/>
          <w:iCs w:val="1"/>
          <w:color w:val="auto"/>
        </w:rPr>
        <w:t>prior-year operations for the comparable period.</w:t>
      </w:r>
    </w:p>
    <w:p>
      <w:pPr>
        <w:ind w:left="220" w:hanging="211"/>
        <w:spacing w:after="0" w:line="187" w:lineRule="auto"/>
        <w:tabs>
          <w:tab w:leader="none" w:pos="220" w:val="left"/>
        </w:tabs>
        <w:numPr>
          <w:ilvl w:val="0"/>
          <w:numId w:val="67"/>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Total aggregates operations include acquisitions from the date of acquisition and divestitures through the date of disposal.</w:t>
      </w:r>
    </w:p>
    <w:p>
      <w:pPr>
        <w:spacing w:after="0" w:line="304"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The average selling price per ton for aggregates was $13.71, $13.46 and $12.88 for 2018, 2017 and 2016, respectively.</w:t>
      </w:r>
    </w:p>
    <w:p>
      <w:pPr>
        <w:spacing w:after="0" w:line="30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Pricing growth in 2018 was negatively affected by product and geographic mix. Total aggregates pricing growth reflects the lower selling price for the legacy Bluegrass operations, which average 10% to 15% below the heritage Company average. Average selling price increases in 2017 and 2016 exceeded the Company’s 20- and 30-year annual growth rate.</w:t>
      </w:r>
    </w:p>
    <w:p>
      <w:pPr>
        <w:spacing w:after="0" w:line="383"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63</w:t>
      </w:r>
    </w:p>
    <w:p>
      <w:pPr>
        <w:sectPr>
          <w:pgSz w:w="11900" w:h="16838" w:orient="portrait"/>
          <w:cols w:equalWidth="0" w:num="1">
            <w:col w:w="11420"/>
          </w:cols>
          <w:pgMar w:left="240" w:top="265" w:right="2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following presents aggregates shipments for each reportable segment of the Building Materials business: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20" w:type="dxa"/>
            <w:vAlign w:val="bottom"/>
          </w:tcPr>
          <w:p>
            <w:pPr>
              <w:ind w:left="20"/>
              <w:spacing w:after="0"/>
              <w:rPr>
                <w:sz w:val="20"/>
                <w:szCs w:val="20"/>
                <w:color w:val="auto"/>
              </w:rPr>
            </w:pPr>
            <w:r>
              <w:rPr>
                <w:rFonts w:ascii="Arial" w:cs="Arial" w:eastAsia="Arial" w:hAnsi="Arial"/>
                <w:sz w:val="15"/>
                <w:szCs w:val="15"/>
                <w:i w:val="1"/>
                <w:iCs w:val="1"/>
                <w:color w:val="auto"/>
              </w:rPr>
              <w:t>years ended December 31</w:t>
            </w:r>
          </w:p>
        </w:tc>
        <w:tc>
          <w:tcPr>
            <w:tcW w:w="1200" w:type="dxa"/>
            <w:vAlign w:val="bottom"/>
            <w:vMerge w:val="restart"/>
          </w:tcPr>
          <w:p>
            <w:pPr>
              <w:jc w:val="right"/>
              <w:ind w:right="63"/>
              <w:spacing w:after="0"/>
              <w:rPr>
                <w:sz w:val="20"/>
                <w:szCs w:val="20"/>
                <w:color w:val="auto"/>
              </w:rPr>
            </w:pPr>
            <w:r>
              <w:rPr>
                <w:rFonts w:ascii="Arial" w:cs="Arial" w:eastAsia="Arial" w:hAnsi="Arial"/>
                <w:sz w:val="15"/>
                <w:szCs w:val="15"/>
                <w:b w:val="1"/>
                <w:bCs w:val="1"/>
                <w:color w:val="0085CD"/>
              </w:rPr>
              <w:t>2018</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Tons (add 000)</w:t>
            </w:r>
          </w:p>
        </w:tc>
        <w:tc>
          <w:tcPr>
            <w:tcW w:w="120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2017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272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Heritage Operations:</w:t>
            </w:r>
          </w:p>
        </w:tc>
        <w:tc>
          <w:tcPr>
            <w:tcW w:w="1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60"/>
              <w:spacing w:after="0" w:line="162" w:lineRule="exact"/>
              <w:rPr>
                <w:sz w:val="20"/>
                <w:szCs w:val="20"/>
                <w:color w:val="auto"/>
              </w:rPr>
            </w:pPr>
            <w:r>
              <w:rPr>
                <w:rFonts w:ascii="Arial" w:cs="Arial" w:eastAsia="Arial" w:hAnsi="Arial"/>
                <w:sz w:val="15"/>
                <w:szCs w:val="15"/>
                <w:color w:val="auto"/>
              </w:rPr>
              <w:t>Mid-America Group</w:t>
            </w:r>
          </w:p>
        </w:tc>
        <w:tc>
          <w:tcPr>
            <w:tcW w:w="120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73,647</w:t>
            </w:r>
          </w:p>
        </w:tc>
        <w:tc>
          <w:tcPr>
            <w:tcW w:w="820" w:type="dxa"/>
            <w:vAlign w:val="bottom"/>
          </w:tcPr>
          <w:p>
            <w:pPr>
              <w:jc w:val="right"/>
              <w:ind w:right="63"/>
              <w:spacing w:after="0" w:line="162" w:lineRule="exact"/>
              <w:rPr>
                <w:sz w:val="20"/>
                <w:szCs w:val="20"/>
                <w:color w:val="auto"/>
              </w:rPr>
            </w:pPr>
            <w:r>
              <w:rPr>
                <w:rFonts w:ascii="Arial" w:cs="Arial" w:eastAsia="Arial" w:hAnsi="Arial"/>
                <w:sz w:val="15"/>
                <w:szCs w:val="15"/>
                <w:color w:val="auto"/>
              </w:rPr>
              <w:t>72,539</w:t>
            </w: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73,060</w:t>
            </w: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Southeast Group</w:t>
            </w:r>
          </w:p>
        </w:tc>
        <w:tc>
          <w:tcPr>
            <w:tcW w:w="120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b w:val="1"/>
                <w:bCs w:val="1"/>
                <w:color w:val="auto"/>
              </w:rPr>
              <w:t>20,161</w:t>
            </w:r>
          </w:p>
        </w:tc>
        <w:tc>
          <w:tcPr>
            <w:tcW w:w="82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20,429</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19,396</w:t>
            </w:r>
          </w:p>
        </w:tc>
        <w:tc>
          <w:tcPr>
            <w:tcW w:w="0" w:type="dxa"/>
            <w:vAlign w:val="bottom"/>
          </w:tcPr>
          <w:p>
            <w:pPr>
              <w:spacing w:after="0"/>
              <w:rPr>
                <w:sz w:val="1"/>
                <w:szCs w:val="1"/>
                <w:color w:val="auto"/>
              </w:rPr>
            </w:pPr>
          </w:p>
        </w:tc>
      </w:tr>
      <w:tr>
        <w:trPr>
          <w:trHeight w:val="162"/>
        </w:trPr>
        <w:tc>
          <w:tcPr>
            <w:tcW w:w="2720" w:type="dxa"/>
            <w:vAlign w:val="bottom"/>
            <w:tcBorders>
              <w:bottom w:val="single" w:sz="8" w:color="auto"/>
            </w:tcBorders>
          </w:tcPr>
          <w:p>
            <w:pPr>
              <w:ind w:left="160"/>
              <w:spacing w:after="0" w:line="162" w:lineRule="exact"/>
              <w:rPr>
                <w:sz w:val="20"/>
                <w:szCs w:val="20"/>
                <w:color w:val="auto"/>
              </w:rPr>
            </w:pPr>
            <w:r>
              <w:rPr>
                <w:rFonts w:ascii="Arial" w:cs="Arial" w:eastAsia="Arial" w:hAnsi="Arial"/>
                <w:sz w:val="15"/>
                <w:szCs w:val="15"/>
                <w:color w:val="auto"/>
              </w:rPr>
              <w:t>West Group</w:t>
            </w:r>
          </w:p>
        </w:tc>
        <w:tc>
          <w:tcPr>
            <w:tcW w:w="120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b w:val="1"/>
                <w:bCs w:val="1"/>
                <w:color w:val="auto"/>
              </w:rPr>
              <w:t>64,099</w:t>
            </w:r>
          </w:p>
        </w:tc>
        <w:tc>
          <w:tcPr>
            <w:tcW w:w="82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64,730</w:t>
            </w: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66,170</w:t>
            </w:r>
          </w:p>
        </w:tc>
        <w:tc>
          <w:tcPr>
            <w:tcW w:w="0" w:type="dxa"/>
            <w:vAlign w:val="bottom"/>
          </w:tcPr>
          <w:p>
            <w:pPr>
              <w:spacing w:after="0"/>
              <w:rPr>
                <w:sz w:val="1"/>
                <w:szCs w:val="1"/>
                <w:color w:val="auto"/>
              </w:rPr>
            </w:pPr>
          </w:p>
        </w:tc>
      </w:tr>
      <w:tr>
        <w:trPr>
          <w:trHeight w:val="156"/>
        </w:trPr>
        <w:tc>
          <w:tcPr>
            <w:tcW w:w="272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Heritage Aggregates Operations</w:t>
            </w:r>
          </w:p>
        </w:tc>
        <w:tc>
          <w:tcPr>
            <w:tcW w:w="1200" w:type="dxa"/>
            <w:vAlign w:val="bottom"/>
            <w:shd w:val="clear" w:color="auto" w:fill="CCEEFF"/>
          </w:tcPr>
          <w:p>
            <w:pPr>
              <w:jc w:val="right"/>
              <w:ind w:right="63"/>
              <w:spacing w:after="0" w:line="156" w:lineRule="exact"/>
              <w:rPr>
                <w:sz w:val="20"/>
                <w:szCs w:val="20"/>
                <w:color w:val="auto"/>
              </w:rPr>
            </w:pPr>
            <w:r>
              <w:rPr>
                <w:rFonts w:ascii="Arial" w:cs="Arial" w:eastAsia="Arial" w:hAnsi="Arial"/>
                <w:sz w:val="15"/>
                <w:szCs w:val="15"/>
                <w:b w:val="1"/>
                <w:bCs w:val="1"/>
                <w:color w:val="auto"/>
              </w:rPr>
              <w:t>157,907</w:t>
            </w:r>
          </w:p>
        </w:tc>
        <w:tc>
          <w:tcPr>
            <w:tcW w:w="820" w:type="dxa"/>
            <w:vAlign w:val="bottom"/>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157,698</w:t>
            </w: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158,626</w:t>
            </w:r>
          </w:p>
        </w:tc>
        <w:tc>
          <w:tcPr>
            <w:tcW w:w="0" w:type="dxa"/>
            <w:vAlign w:val="bottom"/>
          </w:tcPr>
          <w:p>
            <w:pPr>
              <w:spacing w:after="0"/>
              <w:rPr>
                <w:sz w:val="1"/>
                <w:szCs w:val="1"/>
                <w:color w:val="auto"/>
              </w:rPr>
            </w:pPr>
          </w:p>
        </w:tc>
      </w:tr>
      <w:tr>
        <w:trPr>
          <w:trHeight w:val="162"/>
        </w:trPr>
        <w:tc>
          <w:tcPr>
            <w:tcW w:w="2720" w:type="dxa"/>
            <w:vAlign w:val="bottom"/>
            <w:tcBorders>
              <w:bottom w:val="single" w:sz="8" w:color="auto"/>
            </w:tcBorders>
          </w:tcPr>
          <w:p>
            <w:pPr>
              <w:ind w:left="20"/>
              <w:spacing w:after="0" w:line="162" w:lineRule="exact"/>
              <w:rPr>
                <w:sz w:val="20"/>
                <w:szCs w:val="20"/>
                <w:color w:val="auto"/>
              </w:rPr>
            </w:pPr>
            <w:r>
              <w:rPr>
                <w:rFonts w:ascii="Arial" w:cs="Arial" w:eastAsia="Arial" w:hAnsi="Arial"/>
                <w:sz w:val="15"/>
                <w:szCs w:val="15"/>
                <w:color w:val="auto"/>
              </w:rPr>
              <w:t>Acquisitions</w:t>
            </w:r>
          </w:p>
        </w:tc>
        <w:tc>
          <w:tcPr>
            <w:tcW w:w="120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b w:val="1"/>
                <w:bCs w:val="1"/>
                <w:color w:val="auto"/>
              </w:rPr>
              <w:t>12,929</w:t>
            </w:r>
          </w:p>
        </w:tc>
        <w:tc>
          <w:tcPr>
            <w:tcW w:w="82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3"/>
        </w:trPr>
        <w:tc>
          <w:tcPr>
            <w:tcW w:w="2720" w:type="dxa"/>
            <w:vAlign w:val="bottom"/>
            <w:tcBorders>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Total Aggregates Operations</w:t>
            </w:r>
          </w:p>
        </w:tc>
        <w:tc>
          <w:tcPr>
            <w:tcW w:w="1200" w:type="dxa"/>
            <w:vAlign w:val="bottom"/>
            <w:tcBorders>
              <w:bottom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b w:val="1"/>
                <w:bCs w:val="1"/>
                <w:color w:val="auto"/>
              </w:rPr>
              <w:t>170,836</w:t>
            </w:r>
          </w:p>
        </w:tc>
        <w:tc>
          <w:tcPr>
            <w:tcW w:w="820" w:type="dxa"/>
            <w:vAlign w:val="bottom"/>
            <w:tcBorders>
              <w:bottom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157,698</w:t>
            </w: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158,626</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Aggregates shipments sold externally to customers and tons used in other product lines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40" w:type="dxa"/>
            <w:vAlign w:val="bottom"/>
          </w:tcPr>
          <w:p>
            <w:pPr>
              <w:ind w:left="20"/>
              <w:spacing w:after="0"/>
              <w:rPr>
                <w:sz w:val="20"/>
                <w:szCs w:val="20"/>
                <w:color w:val="auto"/>
              </w:rPr>
            </w:pPr>
            <w:r>
              <w:rPr>
                <w:rFonts w:ascii="Arial" w:cs="Arial" w:eastAsia="Arial" w:hAnsi="Arial"/>
                <w:sz w:val="15"/>
                <w:szCs w:val="15"/>
                <w:i w:val="1"/>
                <w:iCs w:val="1"/>
                <w:color w:val="auto"/>
              </w:rPr>
              <w:t>years ended December 31</w:t>
            </w:r>
          </w:p>
        </w:tc>
        <w:tc>
          <w:tcPr>
            <w:tcW w:w="880" w:type="dxa"/>
            <w:vAlign w:val="bottom"/>
            <w:vMerge w:val="restart"/>
          </w:tcPr>
          <w:p>
            <w:pPr>
              <w:jc w:val="right"/>
              <w:ind w:right="63"/>
              <w:spacing w:after="0"/>
              <w:rPr>
                <w:sz w:val="20"/>
                <w:szCs w:val="20"/>
                <w:color w:val="auto"/>
              </w:rPr>
            </w:pPr>
            <w:r>
              <w:rPr>
                <w:rFonts w:ascii="Arial" w:cs="Arial" w:eastAsia="Arial" w:hAnsi="Arial"/>
                <w:sz w:val="15"/>
                <w:szCs w:val="15"/>
                <w:b w:val="1"/>
                <w:bCs w:val="1"/>
                <w:color w:val="0085CD"/>
              </w:rPr>
              <w:t>2018</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Tons (add 000)</w:t>
            </w:r>
          </w:p>
        </w:tc>
        <w:tc>
          <w:tcPr>
            <w:tcW w:w="88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2017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304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Heritage Operations:</w:t>
            </w:r>
          </w:p>
        </w:tc>
        <w:tc>
          <w:tcPr>
            <w:tcW w:w="8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160"/>
              <w:spacing w:after="0" w:line="162" w:lineRule="exact"/>
              <w:rPr>
                <w:sz w:val="20"/>
                <w:szCs w:val="20"/>
                <w:color w:val="auto"/>
              </w:rPr>
            </w:pPr>
            <w:r>
              <w:rPr>
                <w:rFonts w:ascii="Arial" w:cs="Arial" w:eastAsia="Arial" w:hAnsi="Arial"/>
                <w:sz w:val="15"/>
                <w:szCs w:val="15"/>
                <w:color w:val="auto"/>
              </w:rPr>
              <w:t>Tons to external customers</w:t>
            </w:r>
          </w:p>
        </w:tc>
        <w:tc>
          <w:tcPr>
            <w:tcW w:w="88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147,330</w:t>
            </w:r>
          </w:p>
        </w:tc>
        <w:tc>
          <w:tcPr>
            <w:tcW w:w="820" w:type="dxa"/>
            <w:vAlign w:val="bottom"/>
          </w:tcPr>
          <w:p>
            <w:pPr>
              <w:jc w:val="right"/>
              <w:ind w:right="63"/>
              <w:spacing w:after="0" w:line="162" w:lineRule="exact"/>
              <w:rPr>
                <w:sz w:val="20"/>
                <w:szCs w:val="20"/>
                <w:color w:val="auto"/>
              </w:rPr>
            </w:pPr>
            <w:r>
              <w:rPr>
                <w:rFonts w:ascii="Arial" w:cs="Arial" w:eastAsia="Arial" w:hAnsi="Arial"/>
                <w:sz w:val="15"/>
                <w:szCs w:val="15"/>
                <w:color w:val="auto"/>
              </w:rPr>
              <w:t>146,818</w:t>
            </w: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148,198</w:t>
            </w:r>
          </w:p>
        </w:tc>
        <w:tc>
          <w:tcPr>
            <w:tcW w:w="0" w:type="dxa"/>
            <w:vAlign w:val="bottom"/>
          </w:tcPr>
          <w:p>
            <w:pPr>
              <w:spacing w:after="0"/>
              <w:rPr>
                <w:sz w:val="1"/>
                <w:szCs w:val="1"/>
                <w:color w:val="auto"/>
              </w:rPr>
            </w:pPr>
          </w:p>
        </w:tc>
      </w:tr>
      <w:tr>
        <w:trPr>
          <w:trHeight w:val="162"/>
        </w:trPr>
        <w:tc>
          <w:tcPr>
            <w:tcW w:w="3040" w:type="dxa"/>
            <w:vAlign w:val="bottom"/>
            <w:tcBorders>
              <w:bottom w:val="single" w:sz="8" w:color="auto"/>
            </w:tcBorders>
            <w:shd w:val="clear" w:color="auto" w:fill="CCEEFF"/>
          </w:tcPr>
          <w:p>
            <w:pPr>
              <w:ind w:left="160"/>
              <w:spacing w:after="0" w:line="162" w:lineRule="exact"/>
              <w:rPr>
                <w:sz w:val="20"/>
                <w:szCs w:val="20"/>
                <w:color w:val="auto"/>
              </w:rPr>
            </w:pPr>
            <w:r>
              <w:rPr>
                <w:rFonts w:ascii="Arial" w:cs="Arial" w:eastAsia="Arial" w:hAnsi="Arial"/>
                <w:sz w:val="15"/>
                <w:szCs w:val="15"/>
                <w:color w:val="auto"/>
              </w:rPr>
              <w:t>Internal tons used in other product lines</w:t>
            </w:r>
          </w:p>
        </w:tc>
        <w:tc>
          <w:tcPr>
            <w:tcW w:w="880" w:type="dxa"/>
            <w:vAlign w:val="bottom"/>
            <w:tcBorders>
              <w:bottom w:val="single" w:sz="8" w:color="auto"/>
            </w:tcBorders>
            <w:shd w:val="clear" w:color="auto" w:fill="CCEEFF"/>
          </w:tcPr>
          <w:p>
            <w:pPr>
              <w:jc w:val="right"/>
              <w:ind w:right="63"/>
              <w:spacing w:after="0" w:line="162" w:lineRule="exact"/>
              <w:rPr>
                <w:sz w:val="20"/>
                <w:szCs w:val="20"/>
                <w:color w:val="auto"/>
              </w:rPr>
            </w:pPr>
            <w:r>
              <w:rPr>
                <w:rFonts w:ascii="Arial" w:cs="Arial" w:eastAsia="Arial" w:hAnsi="Arial"/>
                <w:sz w:val="15"/>
                <w:szCs w:val="15"/>
                <w:b w:val="1"/>
                <w:bCs w:val="1"/>
                <w:color w:val="auto"/>
              </w:rPr>
              <w:t>10,577</w:t>
            </w:r>
          </w:p>
        </w:tc>
        <w:tc>
          <w:tcPr>
            <w:tcW w:w="820" w:type="dxa"/>
            <w:vAlign w:val="bottom"/>
            <w:tcBorders>
              <w:bottom w:val="single" w:sz="8" w:color="auto"/>
            </w:tcBorders>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10,880</w:t>
            </w: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10,428</w:t>
            </w:r>
          </w:p>
        </w:tc>
        <w:tc>
          <w:tcPr>
            <w:tcW w:w="0" w:type="dxa"/>
            <w:vAlign w:val="bottom"/>
          </w:tcPr>
          <w:p>
            <w:pPr>
              <w:spacing w:after="0"/>
              <w:rPr>
                <w:sz w:val="1"/>
                <w:szCs w:val="1"/>
                <w:color w:val="auto"/>
              </w:rPr>
            </w:pPr>
          </w:p>
        </w:tc>
      </w:tr>
      <w:tr>
        <w:trPr>
          <w:trHeight w:val="163"/>
        </w:trPr>
        <w:tc>
          <w:tcPr>
            <w:tcW w:w="3040" w:type="dxa"/>
            <w:vAlign w:val="bottom"/>
            <w:tcBorders>
              <w:bottom w:val="single" w:sz="8" w:color="auto"/>
            </w:tcBorders>
          </w:tcPr>
          <w:p>
            <w:pPr>
              <w:ind w:left="20"/>
              <w:spacing w:after="0" w:line="156" w:lineRule="exact"/>
              <w:rPr>
                <w:sz w:val="20"/>
                <w:szCs w:val="20"/>
                <w:color w:val="auto"/>
              </w:rPr>
            </w:pPr>
            <w:r>
              <w:rPr>
                <w:rFonts w:ascii="Arial" w:cs="Arial" w:eastAsia="Arial" w:hAnsi="Arial"/>
                <w:sz w:val="15"/>
                <w:szCs w:val="15"/>
                <w:color w:val="auto"/>
              </w:rPr>
              <w:t>Heritage Aggregates Tons</w:t>
            </w:r>
          </w:p>
        </w:tc>
        <w:tc>
          <w:tcPr>
            <w:tcW w:w="88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b w:val="1"/>
                <w:bCs w:val="1"/>
                <w:color w:val="auto"/>
              </w:rPr>
              <w:t>157,907</w:t>
            </w:r>
          </w:p>
        </w:tc>
        <w:tc>
          <w:tcPr>
            <w:tcW w:w="82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color w:val="auto"/>
              </w:rPr>
              <w:t>157,698</w:t>
            </w:r>
          </w:p>
        </w:tc>
        <w:tc>
          <w:tcPr>
            <w:tcW w:w="7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158,626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government uncertainty hindered 2018 shipments. 2017 shipments reflect strength in private sector construction offset by underinvestment in public infrastructure. Rainfall and labor constraints negatively affected shipments in 2017. Notably, the southwestern region of the United States experienced the fourth-wettest year on record. Notwithstanding these headwinds, the Southeast Group’s 5.3% increase in shipments demonstrates the underlying strength of the Georgia and Florida markets.</w:t>
      </w:r>
    </w:p>
    <w:p>
      <w:pPr>
        <w:spacing w:after="0" w:line="294" w:lineRule="exact"/>
        <w:rPr>
          <w:sz w:val="20"/>
          <w:szCs w:val="20"/>
          <w:color w:val="auto"/>
        </w:rPr>
      </w:pPr>
    </w:p>
    <w:p>
      <w:pPr>
        <w:jc w:val="both"/>
        <w:ind w:right="20"/>
        <w:spacing w:after="0" w:line="244" w:lineRule="auto"/>
        <w:rPr>
          <w:sz w:val="20"/>
          <w:szCs w:val="20"/>
          <w:color w:val="auto"/>
        </w:rPr>
      </w:pPr>
      <w:r>
        <w:rPr>
          <w:rFonts w:ascii="Arial" w:cs="Arial" w:eastAsia="Arial" w:hAnsi="Arial"/>
          <w:sz w:val="17"/>
          <w:szCs w:val="17"/>
          <w:b w:val="1"/>
          <w:bCs w:val="1"/>
          <w:i w:val="1"/>
          <w:iCs w:val="1"/>
          <w:color w:val="49B28F"/>
        </w:rPr>
        <w:t xml:space="preserve">Cement, Ready Mixed Concrete, Asphalt and Paving Services. </w:t>
      </w:r>
      <w:r>
        <w:rPr>
          <w:rFonts w:ascii="Arial" w:cs="Arial" w:eastAsia="Arial" w:hAnsi="Arial"/>
          <w:sz w:val="17"/>
          <w:szCs w:val="17"/>
          <w:color w:val="000000"/>
        </w:rPr>
        <w:t>The</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Company’s cement and downstream operations, namely ready mixed concrete, asphalt and paving services, are located in the West Group, notably in the high-growth states of Texas and Colorado.</w:t>
      </w:r>
    </w:p>
    <w:p>
      <w:pPr>
        <w:spacing w:after="0" w:line="30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Average selling prices for cement, ready mixed concrete and asphalt are as follows: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2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0085CD"/>
              </w:rPr>
              <w:t>2018</w:t>
            </w: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2017</w:t>
            </w:r>
          </w:p>
        </w:tc>
        <w:tc>
          <w:tcPr>
            <w:tcW w:w="3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2016</w:t>
            </w:r>
          </w:p>
        </w:tc>
      </w:tr>
      <w:tr>
        <w:trPr>
          <w:trHeight w:val="156"/>
        </w:trPr>
        <w:tc>
          <w:tcPr>
            <w:tcW w:w="282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Cement - per ton</w:t>
            </w:r>
          </w:p>
        </w:tc>
        <w:tc>
          <w:tcPr>
            <w:tcW w:w="3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660" w:type="dxa"/>
            <w:vAlign w:val="bottom"/>
            <w:shd w:val="clear" w:color="auto" w:fill="CCEEFF"/>
          </w:tcPr>
          <w:p>
            <w:pPr>
              <w:jc w:val="right"/>
              <w:ind w:right="103"/>
              <w:spacing w:after="0" w:line="156" w:lineRule="exact"/>
              <w:rPr>
                <w:sz w:val="20"/>
                <w:szCs w:val="20"/>
                <w:color w:val="auto"/>
              </w:rPr>
            </w:pPr>
            <w:r>
              <w:rPr>
                <w:rFonts w:ascii="Arial" w:cs="Arial" w:eastAsia="Arial" w:hAnsi="Arial"/>
                <w:sz w:val="15"/>
                <w:szCs w:val="15"/>
                <w:b w:val="1"/>
                <w:bCs w:val="1"/>
                <w:color w:val="auto"/>
              </w:rPr>
              <w:t>109.38</w:t>
            </w:r>
          </w:p>
        </w:tc>
        <w:tc>
          <w:tcPr>
            <w:tcW w:w="3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103"/>
              <w:spacing w:after="0" w:line="156" w:lineRule="exact"/>
              <w:rPr>
                <w:sz w:val="20"/>
                <w:szCs w:val="20"/>
                <w:color w:val="auto"/>
              </w:rPr>
            </w:pPr>
            <w:r>
              <w:rPr>
                <w:rFonts w:ascii="Arial" w:cs="Arial" w:eastAsia="Arial" w:hAnsi="Arial"/>
                <w:sz w:val="15"/>
                <w:szCs w:val="15"/>
                <w:color w:val="auto"/>
              </w:rPr>
              <w:t>105.97</w:t>
            </w:r>
          </w:p>
        </w:tc>
        <w:tc>
          <w:tcPr>
            <w:tcW w:w="3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101.96</w:t>
            </w:r>
          </w:p>
        </w:tc>
      </w:tr>
      <w:tr>
        <w:trPr>
          <w:trHeight w:val="162"/>
        </w:trPr>
        <w:tc>
          <w:tcPr>
            <w:tcW w:w="2820" w:type="dxa"/>
            <w:vAlign w:val="bottom"/>
          </w:tcPr>
          <w:p>
            <w:pPr>
              <w:spacing w:after="0" w:line="162" w:lineRule="exact"/>
              <w:rPr>
                <w:sz w:val="20"/>
                <w:szCs w:val="20"/>
                <w:color w:val="auto"/>
              </w:rPr>
            </w:pPr>
            <w:r>
              <w:rPr>
                <w:rFonts w:ascii="Arial" w:cs="Arial" w:eastAsia="Arial" w:hAnsi="Arial"/>
                <w:sz w:val="15"/>
                <w:szCs w:val="15"/>
                <w:color w:val="auto"/>
              </w:rPr>
              <w:t>Ready Mixed Concrete -per cubic yard</w:t>
            </w:r>
          </w:p>
        </w:tc>
        <w:tc>
          <w:tcPr>
            <w:tcW w:w="3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660" w:type="dxa"/>
            <w:vAlign w:val="bottom"/>
          </w:tcPr>
          <w:p>
            <w:pPr>
              <w:jc w:val="right"/>
              <w:ind w:right="103"/>
              <w:spacing w:after="0" w:line="162" w:lineRule="exact"/>
              <w:rPr>
                <w:sz w:val="20"/>
                <w:szCs w:val="20"/>
                <w:color w:val="auto"/>
              </w:rPr>
            </w:pPr>
            <w:r>
              <w:rPr>
                <w:rFonts w:ascii="Arial" w:cs="Arial" w:eastAsia="Arial" w:hAnsi="Arial"/>
                <w:sz w:val="15"/>
                <w:szCs w:val="15"/>
                <w:b w:val="1"/>
                <w:bCs w:val="1"/>
                <w:color w:val="auto"/>
              </w:rPr>
              <w:t>108.83</w:t>
            </w: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66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107.27</w:t>
            </w: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104.26</w:t>
            </w:r>
          </w:p>
        </w:tc>
      </w:tr>
      <w:tr>
        <w:trPr>
          <w:trHeight w:val="162"/>
        </w:trPr>
        <w:tc>
          <w:tcPr>
            <w:tcW w:w="2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Asphalt - per ton</w:t>
            </w:r>
          </w:p>
        </w:tc>
        <w:tc>
          <w:tcPr>
            <w:tcW w:w="3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66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b w:val="1"/>
                <w:bCs w:val="1"/>
                <w:color w:val="auto"/>
              </w:rPr>
              <w:t>44.60</w:t>
            </w: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color w:val="auto"/>
              </w:rPr>
              <w:t>43.41</w:t>
            </w: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39.20</w:t>
            </w:r>
          </w:p>
        </w:tc>
      </w:tr>
    </w:tbl>
    <w:p>
      <w:pPr>
        <w:spacing w:after="0" w:line="115"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243" w:lineRule="auto"/>
        <w:rPr>
          <w:sz w:val="20"/>
          <w:szCs w:val="20"/>
          <w:color w:val="auto"/>
        </w:rPr>
      </w:pPr>
      <w:r>
        <w:rPr>
          <w:rFonts w:ascii="Arial" w:cs="Arial" w:eastAsia="Arial" w:hAnsi="Arial"/>
          <w:sz w:val="17"/>
          <w:szCs w:val="17"/>
          <w:color w:val="auto"/>
        </w:rPr>
        <w:t>Aggregates volume variance compared to the prior year by reportable segment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5"/>
                <w:szCs w:val="15"/>
                <w:i w:val="1"/>
                <w:iCs w:val="1"/>
                <w:color w:val="auto"/>
              </w:rPr>
              <w:t>years ended December 31</w:t>
            </w:r>
          </w:p>
        </w:tc>
        <w:tc>
          <w:tcPr>
            <w:tcW w:w="1360" w:type="dxa"/>
            <w:vAlign w:val="bottom"/>
            <w:tcBorders>
              <w:bottom w:val="single" w:sz="8" w:color="auto"/>
            </w:tcBorders>
          </w:tcPr>
          <w:p>
            <w:pPr>
              <w:jc w:val="right"/>
              <w:ind w:right="275"/>
              <w:spacing w:after="0"/>
              <w:rPr>
                <w:sz w:val="20"/>
                <w:szCs w:val="20"/>
                <w:color w:val="auto"/>
              </w:rPr>
            </w:pPr>
            <w:r>
              <w:rPr>
                <w:rFonts w:ascii="Arial" w:cs="Arial" w:eastAsia="Arial" w:hAnsi="Arial"/>
                <w:sz w:val="15"/>
                <w:szCs w:val="15"/>
                <w:b w:val="1"/>
                <w:bCs w:val="1"/>
                <w:color w:val="0085CD"/>
              </w:rPr>
              <w:t>2018</w:t>
            </w: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color w:val="auto"/>
              </w:rPr>
              <w:t>2017</w:t>
            </w: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5"/>
                <w:szCs w:val="15"/>
                <w:color w:val="auto"/>
              </w:rPr>
              <w:t>2016</w:t>
            </w:r>
          </w:p>
        </w:tc>
      </w:tr>
      <w:tr>
        <w:trPr>
          <w:trHeight w:val="156"/>
        </w:trPr>
        <w:tc>
          <w:tcPr>
            <w:tcW w:w="254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Heritage Operations:</w:t>
            </w:r>
          </w:p>
        </w:tc>
        <w:tc>
          <w:tcPr>
            <w:tcW w:w="1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62"/>
        </w:trPr>
        <w:tc>
          <w:tcPr>
            <w:tcW w:w="2540" w:type="dxa"/>
            <w:vAlign w:val="bottom"/>
          </w:tcPr>
          <w:p>
            <w:pPr>
              <w:ind w:left="160"/>
              <w:spacing w:after="0" w:line="162" w:lineRule="exact"/>
              <w:rPr>
                <w:sz w:val="20"/>
                <w:szCs w:val="20"/>
                <w:color w:val="auto"/>
              </w:rPr>
            </w:pPr>
            <w:r>
              <w:rPr>
                <w:rFonts w:ascii="Arial" w:cs="Arial" w:eastAsia="Arial" w:hAnsi="Arial"/>
                <w:sz w:val="15"/>
                <w:szCs w:val="15"/>
                <w:color w:val="auto"/>
              </w:rPr>
              <w:t>Mid-America Group</w:t>
            </w:r>
          </w:p>
        </w:tc>
        <w:tc>
          <w:tcPr>
            <w:tcW w:w="1360" w:type="dxa"/>
            <w:vAlign w:val="bottom"/>
          </w:tcPr>
          <w:p>
            <w:pPr>
              <w:jc w:val="right"/>
              <w:ind w:right="155"/>
              <w:spacing w:after="0" w:line="162" w:lineRule="exact"/>
              <w:rPr>
                <w:sz w:val="20"/>
                <w:szCs w:val="20"/>
                <w:color w:val="auto"/>
              </w:rPr>
            </w:pPr>
            <w:r>
              <w:rPr>
                <w:rFonts w:ascii="Arial" w:cs="Arial" w:eastAsia="Arial" w:hAnsi="Arial"/>
                <w:sz w:val="15"/>
                <w:szCs w:val="15"/>
                <w:b w:val="1"/>
                <w:bCs w:val="1"/>
                <w:color w:val="auto"/>
              </w:rPr>
              <w:t>1.5%</w:t>
            </w:r>
          </w:p>
        </w:tc>
        <w:tc>
          <w:tcPr>
            <w:tcW w:w="860" w:type="dxa"/>
            <w:vAlign w:val="bottom"/>
          </w:tcPr>
          <w:p>
            <w:pPr>
              <w:jc w:val="right"/>
              <w:ind w:right="115"/>
              <w:spacing w:after="0" w:line="162" w:lineRule="exact"/>
              <w:rPr>
                <w:sz w:val="20"/>
                <w:szCs w:val="20"/>
                <w:color w:val="auto"/>
              </w:rPr>
            </w:pPr>
            <w:r>
              <w:rPr>
                <w:rFonts w:ascii="Arial" w:cs="Arial" w:eastAsia="Arial" w:hAnsi="Arial"/>
                <w:sz w:val="15"/>
                <w:szCs w:val="15"/>
                <w:color w:val="auto"/>
              </w:rPr>
              <w:t>(0.7%)</w:t>
            </w:r>
          </w:p>
        </w:tc>
        <w:tc>
          <w:tcPr>
            <w:tcW w:w="720" w:type="dxa"/>
            <w:vAlign w:val="bottom"/>
          </w:tcPr>
          <w:p>
            <w:pPr>
              <w:jc w:val="right"/>
              <w:ind w:right="35"/>
              <w:spacing w:after="0" w:line="162" w:lineRule="exact"/>
              <w:rPr>
                <w:sz w:val="20"/>
                <w:szCs w:val="20"/>
                <w:color w:val="auto"/>
              </w:rPr>
            </w:pPr>
            <w:r>
              <w:rPr>
                <w:rFonts w:ascii="Arial" w:cs="Arial" w:eastAsia="Arial" w:hAnsi="Arial"/>
                <w:sz w:val="15"/>
                <w:szCs w:val="15"/>
                <w:color w:val="auto"/>
              </w:rPr>
              <w:t>6.5%</w:t>
            </w:r>
          </w:p>
        </w:tc>
      </w:tr>
      <w:tr>
        <w:trPr>
          <w:trHeight w:val="162"/>
        </w:trPr>
        <w:tc>
          <w:tcPr>
            <w:tcW w:w="254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Southeast Group</w:t>
            </w:r>
          </w:p>
        </w:tc>
        <w:tc>
          <w:tcPr>
            <w:tcW w:w="1360" w:type="dxa"/>
            <w:vAlign w:val="bottom"/>
            <w:shd w:val="clear" w:color="auto" w:fill="CCEEFF"/>
          </w:tcPr>
          <w:p>
            <w:pPr>
              <w:jc w:val="right"/>
              <w:ind w:right="95"/>
              <w:spacing w:after="0" w:line="162" w:lineRule="exact"/>
              <w:rPr>
                <w:sz w:val="20"/>
                <w:szCs w:val="20"/>
                <w:color w:val="auto"/>
              </w:rPr>
            </w:pPr>
            <w:r>
              <w:rPr>
                <w:rFonts w:ascii="Arial" w:cs="Arial" w:eastAsia="Arial" w:hAnsi="Arial"/>
                <w:sz w:val="15"/>
                <w:szCs w:val="15"/>
                <w:b w:val="1"/>
                <w:bCs w:val="1"/>
                <w:color w:val="auto"/>
              </w:rPr>
              <w:t>(1.3%)</w:t>
            </w:r>
          </w:p>
        </w:tc>
        <w:tc>
          <w:tcPr>
            <w:tcW w:w="860" w:type="dxa"/>
            <w:vAlign w:val="bottom"/>
            <w:shd w:val="clear" w:color="auto" w:fill="CCEEFF"/>
          </w:tcPr>
          <w:p>
            <w:pPr>
              <w:jc w:val="right"/>
              <w:ind w:right="155"/>
              <w:spacing w:after="0" w:line="162" w:lineRule="exact"/>
              <w:rPr>
                <w:sz w:val="20"/>
                <w:szCs w:val="20"/>
                <w:color w:val="auto"/>
              </w:rPr>
            </w:pPr>
            <w:r>
              <w:rPr>
                <w:rFonts w:ascii="Arial" w:cs="Arial" w:eastAsia="Arial" w:hAnsi="Arial"/>
                <w:sz w:val="15"/>
                <w:szCs w:val="15"/>
                <w:color w:val="auto"/>
              </w:rPr>
              <w:t>5.3%</w:t>
            </w: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(0.4%)</w:t>
            </w:r>
          </w:p>
        </w:tc>
      </w:tr>
      <w:tr>
        <w:trPr>
          <w:trHeight w:val="162"/>
        </w:trPr>
        <w:tc>
          <w:tcPr>
            <w:tcW w:w="2540" w:type="dxa"/>
            <w:vAlign w:val="bottom"/>
          </w:tcPr>
          <w:p>
            <w:pPr>
              <w:ind w:left="160"/>
              <w:spacing w:after="0" w:line="162" w:lineRule="exact"/>
              <w:rPr>
                <w:sz w:val="20"/>
                <w:szCs w:val="20"/>
                <w:color w:val="auto"/>
              </w:rPr>
            </w:pPr>
            <w:r>
              <w:rPr>
                <w:rFonts w:ascii="Arial" w:cs="Arial" w:eastAsia="Arial" w:hAnsi="Arial"/>
                <w:sz w:val="15"/>
                <w:szCs w:val="15"/>
                <w:color w:val="auto"/>
              </w:rPr>
              <w:t>West Group</w:t>
            </w:r>
          </w:p>
        </w:tc>
        <w:tc>
          <w:tcPr>
            <w:tcW w:w="1360" w:type="dxa"/>
            <w:vAlign w:val="bottom"/>
          </w:tcPr>
          <w:p>
            <w:pPr>
              <w:jc w:val="right"/>
              <w:ind w:right="95"/>
              <w:spacing w:after="0" w:line="162" w:lineRule="exact"/>
              <w:rPr>
                <w:sz w:val="20"/>
                <w:szCs w:val="20"/>
                <w:color w:val="auto"/>
              </w:rPr>
            </w:pPr>
            <w:r>
              <w:rPr>
                <w:rFonts w:ascii="Arial" w:cs="Arial" w:eastAsia="Arial" w:hAnsi="Arial"/>
                <w:sz w:val="15"/>
                <w:szCs w:val="15"/>
                <w:b w:val="1"/>
                <w:bCs w:val="1"/>
                <w:color w:val="auto"/>
              </w:rPr>
              <w:t>(1.0%)</w:t>
            </w:r>
          </w:p>
        </w:tc>
        <w:tc>
          <w:tcPr>
            <w:tcW w:w="860" w:type="dxa"/>
            <w:vAlign w:val="bottom"/>
          </w:tcPr>
          <w:p>
            <w:pPr>
              <w:jc w:val="right"/>
              <w:ind w:right="115"/>
              <w:spacing w:after="0" w:line="162" w:lineRule="exact"/>
              <w:rPr>
                <w:sz w:val="20"/>
                <w:szCs w:val="20"/>
                <w:color w:val="auto"/>
              </w:rPr>
            </w:pPr>
            <w:r>
              <w:rPr>
                <w:rFonts w:ascii="Arial" w:cs="Arial" w:eastAsia="Arial" w:hAnsi="Arial"/>
                <w:sz w:val="15"/>
                <w:szCs w:val="15"/>
                <w:color w:val="auto"/>
              </w:rPr>
              <w:t>(2.2%)</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(3.2%)</w:t>
            </w:r>
          </w:p>
        </w:tc>
      </w:tr>
      <w:tr>
        <w:trPr>
          <w:trHeight w:val="4"/>
        </w:trPr>
        <w:tc>
          <w:tcPr>
            <w:tcW w:w="2540" w:type="dxa"/>
            <w:vAlign w:val="bottom"/>
            <w:shd w:val="clear" w:color="auto" w:fill="CCEEFF"/>
          </w:tcPr>
          <w:p>
            <w:pPr>
              <w:ind w:left="20"/>
              <w:spacing w:after="0" w:line="4" w:lineRule="exact"/>
              <w:rPr>
                <w:sz w:val="20"/>
                <w:szCs w:val="20"/>
                <w:color w:val="auto"/>
              </w:rPr>
            </w:pPr>
            <w:r>
              <w:rPr>
                <w:rFonts w:ascii="Arial" w:cs="Arial" w:eastAsia="Arial" w:hAnsi="Arial"/>
                <w:sz w:val="1"/>
                <w:szCs w:val="1"/>
                <w:color w:val="auto"/>
              </w:rPr>
              <w:t>Total Heritage Aggregates</w:t>
            </w:r>
          </w:p>
        </w:tc>
        <w:tc>
          <w:tcPr>
            <w:tcW w:w="1360" w:type="dxa"/>
            <w:vAlign w:val="bottom"/>
            <w:shd w:val="clear" w:color="auto" w:fill="CCEEFF"/>
          </w:tcPr>
          <w:p>
            <w:pPr>
              <w:jc w:val="right"/>
              <w:ind w:right="155"/>
              <w:spacing w:after="0" w:line="4" w:lineRule="exact"/>
              <w:rPr>
                <w:sz w:val="20"/>
                <w:szCs w:val="20"/>
                <w:color w:val="auto"/>
              </w:rPr>
            </w:pPr>
            <w:r>
              <w:rPr>
                <w:rFonts w:ascii="Arial" w:cs="Arial" w:eastAsia="Arial" w:hAnsi="Arial"/>
                <w:sz w:val="1"/>
                <w:szCs w:val="1"/>
                <w:b w:val="1"/>
                <w:bCs w:val="1"/>
                <w:color w:val="auto"/>
              </w:rPr>
              <w:t>0.1%</w:t>
            </w:r>
          </w:p>
        </w:tc>
        <w:tc>
          <w:tcPr>
            <w:tcW w:w="860" w:type="dxa"/>
            <w:vAlign w:val="bottom"/>
            <w:shd w:val="clear" w:color="auto" w:fill="CCEEFF"/>
          </w:tcPr>
          <w:p>
            <w:pPr>
              <w:jc w:val="right"/>
              <w:ind w:right="115"/>
              <w:spacing w:after="0" w:line="4" w:lineRule="exact"/>
              <w:rPr>
                <w:sz w:val="20"/>
                <w:szCs w:val="20"/>
                <w:color w:val="auto"/>
              </w:rPr>
            </w:pPr>
            <w:r>
              <w:rPr>
                <w:rFonts w:ascii="Arial" w:cs="Arial" w:eastAsia="Arial" w:hAnsi="Arial"/>
                <w:sz w:val="1"/>
                <w:szCs w:val="1"/>
                <w:color w:val="auto"/>
              </w:rPr>
              <w:t>(0.6%)</w:t>
            </w:r>
          </w:p>
        </w:tc>
        <w:tc>
          <w:tcPr>
            <w:tcW w:w="720" w:type="dxa"/>
            <w:vAlign w:val="bottom"/>
            <w:shd w:val="clear" w:color="auto" w:fill="CCEEFF"/>
          </w:tcPr>
          <w:p>
            <w:pPr>
              <w:jc w:val="right"/>
              <w:ind w:right="35"/>
              <w:spacing w:after="0" w:line="4" w:lineRule="exact"/>
              <w:rPr>
                <w:sz w:val="20"/>
                <w:szCs w:val="20"/>
                <w:color w:val="auto"/>
              </w:rPr>
            </w:pPr>
            <w:r>
              <w:rPr>
                <w:rFonts w:ascii="Arial" w:cs="Arial" w:eastAsia="Arial" w:hAnsi="Arial"/>
                <w:sz w:val="1"/>
                <w:szCs w:val="1"/>
                <w:color w:val="auto"/>
              </w:rPr>
              <w:t>1.4%</w:t>
            </w:r>
          </w:p>
        </w:tc>
      </w:tr>
      <w:tr>
        <w:trPr>
          <w:trHeight w:val="158"/>
        </w:trPr>
        <w:tc>
          <w:tcPr>
            <w:tcW w:w="2540" w:type="dxa"/>
            <w:vAlign w:val="bottom"/>
            <w:shd w:val="clear" w:color="auto" w:fill="CCEEFF"/>
          </w:tcPr>
          <w:p>
            <w:pPr>
              <w:ind w:left="1780"/>
              <w:spacing w:after="0"/>
              <w:rPr>
                <w:sz w:val="20"/>
                <w:szCs w:val="20"/>
                <w:color w:val="auto"/>
              </w:rPr>
            </w:pPr>
            <w:r>
              <w:rPr>
                <w:rFonts w:ascii="Arial" w:cs="Arial" w:eastAsia="Arial" w:hAnsi="Arial"/>
                <w:sz w:val="13"/>
                <w:szCs w:val="13"/>
                <w:color w:val="auto"/>
              </w:rPr>
              <w:t>1</w:t>
            </w:r>
          </w:p>
        </w:tc>
        <w:tc>
          <w:tcPr>
            <w:tcW w:w="1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202"/>
        </w:trPr>
        <w:tc>
          <w:tcPr>
            <w:tcW w:w="2540" w:type="dxa"/>
            <w:vAlign w:val="bottom"/>
          </w:tcPr>
          <w:p>
            <w:pPr>
              <w:ind w:left="20"/>
              <w:spacing w:after="0"/>
              <w:rPr>
                <w:sz w:val="20"/>
                <w:szCs w:val="20"/>
                <w:color w:val="auto"/>
              </w:rPr>
            </w:pPr>
            <w:r>
              <w:rPr>
                <w:rFonts w:ascii="Arial" w:cs="Arial" w:eastAsia="Arial" w:hAnsi="Arial"/>
                <w:sz w:val="15"/>
                <w:szCs w:val="15"/>
                <w:color w:val="auto"/>
              </w:rPr>
              <w:t>Total Aggregates</w:t>
            </w:r>
            <w:r>
              <w:rPr>
                <w:rFonts w:ascii="Arial" w:cs="Arial" w:eastAsia="Arial" w:hAnsi="Arial"/>
                <w:sz w:val="13"/>
                <w:szCs w:val="13"/>
                <w:color w:val="auto"/>
              </w:rPr>
              <w:t>2</w:t>
            </w:r>
          </w:p>
        </w:tc>
        <w:tc>
          <w:tcPr>
            <w:tcW w:w="1360" w:type="dxa"/>
            <w:vAlign w:val="bottom"/>
          </w:tcPr>
          <w:p>
            <w:pPr>
              <w:jc w:val="right"/>
              <w:ind w:right="155"/>
              <w:spacing w:after="0"/>
              <w:rPr>
                <w:sz w:val="20"/>
                <w:szCs w:val="20"/>
                <w:color w:val="auto"/>
              </w:rPr>
            </w:pPr>
            <w:r>
              <w:rPr>
                <w:rFonts w:ascii="Arial" w:cs="Arial" w:eastAsia="Arial" w:hAnsi="Arial"/>
                <w:sz w:val="15"/>
                <w:szCs w:val="15"/>
                <w:b w:val="1"/>
                <w:bCs w:val="1"/>
                <w:color w:val="auto"/>
              </w:rPr>
              <w:t>8.3%</w:t>
            </w:r>
          </w:p>
        </w:tc>
        <w:tc>
          <w:tcPr>
            <w:tcW w:w="860" w:type="dxa"/>
            <w:vAlign w:val="bottom"/>
          </w:tcPr>
          <w:p>
            <w:pPr>
              <w:jc w:val="right"/>
              <w:ind w:right="115"/>
              <w:spacing w:after="0"/>
              <w:rPr>
                <w:sz w:val="20"/>
                <w:szCs w:val="20"/>
                <w:color w:val="auto"/>
              </w:rPr>
            </w:pPr>
            <w:r>
              <w:rPr>
                <w:rFonts w:ascii="Arial" w:cs="Arial" w:eastAsia="Arial" w:hAnsi="Arial"/>
                <w:sz w:val="15"/>
                <w:szCs w:val="15"/>
                <w:color w:val="auto"/>
              </w:rPr>
              <w:t>(0.6%)</w:t>
            </w:r>
          </w:p>
        </w:tc>
        <w:tc>
          <w:tcPr>
            <w:tcW w:w="720" w:type="dxa"/>
            <w:vAlign w:val="bottom"/>
          </w:tcPr>
          <w:p>
            <w:pPr>
              <w:jc w:val="right"/>
              <w:ind w:right="35"/>
              <w:spacing w:after="0"/>
              <w:rPr>
                <w:sz w:val="20"/>
                <w:szCs w:val="20"/>
                <w:color w:val="auto"/>
              </w:rPr>
            </w:pPr>
            <w:r>
              <w:rPr>
                <w:rFonts w:ascii="Arial" w:cs="Arial" w:eastAsia="Arial" w:hAnsi="Arial"/>
                <w:sz w:val="15"/>
                <w:szCs w:val="15"/>
                <w:color w:val="auto"/>
              </w:rPr>
              <w:t>1.4%</w:t>
            </w:r>
          </w:p>
        </w:tc>
      </w:tr>
    </w:tbl>
    <w:p>
      <w:pPr>
        <w:spacing w:after="0" w:line="72" w:lineRule="exact"/>
        <w:rPr>
          <w:sz w:val="20"/>
          <w:szCs w:val="20"/>
          <w:color w:val="auto"/>
        </w:rPr>
      </w:pPr>
    </w:p>
    <w:p>
      <w:pPr>
        <w:ind w:left="220" w:hanging="212"/>
        <w:spacing w:after="0" w:line="252" w:lineRule="auto"/>
        <w:tabs>
          <w:tab w:leader="none" w:pos="220" w:val="left"/>
        </w:tabs>
        <w:numPr>
          <w:ilvl w:val="0"/>
          <w:numId w:val="68"/>
        </w:numPr>
        <w:rPr>
          <w:rFonts w:ascii="Arial" w:cs="Arial" w:eastAsia="Arial" w:hAnsi="Arial"/>
          <w:sz w:val="14"/>
          <w:szCs w:val="14"/>
          <w:i w:val="1"/>
          <w:iCs w:val="1"/>
          <w:color w:val="auto"/>
        </w:rPr>
      </w:pPr>
      <w:r>
        <w:rPr>
          <w:rFonts w:ascii="Arial" w:cs="Arial" w:eastAsia="Arial" w:hAnsi="Arial"/>
          <w:sz w:val="14"/>
          <w:szCs w:val="14"/>
          <w:i w:val="1"/>
          <w:iCs w:val="1"/>
          <w:color w:val="auto"/>
        </w:rPr>
        <w:t>Heritage aggregates operations exclude acquisitions that have not been included in prior-year operations for the comparable period.</w:t>
      </w:r>
    </w:p>
    <w:p>
      <w:pPr>
        <w:ind w:left="220" w:hanging="212"/>
        <w:spacing w:after="0" w:line="258" w:lineRule="auto"/>
        <w:tabs>
          <w:tab w:leader="none" w:pos="220" w:val="left"/>
        </w:tabs>
        <w:numPr>
          <w:ilvl w:val="0"/>
          <w:numId w:val="69"/>
        </w:numPr>
        <w:rPr>
          <w:rFonts w:ascii="Arial" w:cs="Arial" w:eastAsia="Arial" w:hAnsi="Arial"/>
          <w:sz w:val="14"/>
          <w:szCs w:val="14"/>
          <w:i w:val="1"/>
          <w:iCs w:val="1"/>
          <w:color w:val="auto"/>
        </w:rPr>
      </w:pPr>
      <w:r>
        <w:rPr>
          <w:rFonts w:ascii="Arial" w:cs="Arial" w:eastAsia="Arial" w:hAnsi="Arial"/>
          <w:sz w:val="14"/>
          <w:szCs w:val="14"/>
          <w:i w:val="1"/>
          <w:iCs w:val="1"/>
          <w:color w:val="auto"/>
        </w:rPr>
        <w:t>Total aggregates operations include acquisitions from the date of acquisition and divestitures through the date of disposal.</w:t>
      </w:r>
    </w:p>
    <w:p>
      <w:pPr>
        <w:spacing w:after="0" w:line="29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Heritage shipments in 2018 were relatively flat compared with prior year as volumes were suppressed by excessive rainfall during peak construction season, namely in the southeastern United States and Texas. The Southeast Group was negatively affected by Hurricanes Florence and Matthew. The West Group’s decline reflected Texas experiencing its wettest February, September and October on record. Shipments at the legacy Bluegrass operations were also negatively affected by wet weather, notably in Maryland and the southeastern United States. Further, Hurricane Florence disrupted shipments in the Mid-America and Southeast Groups. Additionally, continued project delays, customer- and Department of Transportation-related labor constraints and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Unit shipments for cement, ready mixed concrete and asphalt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40" w:type="dxa"/>
            <w:vAlign w:val="bottom"/>
          </w:tcPr>
          <w:p>
            <w:pPr>
              <w:spacing w:after="0"/>
              <w:rPr>
                <w:sz w:val="20"/>
                <w:szCs w:val="20"/>
                <w:color w:val="auto"/>
              </w:rPr>
            </w:pPr>
            <w:r>
              <w:rPr>
                <w:rFonts w:ascii="Arial" w:cs="Arial" w:eastAsia="Arial" w:hAnsi="Arial"/>
                <w:sz w:val="15"/>
                <w:szCs w:val="15"/>
                <w:i w:val="1"/>
                <w:iCs w:val="1"/>
                <w:color w:val="auto"/>
              </w:rPr>
              <w:t>years ended December 31</w:t>
            </w:r>
          </w:p>
        </w:tc>
        <w:tc>
          <w:tcPr>
            <w:tcW w:w="920" w:type="dxa"/>
            <w:vAlign w:val="bottom"/>
            <w:vMerge w:val="restart"/>
          </w:tcPr>
          <w:p>
            <w:pPr>
              <w:jc w:val="right"/>
              <w:ind w:right="63"/>
              <w:spacing w:after="0"/>
              <w:rPr>
                <w:sz w:val="20"/>
                <w:szCs w:val="20"/>
                <w:color w:val="auto"/>
              </w:rPr>
            </w:pPr>
            <w:r>
              <w:rPr>
                <w:rFonts w:ascii="Arial" w:cs="Arial" w:eastAsia="Arial" w:hAnsi="Arial"/>
                <w:sz w:val="15"/>
                <w:szCs w:val="15"/>
                <w:b w:val="1"/>
                <w:bCs w:val="1"/>
                <w:color w:val="0085CD"/>
              </w:rPr>
              <w:t>2018</w:t>
            </w: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9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2017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34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Cement:</w:t>
            </w:r>
          </w:p>
        </w:tc>
        <w:tc>
          <w:tcPr>
            <w:tcW w:w="9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40" w:type="dxa"/>
            <w:vAlign w:val="bottom"/>
          </w:tcPr>
          <w:p>
            <w:pPr>
              <w:ind w:left="160"/>
              <w:spacing w:after="0" w:line="162" w:lineRule="exact"/>
              <w:rPr>
                <w:sz w:val="20"/>
                <w:szCs w:val="20"/>
                <w:color w:val="auto"/>
              </w:rPr>
            </w:pPr>
            <w:r>
              <w:rPr>
                <w:rFonts w:ascii="Arial" w:cs="Arial" w:eastAsia="Arial" w:hAnsi="Arial"/>
                <w:sz w:val="15"/>
                <w:szCs w:val="15"/>
                <w:color w:val="auto"/>
              </w:rPr>
              <w:t>Tons to external customers</w:t>
            </w:r>
          </w:p>
        </w:tc>
        <w:tc>
          <w:tcPr>
            <w:tcW w:w="92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2,286</w:t>
            </w:r>
          </w:p>
        </w:tc>
        <w:tc>
          <w:tcPr>
            <w:tcW w:w="660" w:type="dxa"/>
            <w:vAlign w:val="bottom"/>
          </w:tcPr>
          <w:p>
            <w:pPr>
              <w:jc w:val="right"/>
              <w:ind w:right="63"/>
              <w:spacing w:after="0" w:line="162" w:lineRule="exact"/>
              <w:rPr>
                <w:sz w:val="20"/>
                <w:szCs w:val="20"/>
                <w:color w:val="auto"/>
              </w:rPr>
            </w:pPr>
            <w:r>
              <w:rPr>
                <w:rFonts w:ascii="Arial" w:cs="Arial" w:eastAsia="Arial" w:hAnsi="Arial"/>
                <w:sz w:val="15"/>
                <w:szCs w:val="15"/>
                <w:color w:val="auto"/>
              </w:rPr>
              <w:t>2,271</w:t>
            </w: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2,331</w:t>
            </w:r>
          </w:p>
        </w:tc>
        <w:tc>
          <w:tcPr>
            <w:tcW w:w="0" w:type="dxa"/>
            <w:vAlign w:val="bottom"/>
          </w:tcPr>
          <w:p>
            <w:pPr>
              <w:spacing w:after="0"/>
              <w:rPr>
                <w:sz w:val="1"/>
                <w:szCs w:val="1"/>
                <w:color w:val="auto"/>
              </w:rPr>
            </w:pPr>
          </w:p>
        </w:tc>
      </w:tr>
      <w:tr>
        <w:trPr>
          <w:trHeight w:val="162"/>
        </w:trPr>
        <w:tc>
          <w:tcPr>
            <w:tcW w:w="3440" w:type="dxa"/>
            <w:vAlign w:val="bottom"/>
            <w:tcBorders>
              <w:bottom w:val="single" w:sz="8" w:color="auto"/>
            </w:tcBorders>
            <w:shd w:val="clear" w:color="auto" w:fill="CCEEFF"/>
          </w:tcPr>
          <w:p>
            <w:pPr>
              <w:ind w:left="160"/>
              <w:spacing w:after="0" w:line="162" w:lineRule="exact"/>
              <w:rPr>
                <w:sz w:val="20"/>
                <w:szCs w:val="20"/>
                <w:color w:val="auto"/>
              </w:rPr>
            </w:pPr>
            <w:r>
              <w:rPr>
                <w:rFonts w:ascii="Arial" w:cs="Arial" w:eastAsia="Arial" w:hAnsi="Arial"/>
                <w:sz w:val="15"/>
                <w:szCs w:val="15"/>
                <w:color w:val="auto"/>
              </w:rPr>
              <w:t>Internal tons used in ready mixed concrete</w:t>
            </w:r>
          </w:p>
        </w:tc>
        <w:tc>
          <w:tcPr>
            <w:tcW w:w="920" w:type="dxa"/>
            <w:vAlign w:val="bottom"/>
            <w:tcBorders>
              <w:bottom w:val="single" w:sz="8" w:color="auto"/>
            </w:tcBorders>
            <w:shd w:val="clear" w:color="auto" w:fill="CCEEFF"/>
          </w:tcPr>
          <w:p>
            <w:pPr>
              <w:jc w:val="right"/>
              <w:ind w:right="63"/>
              <w:spacing w:after="0" w:line="162" w:lineRule="exact"/>
              <w:rPr>
                <w:sz w:val="20"/>
                <w:szCs w:val="20"/>
                <w:color w:val="auto"/>
              </w:rPr>
            </w:pPr>
            <w:r>
              <w:rPr>
                <w:rFonts w:ascii="Arial" w:cs="Arial" w:eastAsia="Arial" w:hAnsi="Arial"/>
                <w:sz w:val="15"/>
                <w:szCs w:val="15"/>
                <w:b w:val="1"/>
                <w:bCs w:val="1"/>
                <w:color w:val="auto"/>
              </w:rPr>
              <w:t>1,222</w:t>
            </w:r>
          </w:p>
        </w:tc>
        <w:tc>
          <w:tcPr>
            <w:tcW w:w="660" w:type="dxa"/>
            <w:vAlign w:val="bottom"/>
            <w:tcBorders>
              <w:bottom w:val="single" w:sz="8" w:color="auto"/>
            </w:tcBorders>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1,196</w:t>
            </w:r>
          </w:p>
        </w:tc>
        <w:tc>
          <w:tcPr>
            <w:tcW w:w="5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1,194</w:t>
            </w:r>
          </w:p>
        </w:tc>
        <w:tc>
          <w:tcPr>
            <w:tcW w:w="0" w:type="dxa"/>
            <w:vAlign w:val="bottom"/>
          </w:tcPr>
          <w:p>
            <w:pPr>
              <w:spacing w:after="0"/>
              <w:rPr>
                <w:sz w:val="1"/>
                <w:szCs w:val="1"/>
                <w:color w:val="auto"/>
              </w:rPr>
            </w:pPr>
          </w:p>
        </w:tc>
      </w:tr>
      <w:tr>
        <w:trPr>
          <w:trHeight w:val="163"/>
        </w:trPr>
        <w:tc>
          <w:tcPr>
            <w:tcW w:w="344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Total cement tons</w:t>
            </w:r>
          </w:p>
        </w:tc>
        <w:tc>
          <w:tcPr>
            <w:tcW w:w="92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b w:val="1"/>
                <w:bCs w:val="1"/>
                <w:color w:val="auto"/>
              </w:rPr>
              <w:t>3,508</w:t>
            </w:r>
          </w:p>
        </w:tc>
        <w:tc>
          <w:tcPr>
            <w:tcW w:w="66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color w:val="auto"/>
              </w:rPr>
              <w:t>3,467</w:t>
            </w:r>
          </w:p>
        </w:tc>
        <w:tc>
          <w:tcPr>
            <w:tcW w:w="5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3,525</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44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5"/>
                <w:szCs w:val="15"/>
                <w:color w:val="auto"/>
              </w:rPr>
              <w:t>Ready Mixed Concrete - cubic yards</w:t>
            </w:r>
          </w:p>
        </w:tc>
        <w:tc>
          <w:tcPr>
            <w:tcW w:w="920" w:type="dxa"/>
            <w:vAlign w:val="bottom"/>
            <w:tcBorders>
              <w:bottom w:val="single" w:sz="8" w:color="auto"/>
            </w:tcBorders>
            <w:shd w:val="clear" w:color="auto" w:fill="CCEEFF"/>
          </w:tcPr>
          <w:p>
            <w:pPr>
              <w:jc w:val="right"/>
              <w:ind w:right="63"/>
              <w:spacing w:after="0" w:line="162" w:lineRule="exact"/>
              <w:rPr>
                <w:sz w:val="20"/>
                <w:szCs w:val="20"/>
                <w:color w:val="auto"/>
              </w:rPr>
            </w:pPr>
            <w:r>
              <w:rPr>
                <w:rFonts w:ascii="Arial" w:cs="Arial" w:eastAsia="Arial" w:hAnsi="Arial"/>
                <w:sz w:val="15"/>
                <w:szCs w:val="15"/>
                <w:b w:val="1"/>
                <w:bCs w:val="1"/>
                <w:color w:val="auto"/>
              </w:rPr>
              <w:t>8,685</w:t>
            </w:r>
          </w:p>
        </w:tc>
        <w:tc>
          <w:tcPr>
            <w:tcW w:w="660" w:type="dxa"/>
            <w:vAlign w:val="bottom"/>
            <w:tcBorders>
              <w:bottom w:val="single" w:sz="8" w:color="auto"/>
            </w:tcBorders>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8,559</w:t>
            </w:r>
          </w:p>
        </w:tc>
        <w:tc>
          <w:tcPr>
            <w:tcW w:w="5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8,490</w:t>
            </w:r>
          </w:p>
        </w:tc>
        <w:tc>
          <w:tcPr>
            <w:tcW w:w="0" w:type="dxa"/>
            <w:vAlign w:val="bottom"/>
          </w:tcPr>
          <w:p>
            <w:pPr>
              <w:spacing w:after="0"/>
              <w:rPr>
                <w:sz w:val="1"/>
                <w:szCs w:val="1"/>
                <w:color w:val="auto"/>
              </w:rPr>
            </w:pPr>
          </w:p>
        </w:tc>
      </w:tr>
      <w:tr>
        <w:trPr>
          <w:trHeight w:val="365"/>
        </w:trPr>
        <w:tc>
          <w:tcPr>
            <w:tcW w:w="3440" w:type="dxa"/>
            <w:vAlign w:val="bottom"/>
          </w:tcPr>
          <w:p>
            <w:pPr>
              <w:spacing w:after="0"/>
              <w:rPr>
                <w:sz w:val="20"/>
                <w:szCs w:val="20"/>
                <w:color w:val="auto"/>
              </w:rPr>
            </w:pPr>
            <w:r>
              <w:rPr>
                <w:rFonts w:ascii="Arial" w:cs="Arial" w:eastAsia="Arial" w:hAnsi="Arial"/>
                <w:sz w:val="15"/>
                <w:szCs w:val="15"/>
                <w:color w:val="auto"/>
              </w:rPr>
              <w:t>Asphalt:</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Tons to external customers</w:t>
            </w:r>
          </w:p>
        </w:tc>
        <w:tc>
          <w:tcPr>
            <w:tcW w:w="92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b w:val="1"/>
                <w:bCs w:val="1"/>
                <w:color w:val="auto"/>
              </w:rPr>
              <w:t>1,076</w:t>
            </w:r>
          </w:p>
        </w:tc>
        <w:tc>
          <w:tcPr>
            <w:tcW w:w="66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1,123</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1,023</w:t>
            </w:r>
          </w:p>
        </w:tc>
        <w:tc>
          <w:tcPr>
            <w:tcW w:w="0" w:type="dxa"/>
            <w:vAlign w:val="bottom"/>
          </w:tcPr>
          <w:p>
            <w:pPr>
              <w:spacing w:after="0"/>
              <w:rPr>
                <w:sz w:val="1"/>
                <w:szCs w:val="1"/>
                <w:color w:val="auto"/>
              </w:rPr>
            </w:pPr>
          </w:p>
        </w:tc>
      </w:tr>
      <w:tr>
        <w:trPr>
          <w:trHeight w:val="162"/>
        </w:trPr>
        <w:tc>
          <w:tcPr>
            <w:tcW w:w="3440" w:type="dxa"/>
            <w:vAlign w:val="bottom"/>
            <w:tcBorders>
              <w:bottom w:val="single" w:sz="8" w:color="auto"/>
            </w:tcBorders>
          </w:tcPr>
          <w:p>
            <w:pPr>
              <w:ind w:left="160"/>
              <w:spacing w:after="0" w:line="162" w:lineRule="exact"/>
              <w:rPr>
                <w:sz w:val="20"/>
                <w:szCs w:val="20"/>
                <w:color w:val="auto"/>
              </w:rPr>
            </w:pPr>
            <w:r>
              <w:rPr>
                <w:rFonts w:ascii="Arial" w:cs="Arial" w:eastAsia="Arial" w:hAnsi="Arial"/>
                <w:sz w:val="15"/>
                <w:szCs w:val="15"/>
                <w:color w:val="auto"/>
              </w:rPr>
              <w:t>Internal tons used in paving operations</w:t>
            </w:r>
          </w:p>
        </w:tc>
        <w:tc>
          <w:tcPr>
            <w:tcW w:w="92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b w:val="1"/>
                <w:bCs w:val="1"/>
                <w:color w:val="auto"/>
              </w:rPr>
              <w:t>1,857</w:t>
            </w:r>
          </w:p>
        </w:tc>
        <w:tc>
          <w:tcPr>
            <w:tcW w:w="66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2,167</w:t>
            </w:r>
          </w:p>
        </w:tc>
        <w:tc>
          <w:tcPr>
            <w:tcW w:w="5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2,131</w:t>
            </w:r>
          </w:p>
        </w:tc>
        <w:tc>
          <w:tcPr>
            <w:tcW w:w="0" w:type="dxa"/>
            <w:vAlign w:val="bottom"/>
          </w:tcPr>
          <w:p>
            <w:pPr>
              <w:spacing w:after="0"/>
              <w:rPr>
                <w:sz w:val="1"/>
                <w:szCs w:val="1"/>
                <w:color w:val="auto"/>
              </w:rPr>
            </w:pPr>
          </w:p>
        </w:tc>
      </w:tr>
      <w:tr>
        <w:trPr>
          <w:trHeight w:val="163"/>
        </w:trPr>
        <w:tc>
          <w:tcPr>
            <w:tcW w:w="34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Total asphalt tons</w:t>
            </w:r>
          </w:p>
        </w:tc>
        <w:tc>
          <w:tcPr>
            <w:tcW w:w="920" w:type="dxa"/>
            <w:vAlign w:val="bottom"/>
            <w:tcBorders>
              <w:bottom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b w:val="1"/>
                <w:bCs w:val="1"/>
                <w:color w:val="auto"/>
              </w:rPr>
              <w:t>2,933</w:t>
            </w:r>
          </w:p>
        </w:tc>
        <w:tc>
          <w:tcPr>
            <w:tcW w:w="660" w:type="dxa"/>
            <w:vAlign w:val="bottom"/>
            <w:tcBorders>
              <w:bottom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3,290</w:t>
            </w: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3,154</w:t>
            </w: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Cement and ready mixed concrete shipments in 2018 and 2017 were hindered by significant amounts of precipitation in Texas. Asphalt shipments in 2018 declined compared with 2017 primarily due to project delays and permitting issues. The 2017 increase in shipments in the asphalt and ready mixed concrete is primarily attributable to more favorable weather in the Front Range region of Colorado.</w:t>
      </w:r>
    </w:p>
    <w:p>
      <w:pPr>
        <w:spacing w:after="0" w:line="721"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64</w:t>
      </w:r>
    </w:p>
    <w:p>
      <w:pPr>
        <w:sectPr>
          <w:pgSz w:w="11900" w:h="16838" w:orient="portrait"/>
          <w:cols w:equalWidth="0" w:num="1">
            <w:col w:w="11420"/>
          </w:cols>
          <w:pgMar w:left="240" w:top="265" w:right="2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i w:val="1"/>
          <w:iCs w:val="1"/>
          <w:color w:val="49B28F"/>
        </w:rPr>
        <w:t xml:space="preserve">Magnesia Specialties. </w:t>
      </w:r>
      <w:r>
        <w:rPr>
          <w:rFonts w:ascii="Arial" w:cs="Arial" w:eastAsia="Arial" w:hAnsi="Arial"/>
          <w:sz w:val="17"/>
          <w:szCs w:val="17"/>
          <w:color w:val="000000"/>
        </w:rPr>
        <w:t>In 2018, Magnesia Specialties reported record</w:t>
      </w:r>
      <w:r>
        <w:rPr>
          <w:rFonts w:ascii="Arial" w:cs="Arial" w:eastAsia="Arial" w:hAnsi="Arial"/>
          <w:sz w:val="17"/>
          <w:szCs w:val="17"/>
          <w:b w:val="1"/>
          <w:bCs w:val="1"/>
          <w:i w:val="1"/>
          <w:iCs w:val="1"/>
          <w:color w:val="49B28F"/>
        </w:rPr>
        <w:t xml:space="preserve"> </w:t>
      </w:r>
      <w:r>
        <w:rPr>
          <w:rFonts w:ascii="Arial" w:cs="Arial" w:eastAsia="Arial" w:hAnsi="Arial"/>
          <w:sz w:val="17"/>
          <w:szCs w:val="17"/>
          <w:color w:val="000000"/>
        </w:rPr>
        <w:t>total revenues of $287.7 million, an increase of 6.6%, gross profit of $98.7 million, an increase of 9.4%, and earnings from operations of $88.1 million, an increase of 10.9%, all compared with 2017. The improved results are attributable to an increase in both the chemicals and lime product lines. Total revenues in 2017 of $270.0 million increased 5.0% compared with 2016, primarily attributable to volume increases in the chemicals product 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Cost of Sales</w:t>
      </w:r>
    </w:p>
    <w:p>
      <w:pPr>
        <w:spacing w:after="0" w:line="5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Cost of sales increased 9.5% in 2018 and 3.2% in 2017, both compared with the prior year. The increase in 2018 and 2017 is attributable to acquired operations coupled with higher personnel, diesel and depreciation expenses. On average, the Company paid $2.29 per gallon of diesel fuel in 2018 compared with $1.81 in 2017.</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Cost of sales also includes internal freight costs incurred when the Company transports building material products, either by truck, rail or water, from one location to another. These freight costs are included in the Building Materials business’ cost of sales and were $266.2 million, $250.7 million and $242.2 million for 2018, 2017 and 2016,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Gross Profit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Gross profit (loss) by product line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00" w:type="dxa"/>
            <w:vAlign w:val="bottom"/>
          </w:tcPr>
          <w:p>
            <w:pPr>
              <w:ind w:left="20"/>
              <w:spacing w:after="0"/>
              <w:rPr>
                <w:sz w:val="20"/>
                <w:szCs w:val="20"/>
                <w:color w:val="auto"/>
              </w:rPr>
            </w:pPr>
            <w:r>
              <w:rPr>
                <w:rFonts w:ascii="Arial" w:cs="Arial" w:eastAsia="Arial" w:hAnsi="Arial"/>
                <w:sz w:val="14"/>
                <w:szCs w:val="14"/>
                <w:i w:val="1"/>
                <w:iCs w:val="1"/>
                <w:color w:val="auto"/>
              </w:rPr>
              <w:t>years ended December 31</w:t>
            </w:r>
          </w:p>
        </w:tc>
        <w:tc>
          <w:tcPr>
            <w:tcW w:w="320" w:type="dxa"/>
            <w:vAlign w:val="bottom"/>
          </w:tcPr>
          <w:p>
            <w:pPr>
              <w:spacing w:after="0"/>
              <w:rPr>
                <w:sz w:val="15"/>
                <w:szCs w:val="15"/>
                <w:color w:val="auto"/>
              </w:rPr>
            </w:pPr>
          </w:p>
        </w:tc>
        <w:tc>
          <w:tcPr>
            <w:tcW w:w="800" w:type="dxa"/>
            <w:vAlign w:val="bottom"/>
            <w:vMerge w:val="restart"/>
          </w:tcPr>
          <w:p>
            <w:pPr>
              <w:jc w:val="right"/>
              <w:ind w:right="123"/>
              <w:spacing w:after="0"/>
              <w:rPr>
                <w:sz w:val="20"/>
                <w:szCs w:val="20"/>
                <w:color w:val="auto"/>
              </w:rPr>
            </w:pPr>
            <w:r>
              <w:rPr>
                <w:rFonts w:ascii="Arial" w:cs="Arial" w:eastAsia="Arial" w:hAnsi="Arial"/>
                <w:sz w:val="15"/>
                <w:szCs w:val="15"/>
                <w:b w:val="1"/>
                <w:bCs w:val="1"/>
                <w:color w:val="0085CD"/>
              </w:rPr>
              <w:t>2018</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(add 000)</w:t>
            </w: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3"/>
              <w:spacing w:after="0" w:line="171" w:lineRule="exact"/>
              <w:rPr>
                <w:sz w:val="20"/>
                <w:szCs w:val="20"/>
                <w:color w:val="auto"/>
              </w:rPr>
            </w:pPr>
            <w:r>
              <w:rPr>
                <w:rFonts w:ascii="Arial" w:cs="Arial" w:eastAsia="Arial" w:hAnsi="Arial"/>
                <w:sz w:val="15"/>
                <w:szCs w:val="15"/>
                <w:color w:val="auto"/>
              </w:rPr>
              <w:t>2017</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
              <w:spacing w:after="0" w:line="171" w:lineRule="exact"/>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230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Building Materials Business:</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160"/>
              <w:spacing w:after="0" w:line="162" w:lineRule="exact"/>
              <w:rPr>
                <w:sz w:val="20"/>
                <w:szCs w:val="20"/>
                <w:color w:val="auto"/>
              </w:rPr>
            </w:pPr>
            <w:r>
              <w:rPr>
                <w:rFonts w:ascii="Arial" w:cs="Arial" w:eastAsia="Arial" w:hAnsi="Arial"/>
                <w:sz w:val="15"/>
                <w:szCs w:val="15"/>
                <w:color w:val="auto"/>
              </w:rPr>
              <w:t>Aggregates</w:t>
            </w:r>
          </w:p>
        </w:tc>
        <w:tc>
          <w:tcPr>
            <w:tcW w:w="32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800" w:type="dxa"/>
            <w:vAlign w:val="bottom"/>
          </w:tcPr>
          <w:p>
            <w:pPr>
              <w:jc w:val="right"/>
              <w:ind w:right="123"/>
              <w:spacing w:after="0" w:line="162" w:lineRule="exact"/>
              <w:rPr>
                <w:sz w:val="20"/>
                <w:szCs w:val="20"/>
                <w:color w:val="auto"/>
              </w:rPr>
            </w:pPr>
            <w:r>
              <w:rPr>
                <w:rFonts w:ascii="Arial" w:cs="Arial" w:eastAsia="Arial" w:hAnsi="Arial"/>
                <w:sz w:val="15"/>
                <w:szCs w:val="15"/>
                <w:b w:val="1"/>
                <w:bCs w:val="1"/>
                <w:color w:val="auto"/>
              </w:rPr>
              <w:t>606,759</w:t>
            </w:r>
          </w:p>
        </w:tc>
        <w:tc>
          <w:tcPr>
            <w:tcW w:w="2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599,670</w:t>
            </w:r>
          </w:p>
        </w:tc>
        <w:tc>
          <w:tcPr>
            <w:tcW w:w="2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556,131</w:t>
            </w: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Cement</w:t>
            </w: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b w:val="1"/>
                <w:bCs w:val="1"/>
                <w:color w:val="auto"/>
              </w:rPr>
              <w:t>126,213</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117,021</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119,894</w:t>
            </w:r>
          </w:p>
        </w:tc>
        <w:tc>
          <w:tcPr>
            <w:tcW w:w="0" w:type="dxa"/>
            <w:vAlign w:val="bottom"/>
          </w:tcPr>
          <w:p>
            <w:pPr>
              <w:spacing w:after="0"/>
              <w:rPr>
                <w:sz w:val="1"/>
                <w:szCs w:val="1"/>
                <w:color w:val="auto"/>
              </w:rPr>
            </w:pPr>
          </w:p>
        </w:tc>
      </w:tr>
      <w:tr>
        <w:trPr>
          <w:trHeight w:val="162"/>
        </w:trPr>
        <w:tc>
          <w:tcPr>
            <w:tcW w:w="2300" w:type="dxa"/>
            <w:vAlign w:val="bottom"/>
          </w:tcPr>
          <w:p>
            <w:pPr>
              <w:ind w:left="160"/>
              <w:spacing w:after="0" w:line="162" w:lineRule="exact"/>
              <w:rPr>
                <w:sz w:val="20"/>
                <w:szCs w:val="20"/>
                <w:color w:val="auto"/>
              </w:rPr>
            </w:pPr>
            <w:r>
              <w:rPr>
                <w:rFonts w:ascii="Arial" w:cs="Arial" w:eastAsia="Arial" w:hAnsi="Arial"/>
                <w:sz w:val="15"/>
                <w:szCs w:val="15"/>
                <w:color w:val="auto"/>
              </w:rPr>
              <w:t>Ready Mixed Concrete</w:t>
            </w:r>
          </w:p>
        </w:tc>
        <w:tc>
          <w:tcPr>
            <w:tcW w:w="320" w:type="dxa"/>
            <w:vAlign w:val="bottom"/>
          </w:tcPr>
          <w:p>
            <w:pPr>
              <w:spacing w:after="0"/>
              <w:rPr>
                <w:sz w:val="14"/>
                <w:szCs w:val="14"/>
                <w:color w:val="auto"/>
              </w:rPr>
            </w:pPr>
          </w:p>
        </w:tc>
        <w:tc>
          <w:tcPr>
            <w:tcW w:w="800" w:type="dxa"/>
            <w:vAlign w:val="bottom"/>
          </w:tcPr>
          <w:p>
            <w:pPr>
              <w:jc w:val="right"/>
              <w:ind w:right="123"/>
              <w:spacing w:after="0" w:line="162" w:lineRule="exact"/>
              <w:rPr>
                <w:sz w:val="20"/>
                <w:szCs w:val="20"/>
                <w:color w:val="auto"/>
              </w:rPr>
            </w:pPr>
            <w:r>
              <w:rPr>
                <w:rFonts w:ascii="Arial" w:cs="Arial" w:eastAsia="Arial" w:hAnsi="Arial"/>
                <w:sz w:val="15"/>
                <w:szCs w:val="15"/>
                <w:b w:val="1"/>
                <w:bCs w:val="1"/>
                <w:color w:val="auto"/>
              </w:rPr>
              <w:t>74,175</w:t>
            </w:r>
          </w:p>
        </w:tc>
        <w:tc>
          <w:tcPr>
            <w:tcW w:w="280" w:type="dxa"/>
            <w:vAlign w:val="bottom"/>
          </w:tcPr>
          <w:p>
            <w:pPr>
              <w:spacing w:after="0"/>
              <w:rPr>
                <w:sz w:val="14"/>
                <w:szCs w:val="14"/>
                <w:color w:val="auto"/>
              </w:rPr>
            </w:pPr>
          </w:p>
        </w:tc>
        <w:tc>
          <w:tcPr>
            <w:tcW w:w="80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91,646</w:t>
            </w:r>
          </w:p>
        </w:tc>
        <w:tc>
          <w:tcPr>
            <w:tcW w:w="280" w:type="dxa"/>
            <w:vAlign w:val="bottom"/>
          </w:tcPr>
          <w:p>
            <w:pPr>
              <w:spacing w:after="0"/>
              <w:rPr>
                <w:sz w:val="14"/>
                <w:szCs w:val="14"/>
                <w:color w:val="auto"/>
              </w:rPr>
            </w:pPr>
          </w:p>
        </w:tc>
        <w:tc>
          <w:tcPr>
            <w:tcW w:w="7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99,085</w:t>
            </w:r>
          </w:p>
        </w:tc>
        <w:tc>
          <w:tcPr>
            <w:tcW w:w="0" w:type="dxa"/>
            <w:vAlign w:val="bottom"/>
          </w:tcPr>
          <w:p>
            <w:pPr>
              <w:spacing w:after="0"/>
              <w:rPr>
                <w:sz w:val="1"/>
                <w:szCs w:val="1"/>
                <w:color w:val="auto"/>
              </w:rPr>
            </w:pPr>
          </w:p>
        </w:tc>
      </w:tr>
      <w:tr>
        <w:trPr>
          <w:trHeight w:val="162"/>
        </w:trPr>
        <w:tc>
          <w:tcPr>
            <w:tcW w:w="2300" w:type="dxa"/>
            <w:vAlign w:val="bottom"/>
            <w:tcBorders>
              <w:bottom w:val="single" w:sz="8" w:color="auto"/>
            </w:tcBorders>
            <w:shd w:val="clear" w:color="auto" w:fill="CCEEFF"/>
          </w:tcPr>
          <w:p>
            <w:pPr>
              <w:ind w:left="160"/>
              <w:spacing w:after="0" w:line="162" w:lineRule="exact"/>
              <w:rPr>
                <w:sz w:val="20"/>
                <w:szCs w:val="20"/>
                <w:color w:val="auto"/>
              </w:rPr>
            </w:pPr>
            <w:r>
              <w:rPr>
                <w:rFonts w:ascii="Arial" w:cs="Arial" w:eastAsia="Arial" w:hAnsi="Arial"/>
                <w:sz w:val="15"/>
                <w:szCs w:val="15"/>
                <w:color w:val="auto"/>
              </w:rPr>
              <w:t>Asphalt and Paving Services</w:t>
            </w:r>
          </w:p>
        </w:tc>
        <w:tc>
          <w:tcPr>
            <w:tcW w:w="3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23"/>
              <w:spacing w:after="0" w:line="162" w:lineRule="exact"/>
              <w:rPr>
                <w:sz w:val="20"/>
                <w:szCs w:val="20"/>
                <w:color w:val="auto"/>
              </w:rPr>
            </w:pPr>
            <w:r>
              <w:rPr>
                <w:rFonts w:ascii="Arial" w:cs="Arial" w:eastAsia="Arial" w:hAnsi="Arial"/>
                <w:sz w:val="15"/>
                <w:szCs w:val="15"/>
                <w:b w:val="1"/>
                <w:bCs w:val="1"/>
                <w:color w:val="auto"/>
              </w:rPr>
              <w:t>52,917</w:t>
            </w:r>
          </w:p>
        </w:tc>
        <w:tc>
          <w:tcPr>
            <w:tcW w:w="2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64,693</w:t>
            </w:r>
          </w:p>
        </w:tc>
        <w:tc>
          <w:tcPr>
            <w:tcW w:w="2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53,025</w:t>
            </w:r>
          </w:p>
        </w:tc>
        <w:tc>
          <w:tcPr>
            <w:tcW w:w="0" w:type="dxa"/>
            <w:vAlign w:val="bottom"/>
          </w:tcPr>
          <w:p>
            <w:pPr>
              <w:spacing w:after="0"/>
              <w:rPr>
                <w:sz w:val="1"/>
                <w:szCs w:val="1"/>
                <w:color w:val="auto"/>
              </w:rPr>
            </w:pPr>
          </w:p>
        </w:tc>
      </w:tr>
      <w:tr>
        <w:trPr>
          <w:trHeight w:val="156"/>
        </w:trPr>
        <w:tc>
          <w:tcPr>
            <w:tcW w:w="2300" w:type="dxa"/>
            <w:vAlign w:val="bottom"/>
          </w:tcPr>
          <w:p>
            <w:pPr>
              <w:ind w:left="20"/>
              <w:spacing w:after="0" w:line="156" w:lineRule="exact"/>
              <w:rPr>
                <w:sz w:val="20"/>
                <w:szCs w:val="20"/>
                <w:color w:val="auto"/>
              </w:rPr>
            </w:pPr>
            <w:r>
              <w:rPr>
                <w:rFonts w:ascii="Arial" w:cs="Arial" w:eastAsia="Arial" w:hAnsi="Arial"/>
                <w:sz w:val="15"/>
                <w:szCs w:val="15"/>
                <w:color w:val="auto"/>
              </w:rPr>
              <w:t>Products and Services</w:t>
            </w:r>
          </w:p>
        </w:tc>
        <w:tc>
          <w:tcPr>
            <w:tcW w:w="320" w:type="dxa"/>
            <w:vAlign w:val="bottom"/>
          </w:tcPr>
          <w:p>
            <w:pPr>
              <w:spacing w:after="0"/>
              <w:rPr>
                <w:sz w:val="13"/>
                <w:szCs w:val="13"/>
                <w:color w:val="auto"/>
              </w:rPr>
            </w:pPr>
          </w:p>
        </w:tc>
        <w:tc>
          <w:tcPr>
            <w:tcW w:w="800" w:type="dxa"/>
            <w:vAlign w:val="bottom"/>
          </w:tcPr>
          <w:p>
            <w:pPr>
              <w:jc w:val="right"/>
              <w:ind w:right="123"/>
              <w:spacing w:after="0" w:line="156" w:lineRule="exact"/>
              <w:rPr>
                <w:sz w:val="20"/>
                <w:szCs w:val="20"/>
                <w:color w:val="auto"/>
              </w:rPr>
            </w:pPr>
            <w:r>
              <w:rPr>
                <w:rFonts w:ascii="Arial" w:cs="Arial" w:eastAsia="Arial" w:hAnsi="Arial"/>
                <w:sz w:val="15"/>
                <w:szCs w:val="15"/>
                <w:b w:val="1"/>
                <w:bCs w:val="1"/>
                <w:color w:val="auto"/>
              </w:rPr>
              <w:t>860,064</w:t>
            </w:r>
          </w:p>
        </w:tc>
        <w:tc>
          <w:tcPr>
            <w:tcW w:w="280" w:type="dxa"/>
            <w:vAlign w:val="bottom"/>
          </w:tcPr>
          <w:p>
            <w:pPr>
              <w:spacing w:after="0"/>
              <w:rPr>
                <w:sz w:val="13"/>
                <w:szCs w:val="13"/>
                <w:color w:val="auto"/>
              </w:rPr>
            </w:pPr>
          </w:p>
        </w:tc>
        <w:tc>
          <w:tcPr>
            <w:tcW w:w="800" w:type="dxa"/>
            <w:vAlign w:val="bottom"/>
          </w:tcPr>
          <w:p>
            <w:pPr>
              <w:jc w:val="right"/>
              <w:ind w:right="123"/>
              <w:spacing w:after="0" w:line="156" w:lineRule="exact"/>
              <w:rPr>
                <w:sz w:val="20"/>
                <w:szCs w:val="20"/>
                <w:color w:val="auto"/>
              </w:rPr>
            </w:pPr>
            <w:r>
              <w:rPr>
                <w:rFonts w:ascii="Arial" w:cs="Arial" w:eastAsia="Arial" w:hAnsi="Arial"/>
                <w:sz w:val="15"/>
                <w:szCs w:val="15"/>
                <w:color w:val="auto"/>
              </w:rPr>
              <w:t>873,030</w:t>
            </w:r>
          </w:p>
        </w:tc>
        <w:tc>
          <w:tcPr>
            <w:tcW w:w="280" w:type="dxa"/>
            <w:vAlign w:val="bottom"/>
          </w:tcPr>
          <w:p>
            <w:pPr>
              <w:spacing w:after="0"/>
              <w:rPr>
                <w:sz w:val="13"/>
                <w:szCs w:val="13"/>
                <w:color w:val="auto"/>
              </w:rPr>
            </w:pPr>
          </w:p>
        </w:tc>
        <w:tc>
          <w:tcPr>
            <w:tcW w:w="700" w:type="dxa"/>
            <w:vAlign w:val="bottom"/>
          </w:tcPr>
          <w:p>
            <w:pPr>
              <w:jc w:val="right"/>
              <w:ind w:right="23"/>
              <w:spacing w:after="0" w:line="156" w:lineRule="exact"/>
              <w:rPr>
                <w:sz w:val="20"/>
                <w:szCs w:val="20"/>
                <w:color w:val="auto"/>
              </w:rPr>
            </w:pPr>
            <w:r>
              <w:rPr>
                <w:rFonts w:ascii="Arial" w:cs="Arial" w:eastAsia="Arial" w:hAnsi="Arial"/>
                <w:sz w:val="15"/>
                <w:szCs w:val="15"/>
                <w:color w:val="auto"/>
              </w:rPr>
              <w:t>828,135</w:t>
            </w:r>
          </w:p>
        </w:tc>
        <w:tc>
          <w:tcPr>
            <w:tcW w:w="0" w:type="dxa"/>
            <w:vAlign w:val="bottom"/>
          </w:tcPr>
          <w:p>
            <w:pPr>
              <w:spacing w:after="0"/>
              <w:rPr>
                <w:sz w:val="1"/>
                <w:szCs w:val="1"/>
                <w:color w:val="auto"/>
              </w:rPr>
            </w:pPr>
          </w:p>
        </w:tc>
      </w:tr>
      <w:tr>
        <w:trPr>
          <w:trHeight w:val="162"/>
        </w:trPr>
        <w:tc>
          <w:tcPr>
            <w:tcW w:w="2300" w:type="dxa"/>
            <w:vAlign w:val="bottom"/>
            <w:tcBorders>
              <w:bottom w:val="single" w:sz="8" w:color="auto"/>
            </w:tcBorders>
            <w:shd w:val="clear" w:color="auto" w:fill="CCEEFF"/>
          </w:tcPr>
          <w:p>
            <w:pPr>
              <w:ind w:left="20"/>
              <w:spacing w:after="0" w:line="162" w:lineRule="exact"/>
              <w:rPr>
                <w:sz w:val="20"/>
                <w:szCs w:val="20"/>
                <w:color w:val="auto"/>
              </w:rPr>
            </w:pPr>
            <w:r>
              <w:rPr>
                <w:rFonts w:ascii="Arial" w:cs="Arial" w:eastAsia="Arial" w:hAnsi="Arial"/>
                <w:sz w:val="15"/>
                <w:szCs w:val="15"/>
                <w:color w:val="auto"/>
              </w:rPr>
              <w:t>Freight</w:t>
            </w:r>
          </w:p>
        </w:tc>
        <w:tc>
          <w:tcPr>
            <w:tcW w:w="3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23"/>
              <w:spacing w:after="0" w:line="162" w:lineRule="exact"/>
              <w:rPr>
                <w:sz w:val="20"/>
                <w:szCs w:val="20"/>
                <w:color w:val="auto"/>
              </w:rPr>
            </w:pPr>
            <w:r>
              <w:rPr>
                <w:rFonts w:ascii="Arial" w:cs="Arial" w:eastAsia="Arial" w:hAnsi="Arial"/>
                <w:sz w:val="15"/>
                <w:szCs w:val="15"/>
                <w:b w:val="1"/>
                <w:bCs w:val="1"/>
                <w:color w:val="auto"/>
              </w:rPr>
              <w:t>259</w:t>
            </w:r>
          </w:p>
        </w:tc>
        <w:tc>
          <w:tcPr>
            <w:tcW w:w="2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2,602</w:t>
            </w:r>
          </w:p>
        </w:tc>
        <w:tc>
          <w:tcPr>
            <w:tcW w:w="2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2,501</w:t>
            </w:r>
          </w:p>
        </w:tc>
        <w:tc>
          <w:tcPr>
            <w:tcW w:w="0" w:type="dxa"/>
            <w:vAlign w:val="bottom"/>
          </w:tcPr>
          <w:p>
            <w:pPr>
              <w:spacing w:after="0"/>
              <w:rPr>
                <w:sz w:val="1"/>
                <w:szCs w:val="1"/>
                <w:color w:val="auto"/>
              </w:rPr>
            </w:pPr>
          </w:p>
        </w:tc>
      </w:tr>
      <w:tr>
        <w:trPr>
          <w:trHeight w:val="156"/>
        </w:trPr>
        <w:tc>
          <w:tcPr>
            <w:tcW w:w="2300" w:type="dxa"/>
            <w:vAlign w:val="bottom"/>
            <w:tcBorders>
              <w:bottom w:val="single" w:sz="8" w:color="auto"/>
            </w:tcBorders>
          </w:tcPr>
          <w:p>
            <w:pPr>
              <w:ind w:left="20"/>
              <w:spacing w:after="0" w:line="156" w:lineRule="exact"/>
              <w:rPr>
                <w:sz w:val="20"/>
                <w:szCs w:val="20"/>
                <w:color w:val="auto"/>
              </w:rPr>
            </w:pPr>
            <w:r>
              <w:rPr>
                <w:rFonts w:ascii="Arial" w:cs="Arial" w:eastAsia="Arial" w:hAnsi="Arial"/>
                <w:sz w:val="15"/>
                <w:szCs w:val="15"/>
                <w:color w:val="auto"/>
              </w:rPr>
              <w:t>Building Materials Business</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23"/>
              <w:spacing w:after="0" w:line="156" w:lineRule="exact"/>
              <w:rPr>
                <w:sz w:val="20"/>
                <w:szCs w:val="20"/>
                <w:color w:val="auto"/>
              </w:rPr>
            </w:pPr>
            <w:r>
              <w:rPr>
                <w:rFonts w:ascii="Arial" w:cs="Arial" w:eastAsia="Arial" w:hAnsi="Arial"/>
                <w:sz w:val="15"/>
                <w:szCs w:val="15"/>
                <w:b w:val="1"/>
                <w:bCs w:val="1"/>
                <w:color w:val="auto"/>
              </w:rPr>
              <w:t>860,323</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23"/>
              <w:spacing w:after="0" w:line="156" w:lineRule="exact"/>
              <w:rPr>
                <w:sz w:val="20"/>
                <w:szCs w:val="20"/>
                <w:color w:val="auto"/>
              </w:rPr>
            </w:pPr>
            <w:r>
              <w:rPr>
                <w:rFonts w:ascii="Arial" w:cs="Arial" w:eastAsia="Arial" w:hAnsi="Arial"/>
                <w:sz w:val="15"/>
                <w:szCs w:val="15"/>
                <w:color w:val="auto"/>
              </w:rPr>
              <w:t>875,632</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830,636</w:t>
            </w:r>
          </w:p>
        </w:tc>
        <w:tc>
          <w:tcPr>
            <w:tcW w:w="0" w:type="dxa"/>
            <w:vAlign w:val="bottom"/>
          </w:tcPr>
          <w:p>
            <w:pPr>
              <w:spacing w:after="0"/>
              <w:rPr>
                <w:sz w:val="1"/>
                <w:szCs w:val="1"/>
                <w:color w:val="auto"/>
              </w:rPr>
            </w:pPr>
          </w:p>
        </w:tc>
      </w:tr>
      <w:tr>
        <w:trPr>
          <w:trHeight w:val="156"/>
        </w:trPr>
        <w:tc>
          <w:tcPr>
            <w:tcW w:w="2300" w:type="dxa"/>
            <w:vAlign w:val="bottom"/>
            <w:shd w:val="clear" w:color="auto" w:fill="CCEEFF"/>
          </w:tcPr>
          <w:p>
            <w:pPr>
              <w:ind w:left="20"/>
              <w:spacing w:after="0" w:line="156" w:lineRule="exact"/>
              <w:rPr>
                <w:sz w:val="20"/>
                <w:szCs w:val="20"/>
                <w:color w:val="auto"/>
              </w:rPr>
            </w:pPr>
            <w:r>
              <w:rPr>
                <w:rFonts w:ascii="Arial" w:cs="Arial" w:eastAsia="Arial" w:hAnsi="Arial"/>
                <w:sz w:val="15"/>
                <w:szCs w:val="15"/>
                <w:color w:val="auto"/>
              </w:rPr>
              <w:t>Magnesia Specialties:</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160"/>
              <w:spacing w:after="0" w:line="162" w:lineRule="exact"/>
              <w:rPr>
                <w:sz w:val="20"/>
                <w:szCs w:val="20"/>
                <w:color w:val="auto"/>
              </w:rPr>
            </w:pPr>
            <w:r>
              <w:rPr>
                <w:rFonts w:ascii="Arial" w:cs="Arial" w:eastAsia="Arial" w:hAnsi="Arial"/>
                <w:sz w:val="15"/>
                <w:szCs w:val="15"/>
                <w:color w:val="auto"/>
              </w:rPr>
              <w:t>Products and Services</w:t>
            </w:r>
          </w:p>
        </w:tc>
        <w:tc>
          <w:tcPr>
            <w:tcW w:w="320" w:type="dxa"/>
            <w:vAlign w:val="bottom"/>
          </w:tcPr>
          <w:p>
            <w:pPr>
              <w:spacing w:after="0"/>
              <w:rPr>
                <w:sz w:val="14"/>
                <w:szCs w:val="14"/>
                <w:color w:val="auto"/>
              </w:rPr>
            </w:pPr>
          </w:p>
        </w:tc>
        <w:tc>
          <w:tcPr>
            <w:tcW w:w="800" w:type="dxa"/>
            <w:vAlign w:val="bottom"/>
          </w:tcPr>
          <w:p>
            <w:pPr>
              <w:jc w:val="right"/>
              <w:ind w:right="123"/>
              <w:spacing w:after="0" w:line="162" w:lineRule="exact"/>
              <w:rPr>
                <w:sz w:val="20"/>
                <w:szCs w:val="20"/>
                <w:color w:val="auto"/>
              </w:rPr>
            </w:pPr>
            <w:r>
              <w:rPr>
                <w:rFonts w:ascii="Arial" w:cs="Arial" w:eastAsia="Arial" w:hAnsi="Arial"/>
                <w:sz w:val="15"/>
                <w:szCs w:val="15"/>
                <w:b w:val="1"/>
                <w:bCs w:val="1"/>
                <w:color w:val="auto"/>
              </w:rPr>
              <w:t>102,905</w:t>
            </w:r>
          </w:p>
        </w:tc>
        <w:tc>
          <w:tcPr>
            <w:tcW w:w="280" w:type="dxa"/>
            <w:vAlign w:val="bottom"/>
          </w:tcPr>
          <w:p>
            <w:pPr>
              <w:spacing w:after="0"/>
              <w:rPr>
                <w:sz w:val="14"/>
                <w:szCs w:val="14"/>
                <w:color w:val="auto"/>
              </w:rPr>
            </w:pPr>
          </w:p>
        </w:tc>
        <w:tc>
          <w:tcPr>
            <w:tcW w:w="80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94,050</w:t>
            </w:r>
          </w:p>
        </w:tc>
        <w:tc>
          <w:tcPr>
            <w:tcW w:w="280" w:type="dxa"/>
            <w:vAlign w:val="bottom"/>
          </w:tcPr>
          <w:p>
            <w:pPr>
              <w:spacing w:after="0"/>
              <w:rPr>
                <w:sz w:val="14"/>
                <w:szCs w:val="14"/>
                <w:color w:val="auto"/>
              </w:rPr>
            </w:pPr>
          </w:p>
        </w:tc>
        <w:tc>
          <w:tcPr>
            <w:tcW w:w="7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93,987</w:t>
            </w:r>
          </w:p>
        </w:tc>
        <w:tc>
          <w:tcPr>
            <w:tcW w:w="0" w:type="dxa"/>
            <w:vAlign w:val="bottom"/>
          </w:tcPr>
          <w:p>
            <w:pPr>
              <w:spacing w:after="0"/>
              <w:rPr>
                <w:sz w:val="1"/>
                <w:szCs w:val="1"/>
                <w:color w:val="auto"/>
              </w:rPr>
            </w:pPr>
          </w:p>
        </w:tc>
      </w:tr>
      <w:tr>
        <w:trPr>
          <w:trHeight w:val="162"/>
        </w:trPr>
        <w:tc>
          <w:tcPr>
            <w:tcW w:w="2300" w:type="dxa"/>
            <w:vAlign w:val="bottom"/>
            <w:tcBorders>
              <w:bottom w:val="single" w:sz="8" w:color="auto"/>
            </w:tcBorders>
            <w:shd w:val="clear" w:color="auto" w:fill="CCEEFF"/>
          </w:tcPr>
          <w:p>
            <w:pPr>
              <w:ind w:left="160"/>
              <w:spacing w:after="0" w:line="162" w:lineRule="exact"/>
              <w:rPr>
                <w:sz w:val="20"/>
                <w:szCs w:val="20"/>
                <w:color w:val="auto"/>
              </w:rPr>
            </w:pPr>
            <w:r>
              <w:rPr>
                <w:rFonts w:ascii="Arial" w:cs="Arial" w:eastAsia="Arial" w:hAnsi="Arial"/>
                <w:sz w:val="15"/>
                <w:szCs w:val="15"/>
                <w:color w:val="auto"/>
              </w:rPr>
              <w:t>Freight</w:t>
            </w:r>
          </w:p>
        </w:tc>
        <w:tc>
          <w:tcPr>
            <w:tcW w:w="3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63"/>
              <w:spacing w:after="0" w:line="162" w:lineRule="exact"/>
              <w:rPr>
                <w:sz w:val="20"/>
                <w:szCs w:val="20"/>
                <w:color w:val="auto"/>
              </w:rPr>
            </w:pPr>
            <w:r>
              <w:rPr>
                <w:rFonts w:ascii="Arial" w:cs="Arial" w:eastAsia="Arial" w:hAnsi="Arial"/>
                <w:sz w:val="15"/>
                <w:szCs w:val="15"/>
                <w:b w:val="1"/>
                <w:bCs w:val="1"/>
                <w:color w:val="auto"/>
              </w:rPr>
              <w:t>(4,223)</w:t>
            </w:r>
          </w:p>
        </w:tc>
        <w:tc>
          <w:tcPr>
            <w:tcW w:w="2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(4,652)</w:t>
            </w:r>
          </w:p>
        </w:tc>
        <w:tc>
          <w:tcPr>
            <w:tcW w:w="2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(4,384)</w:t>
            </w:r>
          </w:p>
        </w:tc>
        <w:tc>
          <w:tcPr>
            <w:tcW w:w="0" w:type="dxa"/>
            <w:vAlign w:val="bottom"/>
          </w:tcPr>
          <w:p>
            <w:pPr>
              <w:spacing w:after="0"/>
              <w:rPr>
                <w:sz w:val="1"/>
                <w:szCs w:val="1"/>
                <w:color w:val="auto"/>
              </w:rPr>
            </w:pPr>
          </w:p>
        </w:tc>
      </w:tr>
      <w:tr>
        <w:trPr>
          <w:trHeight w:val="156"/>
        </w:trPr>
        <w:tc>
          <w:tcPr>
            <w:tcW w:w="2300" w:type="dxa"/>
            <w:vAlign w:val="bottom"/>
            <w:tcBorders>
              <w:bottom w:val="single" w:sz="8" w:color="auto"/>
            </w:tcBorders>
          </w:tcPr>
          <w:p>
            <w:pPr>
              <w:ind w:left="20"/>
              <w:spacing w:after="0" w:line="156" w:lineRule="exact"/>
              <w:rPr>
                <w:sz w:val="20"/>
                <w:szCs w:val="20"/>
                <w:color w:val="auto"/>
              </w:rPr>
            </w:pPr>
            <w:r>
              <w:rPr>
                <w:rFonts w:ascii="Arial" w:cs="Arial" w:eastAsia="Arial" w:hAnsi="Arial"/>
                <w:sz w:val="15"/>
                <w:szCs w:val="15"/>
                <w:color w:val="auto"/>
              </w:rPr>
              <w:t>Magnesia Specialties</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23"/>
              <w:spacing w:after="0" w:line="156" w:lineRule="exact"/>
              <w:rPr>
                <w:sz w:val="20"/>
                <w:szCs w:val="20"/>
                <w:color w:val="auto"/>
              </w:rPr>
            </w:pPr>
            <w:r>
              <w:rPr>
                <w:rFonts w:ascii="Arial" w:cs="Arial" w:eastAsia="Arial" w:hAnsi="Arial"/>
                <w:sz w:val="15"/>
                <w:szCs w:val="15"/>
                <w:b w:val="1"/>
                <w:bCs w:val="1"/>
                <w:color w:val="auto"/>
              </w:rPr>
              <w:t>98,682</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23"/>
              <w:spacing w:after="0" w:line="156" w:lineRule="exact"/>
              <w:rPr>
                <w:sz w:val="20"/>
                <w:szCs w:val="20"/>
                <w:color w:val="auto"/>
              </w:rPr>
            </w:pPr>
            <w:r>
              <w:rPr>
                <w:rFonts w:ascii="Arial" w:cs="Arial" w:eastAsia="Arial" w:hAnsi="Arial"/>
                <w:sz w:val="15"/>
                <w:szCs w:val="15"/>
                <w:color w:val="auto"/>
              </w:rPr>
              <w:t>89,398</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89,603</w:t>
            </w:r>
          </w:p>
        </w:tc>
        <w:tc>
          <w:tcPr>
            <w:tcW w:w="0" w:type="dxa"/>
            <w:vAlign w:val="bottom"/>
          </w:tcPr>
          <w:p>
            <w:pPr>
              <w:spacing w:after="0"/>
              <w:rPr>
                <w:sz w:val="1"/>
                <w:szCs w:val="1"/>
                <w:color w:val="auto"/>
              </w:rPr>
            </w:pPr>
          </w:p>
        </w:tc>
      </w:tr>
      <w:tr>
        <w:trPr>
          <w:trHeight w:val="156"/>
        </w:trPr>
        <w:tc>
          <w:tcPr>
            <w:tcW w:w="2300" w:type="dxa"/>
            <w:vAlign w:val="bottom"/>
            <w:tcBorders>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Corporate</w:t>
            </w:r>
          </w:p>
        </w:tc>
        <w:tc>
          <w:tcPr>
            <w:tcW w:w="3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23"/>
              <w:spacing w:after="0" w:line="156" w:lineRule="exact"/>
              <w:rPr>
                <w:sz w:val="20"/>
                <w:szCs w:val="20"/>
                <w:color w:val="auto"/>
              </w:rPr>
            </w:pPr>
            <w:r>
              <w:rPr>
                <w:rFonts w:ascii="Arial" w:cs="Arial" w:eastAsia="Arial" w:hAnsi="Arial"/>
                <w:sz w:val="15"/>
                <w:szCs w:val="15"/>
                <w:b w:val="1"/>
                <w:bCs w:val="1"/>
                <w:color w:val="auto"/>
              </w:rPr>
              <w:t>7,572</w:t>
            </w:r>
          </w:p>
        </w:tc>
        <w:tc>
          <w:tcPr>
            <w:tcW w:w="2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23"/>
              <w:spacing w:after="0" w:line="156" w:lineRule="exact"/>
              <w:rPr>
                <w:sz w:val="20"/>
                <w:szCs w:val="20"/>
                <w:color w:val="auto"/>
              </w:rPr>
            </w:pPr>
            <w:r>
              <w:rPr>
                <w:rFonts w:ascii="Arial" w:cs="Arial" w:eastAsia="Arial" w:hAnsi="Arial"/>
                <w:sz w:val="15"/>
                <w:szCs w:val="15"/>
                <w:color w:val="auto"/>
              </w:rPr>
              <w:t>6,910</w:t>
            </w:r>
          </w:p>
        </w:tc>
        <w:tc>
          <w:tcPr>
            <w:tcW w:w="2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(8,501)</w:t>
            </w:r>
          </w:p>
        </w:tc>
        <w:tc>
          <w:tcPr>
            <w:tcW w:w="0" w:type="dxa"/>
            <w:vAlign w:val="bottom"/>
          </w:tcPr>
          <w:p>
            <w:pPr>
              <w:spacing w:after="0"/>
              <w:rPr>
                <w:sz w:val="1"/>
                <w:szCs w:val="1"/>
                <w:color w:val="auto"/>
              </w:rPr>
            </w:pPr>
          </w:p>
        </w:tc>
      </w:tr>
      <w:tr>
        <w:trPr>
          <w:trHeight w:val="163"/>
        </w:trPr>
        <w:tc>
          <w:tcPr>
            <w:tcW w:w="2300" w:type="dxa"/>
            <w:vAlign w:val="bottom"/>
            <w:tcBorders>
              <w:bottom w:val="single" w:sz="8" w:color="auto"/>
            </w:tcBorders>
          </w:tcPr>
          <w:p>
            <w:pPr>
              <w:ind w:left="20"/>
              <w:spacing w:after="0" w:line="156" w:lineRule="exact"/>
              <w:rPr>
                <w:sz w:val="20"/>
                <w:szCs w:val="20"/>
                <w:color w:val="auto"/>
              </w:rPr>
            </w:pPr>
            <w:r>
              <w:rPr>
                <w:rFonts w:ascii="Arial" w:cs="Arial" w:eastAsia="Arial" w:hAnsi="Arial"/>
                <w:sz w:val="15"/>
                <w:szCs w:val="15"/>
                <w:color w:val="auto"/>
              </w:rPr>
              <w:t>Total Consolidated Gross Profit</w:t>
            </w:r>
          </w:p>
        </w:tc>
        <w:tc>
          <w:tcPr>
            <w:tcW w:w="3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tcPr>
          <w:p>
            <w:pPr>
              <w:jc w:val="right"/>
              <w:ind w:right="123"/>
              <w:spacing w:after="0" w:line="156" w:lineRule="exact"/>
              <w:rPr>
                <w:sz w:val="20"/>
                <w:szCs w:val="20"/>
                <w:color w:val="auto"/>
              </w:rPr>
            </w:pPr>
            <w:r>
              <w:rPr>
                <w:rFonts w:ascii="Arial" w:cs="Arial" w:eastAsia="Arial" w:hAnsi="Arial"/>
                <w:sz w:val="15"/>
                <w:szCs w:val="15"/>
                <w:b w:val="1"/>
                <w:bCs w:val="1"/>
                <w:color w:val="auto"/>
              </w:rPr>
              <w:t>966,577</w:t>
            </w:r>
          </w:p>
        </w:tc>
        <w:tc>
          <w:tcPr>
            <w:tcW w:w="2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123"/>
              <w:spacing w:after="0" w:line="156" w:lineRule="exact"/>
              <w:rPr>
                <w:sz w:val="20"/>
                <w:szCs w:val="20"/>
                <w:color w:val="auto"/>
              </w:rPr>
            </w:pPr>
            <w:r>
              <w:rPr>
                <w:rFonts w:ascii="Arial" w:cs="Arial" w:eastAsia="Arial" w:hAnsi="Arial"/>
                <w:sz w:val="15"/>
                <w:szCs w:val="15"/>
                <w:color w:val="auto"/>
              </w:rPr>
              <w:t>971,940</w:t>
            </w:r>
          </w:p>
        </w:tc>
        <w:tc>
          <w:tcPr>
            <w:tcW w:w="2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911,738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following presents a rollforward of the Company’s consolidated gross profit: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(add 000)</w:t>
            </w: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0085CD"/>
              </w:rPr>
              <w:t>2018</w:t>
            </w: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2017</w:t>
            </w:r>
          </w:p>
        </w:tc>
        <w:tc>
          <w:tcPr>
            <w:tcW w:w="0" w:type="dxa"/>
            <w:vAlign w:val="bottom"/>
          </w:tcPr>
          <w:p>
            <w:pPr>
              <w:spacing w:after="0"/>
              <w:rPr>
                <w:sz w:val="1"/>
                <w:szCs w:val="1"/>
                <w:color w:val="auto"/>
              </w:rPr>
            </w:pPr>
          </w:p>
        </w:tc>
      </w:tr>
      <w:tr>
        <w:trPr>
          <w:trHeight w:val="156"/>
        </w:trPr>
        <w:tc>
          <w:tcPr>
            <w:tcW w:w="336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Consolidated gross profit, prior year</w:t>
            </w:r>
          </w:p>
        </w:tc>
        <w:tc>
          <w:tcPr>
            <w:tcW w:w="3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jc w:val="right"/>
              <w:ind w:right="143"/>
              <w:spacing w:after="0" w:line="156" w:lineRule="exact"/>
              <w:rPr>
                <w:sz w:val="20"/>
                <w:szCs w:val="20"/>
                <w:color w:val="auto"/>
              </w:rPr>
            </w:pPr>
            <w:r>
              <w:rPr>
                <w:rFonts w:ascii="Arial" w:cs="Arial" w:eastAsia="Arial" w:hAnsi="Arial"/>
                <w:sz w:val="15"/>
                <w:szCs w:val="15"/>
                <w:b w:val="1"/>
                <w:bCs w:val="1"/>
                <w:color w:val="auto"/>
              </w:rPr>
              <w:t>971,940</w:t>
            </w:r>
          </w:p>
        </w:tc>
        <w:tc>
          <w:tcPr>
            <w:tcW w:w="3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911,738</w:t>
            </w:r>
          </w:p>
        </w:tc>
        <w:tc>
          <w:tcPr>
            <w:tcW w:w="0" w:type="dxa"/>
            <w:vAlign w:val="bottom"/>
          </w:tcPr>
          <w:p>
            <w:pPr>
              <w:spacing w:after="0"/>
              <w:rPr>
                <w:sz w:val="1"/>
                <w:szCs w:val="1"/>
                <w:color w:val="auto"/>
              </w:rPr>
            </w:pPr>
          </w:p>
        </w:tc>
      </w:tr>
      <w:tr>
        <w:trPr>
          <w:trHeight w:val="162"/>
        </w:trPr>
        <w:tc>
          <w:tcPr>
            <w:tcW w:w="3360" w:type="dxa"/>
            <w:vAlign w:val="bottom"/>
          </w:tcPr>
          <w:p>
            <w:pPr>
              <w:spacing w:after="0" w:line="162" w:lineRule="exact"/>
              <w:rPr>
                <w:sz w:val="20"/>
                <w:szCs w:val="20"/>
                <w:color w:val="auto"/>
              </w:rPr>
            </w:pPr>
            <w:r>
              <w:rPr>
                <w:rFonts w:ascii="Arial" w:cs="Arial" w:eastAsia="Arial" w:hAnsi="Arial"/>
                <w:sz w:val="15"/>
                <w:szCs w:val="15"/>
                <w:color w:val="auto"/>
              </w:rPr>
              <w:t>Aggregates:</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Pricing</w:t>
            </w: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3"/>
              <w:spacing w:after="0" w:line="162" w:lineRule="exact"/>
              <w:rPr>
                <w:sz w:val="20"/>
                <w:szCs w:val="20"/>
                <w:color w:val="auto"/>
              </w:rPr>
            </w:pPr>
            <w:r>
              <w:rPr>
                <w:rFonts w:ascii="Arial" w:cs="Arial" w:eastAsia="Arial" w:hAnsi="Arial"/>
                <w:sz w:val="15"/>
                <w:szCs w:val="15"/>
                <w:b w:val="1"/>
                <w:bCs w:val="1"/>
                <w:color w:val="auto"/>
              </w:rPr>
              <w:t>64,155</w:t>
            </w: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93,727</w:t>
            </w:r>
          </w:p>
        </w:tc>
        <w:tc>
          <w:tcPr>
            <w:tcW w:w="0" w:type="dxa"/>
            <w:vAlign w:val="bottom"/>
          </w:tcPr>
          <w:p>
            <w:pPr>
              <w:spacing w:after="0"/>
              <w:rPr>
                <w:sz w:val="1"/>
                <w:szCs w:val="1"/>
                <w:color w:val="auto"/>
              </w:rPr>
            </w:pPr>
          </w:p>
        </w:tc>
      </w:tr>
      <w:tr>
        <w:trPr>
          <w:trHeight w:val="162"/>
        </w:trPr>
        <w:tc>
          <w:tcPr>
            <w:tcW w:w="3360" w:type="dxa"/>
            <w:vAlign w:val="bottom"/>
          </w:tcPr>
          <w:p>
            <w:pPr>
              <w:ind w:left="160"/>
              <w:spacing w:after="0" w:line="162" w:lineRule="exact"/>
              <w:rPr>
                <w:sz w:val="20"/>
                <w:szCs w:val="20"/>
                <w:color w:val="auto"/>
              </w:rPr>
            </w:pPr>
            <w:r>
              <w:rPr>
                <w:rFonts w:ascii="Arial" w:cs="Arial" w:eastAsia="Arial" w:hAnsi="Arial"/>
                <w:sz w:val="15"/>
                <w:szCs w:val="15"/>
                <w:color w:val="auto"/>
              </w:rPr>
              <w:t>Volume</w:t>
            </w:r>
          </w:p>
        </w:tc>
        <w:tc>
          <w:tcPr>
            <w:tcW w:w="360" w:type="dxa"/>
            <w:vAlign w:val="bottom"/>
          </w:tcPr>
          <w:p>
            <w:pPr>
              <w:spacing w:after="0"/>
              <w:rPr>
                <w:sz w:val="14"/>
                <w:szCs w:val="14"/>
                <w:color w:val="auto"/>
              </w:rPr>
            </w:pPr>
          </w:p>
        </w:tc>
        <w:tc>
          <w:tcPr>
            <w:tcW w:w="860" w:type="dxa"/>
            <w:vAlign w:val="bottom"/>
          </w:tcPr>
          <w:p>
            <w:pPr>
              <w:jc w:val="right"/>
              <w:ind w:right="143"/>
              <w:spacing w:after="0" w:line="162" w:lineRule="exact"/>
              <w:rPr>
                <w:sz w:val="20"/>
                <w:szCs w:val="20"/>
                <w:color w:val="auto"/>
              </w:rPr>
            </w:pPr>
            <w:r>
              <w:rPr>
                <w:rFonts w:ascii="Arial" w:cs="Arial" w:eastAsia="Arial" w:hAnsi="Arial"/>
                <w:sz w:val="15"/>
                <w:szCs w:val="15"/>
                <w:b w:val="1"/>
                <w:bCs w:val="1"/>
                <w:color w:val="auto"/>
              </w:rPr>
              <w:t>155,812</w:t>
            </w:r>
          </w:p>
        </w:tc>
        <w:tc>
          <w:tcPr>
            <w:tcW w:w="32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(17,951)</w:t>
            </w:r>
          </w:p>
        </w:tc>
        <w:tc>
          <w:tcPr>
            <w:tcW w:w="0" w:type="dxa"/>
            <w:vAlign w:val="bottom"/>
          </w:tcPr>
          <w:p>
            <w:pPr>
              <w:spacing w:after="0"/>
              <w:rPr>
                <w:sz w:val="1"/>
                <w:szCs w:val="1"/>
                <w:color w:val="auto"/>
              </w:rPr>
            </w:pPr>
          </w:p>
        </w:tc>
      </w:tr>
      <w:tr>
        <w:trPr>
          <w:trHeight w:val="162"/>
        </w:trPr>
        <w:tc>
          <w:tcPr>
            <w:tcW w:w="336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Production costs</w:t>
            </w: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03"/>
              <w:spacing w:after="0" w:line="162" w:lineRule="exact"/>
              <w:rPr>
                <w:sz w:val="20"/>
                <w:szCs w:val="20"/>
                <w:color w:val="auto"/>
              </w:rPr>
            </w:pPr>
            <w:r>
              <w:rPr>
                <w:rFonts w:ascii="Arial" w:cs="Arial" w:eastAsia="Arial" w:hAnsi="Arial"/>
                <w:sz w:val="15"/>
                <w:szCs w:val="15"/>
                <w:b w:val="1"/>
                <w:bCs w:val="1"/>
                <w:color w:val="auto"/>
              </w:rPr>
              <w:t>(136,652)</w:t>
            </w: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(30,048)</w:t>
            </w:r>
          </w:p>
        </w:tc>
        <w:tc>
          <w:tcPr>
            <w:tcW w:w="0" w:type="dxa"/>
            <w:vAlign w:val="bottom"/>
          </w:tcPr>
          <w:p>
            <w:pPr>
              <w:spacing w:after="0"/>
              <w:rPr>
                <w:sz w:val="1"/>
                <w:szCs w:val="1"/>
                <w:color w:val="auto"/>
              </w:rPr>
            </w:pPr>
          </w:p>
        </w:tc>
      </w:tr>
      <w:tr>
        <w:trPr>
          <w:trHeight w:val="162"/>
        </w:trPr>
        <w:tc>
          <w:tcPr>
            <w:tcW w:w="3360" w:type="dxa"/>
            <w:vAlign w:val="bottom"/>
          </w:tcPr>
          <w:p>
            <w:pPr>
              <w:ind w:left="160"/>
              <w:spacing w:after="0" w:line="162" w:lineRule="exact"/>
              <w:rPr>
                <w:sz w:val="20"/>
                <w:szCs w:val="20"/>
                <w:color w:val="auto"/>
              </w:rPr>
            </w:pPr>
            <w:r>
              <w:rPr>
                <w:rFonts w:ascii="Arial" w:cs="Arial" w:eastAsia="Arial" w:hAnsi="Arial"/>
                <w:sz w:val="15"/>
                <w:szCs w:val="15"/>
                <w:color w:val="auto"/>
              </w:rPr>
              <w:t>Internal freight costs</w:t>
            </w:r>
          </w:p>
        </w:tc>
        <w:tc>
          <w:tcPr>
            <w:tcW w:w="360" w:type="dxa"/>
            <w:vAlign w:val="bottom"/>
          </w:tcPr>
          <w:p>
            <w:pPr>
              <w:spacing w:after="0"/>
              <w:rPr>
                <w:sz w:val="14"/>
                <w:szCs w:val="14"/>
                <w:color w:val="auto"/>
              </w:rPr>
            </w:pPr>
          </w:p>
        </w:tc>
        <w:tc>
          <w:tcPr>
            <w:tcW w:w="860" w:type="dxa"/>
            <w:vAlign w:val="bottom"/>
          </w:tcPr>
          <w:p>
            <w:pPr>
              <w:jc w:val="right"/>
              <w:ind w:right="103"/>
              <w:spacing w:after="0" w:line="162" w:lineRule="exact"/>
              <w:rPr>
                <w:sz w:val="20"/>
                <w:szCs w:val="20"/>
                <w:color w:val="auto"/>
              </w:rPr>
            </w:pPr>
            <w:r>
              <w:rPr>
                <w:rFonts w:ascii="Arial" w:cs="Arial" w:eastAsia="Arial" w:hAnsi="Arial"/>
                <w:sz w:val="15"/>
                <w:szCs w:val="15"/>
                <w:b w:val="1"/>
                <w:bCs w:val="1"/>
                <w:color w:val="auto"/>
              </w:rPr>
              <w:t>(14,136)</w:t>
            </w:r>
          </w:p>
        </w:tc>
        <w:tc>
          <w:tcPr>
            <w:tcW w:w="32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(6,870)</w:t>
            </w:r>
          </w:p>
        </w:tc>
        <w:tc>
          <w:tcPr>
            <w:tcW w:w="0" w:type="dxa"/>
            <w:vAlign w:val="bottom"/>
          </w:tcPr>
          <w:p>
            <w:pPr>
              <w:spacing w:after="0"/>
              <w:rPr>
                <w:sz w:val="1"/>
                <w:szCs w:val="1"/>
                <w:color w:val="auto"/>
              </w:rPr>
            </w:pPr>
          </w:p>
        </w:tc>
      </w:tr>
      <w:tr>
        <w:trPr>
          <w:trHeight w:val="162"/>
        </w:trPr>
        <w:tc>
          <w:tcPr>
            <w:tcW w:w="3360" w:type="dxa"/>
            <w:vAlign w:val="bottom"/>
            <w:tcBorders>
              <w:bottom w:val="single" w:sz="8" w:color="auto"/>
            </w:tcBorders>
            <w:shd w:val="clear" w:color="auto" w:fill="CCEEFF"/>
          </w:tcPr>
          <w:p>
            <w:pPr>
              <w:ind w:left="160"/>
              <w:spacing w:after="0" w:line="162" w:lineRule="exact"/>
              <w:rPr>
                <w:sz w:val="20"/>
                <w:szCs w:val="20"/>
                <w:color w:val="auto"/>
              </w:rPr>
            </w:pPr>
            <w:r>
              <w:rPr>
                <w:rFonts w:ascii="Arial" w:cs="Arial" w:eastAsia="Arial" w:hAnsi="Arial"/>
                <w:sz w:val="15"/>
                <w:szCs w:val="15"/>
                <w:color w:val="auto"/>
              </w:rPr>
              <w:t>Other costs, net</w:t>
            </w:r>
          </w:p>
        </w:tc>
        <w:tc>
          <w:tcPr>
            <w:tcW w:w="3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03"/>
              <w:spacing w:after="0" w:line="162" w:lineRule="exact"/>
              <w:rPr>
                <w:sz w:val="20"/>
                <w:szCs w:val="20"/>
                <w:color w:val="auto"/>
              </w:rPr>
            </w:pPr>
            <w:r>
              <w:rPr>
                <w:rFonts w:ascii="Arial" w:cs="Arial" w:eastAsia="Arial" w:hAnsi="Arial"/>
                <w:sz w:val="15"/>
                <w:szCs w:val="15"/>
                <w:b w:val="1"/>
                <w:bCs w:val="1"/>
                <w:color w:val="auto"/>
              </w:rPr>
              <w:t>(62,090)</w:t>
            </w:r>
          </w:p>
        </w:tc>
        <w:tc>
          <w:tcPr>
            <w:tcW w:w="3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4,681</w:t>
            </w:r>
          </w:p>
        </w:tc>
        <w:tc>
          <w:tcPr>
            <w:tcW w:w="0" w:type="dxa"/>
            <w:vAlign w:val="bottom"/>
          </w:tcPr>
          <w:p>
            <w:pPr>
              <w:spacing w:after="0"/>
              <w:rPr>
                <w:sz w:val="1"/>
                <w:szCs w:val="1"/>
                <w:color w:val="auto"/>
              </w:rPr>
            </w:pPr>
          </w:p>
        </w:tc>
      </w:tr>
      <w:tr>
        <w:trPr>
          <w:trHeight w:val="156"/>
        </w:trPr>
        <w:tc>
          <w:tcPr>
            <w:tcW w:w="3360" w:type="dxa"/>
            <w:vAlign w:val="bottom"/>
          </w:tcPr>
          <w:p>
            <w:pPr>
              <w:spacing w:after="0" w:line="156" w:lineRule="exact"/>
              <w:rPr>
                <w:sz w:val="20"/>
                <w:szCs w:val="20"/>
                <w:color w:val="auto"/>
              </w:rPr>
            </w:pPr>
            <w:r>
              <w:rPr>
                <w:rFonts w:ascii="Arial" w:cs="Arial" w:eastAsia="Arial" w:hAnsi="Arial"/>
                <w:sz w:val="15"/>
                <w:szCs w:val="15"/>
                <w:color w:val="auto"/>
              </w:rPr>
              <w:t>Change in aggregates gross profit</w:t>
            </w:r>
          </w:p>
        </w:tc>
        <w:tc>
          <w:tcPr>
            <w:tcW w:w="360" w:type="dxa"/>
            <w:vAlign w:val="bottom"/>
          </w:tcPr>
          <w:p>
            <w:pPr>
              <w:spacing w:after="0"/>
              <w:rPr>
                <w:sz w:val="13"/>
                <w:szCs w:val="13"/>
                <w:color w:val="auto"/>
              </w:rPr>
            </w:pPr>
          </w:p>
        </w:tc>
        <w:tc>
          <w:tcPr>
            <w:tcW w:w="860" w:type="dxa"/>
            <w:vAlign w:val="bottom"/>
          </w:tcPr>
          <w:p>
            <w:pPr>
              <w:jc w:val="right"/>
              <w:ind w:right="143"/>
              <w:spacing w:after="0" w:line="156" w:lineRule="exact"/>
              <w:rPr>
                <w:sz w:val="20"/>
                <w:szCs w:val="20"/>
                <w:color w:val="auto"/>
              </w:rPr>
            </w:pPr>
            <w:r>
              <w:rPr>
                <w:rFonts w:ascii="Arial" w:cs="Arial" w:eastAsia="Arial" w:hAnsi="Arial"/>
                <w:sz w:val="15"/>
                <w:szCs w:val="15"/>
                <w:b w:val="1"/>
                <w:bCs w:val="1"/>
                <w:color w:val="auto"/>
              </w:rPr>
              <w:t>7,089</w:t>
            </w:r>
          </w:p>
        </w:tc>
        <w:tc>
          <w:tcPr>
            <w:tcW w:w="320" w:type="dxa"/>
            <w:vAlign w:val="bottom"/>
          </w:tcPr>
          <w:p>
            <w:pPr>
              <w:spacing w:after="0"/>
              <w:rPr>
                <w:sz w:val="13"/>
                <w:szCs w:val="13"/>
                <w:color w:val="auto"/>
              </w:rPr>
            </w:pPr>
          </w:p>
        </w:tc>
        <w:tc>
          <w:tcPr>
            <w:tcW w:w="700" w:type="dxa"/>
            <w:vAlign w:val="bottom"/>
          </w:tcPr>
          <w:p>
            <w:pPr>
              <w:jc w:val="right"/>
              <w:ind w:right="23"/>
              <w:spacing w:after="0" w:line="156" w:lineRule="exact"/>
              <w:rPr>
                <w:sz w:val="20"/>
                <w:szCs w:val="20"/>
                <w:color w:val="auto"/>
              </w:rPr>
            </w:pPr>
            <w:r>
              <w:rPr>
                <w:rFonts w:ascii="Arial" w:cs="Arial" w:eastAsia="Arial" w:hAnsi="Arial"/>
                <w:sz w:val="15"/>
                <w:szCs w:val="15"/>
                <w:color w:val="auto"/>
              </w:rPr>
              <w:t>43,539</w:t>
            </w:r>
          </w:p>
        </w:tc>
        <w:tc>
          <w:tcPr>
            <w:tcW w:w="0" w:type="dxa"/>
            <w:vAlign w:val="bottom"/>
          </w:tcPr>
          <w:p>
            <w:pPr>
              <w:spacing w:after="0"/>
              <w:rPr>
                <w:sz w:val="1"/>
                <w:szCs w:val="1"/>
                <w:color w:val="auto"/>
              </w:rPr>
            </w:pPr>
          </w:p>
        </w:tc>
      </w:tr>
      <w:tr>
        <w:trPr>
          <w:trHeight w:val="159"/>
        </w:trPr>
        <w:tc>
          <w:tcPr>
            <w:tcW w:w="336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Cement and downstream operations products</w:t>
            </w:r>
          </w:p>
        </w:tc>
        <w:tc>
          <w:tcPr>
            <w:tcW w:w="3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(20,055)</w:t>
            </w: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360" w:type="dxa"/>
            <w:vAlign w:val="bottom"/>
            <w:shd w:val="clear" w:color="auto" w:fill="CCEEFF"/>
          </w:tcPr>
          <w:p>
            <w:pPr>
              <w:ind w:left="160"/>
              <w:spacing w:after="0" w:line="166" w:lineRule="exact"/>
              <w:rPr>
                <w:sz w:val="20"/>
                <w:szCs w:val="20"/>
                <w:color w:val="auto"/>
              </w:rPr>
            </w:pPr>
            <w:r>
              <w:rPr>
                <w:rFonts w:ascii="Arial" w:cs="Arial" w:eastAsia="Arial" w:hAnsi="Arial"/>
                <w:sz w:val="15"/>
                <w:szCs w:val="15"/>
                <w:color w:val="auto"/>
              </w:rPr>
              <w:t>and services</w:t>
            </w:r>
          </w:p>
        </w:tc>
        <w:tc>
          <w:tcPr>
            <w:tcW w:w="3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3"/>
              <w:spacing w:after="0" w:line="166" w:lineRule="exact"/>
              <w:rPr>
                <w:sz w:val="20"/>
                <w:szCs w:val="20"/>
                <w:color w:val="auto"/>
              </w:rPr>
            </w:pPr>
            <w:r>
              <w:rPr>
                <w:rFonts w:ascii="Arial" w:cs="Arial" w:eastAsia="Arial" w:hAnsi="Arial"/>
                <w:sz w:val="15"/>
                <w:szCs w:val="15"/>
                <w:color w:val="auto"/>
              </w:rPr>
              <w:t>1,356</w:t>
            </w:r>
          </w:p>
        </w:tc>
        <w:tc>
          <w:tcPr>
            <w:tcW w:w="0" w:type="dxa"/>
            <w:vAlign w:val="bottom"/>
          </w:tcPr>
          <w:p>
            <w:pPr>
              <w:spacing w:after="0"/>
              <w:rPr>
                <w:sz w:val="1"/>
                <w:szCs w:val="1"/>
                <w:color w:val="auto"/>
              </w:rPr>
            </w:pPr>
          </w:p>
        </w:tc>
      </w:tr>
      <w:tr>
        <w:trPr>
          <w:trHeight w:val="162"/>
        </w:trPr>
        <w:tc>
          <w:tcPr>
            <w:tcW w:w="3360" w:type="dxa"/>
            <w:vAlign w:val="bottom"/>
          </w:tcPr>
          <w:p>
            <w:pPr>
              <w:spacing w:after="0" w:line="162" w:lineRule="exact"/>
              <w:rPr>
                <w:sz w:val="20"/>
                <w:szCs w:val="20"/>
                <w:color w:val="auto"/>
              </w:rPr>
            </w:pPr>
            <w:r>
              <w:rPr>
                <w:rFonts w:ascii="Arial" w:cs="Arial" w:eastAsia="Arial" w:hAnsi="Arial"/>
                <w:sz w:val="15"/>
                <w:szCs w:val="15"/>
                <w:color w:val="auto"/>
              </w:rPr>
              <w:t>Magnesia Specialties products</w:t>
            </w:r>
          </w:p>
        </w:tc>
        <w:tc>
          <w:tcPr>
            <w:tcW w:w="360" w:type="dxa"/>
            <w:vAlign w:val="bottom"/>
          </w:tcPr>
          <w:p>
            <w:pPr>
              <w:spacing w:after="0"/>
              <w:rPr>
                <w:sz w:val="14"/>
                <w:szCs w:val="14"/>
                <w:color w:val="auto"/>
              </w:rPr>
            </w:pPr>
          </w:p>
        </w:tc>
        <w:tc>
          <w:tcPr>
            <w:tcW w:w="860" w:type="dxa"/>
            <w:vAlign w:val="bottom"/>
          </w:tcPr>
          <w:p>
            <w:pPr>
              <w:jc w:val="right"/>
              <w:ind w:right="143"/>
              <w:spacing w:after="0" w:line="162" w:lineRule="exact"/>
              <w:rPr>
                <w:sz w:val="20"/>
                <w:szCs w:val="20"/>
                <w:color w:val="auto"/>
              </w:rPr>
            </w:pPr>
            <w:r>
              <w:rPr>
                <w:rFonts w:ascii="Arial" w:cs="Arial" w:eastAsia="Arial" w:hAnsi="Arial"/>
                <w:sz w:val="15"/>
                <w:szCs w:val="15"/>
                <w:b w:val="1"/>
                <w:bCs w:val="1"/>
                <w:color w:val="auto"/>
              </w:rPr>
              <w:t>8,855</w:t>
            </w:r>
          </w:p>
        </w:tc>
        <w:tc>
          <w:tcPr>
            <w:tcW w:w="320" w:type="dxa"/>
            <w:vAlign w:val="bottom"/>
          </w:tcPr>
          <w:p>
            <w:pPr>
              <w:spacing w:after="0"/>
              <w:rPr>
                <w:sz w:val="14"/>
                <w:szCs w:val="14"/>
                <w:color w:val="auto"/>
              </w:rPr>
            </w:pPr>
          </w:p>
        </w:tc>
        <w:tc>
          <w:tcPr>
            <w:tcW w:w="7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62"/>
        </w:trPr>
        <w:tc>
          <w:tcPr>
            <w:tcW w:w="33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Corporate</w:t>
            </w: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3"/>
              <w:spacing w:after="0" w:line="162" w:lineRule="exact"/>
              <w:rPr>
                <w:sz w:val="20"/>
                <w:szCs w:val="20"/>
                <w:color w:val="auto"/>
              </w:rPr>
            </w:pPr>
            <w:r>
              <w:rPr>
                <w:rFonts w:ascii="Arial" w:cs="Arial" w:eastAsia="Arial" w:hAnsi="Arial"/>
                <w:sz w:val="15"/>
                <w:szCs w:val="15"/>
                <w:b w:val="1"/>
                <w:bCs w:val="1"/>
                <w:color w:val="auto"/>
              </w:rPr>
              <w:t>662</w:t>
            </w: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15,411</w:t>
            </w:r>
          </w:p>
        </w:tc>
        <w:tc>
          <w:tcPr>
            <w:tcW w:w="0" w:type="dxa"/>
            <w:vAlign w:val="bottom"/>
          </w:tcPr>
          <w:p>
            <w:pPr>
              <w:spacing w:after="0"/>
              <w:rPr>
                <w:sz w:val="1"/>
                <w:szCs w:val="1"/>
                <w:color w:val="auto"/>
              </w:rPr>
            </w:pPr>
          </w:p>
        </w:tc>
      </w:tr>
      <w:tr>
        <w:trPr>
          <w:trHeight w:val="162"/>
        </w:trPr>
        <w:tc>
          <w:tcPr>
            <w:tcW w:w="336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Freight</w:t>
            </w: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03"/>
              <w:spacing w:after="0" w:line="162" w:lineRule="exact"/>
              <w:rPr>
                <w:sz w:val="20"/>
                <w:szCs w:val="20"/>
                <w:color w:val="auto"/>
              </w:rPr>
            </w:pPr>
            <w:r>
              <w:rPr>
                <w:rFonts w:ascii="Arial" w:cs="Arial" w:eastAsia="Arial" w:hAnsi="Arial"/>
                <w:sz w:val="15"/>
                <w:szCs w:val="15"/>
                <w:b w:val="1"/>
                <w:bCs w:val="1"/>
                <w:color w:val="auto"/>
              </w:rPr>
              <w:t>(1,914)</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(167)</w:t>
            </w:r>
          </w:p>
        </w:tc>
        <w:tc>
          <w:tcPr>
            <w:tcW w:w="0" w:type="dxa"/>
            <w:vAlign w:val="bottom"/>
          </w:tcPr>
          <w:p>
            <w:pPr>
              <w:spacing w:after="0"/>
              <w:rPr>
                <w:sz w:val="1"/>
                <w:szCs w:val="1"/>
                <w:color w:val="auto"/>
              </w:rPr>
            </w:pPr>
          </w:p>
        </w:tc>
      </w:tr>
      <w:tr>
        <w:trPr>
          <w:trHeight w:val="156"/>
        </w:trPr>
        <w:tc>
          <w:tcPr>
            <w:tcW w:w="33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Change in consolidated gross profit</w:t>
            </w:r>
          </w:p>
        </w:tc>
        <w:tc>
          <w:tcPr>
            <w:tcW w:w="3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03"/>
              <w:spacing w:after="0" w:line="156" w:lineRule="exact"/>
              <w:rPr>
                <w:sz w:val="20"/>
                <w:szCs w:val="20"/>
                <w:color w:val="auto"/>
              </w:rPr>
            </w:pPr>
            <w:r>
              <w:rPr>
                <w:rFonts w:ascii="Arial" w:cs="Arial" w:eastAsia="Arial" w:hAnsi="Arial"/>
                <w:sz w:val="15"/>
                <w:szCs w:val="15"/>
                <w:b w:val="1"/>
                <w:bCs w:val="1"/>
                <w:color w:val="auto"/>
              </w:rPr>
              <w:t>(5,363)</w:t>
            </w:r>
          </w:p>
        </w:tc>
        <w:tc>
          <w:tcPr>
            <w:tcW w:w="3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60,202</w:t>
            </w:r>
          </w:p>
        </w:tc>
        <w:tc>
          <w:tcPr>
            <w:tcW w:w="0" w:type="dxa"/>
            <w:vAlign w:val="bottom"/>
          </w:tcPr>
          <w:p>
            <w:pPr>
              <w:spacing w:after="0"/>
              <w:rPr>
                <w:sz w:val="1"/>
                <w:szCs w:val="1"/>
                <w:color w:val="auto"/>
              </w:rPr>
            </w:pPr>
          </w:p>
        </w:tc>
      </w:tr>
      <w:tr>
        <w:trPr>
          <w:trHeight w:val="163"/>
        </w:trPr>
        <w:tc>
          <w:tcPr>
            <w:tcW w:w="336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Consolidated gross profit, current year</w:t>
            </w:r>
          </w:p>
        </w:tc>
        <w:tc>
          <w:tcPr>
            <w:tcW w:w="3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ind w:right="143"/>
              <w:spacing w:after="0" w:line="156" w:lineRule="exact"/>
              <w:rPr>
                <w:sz w:val="20"/>
                <w:szCs w:val="20"/>
                <w:color w:val="auto"/>
              </w:rPr>
            </w:pPr>
            <w:r>
              <w:rPr>
                <w:rFonts w:ascii="Arial" w:cs="Arial" w:eastAsia="Arial" w:hAnsi="Arial"/>
                <w:sz w:val="15"/>
                <w:szCs w:val="15"/>
                <w:b w:val="1"/>
                <w:bCs w:val="1"/>
                <w:color w:val="auto"/>
              </w:rPr>
              <w:t>966,577</w:t>
            </w:r>
          </w:p>
        </w:tc>
        <w:tc>
          <w:tcPr>
            <w:tcW w:w="3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971,940</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decline in gross profit in 2018 compared with prior year is primarily attributable to production cost inefficiencies caused by weather and higher maintenance costs and lower inventory build, partially offset by the contribution from acquired operations and a 110-basis-point improvement in the Magnesia Specialties segment. The growth in gross profit in 2017 compared with 2016 reflects pricing strength and disciplined cost management, led by the aggregates product line.</w:t>
      </w:r>
    </w:p>
    <w:p>
      <w:pPr>
        <w:spacing w:after="0" w:line="20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Corporate gross profit (loss) includes intercompany royalty and rental revenue and expenses, depreciation on capitalized interest and unallocated operational expenses excluded from the Company’s evaluation of business segment performance. Corporate gross profit for 2016 reflects an unfavorable diesel fuel contract that expired December 31, 2016.</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Gross profit (loss) by reportable segment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40" w:type="dxa"/>
            <w:vAlign w:val="bottom"/>
          </w:tcPr>
          <w:p>
            <w:pPr>
              <w:spacing w:after="0"/>
              <w:rPr>
                <w:sz w:val="20"/>
                <w:szCs w:val="20"/>
                <w:color w:val="auto"/>
              </w:rPr>
            </w:pPr>
            <w:r>
              <w:rPr>
                <w:rFonts w:ascii="Arial" w:cs="Arial" w:eastAsia="Arial" w:hAnsi="Arial"/>
                <w:sz w:val="15"/>
                <w:szCs w:val="15"/>
                <w:i w:val="1"/>
                <w:iCs w:val="1"/>
                <w:color w:val="auto"/>
              </w:rPr>
              <w:t>years ended December 31</w:t>
            </w:r>
          </w:p>
        </w:tc>
        <w:tc>
          <w:tcPr>
            <w:tcW w:w="340" w:type="dxa"/>
            <w:vAlign w:val="bottom"/>
          </w:tcPr>
          <w:p>
            <w:pPr>
              <w:spacing w:after="0"/>
              <w:rPr>
                <w:sz w:val="15"/>
                <w:szCs w:val="15"/>
                <w:color w:val="auto"/>
              </w:rPr>
            </w:pPr>
          </w:p>
        </w:tc>
        <w:tc>
          <w:tcPr>
            <w:tcW w:w="820" w:type="dxa"/>
            <w:vAlign w:val="bottom"/>
            <w:vMerge w:val="restart"/>
          </w:tcPr>
          <w:p>
            <w:pPr>
              <w:jc w:val="right"/>
              <w:ind w:right="123"/>
              <w:spacing w:after="0"/>
              <w:rPr>
                <w:sz w:val="20"/>
                <w:szCs w:val="20"/>
                <w:color w:val="auto"/>
              </w:rPr>
            </w:pPr>
            <w:r>
              <w:rPr>
                <w:rFonts w:ascii="Arial" w:cs="Arial" w:eastAsia="Arial" w:hAnsi="Arial"/>
                <w:sz w:val="15"/>
                <w:szCs w:val="15"/>
                <w:b w:val="1"/>
                <w:bCs w:val="1"/>
                <w:color w:val="0085CD"/>
              </w:rPr>
              <w:t>2018</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340" w:type="dxa"/>
            <w:vAlign w:val="bottom"/>
            <w:tcBorders>
              <w:bottom w:val="single" w:sz="8" w:color="auto"/>
            </w:tcBorders>
          </w:tcPr>
          <w:p>
            <w:pPr>
              <w:spacing w:after="0" w:line="166" w:lineRule="exact"/>
              <w:rPr>
                <w:sz w:val="20"/>
                <w:szCs w:val="20"/>
                <w:color w:val="auto"/>
              </w:rPr>
            </w:pPr>
            <w:r>
              <w:rPr>
                <w:rFonts w:ascii="Arial" w:cs="Arial" w:eastAsia="Arial" w:hAnsi="Arial"/>
                <w:sz w:val="15"/>
                <w:szCs w:val="15"/>
                <w:color w:val="auto"/>
              </w:rPr>
              <w:t>(add 000)</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3"/>
              <w:spacing w:after="0" w:line="166" w:lineRule="exact"/>
              <w:rPr>
                <w:sz w:val="20"/>
                <w:szCs w:val="20"/>
                <w:color w:val="auto"/>
              </w:rPr>
            </w:pPr>
            <w:r>
              <w:rPr>
                <w:rFonts w:ascii="Arial" w:cs="Arial" w:eastAsia="Arial" w:hAnsi="Arial"/>
                <w:sz w:val="15"/>
                <w:szCs w:val="15"/>
                <w:color w:val="auto"/>
              </w:rPr>
              <w:t>2017</w:t>
            </w: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
              <w:spacing w:after="0" w:line="166" w:lineRule="exact"/>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23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Building Materials Business:</w:t>
            </w:r>
          </w:p>
        </w:tc>
        <w:tc>
          <w:tcPr>
            <w:tcW w:w="3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40" w:type="dxa"/>
            <w:vAlign w:val="bottom"/>
          </w:tcPr>
          <w:p>
            <w:pPr>
              <w:ind w:left="160"/>
              <w:spacing w:after="0" w:line="162" w:lineRule="exact"/>
              <w:rPr>
                <w:sz w:val="20"/>
                <w:szCs w:val="20"/>
                <w:color w:val="auto"/>
              </w:rPr>
            </w:pPr>
            <w:r>
              <w:rPr>
                <w:rFonts w:ascii="Arial" w:cs="Arial" w:eastAsia="Arial" w:hAnsi="Arial"/>
                <w:sz w:val="15"/>
                <w:szCs w:val="15"/>
                <w:color w:val="auto"/>
              </w:rPr>
              <w:t>Mid-America Group</w:t>
            </w:r>
          </w:p>
        </w:tc>
        <w:tc>
          <w:tcPr>
            <w:tcW w:w="3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820" w:type="dxa"/>
            <w:vAlign w:val="bottom"/>
          </w:tcPr>
          <w:p>
            <w:pPr>
              <w:jc w:val="right"/>
              <w:ind w:right="123"/>
              <w:spacing w:after="0" w:line="162" w:lineRule="exact"/>
              <w:rPr>
                <w:sz w:val="20"/>
                <w:szCs w:val="20"/>
                <w:color w:val="auto"/>
              </w:rPr>
            </w:pPr>
            <w:r>
              <w:rPr>
                <w:rFonts w:ascii="Arial" w:cs="Arial" w:eastAsia="Arial" w:hAnsi="Arial"/>
                <w:sz w:val="15"/>
                <w:szCs w:val="15"/>
                <w:b w:val="1"/>
                <w:bCs w:val="1"/>
                <w:color w:val="auto"/>
              </w:rPr>
              <w:t>366,762</w:t>
            </w: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335,499</w:t>
            </w: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ind w:right="23"/>
              <w:spacing w:after="0" w:line="162" w:lineRule="exact"/>
              <w:rPr>
                <w:sz w:val="20"/>
                <w:szCs w:val="20"/>
                <w:color w:val="auto"/>
              </w:rPr>
            </w:pPr>
            <w:r>
              <w:rPr>
                <w:rFonts w:ascii="Arial" w:cs="Arial" w:eastAsia="Arial" w:hAnsi="Arial"/>
                <w:sz w:val="15"/>
                <w:szCs w:val="15"/>
                <w:color w:val="auto"/>
              </w:rPr>
              <w:t>306,631</w:t>
            </w:r>
          </w:p>
        </w:tc>
        <w:tc>
          <w:tcPr>
            <w:tcW w:w="0" w:type="dxa"/>
            <w:vAlign w:val="bottom"/>
          </w:tcPr>
          <w:p>
            <w:pPr>
              <w:spacing w:after="0"/>
              <w:rPr>
                <w:sz w:val="1"/>
                <w:szCs w:val="1"/>
                <w:color w:val="auto"/>
              </w:rPr>
            </w:pPr>
          </w:p>
        </w:tc>
      </w:tr>
      <w:tr>
        <w:trPr>
          <w:trHeight w:val="162"/>
        </w:trPr>
        <w:tc>
          <w:tcPr>
            <w:tcW w:w="234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Southeast Group</w:t>
            </w: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b w:val="1"/>
                <w:bCs w:val="1"/>
                <w:color w:val="auto"/>
              </w:rPr>
              <w:t>77,974</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74,908</w:t>
            </w: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57,556</w:t>
            </w:r>
          </w:p>
        </w:tc>
        <w:tc>
          <w:tcPr>
            <w:tcW w:w="0" w:type="dxa"/>
            <w:vAlign w:val="bottom"/>
          </w:tcPr>
          <w:p>
            <w:pPr>
              <w:spacing w:after="0"/>
              <w:rPr>
                <w:sz w:val="1"/>
                <w:szCs w:val="1"/>
                <w:color w:val="auto"/>
              </w:rPr>
            </w:pPr>
          </w:p>
        </w:tc>
      </w:tr>
      <w:tr>
        <w:trPr>
          <w:trHeight w:val="162"/>
        </w:trPr>
        <w:tc>
          <w:tcPr>
            <w:tcW w:w="2340" w:type="dxa"/>
            <w:vAlign w:val="bottom"/>
            <w:tcBorders>
              <w:bottom w:val="single" w:sz="8" w:color="auto"/>
            </w:tcBorders>
          </w:tcPr>
          <w:p>
            <w:pPr>
              <w:ind w:left="160"/>
              <w:spacing w:after="0" w:line="162" w:lineRule="exact"/>
              <w:rPr>
                <w:sz w:val="20"/>
                <w:szCs w:val="20"/>
                <w:color w:val="auto"/>
              </w:rPr>
            </w:pPr>
            <w:r>
              <w:rPr>
                <w:rFonts w:ascii="Arial" w:cs="Arial" w:eastAsia="Arial" w:hAnsi="Arial"/>
                <w:sz w:val="15"/>
                <w:szCs w:val="15"/>
                <w:color w:val="auto"/>
              </w:rPr>
              <w:t>West Group</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23"/>
              <w:spacing w:after="0" w:line="162" w:lineRule="exact"/>
              <w:rPr>
                <w:sz w:val="20"/>
                <w:szCs w:val="20"/>
                <w:color w:val="auto"/>
              </w:rPr>
            </w:pPr>
            <w:r>
              <w:rPr>
                <w:rFonts w:ascii="Arial" w:cs="Arial" w:eastAsia="Arial" w:hAnsi="Arial"/>
                <w:sz w:val="15"/>
                <w:szCs w:val="15"/>
                <w:b w:val="1"/>
                <w:bCs w:val="1"/>
                <w:color w:val="auto"/>
              </w:rPr>
              <w:t>415,328</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3"/>
              <w:spacing w:after="0" w:line="162" w:lineRule="exact"/>
              <w:rPr>
                <w:sz w:val="20"/>
                <w:szCs w:val="20"/>
                <w:color w:val="auto"/>
              </w:rPr>
            </w:pPr>
            <w:r>
              <w:rPr>
                <w:rFonts w:ascii="Arial" w:cs="Arial" w:eastAsia="Arial" w:hAnsi="Arial"/>
                <w:sz w:val="15"/>
                <w:szCs w:val="15"/>
                <w:color w:val="auto"/>
              </w:rPr>
              <w:t>462,623</w:t>
            </w: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463,948</w:t>
            </w:r>
          </w:p>
        </w:tc>
        <w:tc>
          <w:tcPr>
            <w:tcW w:w="0" w:type="dxa"/>
            <w:vAlign w:val="bottom"/>
          </w:tcPr>
          <w:p>
            <w:pPr>
              <w:spacing w:after="0"/>
              <w:rPr>
                <w:sz w:val="1"/>
                <w:szCs w:val="1"/>
                <w:color w:val="auto"/>
              </w:rPr>
            </w:pPr>
          </w:p>
        </w:tc>
      </w:tr>
      <w:tr>
        <w:trPr>
          <w:trHeight w:val="156"/>
        </w:trPr>
        <w:tc>
          <w:tcPr>
            <w:tcW w:w="2340" w:type="dxa"/>
            <w:vAlign w:val="bottom"/>
            <w:shd w:val="clear" w:color="auto" w:fill="CCEEFF"/>
          </w:tcPr>
          <w:p>
            <w:pPr>
              <w:ind w:left="160"/>
              <w:spacing w:after="0" w:line="156" w:lineRule="exact"/>
              <w:rPr>
                <w:sz w:val="20"/>
                <w:szCs w:val="20"/>
                <w:color w:val="auto"/>
              </w:rPr>
            </w:pPr>
            <w:r>
              <w:rPr>
                <w:rFonts w:ascii="Arial" w:cs="Arial" w:eastAsia="Arial" w:hAnsi="Arial"/>
                <w:sz w:val="15"/>
                <w:szCs w:val="15"/>
                <w:color w:val="auto"/>
              </w:rPr>
              <w:t>Products and Services</w:t>
            </w:r>
          </w:p>
        </w:tc>
        <w:tc>
          <w:tcPr>
            <w:tcW w:w="3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23"/>
              <w:spacing w:after="0" w:line="156" w:lineRule="exact"/>
              <w:rPr>
                <w:sz w:val="20"/>
                <w:szCs w:val="20"/>
                <w:color w:val="auto"/>
              </w:rPr>
            </w:pPr>
            <w:r>
              <w:rPr>
                <w:rFonts w:ascii="Arial" w:cs="Arial" w:eastAsia="Arial" w:hAnsi="Arial"/>
                <w:sz w:val="15"/>
                <w:szCs w:val="15"/>
                <w:b w:val="1"/>
                <w:bCs w:val="1"/>
                <w:color w:val="auto"/>
              </w:rPr>
              <w:t>860,064</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23"/>
              <w:spacing w:after="0" w:line="156" w:lineRule="exact"/>
              <w:rPr>
                <w:sz w:val="20"/>
                <w:szCs w:val="20"/>
                <w:color w:val="auto"/>
              </w:rPr>
            </w:pPr>
            <w:r>
              <w:rPr>
                <w:rFonts w:ascii="Arial" w:cs="Arial" w:eastAsia="Arial" w:hAnsi="Arial"/>
                <w:sz w:val="15"/>
                <w:szCs w:val="15"/>
                <w:color w:val="auto"/>
              </w:rPr>
              <w:t>873,030</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828,135</w:t>
            </w:r>
          </w:p>
        </w:tc>
        <w:tc>
          <w:tcPr>
            <w:tcW w:w="0" w:type="dxa"/>
            <w:vAlign w:val="bottom"/>
          </w:tcPr>
          <w:p>
            <w:pPr>
              <w:spacing w:after="0"/>
              <w:rPr>
                <w:sz w:val="1"/>
                <w:szCs w:val="1"/>
                <w:color w:val="auto"/>
              </w:rPr>
            </w:pPr>
          </w:p>
        </w:tc>
      </w:tr>
      <w:tr>
        <w:trPr>
          <w:trHeight w:val="162"/>
        </w:trPr>
        <w:tc>
          <w:tcPr>
            <w:tcW w:w="2340" w:type="dxa"/>
            <w:vAlign w:val="bottom"/>
            <w:tcBorders>
              <w:bottom w:val="single" w:sz="8" w:color="auto"/>
            </w:tcBorders>
          </w:tcPr>
          <w:p>
            <w:pPr>
              <w:ind w:left="160"/>
              <w:spacing w:after="0" w:line="162" w:lineRule="exact"/>
              <w:rPr>
                <w:sz w:val="20"/>
                <w:szCs w:val="20"/>
                <w:color w:val="auto"/>
              </w:rPr>
            </w:pPr>
            <w:r>
              <w:rPr>
                <w:rFonts w:ascii="Arial" w:cs="Arial" w:eastAsia="Arial" w:hAnsi="Arial"/>
                <w:sz w:val="15"/>
                <w:szCs w:val="15"/>
                <w:color w:val="auto"/>
              </w:rPr>
              <w:t>Freight</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23"/>
              <w:spacing w:after="0" w:line="162" w:lineRule="exact"/>
              <w:rPr>
                <w:sz w:val="20"/>
                <w:szCs w:val="20"/>
                <w:color w:val="auto"/>
              </w:rPr>
            </w:pPr>
            <w:r>
              <w:rPr>
                <w:rFonts w:ascii="Arial" w:cs="Arial" w:eastAsia="Arial" w:hAnsi="Arial"/>
                <w:sz w:val="15"/>
                <w:szCs w:val="15"/>
                <w:b w:val="1"/>
                <w:bCs w:val="1"/>
                <w:color w:val="auto"/>
              </w:rPr>
              <w:t>259</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3"/>
              <w:spacing w:after="0" w:line="162" w:lineRule="exact"/>
              <w:rPr>
                <w:sz w:val="20"/>
                <w:szCs w:val="20"/>
                <w:color w:val="auto"/>
              </w:rPr>
            </w:pPr>
            <w:r>
              <w:rPr>
                <w:rFonts w:ascii="Arial" w:cs="Arial" w:eastAsia="Arial" w:hAnsi="Arial"/>
                <w:sz w:val="15"/>
                <w:szCs w:val="15"/>
                <w:color w:val="auto"/>
              </w:rPr>
              <w:t>2,602</w:t>
            </w: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rPr>
              <w:t>2,501</w:t>
            </w:r>
          </w:p>
        </w:tc>
        <w:tc>
          <w:tcPr>
            <w:tcW w:w="0" w:type="dxa"/>
            <w:vAlign w:val="bottom"/>
          </w:tcPr>
          <w:p>
            <w:pPr>
              <w:spacing w:after="0"/>
              <w:rPr>
                <w:sz w:val="1"/>
                <w:szCs w:val="1"/>
                <w:color w:val="auto"/>
              </w:rPr>
            </w:pPr>
          </w:p>
        </w:tc>
      </w:tr>
      <w:tr>
        <w:trPr>
          <w:trHeight w:val="156"/>
        </w:trPr>
        <w:tc>
          <w:tcPr>
            <w:tcW w:w="23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Building Materials Business</w:t>
            </w:r>
          </w:p>
        </w:tc>
        <w:tc>
          <w:tcPr>
            <w:tcW w:w="3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23"/>
              <w:spacing w:after="0" w:line="156" w:lineRule="exact"/>
              <w:rPr>
                <w:sz w:val="20"/>
                <w:szCs w:val="20"/>
                <w:color w:val="auto"/>
              </w:rPr>
            </w:pPr>
            <w:r>
              <w:rPr>
                <w:rFonts w:ascii="Arial" w:cs="Arial" w:eastAsia="Arial" w:hAnsi="Arial"/>
                <w:sz w:val="15"/>
                <w:szCs w:val="15"/>
                <w:b w:val="1"/>
                <w:bCs w:val="1"/>
                <w:color w:val="auto"/>
              </w:rPr>
              <w:t>860,323</w:t>
            </w:r>
          </w:p>
        </w:tc>
        <w:tc>
          <w:tcPr>
            <w:tcW w:w="3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23"/>
              <w:spacing w:after="0" w:line="156" w:lineRule="exact"/>
              <w:rPr>
                <w:sz w:val="20"/>
                <w:szCs w:val="20"/>
                <w:color w:val="auto"/>
              </w:rPr>
            </w:pPr>
            <w:r>
              <w:rPr>
                <w:rFonts w:ascii="Arial" w:cs="Arial" w:eastAsia="Arial" w:hAnsi="Arial"/>
                <w:sz w:val="15"/>
                <w:szCs w:val="15"/>
                <w:color w:val="auto"/>
              </w:rPr>
              <w:t>875,632</w:t>
            </w:r>
          </w:p>
        </w:tc>
        <w:tc>
          <w:tcPr>
            <w:tcW w:w="3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830,636</w:t>
            </w:r>
          </w:p>
        </w:tc>
        <w:tc>
          <w:tcPr>
            <w:tcW w:w="0" w:type="dxa"/>
            <w:vAlign w:val="bottom"/>
          </w:tcPr>
          <w:p>
            <w:pPr>
              <w:spacing w:after="0"/>
              <w:rPr>
                <w:sz w:val="1"/>
                <w:szCs w:val="1"/>
                <w:color w:val="auto"/>
              </w:rPr>
            </w:pPr>
          </w:p>
        </w:tc>
      </w:tr>
      <w:tr>
        <w:trPr>
          <w:trHeight w:val="156"/>
        </w:trPr>
        <w:tc>
          <w:tcPr>
            <w:tcW w:w="2340" w:type="dxa"/>
            <w:vAlign w:val="bottom"/>
          </w:tcPr>
          <w:p>
            <w:pPr>
              <w:spacing w:after="0" w:line="156" w:lineRule="exact"/>
              <w:rPr>
                <w:sz w:val="20"/>
                <w:szCs w:val="20"/>
                <w:color w:val="auto"/>
              </w:rPr>
            </w:pPr>
            <w:r>
              <w:rPr>
                <w:rFonts w:ascii="Arial" w:cs="Arial" w:eastAsia="Arial" w:hAnsi="Arial"/>
                <w:sz w:val="15"/>
                <w:szCs w:val="15"/>
                <w:color w:val="auto"/>
              </w:rPr>
              <w:t>Magnesia Specialties:</w:t>
            </w: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4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Products and Services</w:t>
            </w: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b w:val="1"/>
                <w:bCs w:val="1"/>
                <w:color w:val="auto"/>
              </w:rPr>
              <w:t>102,905</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94,050</w:t>
            </w: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93,987</w:t>
            </w:r>
          </w:p>
        </w:tc>
        <w:tc>
          <w:tcPr>
            <w:tcW w:w="0" w:type="dxa"/>
            <w:vAlign w:val="bottom"/>
          </w:tcPr>
          <w:p>
            <w:pPr>
              <w:spacing w:after="0"/>
              <w:rPr>
                <w:sz w:val="1"/>
                <w:szCs w:val="1"/>
                <w:color w:val="auto"/>
              </w:rPr>
            </w:pPr>
          </w:p>
        </w:tc>
      </w:tr>
      <w:tr>
        <w:trPr>
          <w:trHeight w:val="162"/>
        </w:trPr>
        <w:tc>
          <w:tcPr>
            <w:tcW w:w="2340" w:type="dxa"/>
            <w:vAlign w:val="bottom"/>
            <w:tcBorders>
              <w:bottom w:val="single" w:sz="8" w:color="auto"/>
            </w:tcBorders>
          </w:tcPr>
          <w:p>
            <w:pPr>
              <w:ind w:left="160"/>
              <w:spacing w:after="0" w:line="162" w:lineRule="exact"/>
              <w:rPr>
                <w:sz w:val="20"/>
                <w:szCs w:val="20"/>
                <w:color w:val="auto"/>
              </w:rPr>
            </w:pPr>
            <w:r>
              <w:rPr>
                <w:rFonts w:ascii="Arial" w:cs="Arial" w:eastAsia="Arial" w:hAnsi="Arial"/>
                <w:sz w:val="15"/>
                <w:szCs w:val="15"/>
                <w:color w:val="auto"/>
              </w:rPr>
              <w:t>Freight</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b w:val="1"/>
                <w:bCs w:val="1"/>
                <w:color w:val="auto"/>
              </w:rPr>
              <w:t>(4,223)</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3"/>
              <w:spacing w:after="0" w:line="162" w:lineRule="exact"/>
              <w:rPr>
                <w:sz w:val="20"/>
                <w:szCs w:val="20"/>
                <w:color w:val="auto"/>
              </w:rPr>
            </w:pPr>
            <w:r>
              <w:rPr>
                <w:rFonts w:ascii="Arial" w:cs="Arial" w:eastAsia="Arial" w:hAnsi="Arial"/>
                <w:sz w:val="15"/>
                <w:szCs w:val="15"/>
                <w:color w:val="auto"/>
              </w:rPr>
              <w:t>(4,652)</w:t>
            </w: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(4,384)</w:t>
            </w:r>
          </w:p>
        </w:tc>
        <w:tc>
          <w:tcPr>
            <w:tcW w:w="0" w:type="dxa"/>
            <w:vAlign w:val="bottom"/>
          </w:tcPr>
          <w:p>
            <w:pPr>
              <w:spacing w:after="0"/>
              <w:rPr>
                <w:sz w:val="1"/>
                <w:szCs w:val="1"/>
                <w:color w:val="auto"/>
              </w:rPr>
            </w:pPr>
          </w:p>
        </w:tc>
      </w:tr>
      <w:tr>
        <w:trPr>
          <w:trHeight w:val="156"/>
        </w:trPr>
        <w:tc>
          <w:tcPr>
            <w:tcW w:w="23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Magnesia Specialties</w:t>
            </w:r>
          </w:p>
        </w:tc>
        <w:tc>
          <w:tcPr>
            <w:tcW w:w="3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23"/>
              <w:spacing w:after="0" w:line="156" w:lineRule="exact"/>
              <w:rPr>
                <w:sz w:val="20"/>
                <w:szCs w:val="20"/>
                <w:color w:val="auto"/>
              </w:rPr>
            </w:pPr>
            <w:r>
              <w:rPr>
                <w:rFonts w:ascii="Arial" w:cs="Arial" w:eastAsia="Arial" w:hAnsi="Arial"/>
                <w:sz w:val="15"/>
                <w:szCs w:val="15"/>
                <w:b w:val="1"/>
                <w:bCs w:val="1"/>
                <w:color w:val="auto"/>
              </w:rPr>
              <w:t>98,682</w:t>
            </w:r>
          </w:p>
        </w:tc>
        <w:tc>
          <w:tcPr>
            <w:tcW w:w="3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23"/>
              <w:spacing w:after="0" w:line="156" w:lineRule="exact"/>
              <w:rPr>
                <w:sz w:val="20"/>
                <w:szCs w:val="20"/>
                <w:color w:val="auto"/>
              </w:rPr>
            </w:pPr>
            <w:r>
              <w:rPr>
                <w:rFonts w:ascii="Arial" w:cs="Arial" w:eastAsia="Arial" w:hAnsi="Arial"/>
                <w:sz w:val="15"/>
                <w:szCs w:val="15"/>
                <w:color w:val="auto"/>
              </w:rPr>
              <w:t>89,398</w:t>
            </w:r>
          </w:p>
        </w:tc>
        <w:tc>
          <w:tcPr>
            <w:tcW w:w="3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89,603</w:t>
            </w:r>
          </w:p>
        </w:tc>
        <w:tc>
          <w:tcPr>
            <w:tcW w:w="0" w:type="dxa"/>
            <w:vAlign w:val="bottom"/>
          </w:tcPr>
          <w:p>
            <w:pPr>
              <w:spacing w:after="0"/>
              <w:rPr>
                <w:sz w:val="1"/>
                <w:szCs w:val="1"/>
                <w:color w:val="auto"/>
              </w:rPr>
            </w:pPr>
          </w:p>
        </w:tc>
      </w:tr>
      <w:tr>
        <w:trPr>
          <w:trHeight w:val="156"/>
        </w:trPr>
        <w:tc>
          <w:tcPr>
            <w:tcW w:w="234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Corporate</w:t>
            </w: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23"/>
              <w:spacing w:after="0" w:line="156" w:lineRule="exact"/>
              <w:rPr>
                <w:sz w:val="20"/>
                <w:szCs w:val="20"/>
                <w:color w:val="auto"/>
              </w:rPr>
            </w:pPr>
            <w:r>
              <w:rPr>
                <w:rFonts w:ascii="Arial" w:cs="Arial" w:eastAsia="Arial" w:hAnsi="Arial"/>
                <w:sz w:val="15"/>
                <w:szCs w:val="15"/>
                <w:b w:val="1"/>
                <w:bCs w:val="1"/>
                <w:color w:val="auto"/>
              </w:rPr>
              <w:t>7,572</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23"/>
              <w:spacing w:after="0" w:line="156" w:lineRule="exact"/>
              <w:rPr>
                <w:sz w:val="20"/>
                <w:szCs w:val="20"/>
                <w:color w:val="auto"/>
              </w:rPr>
            </w:pPr>
            <w:r>
              <w:rPr>
                <w:rFonts w:ascii="Arial" w:cs="Arial" w:eastAsia="Arial" w:hAnsi="Arial"/>
                <w:sz w:val="15"/>
                <w:szCs w:val="15"/>
                <w:color w:val="auto"/>
              </w:rPr>
              <w:t>6,910</w:t>
            </w: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(8,501)</w:t>
            </w:r>
          </w:p>
        </w:tc>
        <w:tc>
          <w:tcPr>
            <w:tcW w:w="0" w:type="dxa"/>
            <w:vAlign w:val="bottom"/>
          </w:tcPr>
          <w:p>
            <w:pPr>
              <w:spacing w:after="0"/>
              <w:rPr>
                <w:sz w:val="1"/>
                <w:szCs w:val="1"/>
                <w:color w:val="auto"/>
              </w:rPr>
            </w:pPr>
          </w:p>
        </w:tc>
      </w:tr>
      <w:tr>
        <w:trPr>
          <w:trHeight w:val="163"/>
        </w:trPr>
        <w:tc>
          <w:tcPr>
            <w:tcW w:w="23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Total Consolidated Gross Profit</w:t>
            </w:r>
          </w:p>
        </w:tc>
        <w:tc>
          <w:tcPr>
            <w:tcW w:w="3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shd w:val="clear" w:color="auto" w:fill="CCEEFF"/>
          </w:tcPr>
          <w:p>
            <w:pPr>
              <w:jc w:val="right"/>
              <w:ind w:right="123"/>
              <w:spacing w:after="0" w:line="156" w:lineRule="exact"/>
              <w:rPr>
                <w:sz w:val="20"/>
                <w:szCs w:val="20"/>
                <w:color w:val="auto"/>
              </w:rPr>
            </w:pPr>
            <w:r>
              <w:rPr>
                <w:rFonts w:ascii="Arial" w:cs="Arial" w:eastAsia="Arial" w:hAnsi="Arial"/>
                <w:sz w:val="15"/>
                <w:szCs w:val="15"/>
                <w:b w:val="1"/>
                <w:bCs w:val="1"/>
                <w:color w:val="auto"/>
              </w:rPr>
              <w:t>966,577</w:t>
            </w:r>
          </w:p>
        </w:tc>
        <w:tc>
          <w:tcPr>
            <w:tcW w:w="3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123"/>
              <w:spacing w:after="0" w:line="156" w:lineRule="exact"/>
              <w:rPr>
                <w:sz w:val="20"/>
                <w:szCs w:val="20"/>
                <w:color w:val="auto"/>
              </w:rPr>
            </w:pPr>
            <w:r>
              <w:rPr>
                <w:rFonts w:ascii="Arial" w:cs="Arial" w:eastAsia="Arial" w:hAnsi="Arial"/>
                <w:sz w:val="15"/>
                <w:szCs w:val="15"/>
                <w:color w:val="auto"/>
              </w:rPr>
              <w:t>971,940</w:t>
            </w:r>
          </w:p>
        </w:tc>
        <w:tc>
          <w:tcPr>
            <w:tcW w:w="3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rPr>
              <w:t>911,738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65</w:t>
      </w:r>
    </w:p>
    <w:p>
      <w:pPr>
        <w:sectPr>
          <w:pgSz w:w="11900" w:h="16838" w:orient="portrait"/>
          <w:cols w:equalWidth="0" w:num="1">
            <w:col w:w="11420"/>
          </w:cols>
          <w:pgMar w:left="240" w:top="265" w:right="2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Products and services gross margin by reportable segment and total products and services consolidated gross margin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00" w:type="dxa"/>
            <w:vAlign w:val="bottom"/>
          </w:tcPr>
          <w:p>
            <w:pPr>
              <w:ind w:left="20"/>
              <w:spacing w:after="0"/>
              <w:rPr>
                <w:sz w:val="20"/>
                <w:szCs w:val="20"/>
                <w:color w:val="auto"/>
              </w:rPr>
            </w:pPr>
            <w:r>
              <w:rPr>
                <w:rFonts w:ascii="Arial" w:cs="Arial" w:eastAsia="Arial" w:hAnsi="Arial"/>
                <w:sz w:val="15"/>
                <w:szCs w:val="15"/>
                <w:i w:val="1"/>
                <w:iCs w:val="1"/>
                <w:color w:val="auto"/>
              </w:rPr>
              <w:t>years ended December 31</w:t>
            </w:r>
          </w:p>
        </w:tc>
        <w:tc>
          <w:tcPr>
            <w:tcW w:w="1240" w:type="dxa"/>
            <w:vAlign w:val="bottom"/>
            <w:vMerge w:val="restart"/>
          </w:tcPr>
          <w:p>
            <w:pPr>
              <w:jc w:val="right"/>
              <w:ind w:right="63"/>
              <w:spacing w:after="0"/>
              <w:rPr>
                <w:sz w:val="20"/>
                <w:szCs w:val="20"/>
                <w:color w:val="auto"/>
              </w:rPr>
            </w:pPr>
            <w:r>
              <w:rPr>
                <w:rFonts w:ascii="Arial" w:cs="Arial" w:eastAsia="Arial" w:hAnsi="Arial"/>
                <w:sz w:val="15"/>
                <w:szCs w:val="15"/>
                <w:b w:val="1"/>
                <w:bCs w:val="1"/>
                <w:color w:val="0085CD"/>
              </w:rPr>
              <w:t>2018</w:t>
            </w: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900" w:type="dxa"/>
            <w:vAlign w:val="bottom"/>
            <w:tcBorders>
              <w:bottom w:val="single" w:sz="8" w:color="auto"/>
            </w:tcBorders>
          </w:tcPr>
          <w:p>
            <w:pPr>
              <w:ind w:left="20"/>
              <w:spacing w:after="0" w:line="166" w:lineRule="exact"/>
              <w:rPr>
                <w:sz w:val="20"/>
                <w:szCs w:val="20"/>
                <w:color w:val="auto"/>
              </w:rPr>
            </w:pPr>
            <w:r>
              <w:rPr>
                <w:rFonts w:ascii="Arial" w:cs="Arial" w:eastAsia="Arial" w:hAnsi="Arial"/>
                <w:sz w:val="15"/>
                <w:szCs w:val="15"/>
                <w:color w:val="auto"/>
              </w:rPr>
              <w:t>(add 000)</w:t>
            </w:r>
          </w:p>
        </w:tc>
        <w:tc>
          <w:tcPr>
            <w:tcW w:w="124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jc w:val="right"/>
              <w:ind w:right="63"/>
              <w:spacing w:after="0" w:line="166" w:lineRule="exact"/>
              <w:rPr>
                <w:sz w:val="20"/>
                <w:szCs w:val="20"/>
                <w:color w:val="auto"/>
              </w:rPr>
            </w:pPr>
            <w:r>
              <w:rPr>
                <w:rFonts w:ascii="Arial" w:cs="Arial" w:eastAsia="Arial" w:hAnsi="Arial"/>
                <w:sz w:val="15"/>
                <w:szCs w:val="15"/>
                <w:color w:val="auto"/>
              </w:rPr>
              <w:t>2017</w:t>
            </w:r>
          </w:p>
        </w:tc>
        <w:tc>
          <w:tcPr>
            <w:tcW w:w="6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2900" w:type="dxa"/>
            <w:vAlign w:val="bottom"/>
            <w:shd w:val="clear" w:color="auto" w:fill="CCEEFF"/>
          </w:tcPr>
          <w:p>
            <w:pPr>
              <w:ind w:left="160"/>
              <w:spacing w:after="0" w:line="156" w:lineRule="exact"/>
              <w:rPr>
                <w:sz w:val="20"/>
                <w:szCs w:val="20"/>
                <w:color w:val="auto"/>
              </w:rPr>
            </w:pPr>
            <w:r>
              <w:rPr>
                <w:rFonts w:ascii="Arial" w:cs="Arial" w:eastAsia="Arial" w:hAnsi="Arial"/>
                <w:sz w:val="15"/>
                <w:szCs w:val="15"/>
                <w:color w:val="auto"/>
              </w:rPr>
              <w:t>Mid-America Group</w:t>
            </w:r>
          </w:p>
        </w:tc>
        <w:tc>
          <w:tcPr>
            <w:tcW w:w="1240" w:type="dxa"/>
            <w:vAlign w:val="bottom"/>
            <w:shd w:val="clear" w:color="auto" w:fill="CCEEFF"/>
          </w:tcPr>
          <w:p>
            <w:pPr>
              <w:jc w:val="right"/>
              <w:ind w:right="63"/>
              <w:spacing w:after="0" w:line="156" w:lineRule="exact"/>
              <w:rPr>
                <w:sz w:val="20"/>
                <w:szCs w:val="20"/>
                <w:color w:val="auto"/>
              </w:rPr>
            </w:pPr>
            <w:r>
              <w:rPr>
                <w:rFonts w:ascii="Arial" w:cs="Arial" w:eastAsia="Arial" w:hAnsi="Arial"/>
                <w:sz w:val="15"/>
                <w:szCs w:val="15"/>
                <w:b w:val="1"/>
                <w:bCs w:val="1"/>
                <w:color w:val="auto"/>
              </w:rPr>
              <w:t>32.3%</w:t>
            </w:r>
          </w:p>
        </w:tc>
        <w:tc>
          <w:tcPr>
            <w:tcW w:w="720" w:type="dxa"/>
            <w:vAlign w:val="bottom"/>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34.2%</w:t>
            </w:r>
          </w:p>
        </w:tc>
        <w:tc>
          <w:tcPr>
            <w:tcW w:w="6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32.4%</w:t>
            </w:r>
          </w:p>
        </w:tc>
        <w:tc>
          <w:tcPr>
            <w:tcW w:w="0" w:type="dxa"/>
            <w:vAlign w:val="bottom"/>
          </w:tcPr>
          <w:p>
            <w:pPr>
              <w:spacing w:after="0"/>
              <w:rPr>
                <w:sz w:val="1"/>
                <w:szCs w:val="1"/>
                <w:color w:val="auto"/>
              </w:rPr>
            </w:pPr>
          </w:p>
        </w:tc>
      </w:tr>
      <w:tr>
        <w:trPr>
          <w:trHeight w:val="162"/>
        </w:trPr>
        <w:tc>
          <w:tcPr>
            <w:tcW w:w="2900" w:type="dxa"/>
            <w:vAlign w:val="bottom"/>
          </w:tcPr>
          <w:p>
            <w:pPr>
              <w:ind w:left="160"/>
              <w:spacing w:after="0" w:line="162" w:lineRule="exact"/>
              <w:rPr>
                <w:sz w:val="20"/>
                <w:szCs w:val="20"/>
                <w:color w:val="auto"/>
              </w:rPr>
            </w:pPr>
            <w:r>
              <w:rPr>
                <w:rFonts w:ascii="Arial" w:cs="Arial" w:eastAsia="Arial" w:hAnsi="Arial"/>
                <w:sz w:val="15"/>
                <w:szCs w:val="15"/>
                <w:color w:val="auto"/>
              </w:rPr>
              <w:t>Southeast Group</w:t>
            </w:r>
          </w:p>
        </w:tc>
        <w:tc>
          <w:tcPr>
            <w:tcW w:w="124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19.0%</w:t>
            </w:r>
          </w:p>
        </w:tc>
        <w:tc>
          <w:tcPr>
            <w:tcW w:w="720" w:type="dxa"/>
            <w:vAlign w:val="bottom"/>
          </w:tcPr>
          <w:p>
            <w:pPr>
              <w:jc w:val="right"/>
              <w:ind w:right="63"/>
              <w:spacing w:after="0" w:line="162" w:lineRule="exact"/>
              <w:rPr>
                <w:sz w:val="20"/>
                <w:szCs w:val="20"/>
                <w:color w:val="auto"/>
              </w:rPr>
            </w:pPr>
            <w:r>
              <w:rPr>
                <w:rFonts w:ascii="Arial" w:cs="Arial" w:eastAsia="Arial" w:hAnsi="Arial"/>
                <w:sz w:val="15"/>
                <w:szCs w:val="15"/>
                <w:color w:val="auto"/>
              </w:rPr>
              <w:t>21.5%</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18.9%</w:t>
            </w:r>
          </w:p>
        </w:tc>
        <w:tc>
          <w:tcPr>
            <w:tcW w:w="0" w:type="dxa"/>
            <w:vAlign w:val="bottom"/>
          </w:tcPr>
          <w:p>
            <w:pPr>
              <w:spacing w:after="0"/>
              <w:rPr>
                <w:sz w:val="1"/>
                <w:szCs w:val="1"/>
                <w:color w:val="auto"/>
              </w:rPr>
            </w:pPr>
          </w:p>
        </w:tc>
      </w:tr>
      <w:tr>
        <w:trPr>
          <w:trHeight w:val="162"/>
        </w:trPr>
        <w:tc>
          <w:tcPr>
            <w:tcW w:w="290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West Group</w:t>
            </w:r>
          </w:p>
        </w:tc>
        <w:tc>
          <w:tcPr>
            <w:tcW w:w="124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b w:val="1"/>
                <w:bCs w:val="1"/>
                <w:color w:val="auto"/>
              </w:rPr>
              <w:t>19.2%</w:t>
            </w:r>
          </w:p>
        </w:tc>
        <w:tc>
          <w:tcPr>
            <w:tcW w:w="72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21.6%</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22.2%</w:t>
            </w: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Arial" w:cs="Arial" w:eastAsia="Arial" w:hAnsi="Arial"/>
                <w:sz w:val="15"/>
                <w:szCs w:val="15"/>
                <w:color w:val="auto"/>
              </w:rPr>
              <w:t>Total Building Materials Business</w:t>
            </w:r>
          </w:p>
        </w:tc>
        <w:tc>
          <w:tcPr>
            <w:tcW w:w="1240" w:type="dxa"/>
            <w:vAlign w:val="bottom"/>
          </w:tcPr>
          <w:p>
            <w:pPr>
              <w:jc w:val="right"/>
              <w:ind w:right="63"/>
              <w:spacing w:after="0" w:line="162" w:lineRule="exact"/>
              <w:rPr>
                <w:sz w:val="20"/>
                <w:szCs w:val="20"/>
                <w:color w:val="auto"/>
              </w:rPr>
            </w:pPr>
            <w:r>
              <w:rPr>
                <w:rFonts w:ascii="Arial" w:cs="Arial" w:eastAsia="Arial" w:hAnsi="Arial"/>
                <w:sz w:val="15"/>
                <w:szCs w:val="15"/>
                <w:b w:val="1"/>
                <w:bCs w:val="1"/>
                <w:color w:val="auto"/>
              </w:rPr>
              <w:t>23.2%</w:t>
            </w:r>
          </w:p>
        </w:tc>
        <w:tc>
          <w:tcPr>
            <w:tcW w:w="720" w:type="dxa"/>
            <w:vAlign w:val="bottom"/>
          </w:tcPr>
          <w:p>
            <w:pPr>
              <w:jc w:val="right"/>
              <w:ind w:right="63"/>
              <w:spacing w:after="0" w:line="162" w:lineRule="exact"/>
              <w:rPr>
                <w:sz w:val="20"/>
                <w:szCs w:val="20"/>
                <w:color w:val="auto"/>
              </w:rPr>
            </w:pPr>
            <w:r>
              <w:rPr>
                <w:rFonts w:ascii="Arial" w:cs="Arial" w:eastAsia="Arial" w:hAnsi="Arial"/>
                <w:sz w:val="15"/>
                <w:szCs w:val="15"/>
                <w:color w:val="auto"/>
              </w:rPr>
              <w:t>25.2%</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24.8%</w:t>
            </w:r>
          </w:p>
        </w:tc>
        <w:tc>
          <w:tcPr>
            <w:tcW w:w="0" w:type="dxa"/>
            <w:vAlign w:val="bottom"/>
          </w:tcPr>
          <w:p>
            <w:pPr>
              <w:spacing w:after="0"/>
              <w:rPr>
                <w:sz w:val="1"/>
                <w:szCs w:val="1"/>
                <w:color w:val="auto"/>
              </w:rPr>
            </w:pPr>
          </w:p>
        </w:tc>
      </w:tr>
      <w:tr>
        <w:trPr>
          <w:trHeight w:val="162"/>
        </w:trPr>
        <w:tc>
          <w:tcPr>
            <w:tcW w:w="290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Magnesia Specialties</w:t>
            </w:r>
          </w:p>
        </w:tc>
        <w:tc>
          <w:tcPr>
            <w:tcW w:w="124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b w:val="1"/>
                <w:bCs w:val="1"/>
                <w:color w:val="auto"/>
              </w:rPr>
              <w:t>38.3%</w:t>
            </w:r>
          </w:p>
        </w:tc>
        <w:tc>
          <w:tcPr>
            <w:tcW w:w="72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37.2%</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38.8%</w:t>
            </w:r>
          </w:p>
        </w:tc>
        <w:tc>
          <w:tcPr>
            <w:tcW w:w="0" w:type="dxa"/>
            <w:vAlign w:val="bottom"/>
          </w:tcPr>
          <w:p>
            <w:pPr>
              <w:spacing w:after="0"/>
              <w:rPr>
                <w:sz w:val="1"/>
                <w:szCs w:val="1"/>
                <w:color w:val="auto"/>
              </w:rPr>
            </w:pPr>
          </w:p>
        </w:tc>
      </w:tr>
      <w:tr>
        <w:trPr>
          <w:trHeight w:val="202"/>
        </w:trPr>
        <w:tc>
          <w:tcPr>
            <w:tcW w:w="2900" w:type="dxa"/>
            <w:vAlign w:val="bottom"/>
          </w:tcPr>
          <w:p>
            <w:pPr>
              <w:ind w:left="20"/>
              <w:spacing w:after="0"/>
              <w:rPr>
                <w:sz w:val="20"/>
                <w:szCs w:val="20"/>
                <w:color w:val="auto"/>
              </w:rPr>
            </w:pPr>
            <w:r>
              <w:rPr>
                <w:rFonts w:ascii="Arial" w:cs="Arial" w:eastAsia="Arial" w:hAnsi="Arial"/>
                <w:sz w:val="15"/>
                <w:szCs w:val="15"/>
                <w:color w:val="auto"/>
              </w:rPr>
              <w:t>Total Consolidated</w:t>
            </w:r>
          </w:p>
        </w:tc>
        <w:tc>
          <w:tcPr>
            <w:tcW w:w="1240" w:type="dxa"/>
            <w:vAlign w:val="bottom"/>
          </w:tcPr>
          <w:p>
            <w:pPr>
              <w:jc w:val="right"/>
              <w:ind w:right="63"/>
              <w:spacing w:after="0"/>
              <w:rPr>
                <w:sz w:val="20"/>
                <w:szCs w:val="20"/>
                <w:color w:val="auto"/>
              </w:rPr>
            </w:pPr>
            <w:r>
              <w:rPr>
                <w:rFonts w:ascii="Arial" w:cs="Arial" w:eastAsia="Arial" w:hAnsi="Arial"/>
                <w:sz w:val="15"/>
                <w:szCs w:val="15"/>
                <w:b w:val="1"/>
                <w:bCs w:val="1"/>
                <w:color w:val="auto"/>
              </w:rPr>
              <w:t>24.2%</w:t>
            </w:r>
          </w:p>
        </w:tc>
        <w:tc>
          <w:tcPr>
            <w:tcW w:w="720" w:type="dxa"/>
            <w:vAlign w:val="bottom"/>
          </w:tcPr>
          <w:p>
            <w:pPr>
              <w:jc w:val="right"/>
              <w:ind w:right="63"/>
              <w:spacing w:after="0"/>
              <w:rPr>
                <w:sz w:val="20"/>
                <w:szCs w:val="20"/>
                <w:color w:val="auto"/>
              </w:rPr>
            </w:pPr>
            <w:r>
              <w:rPr>
                <w:rFonts w:ascii="Arial" w:cs="Arial" w:eastAsia="Arial" w:hAnsi="Arial"/>
                <w:sz w:val="15"/>
                <w:szCs w:val="15"/>
                <w:color w:val="auto"/>
              </w:rPr>
              <w:t>26.0%</w:t>
            </w:r>
          </w:p>
        </w:tc>
        <w:tc>
          <w:tcPr>
            <w:tcW w:w="620" w:type="dxa"/>
            <w:vAlign w:val="bottom"/>
          </w:tcPr>
          <w:p>
            <w:pPr>
              <w:jc w:val="right"/>
              <w:spacing w:after="0"/>
              <w:rPr>
                <w:sz w:val="20"/>
                <w:szCs w:val="20"/>
                <w:color w:val="auto"/>
              </w:rPr>
            </w:pPr>
            <w:r>
              <w:rPr>
                <w:rFonts w:ascii="Arial" w:cs="Arial" w:eastAsia="Arial" w:hAnsi="Arial"/>
                <w:sz w:val="15"/>
                <w:szCs w:val="15"/>
                <w:color w:val="auto"/>
              </w:rPr>
              <w:t>25.8%</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Significant weather-related events hindered production efficiencies and negatively affected operating leverage, resulting in a slight increase in aggregates direct production cost per ton across all reportable groups for 2018 versus 2017. Magnesia Specialties business’ 2018 gross margin improvement is attributable to effective cost control relative to the increase in sales volume and increased production improvements creating greater efficiency in plant operations. Magnesia Specialties 2017 gross margin decline compared with 2016 was due to higher maintenance and contract services costs, coupled with an increase in natural gas prices.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Selling, General and Administrative Expenses</w:t>
      </w:r>
    </w:p>
    <w:p>
      <w:pPr>
        <w:spacing w:after="0" w:line="5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SG&amp;A expenses for 2018 and 2017 were 6.6% of total revenues. The increase of 30 basis points in 2017 compared with 2016 reflects higher personnel and share-based compensation costs.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Acquisition-Related Expenses, Net</w:t>
      </w:r>
    </w:p>
    <w:p>
      <w:pPr>
        <w:spacing w:after="0" w:line="3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incurs business development and acquisition integration costs in connection with its strategic growth plan, and at times may recognize nonrecurring transaction costs related to the acquisition (collectively “acquisition-related expenses, net”). On April 27, 2018, the Company completed its acquisition of Bluegrass. As part of the agreement with the U.S. Department of Justice (DOJ), the Company divested its heritage Forsyth aggregates quarry north of Atlanta, Georgia, and the legacy Bluegrass Beaver Creek aggregates quarry in western Maryland. In connection with the sale of its Forsyth quarry, the Company recognized a pretax gain of $14.8 million, which is included in acquisition-related expenses, net, in the consolidated statements of earnings and comprehensive earnings for the year ended December 31, 2018. There was no gain or loss on the Beaver Creek divestiture. The 2018 and 2017 acquisition-related expenses, net, were primarily related to the Bluegrass acquisition.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Other Operating (Income) and Expenses, Net</w:t>
      </w:r>
    </w:p>
    <w:p>
      <w:pPr>
        <w:spacing w:after="0" w:line="5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Other operating income and expenses, net, are comprised generally of gains and losses on the sale of assets; gains and losses related to certain customer accounts receivable; rental, royalty and services income; accretion expense, depreciation expense and gains and losses related to asset retirement obligations. These net amounts represented income of $18.2 million in 2018 and $8.0 million in 2016 and expense of $0.8 million in 2017. The 2018 income reflects a $7.7 million net gain on legal settlements and $25.3 million gain on the sale of assets, primarily excess land, partially offset by an asset and portfolio rationalization charge of $18.8 million. The asset and portfolio rationalization charge relates to the Company’s Southwest ready mixed concrete operations reported in the West Group reportable segment. The asset and portfolio rationalization charge reflects the Company’s evaluation of the recoverability of certain long-lived assets, including property, plant and equipment and intangible assets, for underperforming operations in this business and a reduction in headcount. Of the total charge, $17.0 million is noncash and $1.8 million will be settled in cash. Other operating expenses, net, for 2017 primarily reflect $19.4 million of gains on the sale of assets, offset by $12.7 million of nonrecurring repair costs related to certain of the Company’s leased railcars and approximately $10.8 million of executive retirement expense.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Earnings from Operations</w:t>
      </w:r>
    </w:p>
    <w:p>
      <w:pPr>
        <w:spacing w:after="0" w:line="3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Consolidated earnings from operations were $690.7 million, $700.4 million and $677.3 million in 2018, 2017 and 2016,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Interest Expense</w:t>
      </w:r>
    </w:p>
    <w:p>
      <w:pPr>
        <w:spacing w:after="0" w:line="5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Interest expense was $137.1 million in 2018, $91.5 million in 2017 and $81.7 million in 2016. The 2018 increase is due to higher outstanding debt throughout the year that was used to finance the Bluegrass acquisition. The Company issued $1.1 billion of long-term debt in December 2017 in anticipation of completing the transaction. This debt also resulted in the increase in 2017 compared with 2016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Other Nonoperating (Income) and Expenses, Net</w:t>
      </w:r>
    </w:p>
    <w:p>
      <w:pPr>
        <w:spacing w:after="0" w:line="5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Other nonoperating income and expenses, net, is comprised generally of interest income; foreign currency transaction gains and losses; pension and postretirement benefit cost, excluding service cost; and net equity earnings from nonconsolidated investments. Consolidated other nonoperating income and expenses, net, was income of $22.4 million, $10.0 million</w:t>
      </w:r>
    </w:p>
    <w:p>
      <w:pPr>
        <w:spacing w:after="0" w:line="399"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66</w:t>
      </w:r>
    </w:p>
    <w:p>
      <w:pPr>
        <w:sectPr>
          <w:pgSz w:w="11900" w:h="16838" w:orient="portrait"/>
          <w:cols w:equalWidth="0" w:num="1">
            <w:col w:w="11420"/>
          </w:cols>
          <w:pgMar w:left="240" w:top="265" w:right="2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and $11.4 million, in 2018, 2017 and 2016, respectively. The increase in 2018 reflects higher interest income and lower pension expense. The income in 2017 reflects increased earnings from nonconsolidated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Income Tax Expense (Benefit)</w:t>
      </w:r>
    </w:p>
    <w:p>
      <w:pPr>
        <w:spacing w:after="0" w:line="53"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In December 2017, the President signed the 2017 Tax Act into law. As a result, the Company remeasured its deferred tax assets and liabilities as of the enactment date at the new federal statutory corporate income tax rate of 21% and recorded a provisional one-time income tax benefit of $258.1 million. The 2018 income tax rate reflects the lower federal statutory tax rate and includes the final repricing of deferred tax liabilities resulting in a tax benefit of $21.5 million, both provisions of the 2017 Tax Act.</w:t>
      </w:r>
    </w:p>
    <w:p>
      <w:pPr>
        <w:spacing w:after="0" w:line="31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Variances in the estimated effective income tax rates, when compared with the statutory corporate income tax rate, are due primarily to the remeasurement of deferred taxes due to provisions of the 2017 Tax Act, the statutory depletion deduction for mineral reserves, the effect of state income taxes, the domestic production deduction for years prior to 2018, stock compensation deductions, and the impact of foreign income or losses for which no tax expense or benefit is recognized. Additionally, certain acquisition-related expenses, net, have limited deductibility for income tax purposes.</w:t>
      </w:r>
    </w:p>
    <w:p>
      <w:pPr>
        <w:spacing w:after="0" w:line="31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permanent benefit associated with the statutory depletion deduction for mineral reserves is typically the significant driver of the estimated effective income tax rate. The statutory depletion deduction is calculated as a percentage of sales subject to certain limitations. Due to these limitations, changes in sales volumes and pretax earnings may not proportionately affect the statutory depletion deduction and the corresponding impact on the effective income tax rate. However, the impact of the depletion deduction on the estimated effective tax rate is inversely affected by increases or decreases in pretax earnings.</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The Company’s estimated effective income tax rate for the years ended</w:t>
      </w:r>
    </w:p>
    <w:p>
      <w:pPr>
        <w:spacing w:after="0"/>
        <w:rPr>
          <w:sz w:val="20"/>
          <w:szCs w:val="20"/>
          <w:color w:val="auto"/>
        </w:rPr>
      </w:pPr>
      <w:r>
        <w:rPr>
          <w:rFonts w:ascii="Arial" w:cs="Arial" w:eastAsia="Arial" w:hAnsi="Arial"/>
          <w:sz w:val="17"/>
          <w:szCs w:val="17"/>
          <w:color w:val="auto"/>
        </w:rPr>
        <w:t>December 31 are as follows:</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215"/>
        </w:trPr>
        <w:tc>
          <w:tcPr>
            <w:tcW w:w="1620" w:type="dxa"/>
            <w:vAlign w:val="bottom"/>
          </w:tcPr>
          <w:p>
            <w:pPr>
              <w:jc w:val="right"/>
              <w:ind w:right="1155"/>
              <w:spacing w:after="0"/>
              <w:rPr>
                <w:sz w:val="20"/>
                <w:szCs w:val="20"/>
                <w:color w:val="auto"/>
              </w:rPr>
            </w:pPr>
            <w:r>
              <w:rPr>
                <w:rFonts w:ascii="Arial" w:cs="Arial" w:eastAsia="Arial" w:hAnsi="Arial"/>
                <w:sz w:val="17"/>
                <w:szCs w:val="17"/>
                <w:b w:val="1"/>
                <w:bCs w:val="1"/>
                <w:color w:val="0085CD"/>
                <w:w w:val="95"/>
              </w:rPr>
              <w:t>2018</w:t>
            </w:r>
          </w:p>
        </w:tc>
        <w:tc>
          <w:tcPr>
            <w:tcW w:w="1880" w:type="dxa"/>
            <w:vAlign w:val="bottom"/>
          </w:tcPr>
          <w:p>
            <w:pPr>
              <w:ind w:left="1240"/>
              <w:spacing w:after="0"/>
              <w:rPr>
                <w:sz w:val="20"/>
                <w:szCs w:val="20"/>
                <w:color w:val="auto"/>
              </w:rPr>
            </w:pPr>
            <w:r>
              <w:rPr>
                <w:rFonts w:ascii="Arial" w:cs="Arial" w:eastAsia="Arial" w:hAnsi="Arial"/>
                <w:sz w:val="17"/>
                <w:szCs w:val="17"/>
                <w:b w:val="1"/>
                <w:bCs w:val="1"/>
                <w:color w:val="auto"/>
              </w:rPr>
              <w:t>18.3%</w:t>
            </w:r>
          </w:p>
        </w:tc>
      </w:tr>
      <w:tr>
        <w:trPr>
          <w:trHeight w:val="189"/>
        </w:trPr>
        <w:tc>
          <w:tcPr>
            <w:tcW w:w="1620" w:type="dxa"/>
            <w:vAlign w:val="bottom"/>
            <w:shd w:val="clear" w:color="auto" w:fill="CCEEFF"/>
          </w:tcPr>
          <w:p>
            <w:pPr>
              <w:jc w:val="right"/>
              <w:ind w:right="1155"/>
              <w:spacing w:after="0" w:line="189" w:lineRule="exact"/>
              <w:rPr>
                <w:sz w:val="20"/>
                <w:szCs w:val="20"/>
                <w:color w:val="auto"/>
              </w:rPr>
            </w:pPr>
            <w:r>
              <w:rPr>
                <w:rFonts w:ascii="Arial" w:cs="Arial" w:eastAsia="Arial" w:hAnsi="Arial"/>
                <w:sz w:val="17"/>
                <w:szCs w:val="17"/>
                <w:color w:val="auto"/>
                <w:w w:val="95"/>
              </w:rPr>
              <w:t>2017</w:t>
            </w:r>
          </w:p>
        </w:tc>
        <w:tc>
          <w:tcPr>
            <w:tcW w:w="1880" w:type="dxa"/>
            <w:vAlign w:val="bottom"/>
            <w:shd w:val="clear" w:color="auto" w:fill="CCEEFF"/>
          </w:tcPr>
          <w:p>
            <w:pPr>
              <w:ind w:left="1220"/>
              <w:spacing w:after="0" w:line="189" w:lineRule="exact"/>
              <w:rPr>
                <w:sz w:val="20"/>
                <w:szCs w:val="20"/>
                <w:color w:val="auto"/>
              </w:rPr>
            </w:pPr>
            <w:r>
              <w:rPr>
                <w:rFonts w:ascii="Arial" w:cs="Arial" w:eastAsia="Arial" w:hAnsi="Arial"/>
                <w:sz w:val="17"/>
                <w:szCs w:val="17"/>
                <w:color w:val="auto"/>
              </w:rPr>
              <w:t>(15.3%)</w:t>
            </w:r>
          </w:p>
        </w:tc>
      </w:tr>
      <w:tr>
        <w:trPr>
          <w:trHeight w:val="205"/>
        </w:trPr>
        <w:tc>
          <w:tcPr>
            <w:tcW w:w="1620" w:type="dxa"/>
            <w:vAlign w:val="bottom"/>
          </w:tcPr>
          <w:p>
            <w:pPr>
              <w:jc w:val="right"/>
              <w:ind w:right="1155"/>
              <w:spacing w:after="0"/>
              <w:rPr>
                <w:sz w:val="20"/>
                <w:szCs w:val="20"/>
                <w:color w:val="auto"/>
              </w:rPr>
            </w:pPr>
            <w:r>
              <w:rPr>
                <w:rFonts w:ascii="Arial" w:cs="Arial" w:eastAsia="Arial" w:hAnsi="Arial"/>
                <w:sz w:val="17"/>
                <w:szCs w:val="17"/>
                <w:color w:val="auto"/>
                <w:w w:val="95"/>
              </w:rPr>
              <w:t>2016</w:t>
            </w:r>
          </w:p>
        </w:tc>
        <w:tc>
          <w:tcPr>
            <w:tcW w:w="1880" w:type="dxa"/>
            <w:vAlign w:val="bottom"/>
          </w:tcPr>
          <w:p>
            <w:pPr>
              <w:jc w:val="right"/>
              <w:ind w:right="15"/>
              <w:spacing w:after="0"/>
              <w:rPr>
                <w:sz w:val="20"/>
                <w:szCs w:val="20"/>
                <w:color w:val="auto"/>
              </w:rPr>
            </w:pPr>
            <w:r>
              <w:rPr>
                <w:rFonts w:ascii="Arial" w:cs="Arial" w:eastAsia="Arial" w:hAnsi="Arial"/>
                <w:sz w:val="17"/>
                <w:szCs w:val="17"/>
                <w:color w:val="auto"/>
              </w:rPr>
              <w:t>29.9%</w:t>
            </w:r>
          </w:p>
        </w:tc>
      </w:tr>
    </w:tbl>
    <w:p>
      <w:pPr>
        <w:spacing w:after="0" w:line="178" w:lineRule="exact"/>
        <w:rPr>
          <w:sz w:val="20"/>
          <w:szCs w:val="20"/>
          <w:color w:val="auto"/>
        </w:rPr>
      </w:pPr>
    </w:p>
    <w:p>
      <w:pPr>
        <w:ind w:right="1380"/>
        <w:spacing w:after="0" w:line="260" w:lineRule="auto"/>
        <w:rPr>
          <w:sz w:val="20"/>
          <w:szCs w:val="20"/>
          <w:color w:val="auto"/>
        </w:rPr>
      </w:pPr>
      <w:r>
        <w:rPr>
          <w:rFonts w:ascii="Arial" w:cs="Arial" w:eastAsia="Arial" w:hAnsi="Arial"/>
          <w:sz w:val="18"/>
          <w:szCs w:val="18"/>
          <w:b w:val="1"/>
          <w:bCs w:val="1"/>
          <w:color w:val="8D5D6C"/>
        </w:rPr>
        <w:t>Net Earnings Attributable to Martin Marietta and Earnings Per Diluted Share</w:t>
      </w:r>
    </w:p>
    <w:p>
      <w:pPr>
        <w:spacing w:after="0"/>
        <w:rPr>
          <w:sz w:val="20"/>
          <w:szCs w:val="20"/>
          <w:color w:val="auto"/>
        </w:rPr>
      </w:pPr>
      <w:r>
        <w:rPr>
          <w:rFonts w:ascii="Arial" w:cs="Arial" w:eastAsia="Arial" w:hAnsi="Arial"/>
          <w:sz w:val="17"/>
          <w:szCs w:val="17"/>
          <w:color w:val="auto"/>
        </w:rPr>
        <w:t>Net earnings attributable to Martin Marietta were $470.0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million, or $7.43 per diluted share, for 2018 and $713.3 million, or $11.25 per diluted share, for 2017. The 2017 amount includes the income tax benefit from the 2017 Tax Act of $258.1 million, or $4.07 per diluted share. For 2016, net earnings attributable to Martin Marietta were $425.4 million, or $6.63 per diluted share.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Liquidity and Cash Flows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Operating Activities</w:t>
      </w:r>
    </w:p>
    <w:p>
      <w:pPr>
        <w:spacing w:after="0" w:line="3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Generally, the Company’s primary source of liquidity is cash generated from operating activities. Operating cash flow is substantially derived from consolidated net earnings, before deducting depreciation, depletion and amortization, and offset by working capital requirements. Cash provided by operations was $705.1 million in 2018, $657.6 million in 2017 and $688.9 million in 2016. Cash provided by operations in 2018 reflects $162.3 million of contributions to the Company’s pension plans, the majority of which is attributable to the 2017 plan year. As a result, the Company recognized a cash tax benefit equal to 35%, the federal tax rate in effect for the plan year. For comparative purposes, pension plan contributions were $30.9 million and $44.8 million in 2017 and 2016, respectively. Cash provided by operations in 2017 reflects a higher buildup of inventories resulting from lower-than-expected shipment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151765</wp:posOffset>
            </wp:positionV>
            <wp:extent cx="2889885" cy="3336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9">
                      <a:extLst>
                        <a:ext uri="{28A0092B-C50C-407E-A947-70E740481C1C}"/>
                      </a:extLst>
                    </a:blip>
                    <a:srcRect/>
                    <a:stretch>
                      <a:fillRect/>
                    </a:stretch>
                  </pic:blipFill>
                  <pic:spPr bwMode="auto">
                    <a:xfrm>
                      <a:off x="0" y="0"/>
                      <a:ext cx="2889885" cy="3336290"/>
                    </a:xfrm>
                    <a:prstGeom prst="rect">
                      <a:avLst/>
                    </a:prstGeom>
                    <a:noFill/>
                  </pic:spPr>
                </pic:pic>
              </a:graphicData>
            </a:graphic>
          </wp:anchor>
        </w:drawing>
      </w:r>
    </w:p>
    <w:p>
      <w:pPr>
        <w:spacing w:after="0" w:line="5044"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67</w:t>
      </w:r>
    </w:p>
    <w:p>
      <w:pPr>
        <w:sectPr>
          <w:pgSz w:w="11900" w:h="16838" w:orient="portrait"/>
          <w:cols w:equalWidth="0" w:num="1">
            <w:col w:w="11420"/>
          </w:cols>
          <w:pgMar w:left="240" w:top="265" w:right="2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Depreciation, depletion and amortization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40" w:type="dxa"/>
            <w:vAlign w:val="bottom"/>
          </w:tcPr>
          <w:p>
            <w:pPr>
              <w:ind w:left="20"/>
              <w:spacing w:after="0"/>
              <w:rPr>
                <w:sz w:val="20"/>
                <w:szCs w:val="20"/>
                <w:color w:val="auto"/>
              </w:rPr>
            </w:pPr>
            <w:r>
              <w:rPr>
                <w:rFonts w:ascii="Arial" w:cs="Arial" w:eastAsia="Arial" w:hAnsi="Arial"/>
                <w:sz w:val="15"/>
                <w:szCs w:val="15"/>
                <w:i w:val="1"/>
                <w:iCs w:val="1"/>
                <w:color w:val="auto"/>
              </w:rPr>
              <w:t>years ended December 31</w:t>
            </w:r>
          </w:p>
        </w:tc>
        <w:tc>
          <w:tcPr>
            <w:tcW w:w="540" w:type="dxa"/>
            <w:vAlign w:val="bottom"/>
          </w:tcPr>
          <w:p>
            <w:pPr>
              <w:spacing w:after="0"/>
              <w:rPr>
                <w:sz w:val="15"/>
                <w:szCs w:val="15"/>
                <w:color w:val="auto"/>
              </w:rPr>
            </w:pPr>
          </w:p>
        </w:tc>
        <w:tc>
          <w:tcPr>
            <w:tcW w:w="740" w:type="dxa"/>
            <w:vAlign w:val="bottom"/>
            <w:vMerge w:val="restart"/>
          </w:tcPr>
          <w:p>
            <w:pPr>
              <w:jc w:val="right"/>
              <w:ind w:right="107"/>
              <w:spacing w:after="0"/>
              <w:rPr>
                <w:sz w:val="20"/>
                <w:szCs w:val="20"/>
                <w:color w:val="auto"/>
              </w:rPr>
            </w:pPr>
            <w:r>
              <w:rPr>
                <w:rFonts w:ascii="Arial" w:cs="Arial" w:eastAsia="Arial" w:hAnsi="Arial"/>
                <w:sz w:val="15"/>
                <w:szCs w:val="15"/>
                <w:b w:val="1"/>
                <w:bCs w:val="1"/>
                <w:color w:val="0085CD"/>
              </w:rPr>
              <w:t>2018</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240" w:type="dxa"/>
            <w:vAlign w:val="bottom"/>
            <w:tcBorders>
              <w:bottom w:val="single" w:sz="8" w:color="auto"/>
            </w:tcBorders>
          </w:tcPr>
          <w:p>
            <w:pPr>
              <w:ind w:left="20"/>
              <w:spacing w:after="0" w:line="166" w:lineRule="exact"/>
              <w:rPr>
                <w:sz w:val="20"/>
                <w:szCs w:val="20"/>
                <w:color w:val="auto"/>
              </w:rPr>
            </w:pPr>
            <w:r>
              <w:rPr>
                <w:rFonts w:ascii="Arial" w:cs="Arial" w:eastAsia="Arial" w:hAnsi="Arial"/>
                <w:sz w:val="15"/>
                <w:szCs w:val="15"/>
                <w:color w:val="auto"/>
              </w:rPr>
              <w:t>(add 000)</w:t>
            </w: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7"/>
              <w:spacing w:after="0" w:line="166" w:lineRule="exact"/>
              <w:rPr>
                <w:sz w:val="20"/>
                <w:szCs w:val="20"/>
                <w:color w:val="auto"/>
              </w:rPr>
            </w:pPr>
            <w:r>
              <w:rPr>
                <w:rFonts w:ascii="Arial" w:cs="Arial" w:eastAsia="Arial" w:hAnsi="Arial"/>
                <w:sz w:val="15"/>
                <w:szCs w:val="15"/>
                <w:color w:val="auto"/>
              </w:rPr>
              <w:t>2017</w:t>
            </w: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22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Depreciation</w:t>
            </w: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4"/>
                <w:szCs w:val="14"/>
                <w:b w:val="1"/>
                <w:bCs w:val="1"/>
                <w:color w:val="auto"/>
              </w:rPr>
              <w:t>296,835</w:t>
            </w:r>
          </w:p>
        </w:tc>
        <w:tc>
          <w:tcPr>
            <w:tcW w:w="3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4"/>
                <w:szCs w:val="14"/>
                <w:color w:val="auto"/>
              </w:rPr>
              <w:t>262,382</w:t>
            </w:r>
          </w:p>
        </w:tc>
        <w:tc>
          <w:tcPr>
            <w:tcW w:w="3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253,028</w:t>
            </w:r>
          </w:p>
        </w:tc>
        <w:tc>
          <w:tcPr>
            <w:tcW w:w="0" w:type="dxa"/>
            <w:vAlign w:val="bottom"/>
          </w:tcPr>
          <w:p>
            <w:pPr>
              <w:spacing w:after="0"/>
              <w:rPr>
                <w:sz w:val="1"/>
                <w:szCs w:val="1"/>
                <w:color w:val="auto"/>
              </w:rPr>
            </w:pPr>
          </w:p>
        </w:tc>
      </w:tr>
      <w:tr>
        <w:trPr>
          <w:trHeight w:val="162"/>
        </w:trPr>
        <w:tc>
          <w:tcPr>
            <w:tcW w:w="2240" w:type="dxa"/>
            <w:vAlign w:val="bottom"/>
          </w:tcPr>
          <w:p>
            <w:pPr>
              <w:ind w:left="20"/>
              <w:spacing w:after="0"/>
              <w:rPr>
                <w:sz w:val="20"/>
                <w:szCs w:val="20"/>
                <w:color w:val="auto"/>
              </w:rPr>
            </w:pPr>
            <w:r>
              <w:rPr>
                <w:rFonts w:ascii="Arial" w:cs="Arial" w:eastAsia="Arial" w:hAnsi="Arial"/>
                <w:sz w:val="14"/>
                <w:szCs w:val="14"/>
                <w:color w:val="auto"/>
              </w:rPr>
              <w:t>Depletion</w:t>
            </w:r>
          </w:p>
        </w:tc>
        <w:tc>
          <w:tcPr>
            <w:tcW w:w="54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Arial" w:cs="Arial" w:eastAsia="Arial" w:hAnsi="Arial"/>
                <w:sz w:val="14"/>
                <w:szCs w:val="14"/>
                <w:b w:val="1"/>
                <w:bCs w:val="1"/>
                <w:color w:val="auto"/>
              </w:rPr>
              <w:t>29,261</w:t>
            </w:r>
          </w:p>
        </w:tc>
        <w:tc>
          <w:tcPr>
            <w:tcW w:w="3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Arial" w:cs="Arial" w:eastAsia="Arial" w:hAnsi="Arial"/>
                <w:sz w:val="14"/>
                <w:szCs w:val="14"/>
                <w:color w:val="auto"/>
              </w:rPr>
              <w:t>17,391</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15,907</w:t>
            </w:r>
          </w:p>
        </w:tc>
        <w:tc>
          <w:tcPr>
            <w:tcW w:w="0" w:type="dxa"/>
            <w:vAlign w:val="bottom"/>
          </w:tcPr>
          <w:p>
            <w:pPr>
              <w:spacing w:after="0"/>
              <w:rPr>
                <w:sz w:val="1"/>
                <w:szCs w:val="1"/>
                <w:color w:val="auto"/>
              </w:rPr>
            </w:pPr>
          </w:p>
        </w:tc>
      </w:tr>
      <w:tr>
        <w:trPr>
          <w:trHeight w:val="162"/>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Amortization</w:t>
            </w:r>
          </w:p>
        </w:tc>
        <w:tc>
          <w:tcPr>
            <w:tcW w:w="5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b w:val="1"/>
                <w:bCs w:val="1"/>
                <w:color w:val="auto"/>
              </w:rPr>
              <w:t>17,937</w:t>
            </w:r>
          </w:p>
        </w:tc>
        <w:tc>
          <w:tcPr>
            <w:tcW w:w="3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17,389</w:t>
            </w:r>
          </w:p>
        </w:tc>
        <w:tc>
          <w:tcPr>
            <w:tcW w:w="3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16,318</w:t>
            </w:r>
          </w:p>
        </w:tc>
        <w:tc>
          <w:tcPr>
            <w:tcW w:w="0" w:type="dxa"/>
            <w:vAlign w:val="bottom"/>
          </w:tcPr>
          <w:p>
            <w:pPr>
              <w:spacing w:after="0"/>
              <w:rPr>
                <w:sz w:val="1"/>
                <w:szCs w:val="1"/>
                <w:color w:val="auto"/>
              </w:rPr>
            </w:pPr>
          </w:p>
        </w:tc>
      </w:tr>
      <w:tr>
        <w:trPr>
          <w:trHeight w:val="163"/>
        </w:trPr>
        <w:tc>
          <w:tcPr>
            <w:tcW w:w="224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Total</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107"/>
              <w:spacing w:after="0" w:line="155" w:lineRule="exact"/>
              <w:rPr>
                <w:sz w:val="20"/>
                <w:szCs w:val="20"/>
                <w:color w:val="auto"/>
              </w:rPr>
            </w:pPr>
            <w:r>
              <w:rPr>
                <w:rFonts w:ascii="Arial" w:cs="Arial" w:eastAsia="Arial" w:hAnsi="Arial"/>
                <w:sz w:val="14"/>
                <w:szCs w:val="14"/>
                <w:b w:val="1"/>
                <w:bCs w:val="1"/>
                <w:color w:val="auto"/>
              </w:rPr>
              <w:t>344,033</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7"/>
              <w:spacing w:after="0" w:line="155" w:lineRule="exact"/>
              <w:rPr>
                <w:sz w:val="20"/>
                <w:szCs w:val="20"/>
                <w:color w:val="auto"/>
              </w:rPr>
            </w:pPr>
            <w:r>
              <w:rPr>
                <w:rFonts w:ascii="Arial" w:cs="Arial" w:eastAsia="Arial" w:hAnsi="Arial"/>
                <w:sz w:val="14"/>
                <w:szCs w:val="14"/>
                <w:color w:val="auto"/>
              </w:rPr>
              <w:t>297,162</w:t>
            </w:r>
          </w:p>
        </w:tc>
        <w:tc>
          <w:tcPr>
            <w:tcW w:w="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285,253</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increase in 2018 depreciation and depletion expense reflects the acquisition of Bluegrass and increased levels of capital spending during 2015 through 2018 as investments were made to address several years of relatively low capital spending during 2009 through 2013.</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Investing Activities</w:t>
      </w:r>
    </w:p>
    <w:p>
      <w:pPr>
        <w:spacing w:after="0" w:line="3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Net cash used for investing activities was $1.95 billion in 2018, $386.2 million in 2017 and $555.0 million in 2016.</w:t>
      </w:r>
    </w:p>
    <w:p>
      <w:pPr>
        <w:spacing w:after="0" w:line="27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Property, plant and equipment capitalized by reportable segment, excluding acquisitions,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40" w:type="dxa"/>
            <w:vAlign w:val="bottom"/>
          </w:tcPr>
          <w:p>
            <w:pPr>
              <w:ind w:left="20"/>
              <w:spacing w:after="0"/>
              <w:rPr>
                <w:sz w:val="20"/>
                <w:szCs w:val="20"/>
                <w:color w:val="auto"/>
              </w:rPr>
            </w:pPr>
            <w:r>
              <w:rPr>
                <w:rFonts w:ascii="Arial" w:cs="Arial" w:eastAsia="Arial" w:hAnsi="Arial"/>
                <w:sz w:val="15"/>
                <w:szCs w:val="15"/>
                <w:i w:val="1"/>
                <w:iCs w:val="1"/>
                <w:color w:val="auto"/>
              </w:rPr>
              <w:t>years ended December 31</w:t>
            </w:r>
          </w:p>
        </w:tc>
        <w:tc>
          <w:tcPr>
            <w:tcW w:w="540" w:type="dxa"/>
            <w:vAlign w:val="bottom"/>
          </w:tcPr>
          <w:p>
            <w:pPr>
              <w:spacing w:after="0"/>
              <w:rPr>
                <w:sz w:val="15"/>
                <w:szCs w:val="15"/>
                <w:color w:val="auto"/>
              </w:rPr>
            </w:pPr>
          </w:p>
        </w:tc>
        <w:tc>
          <w:tcPr>
            <w:tcW w:w="740" w:type="dxa"/>
            <w:vAlign w:val="bottom"/>
            <w:vMerge w:val="restart"/>
          </w:tcPr>
          <w:p>
            <w:pPr>
              <w:jc w:val="right"/>
              <w:ind w:right="107"/>
              <w:spacing w:after="0"/>
              <w:rPr>
                <w:sz w:val="20"/>
                <w:szCs w:val="20"/>
                <w:color w:val="auto"/>
              </w:rPr>
            </w:pPr>
            <w:r>
              <w:rPr>
                <w:rFonts w:ascii="Arial" w:cs="Arial" w:eastAsia="Arial" w:hAnsi="Arial"/>
                <w:sz w:val="15"/>
                <w:szCs w:val="15"/>
                <w:b w:val="1"/>
                <w:bCs w:val="1"/>
                <w:color w:val="0085CD"/>
              </w:rPr>
              <w:t>2018</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240" w:type="dxa"/>
            <w:vAlign w:val="bottom"/>
            <w:tcBorders>
              <w:bottom w:val="single" w:sz="8" w:color="auto"/>
            </w:tcBorders>
          </w:tcPr>
          <w:p>
            <w:pPr>
              <w:ind w:left="20"/>
              <w:spacing w:after="0" w:line="166" w:lineRule="exact"/>
              <w:rPr>
                <w:sz w:val="20"/>
                <w:szCs w:val="20"/>
                <w:color w:val="auto"/>
              </w:rPr>
            </w:pPr>
            <w:r>
              <w:rPr>
                <w:rFonts w:ascii="Arial" w:cs="Arial" w:eastAsia="Arial" w:hAnsi="Arial"/>
                <w:sz w:val="15"/>
                <w:szCs w:val="15"/>
                <w:color w:val="auto"/>
              </w:rPr>
              <w:t>(add 000)</w:t>
            </w: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7"/>
              <w:spacing w:after="0" w:line="166" w:lineRule="exact"/>
              <w:rPr>
                <w:sz w:val="20"/>
                <w:szCs w:val="20"/>
                <w:color w:val="auto"/>
              </w:rPr>
            </w:pPr>
            <w:r>
              <w:rPr>
                <w:rFonts w:ascii="Arial" w:cs="Arial" w:eastAsia="Arial" w:hAnsi="Arial"/>
                <w:sz w:val="15"/>
                <w:szCs w:val="15"/>
                <w:color w:val="auto"/>
              </w:rPr>
              <w:t>2017</w:t>
            </w: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2016</w:t>
            </w:r>
          </w:p>
        </w:tc>
        <w:tc>
          <w:tcPr>
            <w:tcW w:w="0" w:type="dxa"/>
            <w:vAlign w:val="bottom"/>
          </w:tcPr>
          <w:p>
            <w:pPr>
              <w:spacing w:after="0"/>
              <w:rPr>
                <w:sz w:val="1"/>
                <w:szCs w:val="1"/>
                <w:color w:val="auto"/>
              </w:rPr>
            </w:pPr>
          </w:p>
        </w:tc>
      </w:tr>
      <w:tr>
        <w:trPr>
          <w:trHeight w:val="156"/>
        </w:trPr>
        <w:tc>
          <w:tcPr>
            <w:tcW w:w="2240" w:type="dxa"/>
            <w:vAlign w:val="bottom"/>
            <w:shd w:val="clear" w:color="auto" w:fill="CCEEFF"/>
          </w:tcPr>
          <w:p>
            <w:pPr>
              <w:ind w:left="160"/>
              <w:spacing w:after="0" w:line="155" w:lineRule="exact"/>
              <w:rPr>
                <w:sz w:val="20"/>
                <w:szCs w:val="20"/>
                <w:color w:val="auto"/>
              </w:rPr>
            </w:pPr>
            <w:r>
              <w:rPr>
                <w:rFonts w:ascii="Arial" w:cs="Arial" w:eastAsia="Arial" w:hAnsi="Arial"/>
                <w:sz w:val="14"/>
                <w:szCs w:val="14"/>
                <w:color w:val="auto"/>
              </w:rPr>
              <w:t>Mid-America Group</w:t>
            </w:r>
          </w:p>
        </w:tc>
        <w:tc>
          <w:tcPr>
            <w:tcW w:w="5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4"/>
                <w:szCs w:val="14"/>
                <w:b w:val="1"/>
                <w:bCs w:val="1"/>
                <w:color w:val="auto"/>
              </w:rPr>
              <w:t>176,797</w:t>
            </w:r>
          </w:p>
        </w:tc>
        <w:tc>
          <w:tcPr>
            <w:tcW w:w="3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7"/>
              <w:spacing w:after="0" w:line="155" w:lineRule="exact"/>
              <w:rPr>
                <w:sz w:val="20"/>
                <w:szCs w:val="20"/>
                <w:color w:val="auto"/>
              </w:rPr>
            </w:pPr>
            <w:r>
              <w:rPr>
                <w:rFonts w:ascii="Arial" w:cs="Arial" w:eastAsia="Arial" w:hAnsi="Arial"/>
                <w:sz w:val="14"/>
                <w:szCs w:val="14"/>
                <w:color w:val="auto"/>
              </w:rPr>
              <w:t>139,445</w:t>
            </w:r>
          </w:p>
        </w:tc>
        <w:tc>
          <w:tcPr>
            <w:tcW w:w="3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150,490</w:t>
            </w:r>
          </w:p>
        </w:tc>
        <w:tc>
          <w:tcPr>
            <w:tcW w:w="0" w:type="dxa"/>
            <w:vAlign w:val="bottom"/>
          </w:tcPr>
          <w:p>
            <w:pPr>
              <w:spacing w:after="0"/>
              <w:rPr>
                <w:sz w:val="1"/>
                <w:szCs w:val="1"/>
                <w:color w:val="auto"/>
              </w:rPr>
            </w:pPr>
          </w:p>
        </w:tc>
      </w:tr>
      <w:tr>
        <w:trPr>
          <w:trHeight w:val="162"/>
        </w:trPr>
        <w:tc>
          <w:tcPr>
            <w:tcW w:w="2240" w:type="dxa"/>
            <w:vAlign w:val="bottom"/>
          </w:tcPr>
          <w:p>
            <w:pPr>
              <w:ind w:left="160"/>
              <w:spacing w:after="0"/>
              <w:rPr>
                <w:sz w:val="20"/>
                <w:szCs w:val="20"/>
                <w:color w:val="auto"/>
              </w:rPr>
            </w:pPr>
            <w:r>
              <w:rPr>
                <w:rFonts w:ascii="Arial" w:cs="Arial" w:eastAsia="Arial" w:hAnsi="Arial"/>
                <w:sz w:val="14"/>
                <w:szCs w:val="14"/>
                <w:color w:val="auto"/>
              </w:rPr>
              <w:t>Southeast Group</w:t>
            </w:r>
          </w:p>
        </w:tc>
        <w:tc>
          <w:tcPr>
            <w:tcW w:w="54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Arial" w:cs="Arial" w:eastAsia="Arial" w:hAnsi="Arial"/>
                <w:sz w:val="14"/>
                <w:szCs w:val="14"/>
                <w:b w:val="1"/>
                <w:bCs w:val="1"/>
                <w:color w:val="auto"/>
              </w:rPr>
              <w:t>41,575</w:t>
            </w:r>
          </w:p>
        </w:tc>
        <w:tc>
          <w:tcPr>
            <w:tcW w:w="30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Arial" w:cs="Arial" w:eastAsia="Arial" w:hAnsi="Arial"/>
                <w:sz w:val="14"/>
                <w:szCs w:val="14"/>
                <w:color w:val="auto"/>
              </w:rPr>
              <w:t>34,636</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30,588</w:t>
            </w:r>
          </w:p>
        </w:tc>
        <w:tc>
          <w:tcPr>
            <w:tcW w:w="0" w:type="dxa"/>
            <w:vAlign w:val="bottom"/>
          </w:tcPr>
          <w:p>
            <w:pPr>
              <w:spacing w:after="0"/>
              <w:rPr>
                <w:sz w:val="1"/>
                <w:szCs w:val="1"/>
                <w:color w:val="auto"/>
              </w:rPr>
            </w:pPr>
          </w:p>
        </w:tc>
      </w:tr>
      <w:tr>
        <w:trPr>
          <w:trHeight w:val="162"/>
        </w:trPr>
        <w:tc>
          <w:tcPr>
            <w:tcW w:w="22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West Group</w:t>
            </w:r>
          </w:p>
        </w:tc>
        <w:tc>
          <w:tcPr>
            <w:tcW w:w="5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b w:val="1"/>
                <w:bCs w:val="1"/>
                <w:color w:val="auto"/>
              </w:rPr>
              <w:t>145,643</w:t>
            </w:r>
          </w:p>
        </w:tc>
        <w:tc>
          <w:tcPr>
            <w:tcW w:w="3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234,853</w:t>
            </w:r>
          </w:p>
        </w:tc>
        <w:tc>
          <w:tcPr>
            <w:tcW w:w="3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204,495</w:t>
            </w:r>
          </w:p>
        </w:tc>
        <w:tc>
          <w:tcPr>
            <w:tcW w:w="0" w:type="dxa"/>
            <w:vAlign w:val="bottom"/>
          </w:tcPr>
          <w:p>
            <w:pPr>
              <w:spacing w:after="0"/>
              <w:rPr>
                <w:sz w:val="1"/>
                <w:szCs w:val="1"/>
                <w:color w:val="auto"/>
              </w:rPr>
            </w:pPr>
          </w:p>
        </w:tc>
      </w:tr>
      <w:tr>
        <w:trPr>
          <w:trHeight w:val="160"/>
        </w:trPr>
        <w:tc>
          <w:tcPr>
            <w:tcW w:w="2240" w:type="dxa"/>
            <w:vAlign w:val="bottom"/>
          </w:tcPr>
          <w:p>
            <w:pPr>
              <w:ind w:left="20"/>
              <w:spacing w:after="0"/>
              <w:rPr>
                <w:sz w:val="20"/>
                <w:szCs w:val="20"/>
                <w:color w:val="auto"/>
              </w:rPr>
            </w:pPr>
            <w:r>
              <w:rPr>
                <w:rFonts w:ascii="Arial" w:cs="Arial" w:eastAsia="Arial" w:hAnsi="Arial"/>
                <w:sz w:val="14"/>
                <w:szCs w:val="14"/>
                <w:color w:val="auto"/>
              </w:rPr>
              <w:t>Total Building</w:t>
            </w:r>
          </w:p>
        </w:tc>
        <w:tc>
          <w:tcPr>
            <w:tcW w:w="540" w:type="dxa"/>
            <w:vAlign w:val="bottom"/>
          </w:tcPr>
          <w:p>
            <w:pPr>
              <w:spacing w:after="0"/>
              <w:rPr>
                <w:sz w:val="13"/>
                <w:szCs w:val="13"/>
                <w:color w:val="auto"/>
              </w:rPr>
            </w:pPr>
          </w:p>
        </w:tc>
        <w:tc>
          <w:tcPr>
            <w:tcW w:w="740" w:type="dxa"/>
            <w:vAlign w:val="bottom"/>
            <w:vMerge w:val="restart"/>
          </w:tcPr>
          <w:p>
            <w:pPr>
              <w:jc w:val="right"/>
              <w:ind w:right="107"/>
              <w:spacing w:after="0"/>
              <w:rPr>
                <w:sz w:val="20"/>
                <w:szCs w:val="20"/>
                <w:color w:val="auto"/>
              </w:rPr>
            </w:pPr>
            <w:r>
              <w:rPr>
                <w:rFonts w:ascii="Arial" w:cs="Arial" w:eastAsia="Arial" w:hAnsi="Arial"/>
                <w:sz w:val="14"/>
                <w:szCs w:val="14"/>
                <w:b w:val="1"/>
                <w:bCs w:val="1"/>
                <w:color w:val="auto"/>
              </w:rPr>
              <w:t>364,015</w:t>
            </w: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40" w:type="dxa"/>
            <w:vAlign w:val="bottom"/>
          </w:tcPr>
          <w:p>
            <w:pPr>
              <w:ind w:left="160"/>
              <w:spacing w:after="0" w:line="157" w:lineRule="exact"/>
              <w:rPr>
                <w:sz w:val="20"/>
                <w:szCs w:val="20"/>
                <w:color w:val="auto"/>
              </w:rPr>
            </w:pPr>
            <w:r>
              <w:rPr>
                <w:rFonts w:ascii="Arial" w:cs="Arial" w:eastAsia="Arial" w:hAnsi="Arial"/>
                <w:sz w:val="14"/>
                <w:szCs w:val="14"/>
                <w:color w:val="auto"/>
              </w:rPr>
              <w:t>Materials Business</w:t>
            </w:r>
          </w:p>
        </w:tc>
        <w:tc>
          <w:tcPr>
            <w:tcW w:w="5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ind w:right="107"/>
              <w:spacing w:after="0" w:line="157" w:lineRule="exact"/>
              <w:rPr>
                <w:sz w:val="20"/>
                <w:szCs w:val="20"/>
                <w:color w:val="auto"/>
              </w:rPr>
            </w:pPr>
            <w:r>
              <w:rPr>
                <w:rFonts w:ascii="Arial" w:cs="Arial" w:eastAsia="Arial" w:hAnsi="Arial"/>
                <w:sz w:val="14"/>
                <w:szCs w:val="14"/>
                <w:color w:val="auto"/>
              </w:rPr>
              <w:t>408,934</w:t>
            </w:r>
          </w:p>
        </w:tc>
        <w:tc>
          <w:tcPr>
            <w:tcW w:w="30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385,573</w:t>
            </w: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Magnesia Specialties</w:t>
            </w:r>
          </w:p>
        </w:tc>
        <w:tc>
          <w:tcPr>
            <w:tcW w:w="5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07"/>
              <w:spacing w:after="0"/>
              <w:rPr>
                <w:sz w:val="20"/>
                <w:szCs w:val="20"/>
                <w:color w:val="auto"/>
              </w:rPr>
            </w:pPr>
            <w:r>
              <w:rPr>
                <w:rFonts w:ascii="Arial" w:cs="Arial" w:eastAsia="Arial" w:hAnsi="Arial"/>
                <w:sz w:val="14"/>
                <w:szCs w:val="14"/>
                <w:b w:val="1"/>
                <w:bCs w:val="1"/>
                <w:color w:val="auto"/>
              </w:rPr>
              <w:t>12,450</w:t>
            </w: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11,129</w:t>
            </w: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8,944</w:t>
            </w:r>
          </w:p>
        </w:tc>
        <w:tc>
          <w:tcPr>
            <w:tcW w:w="0" w:type="dxa"/>
            <w:vAlign w:val="bottom"/>
          </w:tcPr>
          <w:p>
            <w:pPr>
              <w:spacing w:after="0"/>
              <w:rPr>
                <w:sz w:val="1"/>
                <w:szCs w:val="1"/>
                <w:color w:val="auto"/>
              </w:rPr>
            </w:pPr>
          </w:p>
        </w:tc>
      </w:tr>
      <w:tr>
        <w:trPr>
          <w:trHeight w:val="162"/>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Corporate</w:t>
            </w: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4,838</w:t>
            </w: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12,291</w:t>
            </w: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9,031</w:t>
            </w:r>
          </w:p>
        </w:tc>
        <w:tc>
          <w:tcPr>
            <w:tcW w:w="0" w:type="dxa"/>
            <w:vAlign w:val="bottom"/>
          </w:tcPr>
          <w:p>
            <w:pPr>
              <w:spacing w:after="0"/>
              <w:rPr>
                <w:sz w:val="1"/>
                <w:szCs w:val="1"/>
                <w:color w:val="auto"/>
              </w:rPr>
            </w:pPr>
          </w:p>
        </w:tc>
      </w:tr>
      <w:tr>
        <w:trPr>
          <w:trHeight w:val="163"/>
        </w:trPr>
        <w:tc>
          <w:tcPr>
            <w:tcW w:w="2240" w:type="dxa"/>
            <w:vAlign w:val="bottom"/>
            <w:tcBorders>
              <w:bottom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Total</w:t>
            </w:r>
          </w:p>
        </w:tc>
        <w:tc>
          <w:tcPr>
            <w:tcW w:w="5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4"/>
                <w:szCs w:val="14"/>
                <w:b w:val="1"/>
                <w:bCs w:val="1"/>
                <w:color w:val="auto"/>
              </w:rPr>
              <w:t>381,303</w:t>
            </w:r>
          </w:p>
        </w:tc>
        <w:tc>
          <w:tcPr>
            <w:tcW w:w="3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07"/>
              <w:spacing w:after="0" w:line="155" w:lineRule="exact"/>
              <w:rPr>
                <w:sz w:val="20"/>
                <w:szCs w:val="20"/>
                <w:color w:val="auto"/>
              </w:rPr>
            </w:pPr>
            <w:r>
              <w:rPr>
                <w:rFonts w:ascii="Arial" w:cs="Arial" w:eastAsia="Arial" w:hAnsi="Arial"/>
                <w:sz w:val="14"/>
                <w:szCs w:val="14"/>
                <w:color w:val="auto"/>
              </w:rPr>
              <w:t>432,354</w:t>
            </w:r>
          </w:p>
        </w:tc>
        <w:tc>
          <w:tcPr>
            <w:tcW w:w="3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403,548</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Spending for the Mid-America Group for 2018 included the ongoing new underground mine project at the Fort Calhoun operation in Nebraska. Spending for the West Group for 2017 and 2016 included the completion of Hunter Stone Plant, a new aggregates operation that consolidates mining operations with Hunter Cement Plant, and a rail-served facility in Colorado.</w:t>
      </w:r>
    </w:p>
    <w:p>
      <w:pPr>
        <w:spacing w:after="0" w:line="24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Company paid cash of $1.64 billion, $12.1 million and $178.8 million for acquisitions in 2018, 2017 and 2016, respectively. 2018 primarily reflects the purchase of Bluegrass.</w:t>
      </w:r>
    </w:p>
    <w:p>
      <w:pPr>
        <w:spacing w:after="0" w:line="22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Proceeds from divestitures and sales of assets were $69.1 million in 2018, $35.9 million in 2017 and $6.5 million in 2016. This pretax cash is generated from the sales of surplus land and equipment. In 2018, the amount includes the divestitures of the legacy Martin Marietta Forsyth Quarry and the legacy Bluegrass Beaver Creek Quarry as part of an agreement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U.S. DOJ, approved by the federal district court for the District of Columbia, which resolved all competition issues with respect to the Bluegrass acquisition.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Financing Activities</w:t>
      </w:r>
    </w:p>
    <w:p>
      <w:pPr>
        <w:spacing w:after="0" w:line="5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Company used $158.4 million and $252.3 million of cash for financing activities during 2018 and 2016, respectively. Cash provided by financing activities was $1.12 billion in 2017.</w:t>
      </w:r>
    </w:p>
    <w:p>
      <w:pPr>
        <w:spacing w:after="0" w:line="310" w:lineRule="exact"/>
        <w:rPr>
          <w:sz w:val="20"/>
          <w:szCs w:val="20"/>
          <w:color w:val="auto"/>
        </w:rPr>
      </w:pPr>
    </w:p>
    <w:p>
      <w:pPr>
        <w:jc w:val="both"/>
        <w:spacing w:after="0"/>
        <w:rPr>
          <w:sz w:val="20"/>
          <w:szCs w:val="20"/>
          <w:color w:val="auto"/>
        </w:rPr>
      </w:pPr>
      <w:r>
        <w:rPr>
          <w:rFonts w:ascii="Arial" w:cs="Arial" w:eastAsia="Arial" w:hAnsi="Arial"/>
          <w:sz w:val="17"/>
          <w:szCs w:val="17"/>
          <w:color w:val="auto"/>
        </w:rPr>
        <w:t>Net borrowings of long-term debt were $89.9 million in 2018, $1.34 billion in 2017 and $110.7 million in 2016. As discussed in Note H to the audited consolidated financial statements, in May 2017, the Company issued $300 million aggregate principal amount of Floating Rate Senior Notes due in 2020 (the “2020 Floating Rate Notes”) and $300 million aggregate principal amount of 3.450% Senior Notes due in 2027. The 2020 Floating Rate Notes bear interest at a rate, reset quarterly, equal to the three-month LIBOR for U.S. dollars plus 0.65% (or 65 basis points). The net proceeds from the issuance of these notes were used to repay $300 million aggregate principal amount of floating rate notes that matured in June 2017 and to pay down borrowings under the Revolving Facility and the Trade Receivable Facility (as defined below). Additionally, in December 2017, the Company issued $300 million aggregate principal amount of Floating Rate Senior Notes due 2019 (the “2019 Floating Rate Notes”), $500 million aggregate principal amount of 3.500% Senior Notes due 2027 and $600 million aggregate principal amount of 4.250% Senior Notes due 2047. The 2019 Floating Rate Notes will mature on December 20, 2019 and bear interest at a per annum floating rate, reset quarterly, equal to three-month LIBOR for U.S. dollars plus 0.500% (or 50 basis points). Net proceeds were used to repay the $300 million 6.6% Senior Notes in April 2018 and, in part, to finance the Bluegrass acquisition.</w:t>
      </w:r>
    </w:p>
    <w:p>
      <w:pPr>
        <w:spacing w:after="0" w:line="379"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 repurchased 0.5 million shares of its common stock for a total cost of $100.4 million, or $192.61 per share in 2018; 0.5 million shares for a total cost of $100.0 million, or $218.46 per share in 2017; and 1.6 million shares for a total cost of $259.2 million, or $163.24 per share.</w:t>
      </w:r>
    </w:p>
    <w:p>
      <w:pPr>
        <w:spacing w:after="0" w:line="200" w:lineRule="exact"/>
        <w:rPr>
          <w:sz w:val="20"/>
          <w:szCs w:val="20"/>
          <w:color w:val="auto"/>
        </w:rPr>
      </w:pPr>
    </w:p>
    <w:p>
      <w:pPr>
        <w:spacing w:after="0" w:line="28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For the years ended December 31, 2018, 2017 and 2016, the Board of Directors approved total cash dividends on the Company’s common stock of $1.84 per share, $1.72 per share and $1.64 per share, respectively. Total cash dividends were $116.4 million in 2018, $108.9 million in 2017 and $105.0 million in 2016.</w:t>
      </w:r>
    </w:p>
    <w:p>
      <w:pPr>
        <w:spacing w:after="0" w:line="837"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6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68</w:t>
      </w:r>
    </w:p>
    <w:p>
      <w:pPr>
        <w:sectPr>
          <w:pgSz w:w="11900" w:h="16838" w:orient="portrait"/>
          <w:cols w:equalWidth="0" w:num="1">
            <w:col w:w="11420"/>
          </w:cols>
          <w:pgMar w:left="240" w:top="265" w:right="2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Cash provided by issuances of common stock, which represents the exercises of stock options, excluding the impact of shares withheld for taxes, was $7.2 million, $10.1 million and $27.3 million in 2018, 2017 and 2016,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Capital Structure and Resources</w:t>
      </w:r>
    </w:p>
    <w:p>
      <w:pPr>
        <w:spacing w:after="0" w:line="5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Long-term debt, including current maturities, was $3.12 billion at December 31, 2018, and was principally in the form of publicly-issued long-term notes and debentures.</w:t>
      </w:r>
    </w:p>
    <w:p>
      <w:pPr>
        <w:spacing w:after="0" w:line="31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April 2018, the Company, through a wholly-owned special-purpose subsidiary, increased the borrowing capacity of the trade receivable securitization facility (the “Trade Receivable Facility”) to $400 million. In September 2018, the Company extended the maturity of the Trade Receivable Facility to September 25, 2019. The Trade Receivable Facility is backed by eligible trade receivables, as defined. Borrowings are limited to the lesser of the facility limit or the borrowing base, as defined. These receivables are originated by the Company and then sold or contributed to the wholly-owned special-purpose subsidiary. The Company continues to be responsible for the servicing and administration of the receivables purchased by the wholly-owned special-purpose subsidiary. The Trade Receivable Facility contains a cross-default provision to the Company’s other debt agreements.</w:t>
      </w:r>
    </w:p>
    <w:p>
      <w:pPr>
        <w:spacing w:after="0" w:line="31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$700 million five-year senior unsecured revolving facility (the “Revolving Facility”) requires the Company’s ratio of consolidated net debt-to-consolidated EBITDA, as defined, for the trailing-twelve month period (the “Ratio”) to not exceed 3.50x as of the end of any fiscal quarter, provided that the Company may exclude from the Ratio debt incurred in connection with certain acquisitions during the quarter or the three preceding quarters so long as the Ratio calculated without such exclusion does not exceed 3.75x. Additionally, if there are no amounts outstanding under the Revolving Facility and the Trade Receivable Facility, consolidated debt, including debt for which the Company is a co-borrower, may be reduced by the Company’s unrestricted cash and cash equivalents in excess of $50 million, such reduction not to exceed $200 million, for purposes of the covenant calculation. In 2018, the Company extended the maturity of the Revolving Facility to December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At December 31, 2018, the Company’s ratio of consolidated net debt-to-consolidated EBITDA, as defined by the Company’s Credit Agreement, for the trailing-twelve month EBITDA was 2.76 times and was calculated as follows (dollars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00" w:type="dxa"/>
            <w:vAlign w:val="bottom"/>
            <w:gridSpan w:val="5"/>
          </w:tcPr>
          <w:p>
            <w:pPr>
              <w:jc w:val="right"/>
              <w:ind w:right="100"/>
              <w:spacing w:after="0"/>
              <w:rPr>
                <w:sz w:val="20"/>
                <w:szCs w:val="20"/>
                <w:color w:val="auto"/>
              </w:rPr>
            </w:pPr>
            <w:r>
              <w:rPr>
                <w:rFonts w:ascii="Arial" w:cs="Arial" w:eastAsia="Arial" w:hAnsi="Arial"/>
                <w:sz w:val="15"/>
                <w:szCs w:val="15"/>
                <w:b w:val="1"/>
                <w:bCs w:val="1"/>
                <w:color w:val="auto"/>
              </w:rPr>
              <w:t>Twelve-Month Period</w:t>
            </w:r>
          </w:p>
        </w:tc>
      </w:tr>
      <w:tr>
        <w:trPr>
          <w:trHeight w:val="162"/>
        </w:trPr>
        <w:tc>
          <w:tcPr>
            <w:tcW w:w="4120" w:type="dxa"/>
            <w:vAlign w:val="bottom"/>
          </w:tcPr>
          <w:p>
            <w:pPr>
              <w:spacing w:after="0"/>
              <w:rPr>
                <w:sz w:val="14"/>
                <w:szCs w:val="14"/>
                <w:color w:val="auto"/>
              </w:rPr>
            </w:pPr>
          </w:p>
        </w:tc>
        <w:tc>
          <w:tcPr>
            <w:tcW w:w="1480" w:type="dxa"/>
            <w:vAlign w:val="bottom"/>
            <w:gridSpan w:val="4"/>
          </w:tcPr>
          <w:p>
            <w:pPr>
              <w:jc w:val="right"/>
              <w:ind w:right="100"/>
              <w:spacing w:after="0" w:line="162" w:lineRule="exact"/>
              <w:rPr>
                <w:sz w:val="20"/>
                <w:szCs w:val="20"/>
                <w:color w:val="auto"/>
              </w:rPr>
            </w:pPr>
            <w:r>
              <w:rPr>
                <w:rFonts w:ascii="Arial" w:cs="Arial" w:eastAsia="Arial" w:hAnsi="Arial"/>
                <w:sz w:val="15"/>
                <w:szCs w:val="15"/>
                <w:b w:val="1"/>
                <w:bCs w:val="1"/>
                <w:color w:val="auto"/>
              </w:rPr>
              <w:t>January 1, 2018 to</w:t>
            </w:r>
          </w:p>
        </w:tc>
      </w:tr>
      <w:tr>
        <w:trPr>
          <w:trHeight w:val="197"/>
        </w:trPr>
        <w:tc>
          <w:tcPr>
            <w:tcW w:w="4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5"/>
                <w:szCs w:val="15"/>
                <w:b w:val="1"/>
                <w:bCs w:val="1"/>
                <w:color w:val="auto"/>
              </w:rPr>
              <w:t>December 31, 2018</w:t>
            </w:r>
          </w:p>
        </w:tc>
      </w:tr>
      <w:tr>
        <w:trPr>
          <w:trHeight w:val="156"/>
        </w:trPr>
        <w:tc>
          <w:tcPr>
            <w:tcW w:w="41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earnings attributable to Martin Marietta</w:t>
            </w:r>
          </w:p>
        </w:tc>
        <w:tc>
          <w:tcPr>
            <w:tcW w:w="740" w:type="dxa"/>
            <w:vAlign w:val="bottom"/>
            <w:gridSpan w:val="2"/>
            <w:shd w:val="clear" w:color="auto" w:fill="CCEEFF"/>
          </w:tcPr>
          <w:p>
            <w:pPr>
              <w:jc w:val="center"/>
              <w:ind w:left="586"/>
              <w:spacing w:after="0" w:line="15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469,998</w:t>
            </w:r>
          </w:p>
        </w:tc>
        <w:tc>
          <w:tcPr>
            <w:tcW w:w="100" w:type="dxa"/>
            <w:vAlign w:val="bottom"/>
            <w:shd w:val="clear" w:color="auto" w:fill="CCEEFF"/>
          </w:tcPr>
          <w:p>
            <w:pPr>
              <w:spacing w:after="0"/>
              <w:rPr>
                <w:sz w:val="13"/>
                <w:szCs w:val="13"/>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Add back:</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1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Interest expense</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137,069</w:t>
            </w:r>
          </w:p>
        </w:tc>
        <w:tc>
          <w:tcPr>
            <w:tcW w:w="100" w:type="dxa"/>
            <w:vAlign w:val="bottom"/>
            <w:shd w:val="clear" w:color="auto" w:fill="CCEEFF"/>
          </w:tcPr>
          <w:p>
            <w:pPr>
              <w:spacing w:after="0"/>
              <w:rPr>
                <w:sz w:val="14"/>
                <w:szCs w:val="14"/>
                <w:color w:val="auto"/>
              </w:rPr>
            </w:pPr>
          </w:p>
        </w:tc>
      </w:tr>
      <w:tr>
        <w:trPr>
          <w:trHeight w:val="162"/>
        </w:trPr>
        <w:tc>
          <w:tcPr>
            <w:tcW w:w="4120" w:type="dxa"/>
            <w:vAlign w:val="bottom"/>
          </w:tcPr>
          <w:p>
            <w:pPr>
              <w:ind w:left="300"/>
              <w:spacing w:after="0"/>
              <w:rPr>
                <w:sz w:val="20"/>
                <w:szCs w:val="20"/>
                <w:color w:val="auto"/>
              </w:rPr>
            </w:pPr>
            <w:r>
              <w:rPr>
                <w:rFonts w:ascii="Arial" w:cs="Arial" w:eastAsia="Arial" w:hAnsi="Arial"/>
                <w:sz w:val="14"/>
                <w:szCs w:val="14"/>
                <w:color w:val="auto"/>
              </w:rPr>
              <w:t>Income tax expense</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105,637</w:t>
            </w:r>
          </w:p>
        </w:tc>
        <w:tc>
          <w:tcPr>
            <w:tcW w:w="100" w:type="dxa"/>
            <w:vAlign w:val="bottom"/>
          </w:tcPr>
          <w:p>
            <w:pPr>
              <w:spacing w:after="0"/>
              <w:rPr>
                <w:sz w:val="14"/>
                <w:szCs w:val="14"/>
                <w:color w:val="auto"/>
              </w:rPr>
            </w:pPr>
          </w:p>
        </w:tc>
      </w:tr>
      <w:tr>
        <w:trPr>
          <w:trHeight w:val="162"/>
        </w:trPr>
        <w:tc>
          <w:tcPr>
            <w:tcW w:w="41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Depreciation, depletion and amortization expense</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339,858</w:t>
            </w:r>
          </w:p>
        </w:tc>
        <w:tc>
          <w:tcPr>
            <w:tcW w:w="100" w:type="dxa"/>
            <w:vAlign w:val="bottom"/>
            <w:shd w:val="clear" w:color="auto" w:fill="CCEEFF"/>
          </w:tcPr>
          <w:p>
            <w:pPr>
              <w:spacing w:after="0"/>
              <w:rPr>
                <w:sz w:val="14"/>
                <w:szCs w:val="14"/>
                <w:color w:val="auto"/>
              </w:rPr>
            </w:pPr>
          </w:p>
        </w:tc>
      </w:tr>
      <w:tr>
        <w:trPr>
          <w:trHeight w:val="162"/>
        </w:trPr>
        <w:tc>
          <w:tcPr>
            <w:tcW w:w="4120" w:type="dxa"/>
            <w:vAlign w:val="bottom"/>
          </w:tcPr>
          <w:p>
            <w:pPr>
              <w:ind w:left="300"/>
              <w:spacing w:after="0"/>
              <w:rPr>
                <w:sz w:val="20"/>
                <w:szCs w:val="20"/>
                <w:color w:val="auto"/>
              </w:rPr>
            </w:pPr>
            <w:r>
              <w:rPr>
                <w:rFonts w:ascii="Arial" w:cs="Arial" w:eastAsia="Arial" w:hAnsi="Arial"/>
                <w:sz w:val="14"/>
                <w:szCs w:val="14"/>
                <w:color w:val="auto"/>
              </w:rPr>
              <w:t>Stock-based compensation expense</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29,253</w:t>
            </w:r>
          </w:p>
        </w:tc>
        <w:tc>
          <w:tcPr>
            <w:tcW w:w="100" w:type="dxa"/>
            <w:vAlign w:val="bottom"/>
          </w:tcPr>
          <w:p>
            <w:pPr>
              <w:spacing w:after="0"/>
              <w:rPr>
                <w:sz w:val="14"/>
                <w:szCs w:val="14"/>
                <w:color w:val="auto"/>
              </w:rPr>
            </w:pPr>
          </w:p>
        </w:tc>
      </w:tr>
      <w:tr>
        <w:trPr>
          <w:trHeight w:val="162"/>
        </w:trPr>
        <w:tc>
          <w:tcPr>
            <w:tcW w:w="41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Acquisition-related expenses, net</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32,040</w:t>
            </w:r>
          </w:p>
        </w:tc>
        <w:tc>
          <w:tcPr>
            <w:tcW w:w="100" w:type="dxa"/>
            <w:vAlign w:val="bottom"/>
            <w:shd w:val="clear" w:color="auto" w:fill="CCEEFF"/>
          </w:tcPr>
          <w:p>
            <w:pPr>
              <w:spacing w:after="0"/>
              <w:rPr>
                <w:sz w:val="14"/>
                <w:szCs w:val="14"/>
                <w:color w:val="auto"/>
              </w:rPr>
            </w:pPr>
          </w:p>
        </w:tc>
      </w:tr>
      <w:tr>
        <w:trPr>
          <w:trHeight w:val="167"/>
        </w:trPr>
        <w:tc>
          <w:tcPr>
            <w:tcW w:w="4120" w:type="dxa"/>
            <w:vAlign w:val="bottom"/>
          </w:tcPr>
          <w:p>
            <w:pPr>
              <w:ind w:left="300"/>
              <w:spacing w:after="0"/>
              <w:rPr>
                <w:sz w:val="20"/>
                <w:szCs w:val="20"/>
                <w:color w:val="auto"/>
              </w:rPr>
            </w:pPr>
            <w:r>
              <w:rPr>
                <w:rFonts w:ascii="Arial" w:cs="Arial" w:eastAsia="Arial" w:hAnsi="Arial"/>
                <w:sz w:val="14"/>
                <w:szCs w:val="14"/>
                <w:color w:val="auto"/>
              </w:rPr>
              <w:t>Bluegrass EBITDA (Pre-acquisition January 1, 2018 to</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4120" w:type="dxa"/>
            <w:vAlign w:val="bottom"/>
          </w:tcPr>
          <w:p>
            <w:pPr>
              <w:ind w:left="440"/>
              <w:spacing w:after="0" w:line="157" w:lineRule="exact"/>
              <w:rPr>
                <w:sz w:val="20"/>
                <w:szCs w:val="20"/>
                <w:color w:val="auto"/>
              </w:rPr>
            </w:pPr>
            <w:r>
              <w:rPr>
                <w:rFonts w:ascii="Arial" w:cs="Arial" w:eastAsia="Arial" w:hAnsi="Arial"/>
                <w:sz w:val="14"/>
                <w:szCs w:val="14"/>
                <w:color w:val="auto"/>
              </w:rPr>
              <w:t>April 27, 2018)</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rPr>
              <w:t>16,607</w:t>
            </w:r>
          </w:p>
        </w:tc>
        <w:tc>
          <w:tcPr>
            <w:tcW w:w="100" w:type="dxa"/>
            <w:vAlign w:val="bottom"/>
          </w:tcPr>
          <w:p>
            <w:pPr>
              <w:spacing w:after="0"/>
              <w:rPr>
                <w:sz w:val="13"/>
                <w:szCs w:val="13"/>
                <w:color w:val="auto"/>
              </w:rPr>
            </w:pPr>
          </w:p>
        </w:tc>
      </w:tr>
      <w:tr>
        <w:trPr>
          <w:trHeight w:val="162"/>
        </w:trPr>
        <w:tc>
          <w:tcPr>
            <w:tcW w:w="41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Noncash portion of asset rationalization impairment charges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16,970</w:t>
            </w:r>
          </w:p>
        </w:tc>
        <w:tc>
          <w:tcPr>
            <w:tcW w:w="100" w:type="dxa"/>
            <w:vAlign w:val="bottom"/>
            <w:shd w:val="clear" w:color="auto" w:fill="CCEEFF"/>
          </w:tcPr>
          <w:p>
            <w:pPr>
              <w:spacing w:after="0"/>
              <w:rPr>
                <w:sz w:val="14"/>
                <w:szCs w:val="14"/>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Deduct:</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1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Interest income</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(7,027)</w:t>
            </w:r>
          </w:p>
        </w:tc>
      </w:tr>
      <w:tr>
        <w:trPr>
          <w:trHeight w:val="174"/>
        </w:trPr>
        <w:tc>
          <w:tcPr>
            <w:tcW w:w="4120" w:type="dxa"/>
            <w:vAlign w:val="bottom"/>
          </w:tcPr>
          <w:p>
            <w:pPr>
              <w:spacing w:after="0"/>
              <w:rPr>
                <w:sz w:val="20"/>
                <w:szCs w:val="20"/>
                <w:color w:val="auto"/>
              </w:rPr>
            </w:pPr>
            <w:r>
              <w:rPr>
                <w:rFonts w:ascii="Arial" w:cs="Arial" w:eastAsia="Arial" w:hAnsi="Arial"/>
                <w:sz w:val="14"/>
                <w:szCs w:val="14"/>
                <w:color w:val="auto"/>
              </w:rPr>
              <w:t>Consolidated EBITDA, as defined by the Company’s Credit</w:t>
            </w:r>
          </w:p>
        </w:tc>
        <w:tc>
          <w:tcPr>
            <w:tcW w:w="5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4120" w:type="dxa"/>
            <w:vAlign w:val="bottom"/>
          </w:tcPr>
          <w:p>
            <w:pPr>
              <w:ind w:left="160"/>
              <w:spacing w:after="0" w:line="157" w:lineRule="exact"/>
              <w:rPr>
                <w:sz w:val="20"/>
                <w:szCs w:val="20"/>
                <w:color w:val="auto"/>
              </w:rPr>
            </w:pPr>
            <w:r>
              <w:rPr>
                <w:rFonts w:ascii="Arial" w:cs="Arial" w:eastAsia="Arial" w:hAnsi="Arial"/>
                <w:sz w:val="14"/>
                <w:szCs w:val="14"/>
                <w:color w:val="auto"/>
              </w:rPr>
              <w:t>Agreement</w:t>
            </w:r>
          </w:p>
        </w:tc>
        <w:tc>
          <w:tcPr>
            <w:tcW w:w="740" w:type="dxa"/>
            <w:vAlign w:val="bottom"/>
            <w:gridSpan w:val="2"/>
          </w:tcPr>
          <w:p>
            <w:pPr>
              <w:jc w:val="center"/>
              <w:ind w:left="586"/>
              <w:spacing w:after="0" w:line="157" w:lineRule="exact"/>
              <w:rPr>
                <w:sz w:val="20"/>
                <w:szCs w:val="20"/>
                <w:color w:val="auto"/>
              </w:rPr>
            </w:pPr>
            <w:r>
              <w:rPr>
                <w:rFonts w:ascii="Arial" w:cs="Arial" w:eastAsia="Arial" w:hAnsi="Arial"/>
                <w:sz w:val="14"/>
                <w:szCs w:val="14"/>
                <w:u w:val="single" w:color="auto"/>
                <w:color w:val="auto"/>
              </w:rPr>
              <w:t>$</w:t>
            </w:r>
          </w:p>
        </w:tc>
        <w:tc>
          <w:tcPr>
            <w:tcW w:w="640" w:type="dxa"/>
            <w:vAlign w:val="bottom"/>
          </w:tcPr>
          <w:p>
            <w:pPr>
              <w:jc w:val="right"/>
              <w:spacing w:after="0" w:line="157" w:lineRule="exact"/>
              <w:rPr>
                <w:sz w:val="20"/>
                <w:szCs w:val="20"/>
                <w:color w:val="auto"/>
              </w:rPr>
            </w:pPr>
            <w:r>
              <w:rPr>
                <w:rFonts w:ascii="Arial" w:cs="Arial" w:eastAsia="Arial" w:hAnsi="Arial"/>
                <w:sz w:val="14"/>
                <w:szCs w:val="14"/>
                <w:color w:val="auto"/>
                <w:w w:val="99"/>
              </w:rPr>
              <w:t>1,140,405</w:t>
            </w:r>
          </w:p>
        </w:tc>
        <w:tc>
          <w:tcPr>
            <w:tcW w:w="100" w:type="dxa"/>
            <w:vAlign w:val="bottom"/>
          </w:tcPr>
          <w:p>
            <w:pPr>
              <w:spacing w:after="0"/>
              <w:rPr>
                <w:sz w:val="16"/>
                <w:szCs w:val="16"/>
                <w:color w:val="auto"/>
              </w:rPr>
            </w:pPr>
          </w:p>
        </w:tc>
      </w:tr>
      <w:tr>
        <w:trPr>
          <w:trHeight w:val="174"/>
        </w:trPr>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Consolidated debt, as defined and including debt for which the</w:t>
            </w:r>
          </w:p>
        </w:tc>
        <w:tc>
          <w:tcPr>
            <w:tcW w:w="5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8"/>
        </w:trPr>
        <w:tc>
          <w:tcPr>
            <w:tcW w:w="412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Company is a co-borrower, at December 31, 2018</w:t>
            </w:r>
          </w:p>
        </w:tc>
        <w:tc>
          <w:tcPr>
            <w:tcW w:w="740" w:type="dxa"/>
            <w:vAlign w:val="bottom"/>
            <w:gridSpan w:val="2"/>
            <w:shd w:val="clear" w:color="auto" w:fill="CCEEFF"/>
          </w:tcPr>
          <w:p>
            <w:pPr>
              <w:jc w:val="center"/>
              <w:ind w:left="586"/>
              <w:spacing w:after="0" w:line="157" w:lineRule="exact"/>
              <w:rPr>
                <w:sz w:val="20"/>
                <w:szCs w:val="20"/>
                <w:color w:val="auto"/>
              </w:rPr>
            </w:pPr>
            <w:r>
              <w:rPr>
                <w:rFonts w:ascii="Arial" w:cs="Arial" w:eastAsia="Arial" w:hAnsi="Arial"/>
                <w:sz w:val="14"/>
                <w:szCs w:val="14"/>
                <w:u w:val="single" w:color="auto"/>
                <w:color w:val="auto"/>
              </w:rPr>
              <w:t>$</w:t>
            </w:r>
          </w:p>
        </w:tc>
        <w:tc>
          <w:tcPr>
            <w:tcW w:w="6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99"/>
              </w:rPr>
              <w:t>3,144,071</w:t>
            </w:r>
          </w:p>
        </w:tc>
        <w:tc>
          <w:tcPr>
            <w:tcW w:w="100" w:type="dxa"/>
            <w:vAlign w:val="bottom"/>
            <w:shd w:val="clear" w:color="auto" w:fill="CCEEFF"/>
          </w:tcPr>
          <w:p>
            <w:pPr>
              <w:spacing w:after="0"/>
              <w:rPr>
                <w:sz w:val="15"/>
                <w:szCs w:val="15"/>
                <w:color w:val="auto"/>
              </w:rPr>
            </w:pPr>
          </w:p>
        </w:tc>
      </w:tr>
      <w:tr>
        <w:trPr>
          <w:trHeight w:val="180"/>
        </w:trPr>
        <w:tc>
          <w:tcPr>
            <w:tcW w:w="4120" w:type="dxa"/>
            <w:vAlign w:val="bottom"/>
          </w:tcPr>
          <w:p>
            <w:pPr>
              <w:spacing w:after="0"/>
              <w:rPr>
                <w:sz w:val="20"/>
                <w:szCs w:val="20"/>
                <w:color w:val="auto"/>
              </w:rPr>
            </w:pPr>
            <w:r>
              <w:rPr>
                <w:rFonts w:ascii="Arial" w:cs="Arial" w:eastAsia="Arial" w:hAnsi="Arial"/>
                <w:sz w:val="14"/>
                <w:szCs w:val="14"/>
                <w:color w:val="auto"/>
              </w:rPr>
              <w:t>Consolidated debt-to-consolidated EBITDA, as defined by the</w:t>
            </w:r>
          </w:p>
        </w:tc>
        <w:tc>
          <w:tcPr>
            <w:tcW w:w="5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4120" w:type="dxa"/>
            <w:vAlign w:val="bottom"/>
          </w:tcPr>
          <w:p>
            <w:pPr>
              <w:ind w:left="160"/>
              <w:spacing w:after="0"/>
              <w:rPr>
                <w:sz w:val="20"/>
                <w:szCs w:val="20"/>
                <w:color w:val="auto"/>
              </w:rPr>
            </w:pPr>
            <w:r>
              <w:rPr>
                <w:rFonts w:ascii="Arial" w:cs="Arial" w:eastAsia="Arial" w:hAnsi="Arial"/>
                <w:sz w:val="14"/>
                <w:szCs w:val="14"/>
                <w:color w:val="auto"/>
              </w:rPr>
              <w:t>Company’s Credit Agreement, at December 31, 2018 for</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4120" w:type="dxa"/>
            <w:vAlign w:val="bottom"/>
          </w:tcPr>
          <w:p>
            <w:pPr>
              <w:ind w:left="160"/>
              <w:spacing w:after="0" w:line="157" w:lineRule="exact"/>
              <w:rPr>
                <w:sz w:val="20"/>
                <w:szCs w:val="20"/>
                <w:color w:val="auto"/>
              </w:rPr>
            </w:pPr>
            <w:r>
              <w:rPr>
                <w:rFonts w:ascii="Arial" w:cs="Arial" w:eastAsia="Arial" w:hAnsi="Arial"/>
                <w:sz w:val="14"/>
                <w:szCs w:val="14"/>
                <w:color w:val="auto"/>
              </w:rPr>
              <w:t>trailing-twelve month EBITDA</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2.76x</w:t>
            </w:r>
          </w:p>
        </w:tc>
      </w:tr>
      <w:tr>
        <w:trPr>
          <w:trHeight w:val="41"/>
        </w:trPr>
        <w:tc>
          <w:tcPr>
            <w:tcW w:w="4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22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Total equity was $4.95 billion at December 31, 2018. At that date, the Company had an accumulated other comprehensive loss of $143.6 million, primarily resulting from unrecognized actuarial losses and prior service costs related to pension and postretirement benefits.</w:t>
      </w:r>
    </w:p>
    <w:p>
      <w:pPr>
        <w:spacing w:after="0" w:line="31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Pursuant to authority granted by its Board of Directors, the Company can repurchase up to 20 million shares of common stock. As of December 31, 2018, the Company had 14.1 million shares remaining under the repurchase authorization. The Company expects to allocate capital for additional share repurchases based on available excess free cash flow, defined as operating cash flow less capital expenditures and dividends, subject to a leverage target (net debt-to-consolidated EBITDA) of 2.0 times to 2.5 times and with consideration of other capital needs. Future repurchases are expected to be carried out through a variety of methods, which may include open market purchases, privately negotiated transactions, block trades, accelerated share purchase</w:t>
      </w:r>
    </w:p>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69</w:t>
      </w:r>
    </w:p>
    <w:p>
      <w:pPr>
        <w:sectPr>
          <w:pgSz w:w="11900" w:h="16838" w:orient="portrait"/>
          <w:cols w:equalWidth="0" w:num="1">
            <w:col w:w="11420"/>
          </w:cols>
          <w:pgMar w:left="240" w:top="265" w:right="2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transactions, or any combination of such methods. Share repurchases will be executed based on then-current business and market factors so the actual return of capital in any single quarter may vary. The repurchase program may be modified, suspended or discontinued by the Board of Directors at any time without prior notice.</w:t>
      </w:r>
    </w:p>
    <w:p>
      <w:pPr>
        <w:spacing w:after="0" w:line="31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At December 31, 2018, the Company had $45 million in cash and short-term investments that are considered cash equivalents. The Company manages its cash and cash equivalents to ensure short-term operating cash needs are met and excess funds are managed efficiently. The Company subsidizes shortages in operating cash through credit facilities. The Company utilizes excess cash to either pay-down credit facility borrowings or invest in money market funds, money market demand deposit accounts or offshore time deposit accounts. Money market demand deposits and offshore time deposit accounts are exposed to bank solvency risk. Money market demand deposit accounts are FDIC insured up to $250,000. The Company’s investments in bank funds generally exceed the $250,000 FDIC insurance limit.</w:t>
      </w:r>
    </w:p>
    <w:p>
      <w:pPr>
        <w:spacing w:after="0" w:line="31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Cash on hand,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meet capital expenditures and discretionary investment needs, fund certain acquisition opportunities that may arise and allow for payment of dividends for the foreseeable future. Borrowings under the Revolving Facility are unsecured and may be used for general corporate purposes. The Company’s ability to borrow or issue securities is dependent upon, among other things, prevailing economic, financial and market conditions. At December 31, 2018, the Company had $707.7 million of unused borrowing capacity under its Revolving Facility and Trade Receivable Facility.</w:t>
      </w:r>
    </w:p>
    <w:p>
      <w:pPr>
        <w:spacing w:after="0" w:line="31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Company may be required to obtain additional financing in order to fund certain strategic acquisitions or to refinance outstanding debt. Any strategic acquisition of size would likely require an appropriate balance of newly-issued equity with debt in order to maintain a composite investment-grade credit rating. Furthermore, the Company is exposed to credit markets through the interest cost related to its variable-rate debt, which includes the 2019 Floating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Rate Notes, the 2020 Floating Rate Notes and borrowings under its Revolving Facility and Trade Receivable Facility.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Contractual and Off Balance Sheet Obligations</w:t>
      </w:r>
    </w:p>
    <w:p>
      <w:pPr>
        <w:spacing w:after="0" w:line="5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Postretirement medical benefits will be paid from the Company’s assets. The obligation, if any, for retiree medical payments is subject to the terms of the plan. At December 31, 2018, the Company’s recorded benefit obligation related to these benefits totaled $13.3 million.</w:t>
      </w:r>
    </w:p>
    <w:p>
      <w:pPr>
        <w:spacing w:after="0" w:line="31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Company has other retirement benefits related to pension plans. At December 31, 2018, the qualified pension plans were underfunded by $32.0 million. Inclusive of required amounts, the Company estimates that it will make contributions of $25.0 million to qualified pension plans in 2019. Any contributions beyond 2019 are currently undeterminable and will depend on the investment return on the related pension assets. However, management’s practice is to fund at least the service cost annually. At December 31, 2018, the Company had a total obligation of $98.0 million related to unfunded nonqualified pension plans and expects to make contributions of $7.0 million to these plans in 2019.</w:t>
      </w:r>
    </w:p>
    <w:p>
      <w:pPr>
        <w:spacing w:after="0" w:line="30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At December 31, 2018, the Company had $24.1 million accrued for uncertain tax positions, excluding interest and correlative effects. Such liabilities may become payable if the tax positions are not sustained upon examination by a taxing authority.</w:t>
      </w:r>
    </w:p>
    <w:p>
      <w:pPr>
        <w:spacing w:after="0" w:line="31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In connection with normal, ongoing operations, the Company enters into market-rate leases for property, plant and equipment and royalty commitments principally associated with leased land and mineral reserves. Additionally, the Company enters into equipment rentals to meet shorter-term, nonrecurring and intermittent needs. At December 31, 2018, the Company had $10.9 million in capital lease obligations. Amounts due for operating leases and royalty agreements are expensed in the period incurred. Management anticipates that, in the ordinary course of business, the Company will enter into additional royalty agreements for land and mineral reserves during 2019.</w:t>
      </w:r>
    </w:p>
    <w:p>
      <w:pPr>
        <w:spacing w:after="0" w:line="30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Company has purchase commitments for property, plant and equipment of $118.7 million as of December 31, 2018. The Company also has other purchase obligations related to energy and service contracts which totaled $106.4 million as of December 31, 2018.</w:t>
      </w:r>
    </w:p>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70</w:t>
      </w:r>
    </w:p>
    <w:p>
      <w:pPr>
        <w:sectPr>
          <w:pgSz w:w="11900" w:h="16838" w:orient="portrait"/>
          <w:cols w:equalWidth="0" w:num="1">
            <w:col w:w="11420"/>
          </w:cols>
          <w:pgMar w:left="240" w:top="265" w:right="2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6"/>
          <w:szCs w:val="16"/>
          <w:color w:val="4D5358"/>
        </w:rPr>
        <w:t>(continued)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contractual commitments as of December 31, 2018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(add 000)</w:t>
            </w:r>
          </w:p>
        </w:tc>
        <w:tc>
          <w:tcPr>
            <w:tcW w:w="1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&lt; 1 Year</w:t>
            </w:r>
          </w:p>
        </w:tc>
        <w:tc>
          <w:tcPr>
            <w:tcW w:w="10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1 to 3 Years</w:t>
            </w: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3 to 5 Years</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&gt; 5 Years</w:t>
            </w:r>
          </w:p>
        </w:tc>
      </w:tr>
      <w:tr>
        <w:trPr>
          <w:trHeight w:val="156"/>
        </w:trPr>
        <w:tc>
          <w:tcPr>
            <w:tcW w:w="55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i w:val="1"/>
                <w:iCs w:val="1"/>
                <w:color w:val="auto"/>
              </w:rPr>
              <w:t>ON BALANCE SHEET:</w:t>
            </w:r>
          </w:p>
        </w:tc>
        <w:tc>
          <w:tcPr>
            <w:tcW w:w="19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62"/>
        </w:trPr>
        <w:tc>
          <w:tcPr>
            <w:tcW w:w="5560" w:type="dxa"/>
            <w:vAlign w:val="bottom"/>
          </w:tcPr>
          <w:p>
            <w:pPr>
              <w:spacing w:after="0"/>
              <w:rPr>
                <w:sz w:val="20"/>
                <w:szCs w:val="20"/>
                <w:color w:val="auto"/>
              </w:rPr>
            </w:pPr>
            <w:r>
              <w:rPr>
                <w:rFonts w:ascii="Arial" w:cs="Arial" w:eastAsia="Arial" w:hAnsi="Arial"/>
                <w:sz w:val="14"/>
                <w:szCs w:val="14"/>
                <w:color w:val="auto"/>
              </w:rPr>
              <w:t>Long-term debt</w:t>
            </w:r>
          </w:p>
        </w:tc>
        <w:tc>
          <w:tcPr>
            <w:tcW w:w="1960" w:type="dxa"/>
            <w:vAlign w:val="bottom"/>
          </w:tcPr>
          <w:p>
            <w:pPr>
              <w:jc w:val="right"/>
              <w:ind w:right="48"/>
              <w:spacing w:after="0"/>
              <w:rPr>
                <w:sz w:val="20"/>
                <w:szCs w:val="20"/>
                <w:color w:val="auto"/>
              </w:rPr>
            </w:pPr>
            <w:r>
              <w:rPr>
                <w:rFonts w:ascii="Arial" w:cs="Arial" w:eastAsia="Arial" w:hAnsi="Arial"/>
                <w:sz w:val="14"/>
                <w:szCs w:val="14"/>
                <w:color w:val="auto"/>
              </w:rPr>
              <w:t>$ 3,120,481</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$390,042</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299,080</w:t>
            </w:r>
          </w:p>
        </w:tc>
        <w:tc>
          <w:tcPr>
            <w:tcW w:w="300" w:type="dxa"/>
            <w:vAlign w:val="bottom"/>
          </w:tcPr>
          <w:p>
            <w:pPr>
              <w:ind w:left="1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299,350</w:t>
            </w:r>
          </w:p>
        </w:tc>
        <w:tc>
          <w:tcPr>
            <w:tcW w:w="900" w:type="dxa"/>
            <w:vAlign w:val="bottom"/>
          </w:tcPr>
          <w:p>
            <w:pPr>
              <w:jc w:val="right"/>
              <w:spacing w:after="0"/>
              <w:rPr>
                <w:sz w:val="20"/>
                <w:szCs w:val="20"/>
                <w:color w:val="auto"/>
              </w:rPr>
            </w:pPr>
            <w:r>
              <w:rPr>
                <w:rFonts w:ascii="Arial" w:cs="Arial" w:eastAsia="Arial" w:hAnsi="Arial"/>
                <w:sz w:val="14"/>
                <w:szCs w:val="14"/>
                <w:color w:val="auto"/>
              </w:rPr>
              <w:t>$2,132,009</w:t>
            </w:r>
          </w:p>
        </w:tc>
      </w:tr>
      <w:tr>
        <w:trPr>
          <w:trHeight w:val="162"/>
        </w:trPr>
        <w:tc>
          <w:tcPr>
            <w:tcW w:w="5560" w:type="dxa"/>
            <w:vAlign w:val="bottom"/>
            <w:shd w:val="clear" w:color="auto" w:fill="CCEEFF"/>
          </w:tcPr>
          <w:p>
            <w:pPr>
              <w:spacing w:after="0"/>
              <w:rPr>
                <w:sz w:val="20"/>
                <w:szCs w:val="20"/>
                <w:color w:val="auto"/>
              </w:rPr>
            </w:pPr>
            <w:r>
              <w:rPr>
                <w:rFonts w:ascii="Arial" w:cs="Arial" w:eastAsia="Arial" w:hAnsi="Arial"/>
                <w:sz w:val="14"/>
                <w:szCs w:val="14"/>
                <w:color w:val="auto"/>
              </w:rPr>
              <w:t>Postretirement benefits</w:t>
            </w:r>
          </w:p>
        </w:tc>
        <w:tc>
          <w:tcPr>
            <w:tcW w:w="1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13,293</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950</w:t>
            </w: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2,911</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2,598</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6,834</w:t>
            </w:r>
          </w:p>
        </w:tc>
      </w:tr>
      <w:tr>
        <w:trPr>
          <w:trHeight w:val="162"/>
        </w:trPr>
        <w:tc>
          <w:tcPr>
            <w:tcW w:w="5560" w:type="dxa"/>
            <w:vAlign w:val="bottom"/>
          </w:tcPr>
          <w:p>
            <w:pPr>
              <w:spacing w:after="0" w:line="162" w:lineRule="exact"/>
              <w:rPr>
                <w:sz w:val="20"/>
                <w:szCs w:val="20"/>
                <w:color w:val="auto"/>
              </w:rPr>
            </w:pPr>
            <w:r>
              <w:rPr>
                <w:rFonts w:ascii="Arial" w:cs="Arial" w:eastAsia="Arial" w:hAnsi="Arial"/>
                <w:sz w:val="11"/>
                <w:szCs w:val="11"/>
                <w:color w:val="auto"/>
              </w:rPr>
              <w:t>Qualified pension plan contributions</w:t>
            </w:r>
            <w:r>
              <w:rPr>
                <w:rFonts w:ascii="Arial" w:cs="Arial" w:eastAsia="Arial" w:hAnsi="Arial"/>
                <w:sz w:val="18"/>
                <w:szCs w:val="18"/>
                <w:i w:val="1"/>
                <w:iCs w:val="1"/>
                <w:color w:val="auto"/>
                <w:vertAlign w:val="superscript"/>
              </w:rPr>
              <w:t>1</w:t>
            </w:r>
          </w:p>
        </w:tc>
        <w:tc>
          <w:tcPr>
            <w:tcW w:w="1960" w:type="dxa"/>
            <w:vAlign w:val="bottom"/>
          </w:tcPr>
          <w:p>
            <w:pPr>
              <w:jc w:val="right"/>
              <w:ind w:right="48"/>
              <w:spacing w:after="0"/>
              <w:rPr>
                <w:sz w:val="20"/>
                <w:szCs w:val="20"/>
                <w:color w:val="auto"/>
              </w:rPr>
            </w:pPr>
            <w:r>
              <w:rPr>
                <w:rFonts w:ascii="Arial" w:cs="Arial" w:eastAsia="Arial" w:hAnsi="Arial"/>
                <w:sz w:val="14"/>
                <w:szCs w:val="14"/>
                <w:color w:val="auto"/>
              </w:rPr>
              <w:t>25,028</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25,028</w:t>
            </w:r>
          </w:p>
        </w:tc>
        <w:tc>
          <w:tcPr>
            <w:tcW w:w="3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560" w:type="dxa"/>
            <w:vAlign w:val="bottom"/>
            <w:shd w:val="clear" w:color="auto" w:fill="CCEEFF"/>
          </w:tcPr>
          <w:p>
            <w:pPr>
              <w:spacing w:after="0"/>
              <w:rPr>
                <w:sz w:val="20"/>
                <w:szCs w:val="20"/>
                <w:color w:val="auto"/>
              </w:rPr>
            </w:pPr>
            <w:r>
              <w:rPr>
                <w:rFonts w:ascii="Arial" w:cs="Arial" w:eastAsia="Arial" w:hAnsi="Arial"/>
                <w:sz w:val="14"/>
                <w:szCs w:val="14"/>
                <w:color w:val="auto"/>
              </w:rPr>
              <w:t>Unfunded pension plan contributions</w:t>
            </w:r>
          </w:p>
        </w:tc>
        <w:tc>
          <w:tcPr>
            <w:tcW w:w="1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98,014</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6,993</w:t>
            </w: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28,687</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15,176</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47,158</w:t>
            </w:r>
          </w:p>
        </w:tc>
      </w:tr>
      <w:tr>
        <w:trPr>
          <w:trHeight w:val="162"/>
        </w:trPr>
        <w:tc>
          <w:tcPr>
            <w:tcW w:w="5560" w:type="dxa"/>
            <w:vAlign w:val="bottom"/>
          </w:tcPr>
          <w:p>
            <w:pPr>
              <w:spacing w:after="0"/>
              <w:rPr>
                <w:sz w:val="20"/>
                <w:szCs w:val="20"/>
                <w:color w:val="auto"/>
              </w:rPr>
            </w:pPr>
            <w:r>
              <w:rPr>
                <w:rFonts w:ascii="Arial" w:cs="Arial" w:eastAsia="Arial" w:hAnsi="Arial"/>
                <w:sz w:val="14"/>
                <w:szCs w:val="14"/>
                <w:color w:val="auto"/>
              </w:rPr>
              <w:t>Uncertain tax positions</w:t>
            </w:r>
          </w:p>
        </w:tc>
        <w:tc>
          <w:tcPr>
            <w:tcW w:w="1960" w:type="dxa"/>
            <w:vAlign w:val="bottom"/>
          </w:tcPr>
          <w:p>
            <w:pPr>
              <w:jc w:val="right"/>
              <w:ind w:right="48"/>
              <w:spacing w:after="0"/>
              <w:rPr>
                <w:sz w:val="20"/>
                <w:szCs w:val="20"/>
                <w:color w:val="auto"/>
              </w:rPr>
            </w:pPr>
            <w:r>
              <w:rPr>
                <w:rFonts w:ascii="Arial" w:cs="Arial" w:eastAsia="Arial" w:hAnsi="Arial"/>
                <w:sz w:val="14"/>
                <w:szCs w:val="14"/>
                <w:color w:val="auto"/>
              </w:rPr>
              <w:t>24,100</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24,100</w:t>
            </w:r>
          </w:p>
        </w:tc>
        <w:tc>
          <w:tcPr>
            <w:tcW w:w="3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560" w:type="dxa"/>
            <w:vAlign w:val="bottom"/>
            <w:shd w:val="clear" w:color="auto" w:fill="CCEEFF"/>
          </w:tcPr>
          <w:p>
            <w:pPr>
              <w:spacing w:after="0"/>
              <w:rPr>
                <w:sz w:val="20"/>
                <w:szCs w:val="20"/>
                <w:color w:val="auto"/>
              </w:rPr>
            </w:pPr>
            <w:r>
              <w:rPr>
                <w:rFonts w:ascii="Arial" w:cs="Arial" w:eastAsia="Arial" w:hAnsi="Arial"/>
                <w:sz w:val="14"/>
                <w:szCs w:val="14"/>
                <w:color w:val="auto"/>
              </w:rPr>
              <w:t>Capital leases - principal portion</w:t>
            </w:r>
          </w:p>
        </w:tc>
        <w:tc>
          <w:tcPr>
            <w:tcW w:w="1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10,879</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3,250</w:t>
            </w: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3,865</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1,395</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2,369</w:t>
            </w:r>
          </w:p>
        </w:tc>
      </w:tr>
      <w:tr>
        <w:trPr>
          <w:trHeight w:val="162"/>
        </w:trPr>
        <w:tc>
          <w:tcPr>
            <w:tcW w:w="5560" w:type="dxa"/>
            <w:vAlign w:val="bottom"/>
          </w:tcPr>
          <w:p>
            <w:pPr>
              <w:spacing w:after="0"/>
              <w:rPr>
                <w:sz w:val="20"/>
                <w:szCs w:val="20"/>
                <w:color w:val="auto"/>
              </w:rPr>
            </w:pPr>
            <w:r>
              <w:rPr>
                <w:rFonts w:ascii="Arial" w:cs="Arial" w:eastAsia="Arial" w:hAnsi="Arial"/>
                <w:sz w:val="14"/>
                <w:szCs w:val="14"/>
                <w:color w:val="auto"/>
              </w:rPr>
              <w:t>Other commitments</w:t>
            </w:r>
          </w:p>
        </w:tc>
        <w:tc>
          <w:tcPr>
            <w:tcW w:w="1960" w:type="dxa"/>
            <w:vAlign w:val="bottom"/>
          </w:tcPr>
          <w:p>
            <w:pPr>
              <w:jc w:val="right"/>
              <w:ind w:right="48"/>
              <w:spacing w:after="0"/>
              <w:rPr>
                <w:sz w:val="20"/>
                <w:szCs w:val="20"/>
                <w:color w:val="auto"/>
              </w:rPr>
            </w:pPr>
            <w:r>
              <w:rPr>
                <w:rFonts w:ascii="Arial" w:cs="Arial" w:eastAsia="Arial" w:hAnsi="Arial"/>
                <w:sz w:val="14"/>
                <w:szCs w:val="14"/>
                <w:color w:val="auto"/>
              </w:rPr>
              <w:t>370</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64</w:t>
            </w:r>
          </w:p>
        </w:tc>
        <w:tc>
          <w:tcPr>
            <w:tcW w:w="3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128</w:t>
            </w:r>
          </w:p>
        </w:tc>
        <w:tc>
          <w:tcPr>
            <w:tcW w:w="3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128</w:t>
            </w:r>
          </w:p>
        </w:tc>
        <w:tc>
          <w:tcPr>
            <w:tcW w:w="9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62"/>
        </w:trPr>
        <w:tc>
          <w:tcPr>
            <w:tcW w:w="556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OFF BALANCE SHEET:</w:t>
            </w:r>
          </w:p>
        </w:tc>
        <w:tc>
          <w:tcPr>
            <w:tcW w:w="1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2"/>
        </w:trPr>
        <w:tc>
          <w:tcPr>
            <w:tcW w:w="5560" w:type="dxa"/>
            <w:vAlign w:val="bottom"/>
          </w:tcPr>
          <w:p>
            <w:pPr>
              <w:spacing w:after="0"/>
              <w:rPr>
                <w:sz w:val="20"/>
                <w:szCs w:val="20"/>
                <w:color w:val="auto"/>
              </w:rPr>
            </w:pPr>
            <w:r>
              <w:rPr>
                <w:rFonts w:ascii="Arial" w:cs="Arial" w:eastAsia="Arial" w:hAnsi="Arial"/>
                <w:sz w:val="14"/>
                <w:szCs w:val="14"/>
                <w:color w:val="auto"/>
              </w:rPr>
              <w:t>Interest on publicly-traded long-term debt and capital lease obligations</w:t>
            </w:r>
          </w:p>
        </w:tc>
        <w:tc>
          <w:tcPr>
            <w:tcW w:w="1960" w:type="dxa"/>
            <w:vAlign w:val="bottom"/>
          </w:tcPr>
          <w:p>
            <w:pPr>
              <w:jc w:val="right"/>
              <w:ind w:right="48"/>
              <w:spacing w:after="0"/>
              <w:rPr>
                <w:sz w:val="20"/>
                <w:szCs w:val="20"/>
                <w:color w:val="auto"/>
              </w:rPr>
            </w:pPr>
            <w:r>
              <w:rPr>
                <w:rFonts w:ascii="Arial" w:cs="Arial" w:eastAsia="Arial" w:hAnsi="Arial"/>
                <w:sz w:val="14"/>
                <w:szCs w:val="14"/>
                <w:color w:val="auto"/>
              </w:rPr>
              <w:t>1,433,261</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113,714</w:t>
            </w:r>
          </w:p>
        </w:tc>
        <w:tc>
          <w:tcPr>
            <w:tcW w:w="3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192,465</w:t>
            </w:r>
          </w:p>
        </w:tc>
        <w:tc>
          <w:tcPr>
            <w:tcW w:w="3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187,271</w:t>
            </w:r>
          </w:p>
        </w:tc>
        <w:tc>
          <w:tcPr>
            <w:tcW w:w="900" w:type="dxa"/>
            <w:vAlign w:val="bottom"/>
          </w:tcPr>
          <w:p>
            <w:pPr>
              <w:jc w:val="right"/>
              <w:spacing w:after="0"/>
              <w:rPr>
                <w:sz w:val="20"/>
                <w:szCs w:val="20"/>
                <w:color w:val="auto"/>
              </w:rPr>
            </w:pPr>
            <w:r>
              <w:rPr>
                <w:rFonts w:ascii="Arial" w:cs="Arial" w:eastAsia="Arial" w:hAnsi="Arial"/>
                <w:sz w:val="14"/>
                <w:szCs w:val="14"/>
                <w:color w:val="auto"/>
              </w:rPr>
              <w:t>939,811</w:t>
            </w:r>
          </w:p>
        </w:tc>
      </w:tr>
      <w:tr>
        <w:trPr>
          <w:trHeight w:val="162"/>
        </w:trPr>
        <w:tc>
          <w:tcPr>
            <w:tcW w:w="556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Operating leases</w:t>
            </w:r>
            <w:r>
              <w:rPr>
                <w:rFonts w:ascii="Arial" w:cs="Arial" w:eastAsia="Arial" w:hAnsi="Arial"/>
                <w:sz w:val="18"/>
                <w:szCs w:val="18"/>
                <w:i w:val="1"/>
                <w:iCs w:val="1"/>
                <w:color w:val="auto"/>
                <w:vertAlign w:val="superscript"/>
              </w:rPr>
              <w:t>2</w:t>
            </w:r>
          </w:p>
        </w:tc>
        <w:tc>
          <w:tcPr>
            <w:tcW w:w="1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669,004</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105,955</w:t>
            </w: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130,860</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114,042</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318,147</w:t>
            </w:r>
          </w:p>
        </w:tc>
      </w:tr>
      <w:tr>
        <w:trPr>
          <w:trHeight w:val="162"/>
        </w:trPr>
        <w:tc>
          <w:tcPr>
            <w:tcW w:w="5560" w:type="dxa"/>
            <w:vAlign w:val="bottom"/>
          </w:tcPr>
          <w:p>
            <w:pPr>
              <w:spacing w:after="0" w:line="162" w:lineRule="exact"/>
              <w:rPr>
                <w:sz w:val="20"/>
                <w:szCs w:val="20"/>
                <w:color w:val="auto"/>
              </w:rPr>
            </w:pPr>
            <w:r>
              <w:rPr>
                <w:rFonts w:ascii="Arial" w:cs="Arial" w:eastAsia="Arial" w:hAnsi="Arial"/>
                <w:sz w:val="11"/>
                <w:szCs w:val="11"/>
                <w:color w:val="auto"/>
              </w:rPr>
              <w:t>Royalty agreements</w:t>
            </w:r>
            <w:r>
              <w:rPr>
                <w:rFonts w:ascii="Arial" w:cs="Arial" w:eastAsia="Arial" w:hAnsi="Arial"/>
                <w:sz w:val="18"/>
                <w:szCs w:val="18"/>
                <w:i w:val="1"/>
                <w:iCs w:val="1"/>
                <w:color w:val="auto"/>
                <w:vertAlign w:val="superscript"/>
              </w:rPr>
              <w:t>2</w:t>
            </w:r>
          </w:p>
        </w:tc>
        <w:tc>
          <w:tcPr>
            <w:tcW w:w="1960" w:type="dxa"/>
            <w:vAlign w:val="bottom"/>
          </w:tcPr>
          <w:p>
            <w:pPr>
              <w:jc w:val="right"/>
              <w:ind w:right="48"/>
              <w:spacing w:after="0"/>
              <w:rPr>
                <w:sz w:val="20"/>
                <w:szCs w:val="20"/>
                <w:color w:val="auto"/>
              </w:rPr>
            </w:pPr>
            <w:r>
              <w:rPr>
                <w:rFonts w:ascii="Arial" w:cs="Arial" w:eastAsia="Arial" w:hAnsi="Arial"/>
                <w:sz w:val="14"/>
                <w:szCs w:val="14"/>
                <w:color w:val="auto"/>
              </w:rPr>
              <w:t>119,948</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14,614</w:t>
            </w:r>
          </w:p>
        </w:tc>
        <w:tc>
          <w:tcPr>
            <w:tcW w:w="3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21,699</w:t>
            </w:r>
          </w:p>
        </w:tc>
        <w:tc>
          <w:tcPr>
            <w:tcW w:w="3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17,654</w:t>
            </w:r>
          </w:p>
        </w:tc>
        <w:tc>
          <w:tcPr>
            <w:tcW w:w="900" w:type="dxa"/>
            <w:vAlign w:val="bottom"/>
          </w:tcPr>
          <w:p>
            <w:pPr>
              <w:jc w:val="right"/>
              <w:spacing w:after="0"/>
              <w:rPr>
                <w:sz w:val="20"/>
                <w:szCs w:val="20"/>
                <w:color w:val="auto"/>
              </w:rPr>
            </w:pPr>
            <w:r>
              <w:rPr>
                <w:rFonts w:ascii="Arial" w:cs="Arial" w:eastAsia="Arial" w:hAnsi="Arial"/>
                <w:sz w:val="14"/>
                <w:szCs w:val="14"/>
                <w:color w:val="auto"/>
              </w:rPr>
              <w:t>65,981</w:t>
            </w:r>
          </w:p>
        </w:tc>
      </w:tr>
      <w:tr>
        <w:trPr>
          <w:trHeight w:val="162"/>
        </w:trPr>
        <w:tc>
          <w:tcPr>
            <w:tcW w:w="5560" w:type="dxa"/>
            <w:vAlign w:val="bottom"/>
            <w:shd w:val="clear" w:color="auto" w:fill="CCEEFF"/>
          </w:tcPr>
          <w:p>
            <w:pPr>
              <w:spacing w:after="0"/>
              <w:rPr>
                <w:sz w:val="20"/>
                <w:szCs w:val="20"/>
                <w:color w:val="auto"/>
              </w:rPr>
            </w:pPr>
            <w:r>
              <w:rPr>
                <w:rFonts w:ascii="Arial" w:cs="Arial" w:eastAsia="Arial" w:hAnsi="Arial"/>
                <w:sz w:val="14"/>
                <w:szCs w:val="14"/>
                <w:color w:val="auto"/>
              </w:rPr>
              <w:t>Purchase commitments - capital</w:t>
            </w:r>
          </w:p>
        </w:tc>
        <w:tc>
          <w:tcPr>
            <w:tcW w:w="1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118,664</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118,664</w:t>
            </w: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commitments - energy and services</w:t>
            </w:r>
          </w:p>
        </w:tc>
        <w:tc>
          <w:tcPr>
            <w:tcW w:w="1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106,360</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63,104</w:t>
            </w: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20,441</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17,195</w:t>
            </w:r>
          </w:p>
        </w:tc>
      </w:tr>
      <w:tr>
        <w:trPr>
          <w:trHeight w:val="163"/>
        </w:trPr>
        <w:tc>
          <w:tcPr>
            <w:tcW w:w="55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Total</w:t>
            </w:r>
          </w:p>
        </w:tc>
        <w:tc>
          <w:tcPr>
            <w:tcW w:w="196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$ 5,739,402</w:t>
            </w:r>
          </w:p>
        </w:tc>
        <w:tc>
          <w:tcPr>
            <w:tcW w:w="88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$842,378</w:t>
            </w:r>
          </w:p>
        </w:tc>
        <w:tc>
          <w:tcPr>
            <w:tcW w:w="32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724,236</w:t>
            </w:r>
          </w:p>
        </w:tc>
        <w:tc>
          <w:tcPr>
            <w:tcW w:w="300" w:type="dxa"/>
            <w:vAlign w:val="bottom"/>
            <w:tcBorders>
              <w:bottom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643,234</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$3,529,554</w:t>
            </w:r>
          </w:p>
        </w:tc>
      </w:tr>
    </w:tbl>
    <w:p>
      <w:pPr>
        <w:spacing w:after="0" w:line="239" w:lineRule="auto"/>
        <w:rPr>
          <w:sz w:val="20"/>
          <w:szCs w:val="20"/>
          <w:color w:val="auto"/>
        </w:rPr>
      </w:pPr>
      <w:r>
        <w:rPr>
          <w:rFonts w:ascii="Arial" w:cs="Arial" w:eastAsia="Arial" w:hAnsi="Arial"/>
          <w:sz w:val="24"/>
          <w:szCs w:val="24"/>
          <w:i w:val="1"/>
          <w:iCs w:val="1"/>
          <w:color w:val="auto"/>
          <w:vertAlign w:val="superscript"/>
        </w:rPr>
        <w:t>1</w:t>
      </w:r>
      <w:r>
        <w:rPr>
          <w:rFonts w:ascii="Arial" w:cs="Arial" w:eastAsia="Arial" w:hAnsi="Arial"/>
          <w:sz w:val="14"/>
          <w:szCs w:val="14"/>
          <w:i w:val="1"/>
          <w:iCs w:val="1"/>
          <w:color w:val="auto"/>
        </w:rPr>
        <w:t xml:space="preserve"> Qualified pension plan contributions beyond 2019 are not determinable at this time</w:t>
      </w:r>
    </w:p>
    <w:p>
      <w:pPr>
        <w:spacing w:after="0"/>
        <w:rPr>
          <w:sz w:val="20"/>
          <w:szCs w:val="20"/>
          <w:color w:val="auto"/>
        </w:rPr>
      </w:pPr>
      <w:r>
        <w:rPr>
          <w:rFonts w:ascii="Arial" w:cs="Arial" w:eastAsia="Arial" w:hAnsi="Arial"/>
          <w:sz w:val="24"/>
          <w:szCs w:val="24"/>
          <w:i w:val="1"/>
          <w:iCs w:val="1"/>
          <w:color w:val="auto"/>
          <w:vertAlign w:val="superscript"/>
        </w:rPr>
        <w:t>2</w:t>
      </w:r>
      <w:r>
        <w:rPr>
          <w:rFonts w:ascii="Arial" w:cs="Arial" w:eastAsia="Arial" w:hAnsi="Arial"/>
          <w:sz w:val="14"/>
          <w:szCs w:val="14"/>
          <w:i w:val="1"/>
          <w:iCs w:val="1"/>
          <w:color w:val="auto"/>
        </w:rPr>
        <w:t xml:space="preserve"> Represents future minimum payments</w:t>
      </w:r>
    </w:p>
    <w:p>
      <w:pPr>
        <w:spacing w:after="0" w:line="9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Notes A, H, J, K, M and O to the audited consolidated financial statements contain additional information regarding these commitments and should be read in conjunction with the above table.</w:t>
      </w:r>
    </w:p>
    <w:p>
      <w:pPr>
        <w:sectPr>
          <w:pgSz w:w="11900" w:h="16838" w:orient="portrait"/>
          <w:cols w:equalWidth="0" w:num="1">
            <w:col w:w="11420"/>
          </w:cols>
          <w:pgMar w:left="240" w:top="265" w:right="239" w:bottom="1440" w:gutter="0" w:footer="0" w:header="0"/>
        </w:sect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Contingent Liabilities and Commitments</w:t>
      </w:r>
    </w:p>
    <w:p>
      <w:pPr>
        <w:spacing w:after="0" w:line="5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Company has a $5 million short-term line of credit. No amounts were outstanding under this line of credit at December 31, 2018.</w:t>
      </w:r>
    </w:p>
    <w:p>
      <w:pPr>
        <w:spacing w:after="0" w:line="30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Company has entered into standby letter of credit agreements relating to certain insurance claims, contract performance and permit requirements. At December 31, 2018, the Company had contingent liabilities guaranteeing its own performance under these outstanding letters of credit of $36.1 million, of which $2.3 million were issued under the Company’s Revolving Facility.</w:t>
      </w:r>
    </w:p>
    <w:p>
      <w:pPr>
        <w:spacing w:after="0" w:line="31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In the normal course of business, at December 31, 2018, the Company was contingently liable for $375.6 million in surety bonds underwritten by Liberty Mutual and W. R. Berkley, which guarantee its own performance and are required by certain states and municipalities and their related agencies. Five of these bonds are for certain construction contracts and reclamation obligations and total $77.6 million, or 21% of all outstanding surety bonds. The Company has indemnified the underwriting insurance companies against any exposure under the surety bonds. In the Company’s past experience, no material claims have been made against these financial instruments.</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Company is a co-borrower with an unconsolidated affiliate for a revolving line of credit agreement with Branch Banking &amp; Trust. The line of credit was amended in January 2018 to extend the maturity to March 2020 and reduce the line of credit from $25.0 million to $15.5 million.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Quantitative and Qualitative Disclosures about Market Risk</w:t>
      </w:r>
    </w:p>
    <w:p>
      <w:pPr>
        <w:spacing w:after="0" w:line="53"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As discussed earlier, the Company’s operations are highly dependent upon the interest rate-sensitive construction and steelmaking industries. Consequently, these marketplaces could experience lower levels of economic activity in an environment of rising interest rates or escalating costs (see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Business Environment </w:t>
      </w:r>
      <w:r>
        <w:rPr>
          <w:rFonts w:ascii="Arial" w:cs="Arial" w:eastAsia="Arial" w:hAnsi="Arial"/>
          <w:sz w:val="17"/>
          <w:szCs w:val="17"/>
          <w:color w:val="auto"/>
        </w:rPr>
        <w:t>section).</w:t>
      </w:r>
    </w:p>
    <w:p>
      <w:pPr>
        <w:spacing w:after="0" w:line="31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Management has considered the current economic environment and its potential impact to the Company’s business. Demand for aggregates products, particularly in the infrastructure construction market, is affected by federal and state budget and deficit issues. Further, delays or cancellations of capital projects in the nonresidential and residential construction</w:t>
      </w:r>
    </w:p>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71</w:t>
      </w:r>
    </w:p>
    <w:p>
      <w:pPr>
        <w:sectPr>
          <w:pgSz w:w="11900" w:h="16838" w:orient="portrait"/>
          <w:cols w:equalWidth="0" w:num="1">
            <w:col w:w="11420"/>
          </w:cols>
          <w:pgMar w:left="240" w:top="265" w:right="2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markets could occur if companies and consumers are unable to obtain financing for construction projects or if consumer confidence is eroded by economic uncertainty.</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Demand in the residential construction market is affected by interest rates. During 2018, the Federal Reserve raised the federal funds rate to 2.5%. The residential construction market accounted for approximately 22% of the Company’s aggregates product line shipments in 2018.</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Aside from these inherent risks from within its operations, the Company’s earnings are also affected by changes in short-term interest rates. However, rising interest rates are not necessarily predictive of weaker operating results. Historically, the Company’s profitability has increased during periods of rising interest rates. In essence, the Company’s underlying business generally serves as a natural hedge to rising interest rates.</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Variable-Rate Borrowing Facilities</w:t>
      </w:r>
    </w:p>
    <w:p>
      <w:pPr>
        <w:spacing w:after="0" w:line="5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At December 31, 2018, the Company had a $700 million Revolving Facility and a $400 million Trade Receivable Facility. The Company also has $600 million of variable-rate senior notes outstanding. Borrowings under these facilities bear interest at a variable interest rate. A hypothetical 100-basis-point increase in interest rates on borrowings of $990 million, which was the collective outstanding balance at December 31, 2018, would increase interest expense by $9.9 million on an annual basis.</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Pension Expense</w:t>
      </w:r>
    </w:p>
    <w:p>
      <w:pPr>
        <w:spacing w:after="0" w:line="4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The Company’s results of operations are affected by its pension expense. Assumptions that affect pension expense include the discount rate and, for the defined benefit pension plans only, the expected long-term rate of return on assets. Therefore, the Company has interest rate risk associated with these factors. The impact of hypothetical changes in these assumptions on the Company’s annual pension expense is discussed in the section </w:t>
      </w:r>
      <w:r>
        <w:rPr>
          <w:rFonts w:ascii="Arial" w:cs="Arial" w:eastAsia="Arial" w:hAnsi="Arial"/>
          <w:sz w:val="17"/>
          <w:szCs w:val="17"/>
          <w:i w:val="1"/>
          <w:iCs w:val="1"/>
          <w:color w:val="auto"/>
        </w:rPr>
        <w:t>Critical Accounting Policies and Estimates –</w:t>
      </w:r>
      <w:r>
        <w:rPr>
          <w:rFonts w:ascii="Arial" w:cs="Arial" w:eastAsia="Arial" w:hAnsi="Arial"/>
          <w:sz w:val="17"/>
          <w:szCs w:val="17"/>
          <w:color w:val="auto"/>
        </w:rPr>
        <w:t xml:space="preserve"> </w:t>
      </w:r>
      <w:r>
        <w:rPr>
          <w:rFonts w:ascii="Arial" w:cs="Arial" w:eastAsia="Arial" w:hAnsi="Arial"/>
          <w:sz w:val="17"/>
          <w:szCs w:val="17"/>
          <w:i w:val="1"/>
          <w:iCs w:val="1"/>
          <w:color w:val="auto"/>
        </w:rPr>
        <w:t>Pension Expense – Selection of Assumptions</w:t>
      </w:r>
      <w:r>
        <w:rPr>
          <w:rFonts w:ascii="Arial" w:cs="Arial" w:eastAsia="Arial" w:hAnsi="Arial"/>
          <w:sz w:val="17"/>
          <w:szCs w:val="17"/>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Energy Costs</w:t>
      </w:r>
    </w:p>
    <w:p>
      <w:pPr>
        <w:spacing w:after="0" w:line="5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Energy costs, including diesel fuel, natural gas, coal and liquid asphalt, represent significant production costs of the Company. The cement product line and Magnesia Specialties business each have fixed-price agreements on their coal requirements. The cement product line’s contract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covers 95% and 100% of the Midlothian and Hunter plants’ needs, respectively, while the Magnesia Specialties contract covers 100% of its coal requirements. A hypothetical 10% change in the Company’s energy prices in 2019 as compared with 2018, assuming constant volumes, would change 2019 energy expense by $28.3 million.</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Commodity Risk</w:t>
      </w:r>
    </w:p>
    <w:p>
      <w:pPr>
        <w:spacing w:after="0" w:line="5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Cement is a commodity and competition is based principally on price, which is highly sensitive to changes in supply and demand. Prices are often subject to material changes in response to relatively minor fluctuations in supply and demand, general economic conditions and other market conditions beyond the Company’s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product prices will not decline in the future or that such declines will not have a material adverse effect on the Company’s business, financial condition and results of operations. A hypothetical 10% change in sales price of the cement product line would impact total revenues by $38.8 million.</w:t>
      </w:r>
    </w:p>
    <w:p>
      <w:pPr>
        <w:spacing w:after="0" w:line="31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Cement is a key raw material in the production of ready mixed concrete. A hypothetical 10% change in cement costs in 2019 compared with 2018, assuming constant volumes, would change ready mixed concrete cost of sales by $24.9 million.</w:t>
      </w:r>
    </w:p>
    <w:p>
      <w:pPr>
        <w:spacing w:after="0" w:line="295" w:lineRule="exact"/>
        <w:rPr>
          <w:sz w:val="20"/>
          <w:szCs w:val="20"/>
          <w:color w:val="auto"/>
        </w:rPr>
      </w:pPr>
    </w:p>
    <w:p>
      <w:pPr>
        <w:ind w:right="1940"/>
        <w:spacing w:after="0" w:line="260" w:lineRule="auto"/>
        <w:rPr>
          <w:sz w:val="20"/>
          <w:szCs w:val="20"/>
          <w:color w:val="auto"/>
        </w:rPr>
      </w:pPr>
      <w:r>
        <w:rPr>
          <w:rFonts w:ascii="Arial" w:cs="Arial" w:eastAsia="Arial" w:hAnsi="Arial"/>
          <w:sz w:val="18"/>
          <w:szCs w:val="18"/>
          <w:b w:val="1"/>
          <w:bCs w:val="1"/>
          <w:color w:val="0085CD"/>
        </w:rPr>
        <w:t>OTHER FINANCIAL INFORMATION Critical Accounting Policies and Estimates</w:t>
      </w:r>
    </w:p>
    <w:p>
      <w:pPr>
        <w:jc w:val="both"/>
        <w:spacing w:after="0" w:line="233" w:lineRule="auto"/>
        <w:rPr>
          <w:sz w:val="20"/>
          <w:szCs w:val="20"/>
          <w:color w:val="auto"/>
        </w:rPr>
      </w:pPr>
      <w:r>
        <w:rPr>
          <w:rFonts w:ascii="Arial" w:cs="Arial" w:eastAsia="Arial" w:hAnsi="Arial"/>
          <w:sz w:val="17"/>
          <w:szCs w:val="17"/>
          <w:color w:val="auto"/>
        </w:rPr>
        <w:t>The Company’s audited consolidated financial statements include certain critical estimates regarding the effect of matters that are inherently uncertain. These estimates require management’s subjective and complex judgments. Amounts reported in the Company’s consolidated financial statements could differ materially if management used different assumptions in making these estimates, resulting in actual results differing from those estimates. Methodologies used and assumptions selected by management in making these estimates, as well as the related disclosures, have been reviewed by and discussed with the Company’s Audit Committee. Management’s determination of the critical nature of accounting estimates and judgments may change from time to time depending on facts and circumstances that management cannot currently predict.</w:t>
      </w:r>
    </w:p>
    <w:p>
      <w:pPr>
        <w:spacing w:after="0" w:line="648"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72</w:t>
      </w:r>
    </w:p>
    <w:p>
      <w:pPr>
        <w:sectPr>
          <w:pgSz w:w="11900" w:h="16838" w:orient="portrait"/>
          <w:cols w:equalWidth="0" w:num="1">
            <w:col w:w="11420"/>
          </w:cols>
          <w:pgMar w:left="240" w:top="265" w:right="2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Impairment Review of Goodwill</w:t>
      </w:r>
    </w:p>
    <w:p>
      <w:pPr>
        <w:spacing w:after="0" w:line="5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Goodwill is required to be tested annually for impairment. An interim review is performed between annual tests if facts and circumstances indicate a potential impairment may exist. The impairment review of goodwill is a critical accounting estimate because goodwill represents 25% of the Company’s total assets at December 31, 2018. Further, the review requires management to apply judgment and make assumptions which may result in an impairment charge that could be material to the Company’s financial condition and results of operations. The Company performs its impairment evaluation as of October 1, which represents the annual evaluation date.</w:t>
      </w: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Company’s reporting units, which represent the level at which goodwill is tested for impairment, are based on the operating segments of the Building Materials business. There is no goodwill related to the Magnesia Specialties business. As of October 1, 2018, the reporting units for the Building Materials business were as follows:</w:t>
      </w:r>
    </w:p>
    <w:p>
      <w:pPr>
        <w:spacing w:after="0" w:line="11" w:lineRule="exact"/>
        <w:rPr>
          <w:sz w:val="20"/>
          <w:szCs w:val="20"/>
          <w:color w:val="auto"/>
        </w:rPr>
      </w:pPr>
    </w:p>
    <w:p>
      <w:pPr>
        <w:ind w:left="740" w:hanging="300"/>
        <w:spacing w:after="0" w:line="257" w:lineRule="auto"/>
        <w:tabs>
          <w:tab w:leader="none" w:pos="74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Mid-Atlantic Division</w:t>
      </w:r>
      <w:r>
        <w:rPr>
          <w:rFonts w:ascii="Arial" w:cs="Arial" w:eastAsia="Arial" w:hAnsi="Arial"/>
          <w:sz w:val="17"/>
          <w:szCs w:val="17"/>
          <w:color w:val="auto"/>
        </w:rPr>
        <w:t>, which includes Maryland, North Carolina,</w:t>
      </w:r>
      <w:r>
        <w:rPr>
          <w:rFonts w:ascii="Arial" w:cs="Arial" w:eastAsia="Arial" w:hAnsi="Arial"/>
          <w:sz w:val="17"/>
          <w:szCs w:val="17"/>
          <w:i w:val="1"/>
          <w:iCs w:val="1"/>
          <w:color w:val="auto"/>
        </w:rPr>
        <w:t xml:space="preserve"> </w:t>
      </w:r>
      <w:r>
        <w:rPr>
          <w:rFonts w:ascii="Arial" w:cs="Arial" w:eastAsia="Arial" w:hAnsi="Arial"/>
          <w:sz w:val="17"/>
          <w:szCs w:val="17"/>
          <w:color w:val="auto"/>
        </w:rPr>
        <w:t>Pennsylvania, South Carolina and Virginia;</w:t>
      </w:r>
    </w:p>
    <w:p>
      <w:pPr>
        <w:ind w:left="740" w:hanging="300"/>
        <w:spacing w:after="0" w:line="257" w:lineRule="auto"/>
        <w:tabs>
          <w:tab w:leader="none" w:pos="74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Mideast Division</w:t>
      </w:r>
      <w:r>
        <w:rPr>
          <w:rFonts w:ascii="Arial" w:cs="Arial" w:eastAsia="Arial" w:hAnsi="Arial"/>
          <w:sz w:val="17"/>
          <w:szCs w:val="17"/>
          <w:color w:val="auto"/>
        </w:rPr>
        <w:t>, which includes Indiana, Kentucky, Ohio, and</w:t>
      </w:r>
      <w:r>
        <w:rPr>
          <w:rFonts w:ascii="Arial" w:cs="Arial" w:eastAsia="Arial" w:hAnsi="Arial"/>
          <w:sz w:val="17"/>
          <w:szCs w:val="17"/>
          <w:i w:val="1"/>
          <w:iCs w:val="1"/>
          <w:color w:val="auto"/>
        </w:rPr>
        <w:t xml:space="preserve"> </w:t>
      </w:r>
      <w:r>
        <w:rPr>
          <w:rFonts w:ascii="Arial" w:cs="Arial" w:eastAsia="Arial" w:hAnsi="Arial"/>
          <w:sz w:val="17"/>
          <w:szCs w:val="17"/>
          <w:color w:val="auto"/>
        </w:rPr>
        <w:t>West Virginia;</w:t>
      </w:r>
    </w:p>
    <w:p>
      <w:pPr>
        <w:ind w:left="740" w:right="20" w:hanging="300"/>
        <w:spacing w:after="0" w:line="257" w:lineRule="auto"/>
        <w:tabs>
          <w:tab w:leader="none" w:pos="74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Midwest Division</w:t>
      </w:r>
      <w:r>
        <w:rPr>
          <w:rFonts w:ascii="Arial" w:cs="Arial" w:eastAsia="Arial" w:hAnsi="Arial"/>
          <w:sz w:val="17"/>
          <w:szCs w:val="17"/>
          <w:color w:val="auto"/>
        </w:rPr>
        <w:t>, which includes Iowa, northern Kansas,</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Missouri, eastern Nebraska and Washington;</w:t>
      </w:r>
    </w:p>
    <w:p>
      <w:pPr>
        <w:jc w:val="both"/>
        <w:ind w:left="740" w:hanging="300"/>
        <w:spacing w:after="0" w:line="248" w:lineRule="auto"/>
        <w:tabs>
          <w:tab w:leader="none" w:pos="74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Southeast Division</w:t>
      </w:r>
      <w:r>
        <w:rPr>
          <w:rFonts w:ascii="Arial" w:cs="Arial" w:eastAsia="Arial" w:hAnsi="Arial"/>
          <w:sz w:val="17"/>
          <w:szCs w:val="17"/>
          <w:color w:val="auto"/>
        </w:rPr>
        <w:t>, which includes Alabama, Florida, Georgia,</w:t>
      </w:r>
      <w:r>
        <w:rPr>
          <w:rFonts w:ascii="Arial" w:cs="Arial" w:eastAsia="Arial" w:hAnsi="Arial"/>
          <w:sz w:val="17"/>
          <w:szCs w:val="17"/>
          <w:i w:val="1"/>
          <w:iCs w:val="1"/>
          <w:color w:val="auto"/>
        </w:rPr>
        <w:t xml:space="preserve"> </w:t>
      </w:r>
      <w:r>
        <w:rPr>
          <w:rFonts w:ascii="Arial" w:cs="Arial" w:eastAsia="Arial" w:hAnsi="Arial"/>
          <w:sz w:val="17"/>
          <w:szCs w:val="17"/>
          <w:color w:val="auto"/>
        </w:rPr>
        <w:t>Tennessee and offshore operations in the Bahamas and Nova Scotia;</w:t>
      </w:r>
    </w:p>
    <w:p>
      <w:pPr>
        <w:spacing w:after="0" w:line="1" w:lineRule="exact"/>
        <w:rPr>
          <w:rFonts w:ascii="Arial" w:cs="Arial" w:eastAsia="Arial" w:hAnsi="Arial"/>
          <w:sz w:val="17"/>
          <w:szCs w:val="17"/>
          <w:color w:val="auto"/>
        </w:rPr>
      </w:pPr>
    </w:p>
    <w:p>
      <w:pPr>
        <w:jc w:val="both"/>
        <w:ind w:left="740" w:hanging="300"/>
        <w:spacing w:after="0" w:line="248" w:lineRule="auto"/>
        <w:tabs>
          <w:tab w:leader="none" w:pos="74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Southwest Division</w:t>
      </w:r>
      <w:r>
        <w:rPr>
          <w:rFonts w:ascii="Arial" w:cs="Arial" w:eastAsia="Arial" w:hAnsi="Arial"/>
          <w:sz w:val="17"/>
          <w:szCs w:val="17"/>
          <w:color w:val="auto"/>
        </w:rPr>
        <w:t>, which includes the aggregates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line operations in Arkansas, southern Kansas, Louisiana, Oklahoma and Texas;</w:t>
      </w:r>
    </w:p>
    <w:p>
      <w:pPr>
        <w:spacing w:after="0" w:line="1" w:lineRule="exact"/>
        <w:rPr>
          <w:rFonts w:ascii="Arial" w:cs="Arial" w:eastAsia="Arial" w:hAnsi="Arial"/>
          <w:sz w:val="17"/>
          <w:szCs w:val="17"/>
          <w:color w:val="auto"/>
        </w:rPr>
      </w:pPr>
    </w:p>
    <w:p>
      <w:pPr>
        <w:jc w:val="both"/>
        <w:ind w:left="740" w:hanging="300"/>
        <w:spacing w:after="0" w:line="248" w:lineRule="auto"/>
        <w:tabs>
          <w:tab w:leader="none" w:pos="74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Cement and Southwest Ready Mix Division</w:t>
      </w:r>
      <w:r>
        <w:rPr>
          <w:rFonts w:ascii="Arial" w:cs="Arial" w:eastAsia="Arial" w:hAnsi="Arial"/>
          <w:sz w:val="17"/>
          <w:szCs w:val="17"/>
          <w:color w:val="auto"/>
        </w:rPr>
        <w:t>, which includes</w:t>
      </w:r>
      <w:r>
        <w:rPr>
          <w:rFonts w:ascii="Arial" w:cs="Arial" w:eastAsia="Arial" w:hAnsi="Arial"/>
          <w:sz w:val="17"/>
          <w:szCs w:val="17"/>
          <w:i w:val="1"/>
          <w:iCs w:val="1"/>
          <w:color w:val="auto"/>
        </w:rPr>
        <w:t xml:space="preserve"> </w:t>
      </w:r>
      <w:r>
        <w:rPr>
          <w:rFonts w:ascii="Arial" w:cs="Arial" w:eastAsia="Arial" w:hAnsi="Arial"/>
          <w:sz w:val="17"/>
          <w:szCs w:val="17"/>
          <w:color w:val="auto"/>
        </w:rPr>
        <w:t>the cement operations in Texas and the ready mixed concrete operations in Arkansas, Louisiana and Texas; and</w:t>
      </w:r>
    </w:p>
    <w:p>
      <w:pPr>
        <w:spacing w:after="0" w:line="1" w:lineRule="exact"/>
        <w:rPr>
          <w:rFonts w:ascii="Arial" w:cs="Arial" w:eastAsia="Arial" w:hAnsi="Arial"/>
          <w:sz w:val="17"/>
          <w:szCs w:val="17"/>
          <w:color w:val="auto"/>
        </w:rPr>
      </w:pPr>
    </w:p>
    <w:p>
      <w:pPr>
        <w:ind w:left="740" w:right="20" w:hanging="300"/>
        <w:spacing w:after="0" w:line="265" w:lineRule="auto"/>
        <w:tabs>
          <w:tab w:leader="none" w:pos="74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Rocky Mountain Division</w:t>
      </w:r>
      <w:r>
        <w:rPr>
          <w:rFonts w:ascii="Arial" w:cs="Arial" w:eastAsia="Arial" w:hAnsi="Arial"/>
          <w:sz w:val="17"/>
          <w:szCs w:val="17"/>
          <w:color w:val="auto"/>
        </w:rPr>
        <w:t>, which includes Colorado, western</w:t>
      </w:r>
      <w:r>
        <w:rPr>
          <w:rFonts w:ascii="Arial" w:cs="Arial" w:eastAsia="Arial" w:hAnsi="Arial"/>
          <w:sz w:val="17"/>
          <w:szCs w:val="17"/>
          <w:i w:val="1"/>
          <w:iCs w:val="1"/>
          <w:color w:val="auto"/>
        </w:rPr>
        <w:t xml:space="preserve"> </w:t>
      </w:r>
      <w:r>
        <w:rPr>
          <w:rFonts w:ascii="Arial" w:cs="Arial" w:eastAsia="Arial" w:hAnsi="Arial"/>
          <w:sz w:val="17"/>
          <w:szCs w:val="17"/>
          <w:color w:val="auto"/>
        </w:rPr>
        <w:t>Nebraska, Nevada, Utah and Wyoming.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Certain of the aforementioned reporting units within the Building Materials business meet the aggregation criteria and are consolidated as reportable segments for financial reporting purposes.</w:t>
      </w:r>
    </w:p>
    <w:p>
      <w:pPr>
        <w:spacing w:after="0" w:line="310" w:lineRule="exact"/>
        <w:rPr>
          <w:sz w:val="20"/>
          <w:szCs w:val="20"/>
          <w:color w:val="auto"/>
        </w:rPr>
      </w:pPr>
    </w:p>
    <w:p>
      <w:pPr>
        <w:jc w:val="both"/>
        <w:spacing w:after="0"/>
        <w:rPr>
          <w:sz w:val="20"/>
          <w:szCs w:val="20"/>
          <w:color w:val="auto"/>
        </w:rPr>
      </w:pPr>
      <w:r>
        <w:rPr>
          <w:rFonts w:ascii="Arial" w:cs="Arial" w:eastAsia="Arial" w:hAnsi="Arial"/>
          <w:sz w:val="17"/>
          <w:szCs w:val="17"/>
          <w:color w:val="auto"/>
        </w:rPr>
        <w:t>Goodwill is assigned to the respective reporting unit(s) based on the location of acquisitions at the time of consummation. Goodwill is tested for impairment by comparing the reporting unit’s fair value to its carrying value, which represents a Step-1 analysis. However, prior to Step 1, the Company may perform an optional qualitative assessment. As part of the qualitative assessment, the Company considers, among other things, the following events and circumstances: macroeconomic conditions, industry and market conditions, cost factors, overall financial performance and other business or reporting unit-specific events. If the Company concludes it is more-likely-than-not (i.e., a likelihood of more than 50%) that a reporting unit’s fair value is higher than its carrying value, the Company does not perform any further goodwill impairment testing for that reporting unit. Otherwise, it proceeds to Step 1 of its goodwill impairment analysis. The Company may bypass the qualitative assessment for any reporting unit in any period and proceed directly with the quantitative calculation in Step 1. When the Company validates its conclusion by measuring fair value, it may resume performing a qualitative assessment for a reporting unit in any subsequent period. If the reporting unit’s fair value exceeds its carrying value, no further calculation is necessary. A reporting unit with a carrying value in excess of its fair value constitutes a Step 1 failure and may lead to an impairment charge.</w:t>
      </w:r>
    </w:p>
    <w:p>
      <w:pPr>
        <w:spacing w:after="0" w:line="37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2018, the Company performed a Step-1 analysis for the Cement and Southwest Ready Mix Division. The fair value was calculated using a discounted cash flow model. Key assumptions included management’s estimates of changes in sales price, shipment volumes and production costs as well as assumptions of future profitability, capital requirements, a discount rate of 10.0% and a terminal growth rate of 3.5%. The fair value of the Cement and Southwest Ready Mix Division reporting unit exceeded its carrying value by 19%, or $382 million. For sensitivity purposes, a 100-basis-point increase in the discount rate, holding all other assumptions constant, would result in the Cement and Southwest Ready Mix Division reporting unit passing the Step-1 analysis by $16 million, or 1%. The Cement and Southwest Ready Mix Division reporting unit had $941 million of goodwill at December 31, 2018.</w:t>
      </w:r>
    </w:p>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73</w:t>
      </w:r>
    </w:p>
    <w:p>
      <w:pPr>
        <w:sectPr>
          <w:pgSz w:w="11900" w:h="16838" w:orient="portrait"/>
          <w:cols w:equalWidth="0" w:num="1">
            <w:col w:w="11420"/>
          </w:cols>
          <w:pgMar w:left="240" w:top="265" w:right="2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Price, cost and volume changes, profitability, efficiency improvements, the discount rate and the terminal growth rate are significant assumptions in performing a Step-1 analysis. These assumptions are interdependent and have a significant impact on the results of the test.</w:t>
      </w:r>
    </w:p>
    <w:p>
      <w:pPr>
        <w:spacing w:after="0" w:line="31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Future profitability and capital requirements are, by their nature, estimates. Price, cost and volume assumptions were based on current forecasts, including the use of external sources, and market conditions. Capital requirements included maintenance-level needs, efficiency projects and known capacity-increasing initiatives.</w:t>
      </w:r>
    </w:p>
    <w:p>
      <w:pPr>
        <w:spacing w:after="0" w:line="31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 discount rate is calculated for each reporting unit that requires a Step-1 analysis and represents its weighted average cost of capital. The calculation of the discount rate includes the following components, which are primarily based on published sources: equity risk premium, historical beta, risk-free interest rate, small-stock premium, company-specific premium and borrowing rate.</w:t>
      </w:r>
    </w:p>
    <w:p>
      <w:pPr>
        <w:spacing w:after="0" w:line="31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terminal growth rate was based on average annual increase in GDP.</w:t>
      </w:r>
    </w:p>
    <w:p>
      <w:pPr>
        <w:spacing w:after="0" w:line="306"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Management believes that all assumptions used were reasonable based on historical operating results and expected future trends. However, if future operating results are unfavorable as compared with forecasts, the results of future goodwill impairment evaluations could be negatively affected. Further, mineral reserves, which represent underlying assets producing the reporting units’ cash flows for the aggregates product line, are depleting assets by their nature. The potential write off of goodwill from future evaluations represents a risk to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8D5D6C"/>
        </w:rPr>
        <w:t>Pension Expense-Selection of Assumptions</w:t>
      </w:r>
    </w:p>
    <w:p>
      <w:pPr>
        <w:spacing w:after="0" w:line="5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Company sponsors noncontributory defined benefit pension plans that cover substantially all employees and a Supplemental Excess Retirement Plan (SERP) for certain retirees (see Note K to the audited consolidated financial statements). Annual pension expense (inclusive of SERP expense) consists of several components:</w:t>
      </w:r>
    </w:p>
    <w:p>
      <w:pPr>
        <w:spacing w:after="0" w:line="11" w:lineRule="exact"/>
        <w:rPr>
          <w:sz w:val="20"/>
          <w:szCs w:val="20"/>
          <w:color w:val="auto"/>
        </w:rPr>
      </w:pPr>
    </w:p>
    <w:p>
      <w:pPr>
        <w:jc w:val="both"/>
        <w:ind w:left="740" w:hanging="300"/>
        <w:spacing w:after="0" w:line="248" w:lineRule="auto"/>
        <w:tabs>
          <w:tab w:leader="none" w:pos="74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Service Cost</w:t>
      </w:r>
      <w:r>
        <w:rPr>
          <w:rFonts w:ascii="Arial" w:cs="Arial" w:eastAsia="Arial" w:hAnsi="Arial"/>
          <w:sz w:val="17"/>
          <w:szCs w:val="17"/>
          <w:color w:val="auto"/>
        </w:rPr>
        <w:t>, which represents the present value of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attributed to services rendered in the current year, measured by expected future salary levels.</w:t>
      </w:r>
    </w:p>
    <w:p>
      <w:pPr>
        <w:spacing w:after="0" w:line="1" w:lineRule="exact"/>
        <w:rPr>
          <w:rFonts w:ascii="Arial" w:cs="Arial" w:eastAsia="Arial" w:hAnsi="Arial"/>
          <w:sz w:val="17"/>
          <w:szCs w:val="17"/>
          <w:color w:val="auto"/>
        </w:rPr>
      </w:pPr>
    </w:p>
    <w:p>
      <w:pPr>
        <w:ind w:left="740" w:right="20" w:hanging="300"/>
        <w:spacing w:after="0" w:line="265" w:lineRule="auto"/>
        <w:tabs>
          <w:tab w:leader="none" w:pos="74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Interest Cost</w:t>
      </w:r>
      <w:r>
        <w:rPr>
          <w:rFonts w:ascii="Arial" w:cs="Arial" w:eastAsia="Arial" w:hAnsi="Arial"/>
          <w:sz w:val="17"/>
          <w:szCs w:val="17"/>
          <w:color w:val="auto"/>
        </w:rPr>
        <w:t>, which represents one year’s additional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on the outstanding liability.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740" w:right="20" w:hanging="300"/>
        <w:spacing w:after="0" w:line="257" w:lineRule="auto"/>
        <w:tabs>
          <w:tab w:leader="none" w:pos="74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Expected Return on Assets</w:t>
      </w:r>
      <w:r>
        <w:rPr>
          <w:rFonts w:ascii="Arial" w:cs="Arial" w:eastAsia="Arial" w:hAnsi="Arial"/>
          <w:sz w:val="17"/>
          <w:szCs w:val="17"/>
          <w:color w:val="auto"/>
        </w:rPr>
        <w:t>, which represents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return on pension plan assets.</w:t>
      </w:r>
    </w:p>
    <w:p>
      <w:pPr>
        <w:jc w:val="both"/>
        <w:ind w:left="740" w:hanging="300"/>
        <w:spacing w:after="0" w:line="234" w:lineRule="auto"/>
        <w:tabs>
          <w:tab w:leader="none" w:pos="74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Amortization of Prior Service Cost and Actuarial Gains and Losses</w:t>
      </w:r>
      <w:r>
        <w:rPr>
          <w:rFonts w:ascii="Arial" w:cs="Arial" w:eastAsia="Arial" w:hAnsi="Arial"/>
          <w:sz w:val="17"/>
          <w:szCs w:val="17"/>
          <w:color w:val="auto"/>
        </w:rPr>
        <w:t>, which represents components that are recognized over</w:t>
      </w:r>
      <w:r>
        <w:rPr>
          <w:rFonts w:ascii="Arial" w:cs="Arial" w:eastAsia="Arial" w:hAnsi="Arial"/>
          <w:sz w:val="17"/>
          <w:szCs w:val="17"/>
          <w:i w:val="1"/>
          <w:iCs w:val="1"/>
          <w:color w:val="auto"/>
        </w:rPr>
        <w:t xml:space="preserve"> </w:t>
      </w:r>
      <w:r>
        <w:rPr>
          <w:rFonts w:ascii="Arial" w:cs="Arial" w:eastAsia="Arial" w:hAnsi="Arial"/>
          <w:sz w:val="17"/>
          <w:szCs w:val="17"/>
          <w:color w:val="auto"/>
        </w:rPr>
        <w:t>time rather than immediately. Prior service cost represents credit given to employees for years of service prior to plan inception, of which there is an insignificant amount at December 31, 2018. Actuarial gains and losses arise from changes in assumptions regarding future events or when actual returns on pension assets differ from expected returns. At December 31, 2018, the unrecognized actuarial loss was $233.7 million. Pension accounting rules currently allow companies to amortize the portion of the unrecognized actuarial loss that represents more than 10% of the greater of the projected benefit obligation or pension plan assets, using the average remaining service life for the amortization period. Therefore, the $233.7 million unrecognized actuarial loss consists of $148.9 million currently subject to amortization in 2019 and $84.8 million not subject to amortization in 2019. $15.7 million of amortization of the actuarial loss is estimated to be a component of 2019 annual pension expense.</w:t>
      </w:r>
    </w:p>
    <w:p>
      <w:pPr>
        <w:spacing w:after="0" w:line="31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These components are calculated annually to determine the pension expense reflected in the Company’s results of operations.</w:t>
      </w:r>
    </w:p>
    <w:p>
      <w:pPr>
        <w:spacing w:after="0" w:line="30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Management believes the selection of assumptions related to the annual pension expense is a critical accounting estimate due to the high degree of volatility in the expense dependent on selected assumptions. The key assumptions are as follows:</w:t>
      </w:r>
    </w:p>
    <w:p>
      <w:pPr>
        <w:spacing w:after="0" w:line="10" w:lineRule="exact"/>
        <w:rPr>
          <w:sz w:val="20"/>
          <w:szCs w:val="20"/>
          <w:color w:val="auto"/>
        </w:rPr>
      </w:pPr>
    </w:p>
    <w:p>
      <w:pPr>
        <w:jc w:val="both"/>
        <w:ind w:left="740" w:hanging="300"/>
        <w:spacing w:after="0" w:line="248" w:lineRule="auto"/>
        <w:tabs>
          <w:tab w:leader="none" w:pos="7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discount rate</w:t>
      </w:r>
      <w:r>
        <w:rPr>
          <w:rFonts w:ascii="Arial" w:cs="Arial" w:eastAsia="Arial" w:hAnsi="Arial"/>
          <w:sz w:val="17"/>
          <w:szCs w:val="17"/>
          <w:color w:val="auto"/>
        </w:rPr>
        <w:t xml:space="preserve"> is used to present value the pension obligation and represents the current rate at which the pension obligations could be effectively settled.</w:t>
      </w:r>
    </w:p>
    <w:p>
      <w:pPr>
        <w:spacing w:after="0" w:line="1" w:lineRule="exact"/>
        <w:rPr>
          <w:rFonts w:ascii="Arial" w:cs="Arial" w:eastAsia="Arial" w:hAnsi="Arial"/>
          <w:sz w:val="17"/>
          <w:szCs w:val="17"/>
          <w:color w:val="auto"/>
        </w:rPr>
      </w:pPr>
    </w:p>
    <w:p>
      <w:pPr>
        <w:jc w:val="both"/>
        <w:ind w:left="740" w:hanging="300"/>
        <w:spacing w:after="0"/>
        <w:tabs>
          <w:tab w:leader="none" w:pos="7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expected long-term rate of return on pension plan assets</w:t>
      </w:r>
      <w:r>
        <w:rPr>
          <w:rFonts w:ascii="Arial" w:cs="Arial" w:eastAsia="Arial" w:hAnsi="Arial"/>
          <w:sz w:val="17"/>
          <w:szCs w:val="17"/>
          <w:color w:val="auto"/>
        </w:rPr>
        <w:t xml:space="preserve"> is used to estimate future asset returns and should reflect the average rate of long-term earnings on assets invested to provide for the benefits included in the projected benefit obligation.</w:t>
      </w:r>
    </w:p>
    <w:p>
      <w:pPr>
        <w:spacing w:after="0" w:line="203" w:lineRule="exact"/>
        <w:rPr>
          <w:rFonts w:ascii="Arial" w:cs="Arial" w:eastAsia="Arial" w:hAnsi="Arial"/>
          <w:sz w:val="17"/>
          <w:szCs w:val="17"/>
          <w:color w:val="auto"/>
        </w:rPr>
      </w:pPr>
    </w:p>
    <w:p>
      <w:pPr>
        <w:ind w:left="740" w:hanging="300"/>
        <w:spacing w:after="0" w:line="257" w:lineRule="auto"/>
        <w:tabs>
          <w:tab w:leader="none" w:pos="7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mortality table</w:t>
      </w:r>
      <w:r>
        <w:rPr>
          <w:rFonts w:ascii="Arial" w:cs="Arial" w:eastAsia="Arial" w:hAnsi="Arial"/>
          <w:sz w:val="17"/>
          <w:szCs w:val="17"/>
          <w:color w:val="auto"/>
        </w:rPr>
        <w:t xml:space="preserve"> represents published statistics on the expected lives of people.</w:t>
      </w:r>
    </w:p>
    <w:p>
      <w:pPr>
        <w:jc w:val="both"/>
        <w:ind w:left="740" w:hanging="300"/>
        <w:spacing w:after="0" w:line="248" w:lineRule="auto"/>
        <w:tabs>
          <w:tab w:leader="none" w:pos="7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rate of increase in future compensation levels</w:t>
      </w:r>
      <w:r>
        <w:rPr>
          <w:rFonts w:ascii="Arial" w:cs="Arial" w:eastAsia="Arial" w:hAnsi="Arial"/>
          <w:sz w:val="17"/>
          <w:szCs w:val="17"/>
          <w:color w:val="auto"/>
        </w:rPr>
        <w:t xml:space="preserve"> is used to project the pay-related pension benefit formula and should estimate actual future compensation levels.</w:t>
      </w:r>
    </w:p>
    <w:p>
      <w:pPr>
        <w:spacing w:after="0" w:line="349"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74</w:t>
      </w:r>
    </w:p>
    <w:p>
      <w:pPr>
        <w:sectPr>
          <w:pgSz w:w="11900" w:h="16838" w:orient="portrait"/>
          <w:cols w:equalWidth="0" w:num="1">
            <w:col w:w="11420"/>
          </w:cols>
          <w:pgMar w:left="240" w:top="265" w:right="2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Management’s selection of the discount rate is based on an analysis that estimates the current rate of return for high-quality, fixed-income investments with maturities matching the payment of pension benefits that could be purchased to settle the obligations. The Company selected a hypothetical portfolio of Moody’s Aa bonds, with maturities that mirror the benefit obligations, to determine the discount rate. At December 31, 2018, the Company selected a discount rate assumption of 4.38%, a 62-basis-point increase over the prior-year assumption. Of the four key assumptions, the discount rate is generally the most volatile and sensitive estimate. Accordingly, a change in this assumption has the most significant impact on the annual pension expense.</w:t>
      </w:r>
    </w:p>
    <w:p>
      <w:pPr>
        <w:spacing w:after="0" w:line="31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Management’s selection of the rate of increase in future compensation levels is generally based on the Company’s historical salary increases, including cost of living adjustments and merit and promotion increases, giving consideration to any known future trends. A higher rate of increase results in higher pension expense. The assumed long-term rate of increase is 4.5%.</w:t>
      </w:r>
    </w:p>
    <w:p>
      <w:pPr>
        <w:spacing w:after="0" w:line="31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Management’s selection of the expected long-term rate of return on pension fund assets is based on a building-block approach, whereby the components are weighted based on the allocation of pension plan assets. Given that these returns are long term, there are generally not significant fluctuations in the expected rate of return from year to year. Based on the currently projected returns on these assets and related expenses, the Company selected an expected return on assets of 6.75%, the same as the prior-year rate. The following table presents the expected return on pension assets as compared with the actual return on pension assets: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00" w:type="dxa"/>
            <w:vAlign w:val="bottom"/>
          </w:tcPr>
          <w:p>
            <w:pPr>
              <w:spacing w:after="0"/>
              <w:rPr>
                <w:sz w:val="15"/>
                <w:szCs w:val="15"/>
                <w:color w:val="auto"/>
              </w:rPr>
            </w:pPr>
          </w:p>
        </w:tc>
        <w:tc>
          <w:tcPr>
            <w:tcW w:w="2480" w:type="dxa"/>
            <w:vAlign w:val="bottom"/>
          </w:tcPr>
          <w:p>
            <w:pPr>
              <w:jc w:val="right"/>
              <w:ind w:right="678"/>
              <w:spacing w:after="0"/>
              <w:rPr>
                <w:sz w:val="20"/>
                <w:szCs w:val="20"/>
                <w:color w:val="auto"/>
              </w:rPr>
            </w:pPr>
            <w:r>
              <w:rPr>
                <w:rFonts w:ascii="Arial" w:cs="Arial" w:eastAsia="Arial" w:hAnsi="Arial"/>
                <w:sz w:val="15"/>
                <w:szCs w:val="15"/>
                <w:color w:val="auto"/>
              </w:rPr>
              <w:t>Expected Return</w:t>
            </w:r>
          </w:p>
        </w:tc>
        <w:tc>
          <w:tcPr>
            <w:tcW w:w="1800" w:type="dxa"/>
            <w:vAlign w:val="bottom"/>
          </w:tcPr>
          <w:p>
            <w:pPr>
              <w:jc w:val="center"/>
              <w:ind w:left="38"/>
              <w:spacing w:after="0"/>
              <w:rPr>
                <w:sz w:val="20"/>
                <w:szCs w:val="20"/>
                <w:color w:val="auto"/>
              </w:rPr>
            </w:pPr>
            <w:r>
              <w:rPr>
                <w:rFonts w:ascii="Arial" w:cs="Arial" w:eastAsia="Arial" w:hAnsi="Arial"/>
                <w:sz w:val="15"/>
                <w:szCs w:val="15"/>
                <w:color w:val="auto"/>
              </w:rPr>
              <w:t>Actual Return</w:t>
            </w:r>
          </w:p>
        </w:tc>
      </w:tr>
      <w:tr>
        <w:trPr>
          <w:trHeight w:val="179"/>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(add 000)</w:t>
            </w:r>
          </w:p>
        </w:tc>
        <w:tc>
          <w:tcPr>
            <w:tcW w:w="2480" w:type="dxa"/>
            <w:vAlign w:val="bottom"/>
            <w:tcBorders>
              <w:bottom w:val="single" w:sz="8" w:color="auto"/>
            </w:tcBorders>
          </w:tcPr>
          <w:p>
            <w:pPr>
              <w:jc w:val="right"/>
              <w:ind w:right="618"/>
              <w:spacing w:after="0"/>
              <w:rPr>
                <w:sz w:val="20"/>
                <w:szCs w:val="20"/>
                <w:color w:val="auto"/>
              </w:rPr>
            </w:pPr>
            <w:r>
              <w:rPr>
                <w:rFonts w:ascii="Arial" w:cs="Arial" w:eastAsia="Arial" w:hAnsi="Arial"/>
                <w:sz w:val="15"/>
                <w:szCs w:val="15"/>
                <w:color w:val="auto"/>
              </w:rPr>
              <w:t>on Pension Assets</w:t>
            </w:r>
          </w:p>
        </w:tc>
        <w:tc>
          <w:tcPr>
            <w:tcW w:w="1800" w:type="dxa"/>
            <w:vAlign w:val="bottom"/>
            <w:tcBorders>
              <w:bottom w:val="single" w:sz="8" w:color="auto"/>
            </w:tcBorders>
          </w:tcPr>
          <w:p>
            <w:pPr>
              <w:jc w:val="center"/>
              <w:ind w:left="38"/>
              <w:spacing w:after="0"/>
              <w:rPr>
                <w:sz w:val="20"/>
                <w:szCs w:val="20"/>
                <w:color w:val="auto"/>
              </w:rPr>
            </w:pPr>
            <w:r>
              <w:rPr>
                <w:rFonts w:ascii="Arial" w:cs="Arial" w:eastAsia="Arial" w:hAnsi="Arial"/>
                <w:sz w:val="15"/>
                <w:szCs w:val="15"/>
                <w:color w:val="auto"/>
              </w:rPr>
              <w:t>on Pension Assets</w:t>
            </w:r>
          </w:p>
        </w:tc>
      </w:tr>
      <w:tr>
        <w:trPr>
          <w:trHeight w:val="183"/>
        </w:trPr>
        <w:tc>
          <w:tcPr>
            <w:tcW w:w="12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0085CD"/>
              </w:rPr>
              <w:t>2018</w:t>
            </w:r>
          </w:p>
        </w:tc>
        <w:tc>
          <w:tcPr>
            <w:tcW w:w="2480" w:type="dxa"/>
            <w:vAlign w:val="bottom"/>
            <w:shd w:val="clear" w:color="auto" w:fill="CCEEFF"/>
          </w:tcPr>
          <w:p>
            <w:pPr>
              <w:jc w:val="right"/>
              <w:ind w:right="218"/>
              <w:spacing w:after="0" w:line="183" w:lineRule="exact"/>
              <w:rPr>
                <w:sz w:val="20"/>
                <w:szCs w:val="20"/>
                <w:color w:val="auto"/>
              </w:rPr>
            </w:pPr>
            <w:r>
              <w:rPr>
                <w:rFonts w:ascii="Arial" w:cs="Arial" w:eastAsia="Arial" w:hAnsi="Arial"/>
                <w:sz w:val="17"/>
                <w:szCs w:val="17"/>
                <w:b w:val="1"/>
                <w:bCs w:val="1"/>
                <w:color w:val="auto"/>
              </w:rPr>
              <w:t>$46,011</w:t>
            </w:r>
          </w:p>
        </w:tc>
        <w:tc>
          <w:tcPr>
            <w:tcW w:w="1800" w:type="dxa"/>
            <w:vAlign w:val="bottom"/>
            <w:shd w:val="clear" w:color="auto" w:fill="CCEEFF"/>
          </w:tcPr>
          <w:p>
            <w:pPr>
              <w:ind w:left="980"/>
              <w:spacing w:after="0" w:line="183" w:lineRule="exact"/>
              <w:rPr>
                <w:sz w:val="20"/>
                <w:szCs w:val="20"/>
                <w:color w:val="auto"/>
              </w:rPr>
            </w:pPr>
            <w:r>
              <w:rPr>
                <w:rFonts w:ascii="Arial" w:cs="Arial" w:eastAsia="Arial" w:hAnsi="Arial"/>
                <w:sz w:val="17"/>
                <w:szCs w:val="17"/>
                <w:b w:val="1"/>
                <w:bCs w:val="1"/>
                <w:color w:val="auto"/>
              </w:rPr>
              <w:t>$(40,823)</w:t>
            </w:r>
          </w:p>
        </w:tc>
      </w:tr>
      <w:tr>
        <w:trPr>
          <w:trHeight w:val="189"/>
        </w:trPr>
        <w:tc>
          <w:tcPr>
            <w:tcW w:w="1200" w:type="dxa"/>
            <w:vAlign w:val="bottom"/>
          </w:tcPr>
          <w:p>
            <w:pPr>
              <w:ind w:left="20"/>
              <w:spacing w:after="0" w:line="189" w:lineRule="exact"/>
              <w:rPr>
                <w:sz w:val="20"/>
                <w:szCs w:val="20"/>
                <w:color w:val="auto"/>
              </w:rPr>
            </w:pPr>
            <w:r>
              <w:rPr>
                <w:rFonts w:ascii="Arial" w:cs="Arial" w:eastAsia="Arial" w:hAnsi="Arial"/>
                <w:sz w:val="17"/>
                <w:szCs w:val="17"/>
                <w:color w:val="auto"/>
              </w:rPr>
              <w:t>2017</w:t>
            </w:r>
          </w:p>
        </w:tc>
        <w:tc>
          <w:tcPr>
            <w:tcW w:w="2480" w:type="dxa"/>
            <w:vAlign w:val="bottom"/>
          </w:tcPr>
          <w:p>
            <w:pPr>
              <w:jc w:val="right"/>
              <w:ind w:right="218"/>
              <w:spacing w:after="0" w:line="189" w:lineRule="exact"/>
              <w:rPr>
                <w:sz w:val="20"/>
                <w:szCs w:val="20"/>
                <w:color w:val="auto"/>
              </w:rPr>
            </w:pPr>
            <w:r>
              <w:rPr>
                <w:rFonts w:ascii="Arial" w:cs="Arial" w:eastAsia="Arial" w:hAnsi="Arial"/>
                <w:sz w:val="17"/>
                <w:szCs w:val="17"/>
                <w:color w:val="auto"/>
              </w:rPr>
              <w:t>$39,759</w:t>
            </w:r>
          </w:p>
        </w:tc>
        <w:tc>
          <w:tcPr>
            <w:tcW w:w="1800" w:type="dxa"/>
            <w:vAlign w:val="bottom"/>
          </w:tcPr>
          <w:p>
            <w:pPr>
              <w:ind w:left="1000"/>
              <w:spacing w:after="0" w:line="189" w:lineRule="exact"/>
              <w:rPr>
                <w:sz w:val="20"/>
                <w:szCs w:val="20"/>
                <w:color w:val="auto"/>
              </w:rPr>
            </w:pPr>
            <w:r>
              <w:rPr>
                <w:rFonts w:ascii="Arial" w:cs="Arial" w:eastAsia="Arial" w:hAnsi="Arial"/>
                <w:sz w:val="17"/>
                <w:szCs w:val="17"/>
                <w:color w:val="auto"/>
              </w:rPr>
              <w:t>$ 83,091</w:t>
            </w:r>
          </w:p>
        </w:tc>
      </w:tr>
      <w:tr>
        <w:trPr>
          <w:trHeight w:val="189"/>
        </w:trPr>
        <w:tc>
          <w:tcPr>
            <w:tcW w:w="12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2016</w:t>
            </w:r>
          </w:p>
        </w:tc>
        <w:tc>
          <w:tcPr>
            <w:tcW w:w="2480" w:type="dxa"/>
            <w:vAlign w:val="bottom"/>
            <w:shd w:val="clear" w:color="auto" w:fill="CCEEFF"/>
          </w:tcPr>
          <w:p>
            <w:pPr>
              <w:jc w:val="right"/>
              <w:ind w:right="218"/>
              <w:spacing w:after="0" w:line="189" w:lineRule="exact"/>
              <w:rPr>
                <w:sz w:val="20"/>
                <w:szCs w:val="20"/>
                <w:color w:val="auto"/>
              </w:rPr>
            </w:pPr>
            <w:r>
              <w:rPr>
                <w:rFonts w:ascii="Arial" w:cs="Arial" w:eastAsia="Arial" w:hAnsi="Arial"/>
                <w:sz w:val="17"/>
                <w:szCs w:val="17"/>
                <w:color w:val="auto"/>
              </w:rPr>
              <w:t>$37,699</w:t>
            </w:r>
          </w:p>
        </w:tc>
        <w:tc>
          <w:tcPr>
            <w:tcW w:w="1800" w:type="dxa"/>
            <w:vAlign w:val="bottom"/>
            <w:shd w:val="clear" w:color="auto" w:fill="CCEEFF"/>
          </w:tcPr>
          <w:p>
            <w:pPr>
              <w:ind w:left="1000"/>
              <w:spacing w:after="0" w:line="189" w:lineRule="exact"/>
              <w:rPr>
                <w:sz w:val="20"/>
                <w:szCs w:val="20"/>
                <w:color w:val="auto"/>
              </w:rPr>
            </w:pPr>
            <w:r>
              <w:rPr>
                <w:rFonts w:ascii="Arial" w:cs="Arial" w:eastAsia="Arial" w:hAnsi="Arial"/>
                <w:sz w:val="17"/>
                <w:szCs w:val="17"/>
                <w:color w:val="auto"/>
              </w:rPr>
              <w:t>$ 35,432</w:t>
            </w:r>
          </w:p>
        </w:tc>
      </w:tr>
    </w:tbl>
    <w:p>
      <w:pPr>
        <w:spacing w:after="0" w:line="31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difference between expected return on pension assets and the actual return on pension assets is not immediately recognized in the consolidated statements of earnings.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Rather, pension accounting rules require the difference to be included in actuarial gains and losses, which are amortized into annual pension expense as previously described.</w:t>
      </w:r>
    </w:p>
    <w:p>
      <w:pPr>
        <w:spacing w:after="0" w:line="31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Company estimates the remaining lives of participants in the pension plans using the Society of Actuaries’ RP-2014 Base Mortality Table. The no-collar table was used for salaried participants and the blue-collar table, reflecting the experience of the Company’s participants, was used for hourly participants. The Company selected the MP-2018 scale for mortality improvement.</w:t>
      </w:r>
    </w:p>
    <w:p>
      <w:pPr>
        <w:spacing w:after="0" w:line="310"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Assumptions are selected on December 31 to calculate the succeeding year’s expense. For the 2018 pension expense, assumptions selected at December 31, 2017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Discount rate</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3.76%</w:t>
            </w:r>
          </w:p>
        </w:tc>
      </w:tr>
      <w:tr>
        <w:trPr>
          <w:trHeight w:val="162"/>
        </w:trPr>
        <w:tc>
          <w:tcPr>
            <w:tcW w:w="4120" w:type="dxa"/>
            <w:vAlign w:val="bottom"/>
          </w:tcPr>
          <w:p>
            <w:pPr>
              <w:spacing w:after="0" w:line="162" w:lineRule="exact"/>
              <w:rPr>
                <w:sz w:val="20"/>
                <w:szCs w:val="20"/>
                <w:color w:val="auto"/>
              </w:rPr>
            </w:pPr>
            <w:r>
              <w:rPr>
                <w:rFonts w:ascii="Arial" w:cs="Arial" w:eastAsia="Arial" w:hAnsi="Arial"/>
                <w:sz w:val="15"/>
                <w:szCs w:val="15"/>
                <w:color w:val="auto"/>
              </w:rPr>
              <w:t>Rate of increase in future compensation levels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4.50%</w:t>
            </w:r>
          </w:p>
        </w:tc>
      </w:tr>
      <w:tr>
        <w:trPr>
          <w:trHeight w:val="162"/>
        </w:trPr>
        <w:tc>
          <w:tcPr>
            <w:tcW w:w="41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Expected long-term rate of return on assets</w:t>
            </w:r>
          </w:p>
        </w:tc>
        <w:tc>
          <w:tcPr>
            <w:tcW w:w="1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6.75%</w:t>
            </w:r>
          </w:p>
        </w:tc>
      </w:tr>
      <w:tr>
        <w:trPr>
          <w:trHeight w:val="162"/>
        </w:trPr>
        <w:tc>
          <w:tcPr>
            <w:tcW w:w="4120" w:type="dxa"/>
            <w:vAlign w:val="bottom"/>
          </w:tcPr>
          <w:p>
            <w:pPr>
              <w:spacing w:after="0" w:line="162" w:lineRule="exact"/>
              <w:rPr>
                <w:sz w:val="20"/>
                <w:szCs w:val="20"/>
                <w:color w:val="auto"/>
              </w:rPr>
            </w:pPr>
            <w:r>
              <w:rPr>
                <w:rFonts w:ascii="Arial" w:cs="Arial" w:eastAsia="Arial" w:hAnsi="Arial"/>
                <w:sz w:val="15"/>
                <w:szCs w:val="15"/>
                <w:color w:val="auto"/>
              </w:rPr>
              <w:t>Average remaining service period for participants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 years</w:t>
            </w:r>
          </w:p>
        </w:tc>
      </w:tr>
      <w:tr>
        <w:trPr>
          <w:trHeight w:val="162"/>
        </w:trPr>
        <w:tc>
          <w:tcPr>
            <w:tcW w:w="41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Mortality Tables:</w:t>
            </w:r>
          </w:p>
        </w:tc>
        <w:tc>
          <w:tcPr>
            <w:tcW w:w="1480" w:type="dxa"/>
            <w:vAlign w:val="bottom"/>
            <w:shd w:val="clear" w:color="auto" w:fill="CCEEFF"/>
          </w:tcPr>
          <w:p>
            <w:pPr>
              <w:spacing w:after="0"/>
              <w:rPr>
                <w:sz w:val="14"/>
                <w:szCs w:val="14"/>
                <w:color w:val="auto"/>
              </w:rPr>
            </w:pPr>
          </w:p>
        </w:tc>
      </w:tr>
      <w:tr>
        <w:trPr>
          <w:trHeight w:val="162"/>
        </w:trPr>
        <w:tc>
          <w:tcPr>
            <w:tcW w:w="4120" w:type="dxa"/>
            <w:vAlign w:val="bottom"/>
          </w:tcPr>
          <w:p>
            <w:pPr>
              <w:ind w:left="160"/>
              <w:spacing w:after="0" w:line="162" w:lineRule="exact"/>
              <w:rPr>
                <w:sz w:val="20"/>
                <w:szCs w:val="20"/>
                <w:color w:val="auto"/>
              </w:rPr>
            </w:pPr>
            <w:r>
              <w:rPr>
                <w:rFonts w:ascii="Arial" w:cs="Arial" w:eastAsia="Arial" w:hAnsi="Arial"/>
                <w:sz w:val="15"/>
                <w:szCs w:val="15"/>
                <w:color w:val="auto"/>
              </w:rPr>
              <w:t>Base Table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RP-2014</w:t>
            </w:r>
          </w:p>
        </w:tc>
      </w:tr>
      <w:tr>
        <w:trPr>
          <w:trHeight w:val="162"/>
        </w:trPr>
        <w:tc>
          <w:tcPr>
            <w:tcW w:w="412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Mortality Improvement Scale</w:t>
            </w:r>
          </w:p>
        </w:tc>
        <w:tc>
          <w:tcPr>
            <w:tcW w:w="1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MP-2017</w:t>
            </w:r>
          </w:p>
        </w:tc>
      </w:tr>
    </w:tbl>
    <w:p>
      <w:pPr>
        <w:spacing w:after="0" w:line="31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Using these assumptions, 2018 pension expense was $34.7 million. A change in the assumptions would have had the following impact on 2018 expense:</w:t>
      </w:r>
    </w:p>
    <w:p>
      <w:pPr>
        <w:spacing w:after="0" w:line="107" w:lineRule="exact"/>
        <w:rPr>
          <w:sz w:val="20"/>
          <w:szCs w:val="20"/>
          <w:color w:val="auto"/>
        </w:rPr>
      </w:pPr>
    </w:p>
    <w:p>
      <w:pPr>
        <w:ind w:left="740" w:hanging="300"/>
        <w:spacing w:after="0" w:line="243" w:lineRule="auto"/>
        <w:tabs>
          <w:tab w:leader="none" w:pos="7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25-basis-point change in the discount rate would have changed 2018 expense by approximately $3.6 million.</w:t>
      </w:r>
    </w:p>
    <w:p>
      <w:pPr>
        <w:spacing w:after="0" w:line="22" w:lineRule="exact"/>
        <w:rPr>
          <w:rFonts w:ascii="Arial" w:cs="Arial" w:eastAsia="Arial" w:hAnsi="Arial"/>
          <w:sz w:val="17"/>
          <w:szCs w:val="17"/>
          <w:color w:val="auto"/>
        </w:rPr>
      </w:pPr>
    </w:p>
    <w:p>
      <w:pPr>
        <w:jc w:val="both"/>
        <w:ind w:left="740" w:hanging="300"/>
        <w:spacing w:after="0" w:line="238" w:lineRule="auto"/>
        <w:tabs>
          <w:tab w:leader="none" w:pos="7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25-basis-point change in the expected long-term rate of return on assets would have changed the 2018 expense by approximately $1.7 million.</w:t>
      </w:r>
    </w:p>
    <w:p>
      <w:pPr>
        <w:spacing w:after="0" w:line="31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For 2019 pension expense, assumptions selected at December 31, 2018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Discount rate</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4.38%</w:t>
            </w:r>
          </w:p>
        </w:tc>
      </w:tr>
      <w:tr>
        <w:trPr>
          <w:trHeight w:val="162"/>
        </w:trPr>
        <w:tc>
          <w:tcPr>
            <w:tcW w:w="4120" w:type="dxa"/>
            <w:vAlign w:val="bottom"/>
          </w:tcPr>
          <w:p>
            <w:pPr>
              <w:spacing w:after="0" w:line="162" w:lineRule="exact"/>
              <w:rPr>
                <w:sz w:val="20"/>
                <w:szCs w:val="20"/>
                <w:color w:val="auto"/>
              </w:rPr>
            </w:pPr>
            <w:r>
              <w:rPr>
                <w:rFonts w:ascii="Arial" w:cs="Arial" w:eastAsia="Arial" w:hAnsi="Arial"/>
                <w:sz w:val="15"/>
                <w:szCs w:val="15"/>
                <w:color w:val="auto"/>
              </w:rPr>
              <w:t>Rate of increase in future compensation levels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4.50%</w:t>
            </w:r>
          </w:p>
        </w:tc>
      </w:tr>
      <w:tr>
        <w:trPr>
          <w:trHeight w:val="162"/>
        </w:trPr>
        <w:tc>
          <w:tcPr>
            <w:tcW w:w="41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Expected long-term rate of return on assets</w:t>
            </w:r>
          </w:p>
        </w:tc>
        <w:tc>
          <w:tcPr>
            <w:tcW w:w="1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6.75%</w:t>
            </w:r>
          </w:p>
        </w:tc>
      </w:tr>
      <w:tr>
        <w:trPr>
          <w:trHeight w:val="162"/>
        </w:trPr>
        <w:tc>
          <w:tcPr>
            <w:tcW w:w="4120" w:type="dxa"/>
            <w:vAlign w:val="bottom"/>
          </w:tcPr>
          <w:p>
            <w:pPr>
              <w:spacing w:after="0" w:line="162" w:lineRule="exact"/>
              <w:rPr>
                <w:sz w:val="20"/>
                <w:szCs w:val="20"/>
                <w:color w:val="auto"/>
              </w:rPr>
            </w:pPr>
            <w:r>
              <w:rPr>
                <w:rFonts w:ascii="Arial" w:cs="Arial" w:eastAsia="Arial" w:hAnsi="Arial"/>
                <w:sz w:val="15"/>
                <w:szCs w:val="15"/>
                <w:color w:val="auto"/>
              </w:rPr>
              <w:t>Average remaining service period for participants</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10 years</w:t>
            </w:r>
          </w:p>
        </w:tc>
      </w:tr>
      <w:tr>
        <w:trPr>
          <w:trHeight w:val="162"/>
        </w:trPr>
        <w:tc>
          <w:tcPr>
            <w:tcW w:w="41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Mortality Tables:</w:t>
            </w:r>
          </w:p>
        </w:tc>
        <w:tc>
          <w:tcPr>
            <w:tcW w:w="1480" w:type="dxa"/>
            <w:vAlign w:val="bottom"/>
            <w:shd w:val="clear" w:color="auto" w:fill="CCEEFF"/>
          </w:tcPr>
          <w:p>
            <w:pPr>
              <w:spacing w:after="0"/>
              <w:rPr>
                <w:sz w:val="14"/>
                <w:szCs w:val="14"/>
                <w:color w:val="auto"/>
              </w:rPr>
            </w:pPr>
          </w:p>
        </w:tc>
      </w:tr>
      <w:tr>
        <w:trPr>
          <w:trHeight w:val="162"/>
        </w:trPr>
        <w:tc>
          <w:tcPr>
            <w:tcW w:w="4120" w:type="dxa"/>
            <w:vAlign w:val="bottom"/>
          </w:tcPr>
          <w:p>
            <w:pPr>
              <w:ind w:left="160"/>
              <w:spacing w:after="0" w:line="162" w:lineRule="exact"/>
              <w:rPr>
                <w:sz w:val="20"/>
                <w:szCs w:val="20"/>
                <w:color w:val="auto"/>
              </w:rPr>
            </w:pPr>
            <w:r>
              <w:rPr>
                <w:rFonts w:ascii="Arial" w:cs="Arial" w:eastAsia="Arial" w:hAnsi="Arial"/>
                <w:sz w:val="15"/>
                <w:szCs w:val="15"/>
                <w:color w:val="auto"/>
              </w:rPr>
              <w:t>Base Table</w:t>
            </w:r>
          </w:p>
        </w:tc>
        <w:tc>
          <w:tcPr>
            <w:tcW w:w="1480" w:type="dxa"/>
            <w:vAlign w:val="bottom"/>
          </w:tcPr>
          <w:p>
            <w:pPr>
              <w:jc w:val="right"/>
              <w:spacing w:after="0" w:line="162" w:lineRule="exact"/>
              <w:rPr>
                <w:sz w:val="20"/>
                <w:szCs w:val="20"/>
                <w:color w:val="auto"/>
              </w:rPr>
            </w:pPr>
            <w:r>
              <w:rPr>
                <w:rFonts w:ascii="Arial" w:cs="Arial" w:eastAsia="Arial" w:hAnsi="Arial"/>
                <w:sz w:val="15"/>
                <w:szCs w:val="15"/>
                <w:color w:val="auto"/>
              </w:rPr>
              <w:t>RP-2014</w:t>
            </w:r>
          </w:p>
        </w:tc>
      </w:tr>
      <w:tr>
        <w:trPr>
          <w:trHeight w:val="162"/>
        </w:trPr>
        <w:tc>
          <w:tcPr>
            <w:tcW w:w="412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Mortality Improvement Scale</w:t>
            </w:r>
          </w:p>
        </w:tc>
        <w:tc>
          <w:tcPr>
            <w:tcW w:w="1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MP-2018</w:t>
            </w:r>
          </w:p>
        </w:tc>
      </w:tr>
    </w:tbl>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75</w:t>
      </w:r>
    </w:p>
    <w:p>
      <w:pPr>
        <w:sectPr>
          <w:pgSz w:w="11900" w:h="16838" w:orient="portrait"/>
          <w:cols w:equalWidth="0" w:num="1">
            <w:col w:w="11420"/>
          </w:cols>
          <w:pgMar w:left="240" w:top="265" w:right="2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Using these assumptions, 2019 pension expense is expected to be approximately $36.9 million based on current demographics and structure of the plans. Changes in the underlying assumptions would have the following estimated impact on the 2019 expected expense:</w:t>
      </w:r>
    </w:p>
    <w:p>
      <w:pPr>
        <w:spacing w:after="0" w:line="109" w:lineRule="exact"/>
        <w:rPr>
          <w:sz w:val="20"/>
          <w:szCs w:val="20"/>
          <w:color w:val="auto"/>
        </w:rPr>
      </w:pPr>
    </w:p>
    <w:p>
      <w:pPr>
        <w:ind w:left="740" w:hanging="300"/>
        <w:spacing w:after="0" w:line="243" w:lineRule="auto"/>
        <w:tabs>
          <w:tab w:leader="none" w:pos="7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25-basis-point change in the discount rate would change the 2019 expected expense by approximately $3.7 million.</w:t>
      </w:r>
    </w:p>
    <w:p>
      <w:pPr>
        <w:spacing w:after="0" w:line="22" w:lineRule="exact"/>
        <w:rPr>
          <w:rFonts w:ascii="Arial" w:cs="Arial" w:eastAsia="Arial" w:hAnsi="Arial"/>
          <w:sz w:val="17"/>
          <w:szCs w:val="17"/>
          <w:color w:val="auto"/>
        </w:rPr>
      </w:pPr>
    </w:p>
    <w:p>
      <w:pPr>
        <w:jc w:val="both"/>
        <w:ind w:left="740" w:right="20" w:hanging="300"/>
        <w:spacing w:after="0" w:line="238" w:lineRule="auto"/>
        <w:tabs>
          <w:tab w:leader="none" w:pos="7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25-basis-point change in the expected long-term rate of return on assets would change the 2019 expected expense by approximately $1.8 million.</w:t>
      </w:r>
    </w:p>
    <w:p>
      <w:pPr>
        <w:spacing w:after="0" w:line="31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Company made pension plan contributions of $162.3 million in 2018 and $317.5 million during the five-year period ended December 31, 2018. Despite these contributions, the Company’s pension plans are underfunded (projected benefit obligation exceeds the fair value of plan assets) by $130.0 million at December 31, 2018. The Company’s projected benefit obligation was $847.9 million at December 31, 2018, a decrease of $31.4 million versus the prior year, driven by the higher discount rate. The Company expects to make pension plan and SERP contributions of $32.0 million in 2019.</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Estimated Effective Income Tax Rate</w:t>
      </w:r>
    </w:p>
    <w:p>
      <w:pPr>
        <w:spacing w:after="0" w:line="53"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Company uses the liability method to determine its provision for income taxes. Accordingly, the annual provision for income taxes reflects estimates of the current liability for income taxes, estimates of the tax effect of financial reporting versus tax basis differences using statutory income tax rates and management’s judgment with respect to any valuation allowances on deferred tax assets. The result is management’s estimate of the annual effective tax rate (the “ETR”).</w:t>
      </w:r>
    </w:p>
    <w:p>
      <w:pPr>
        <w:spacing w:after="0" w:line="31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Income for tax purposes is determined through the application of the rules and regulations under the United States Internal Revenue Code and the statutes of various foreign, state and local tax jurisdictions in which the Company conducts business. Changes in the statutory tax rates and/or tax laws in these jurisdictions can have a material effect on the ETR. The effect of these changes, if any, is recognized when the change is enacted.</w:t>
      </w:r>
    </w:p>
    <w:p>
      <w:pPr>
        <w:spacing w:after="0" w:line="31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As prescribed by these tax regulations, as well as generally accepted accounting principles, the manner in which revenues and expenses are recognized for financial reporting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and income tax purposes is not always the same. Therefore, these differences between the Company’s pretax income for financial reporting purposes and the amount of taxable income for income tax purposes are treated as either temporary or permanent, depending on their nature.</w:t>
      </w:r>
    </w:p>
    <w:p>
      <w:pPr>
        <w:spacing w:after="0" w:line="31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Temporary differences reflect revenues or expenses that are recognized in financial reporting in one period and taxable income in a different period. An example of a temporary difference is the use of the straight-line method of depreciation of machinery and equipment for financial reporting purposes and the use of an accelerated method for income tax purposes. Temporary differences result from differences between the financial reporting basis and tax basis of assets or liabilities and give rise to deferred tax assets or liabilities (i.e., future tax deductions or future taxable income). Therefore, when temporary differences occur, they are offset by a corresponding change in a deferred tax account. As such, total income tax expense as reported in the Company’s consolidated statements of earnings is not changed by temporary differences.</w:t>
      </w:r>
    </w:p>
    <w:p>
      <w:pPr>
        <w:spacing w:after="0" w:line="31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has deferred tax liabilities, primarily for property, plant and equipment, partnerships and joint ventures, pension and postretirement benefits, and goodwill. The deferred tax liabilities attributable to property, plant and equipment relate to accelerated depreciation and depletion methods used for income tax purposes as compared with the straight-line and units of production methods used for financial reporting purposes. These temporary differences will reverse over the remaining useful lives of the related assets. The deferred tax liabilities attributable to partnerships and joint ventures relate to the difference between the tax basis of the investments in partnerships and joint ventures when compared to the basis for financial reporting purposes. The temporary difference reverses through differences recognized over life of investment or through divestiture. The deferred tax liabilities attributable to employee pension and postretirement benefits relate to deductions as plans are funded for income tax purposes compared with deductions for financial reporting purposes based on accounting standards. The reversal of these differences depends on the timing of the Company’s contributions to the related benefit plans as compared to the annual expense for financial reporting purposes. The deferred tax liabilities attributable to goodwill arise as a result of amortizing goodwill for income tax purposes but not for financial reporting purposes. This temporary difference reverses when</w:t>
      </w:r>
    </w:p>
    <w:p>
      <w:pPr>
        <w:spacing w:after="0" w:line="874"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76</w:t>
      </w:r>
    </w:p>
    <w:p>
      <w:pPr>
        <w:sectPr>
          <w:pgSz w:w="11900" w:h="16838" w:orient="portrait"/>
          <w:cols w:equalWidth="0" w:num="1">
            <w:col w:w="11420"/>
          </w:cols>
          <w:pgMar w:left="240" w:top="265" w:right="2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goodwill is written off for financial reporting purposes, either through divestitures or an impairment charge. The timing of such events cannot be estimated.</w:t>
      </w:r>
    </w:p>
    <w:p>
      <w:pPr>
        <w:spacing w:after="0" w:line="31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has deferred tax assets, primarily for unvested stock-based compensation awards, employee pension and postretirement benefits, valuation reserves, inventories, net operating loss carryforwards and tax credit carryforwards. The deferred tax assets attributable to unvested stock-based compensation awards relate to differences in the timing of deductibility for financial reporting purposes versus income tax purposes. For financial reporting purposes, the fair value of the awards is deducted ratably over the requisite service period. For income tax purposes, no deduction is allowed until the award is vested or no longer subject to substantial risk of forfeiture. The Company records all excess tax benefits and tax deficiencies as income tax expense or benefit as a discrete event in the period in which the award vests or settles, increasing volatility in the income tax rate from period to period. The deferred tax assets attributable to valuation reserves and inventories relate to the deduction of estimated cost reserves and various period expenses for financial reporting purposes that are deductible in a later period for income tax purposes. The reversal of these differences depends on facts and circumstances, including the timing of deduction for income tax purposes for reserves previously established and the establishment of additional reserves for financial reporting purposes.</w:t>
      </w:r>
    </w:p>
    <w:p>
      <w:pPr>
        <w:spacing w:after="0" w:line="309"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At December 31, 2018, the Company had federal and state net operating loss carryforwards of $3.2 million and $168.1 million, respectively, with varying expiration dates through 2037 and related federal and state deferred tax assets of $0.7 million and $10.3 million, respectively. The Company recorded a valuation allowance of $8.6 million for these deferred tax assets based on the uncertainty of generating future taxable income in the respective jurisdictions during the limited period that the net operating loss carryforwards can be utilized under state statutes.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Business Combinations – Allocation of Purchase Price</w:t>
      </w:r>
    </w:p>
    <w:p>
      <w:pPr>
        <w:spacing w:after="0" w:line="5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Company’s Board of Directors and management regularly review strategic long-term plans, including potential investments in value-added acquisitions of related or similar businesses, which would increase the Company’s market share and/or are related to the Company’s existing markets.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When an acquisition is completed, the Company’s consolidated statements of earnings include the operating results of the acquired business starting from the date of acquisition, which is the date control is obtained. The purchase price is determined based on the fair value of assets and equity interests given to the seller and any future obligations to the seller as of the date of acquisition. Additionally, conversion of the seller’s equity awards into equity awards of the Company can affect the purchase price. The Company allocates the purchase price to the fair values of the tangible and intangible assets acquired and liabilities assumed as valued at the date of acquisition. Goodwill is recorded for the excess of the purchase price over the net of the fair value of the identifiable assets acquired and liabilities assumed as of the acquisition date. The purchase price allocation is a critical accounting policy because the estimation of fair values of acquired assets and assumed liabilities is judgmental and requires various assumptions. Further, the amounts and useful lives assigned to depreciable and amortizable assets versus amounts assigned to goodwill and indefinite-lived intangible assets, which are not amortized, can significantly affect the results of operations in the period of and for periods subsequent to a business combination.</w:t>
      </w:r>
    </w:p>
    <w:p>
      <w:pPr>
        <w:spacing w:after="0" w:line="31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and, therefore, represents an exit price. A fair-value measurement assumes the highest and best use of the asset by market participants, considering the use of the asset that is physically possible, legally permissible, and financially feasible at the measurement date. The Company assigns the highest level of fair value available to assets acquired and liabilities assumed based on the following options:</w:t>
      </w:r>
    </w:p>
    <w:p>
      <w:pPr>
        <w:spacing w:after="0" w:line="109" w:lineRule="exact"/>
        <w:rPr>
          <w:sz w:val="20"/>
          <w:szCs w:val="20"/>
          <w:color w:val="auto"/>
        </w:rPr>
      </w:pPr>
    </w:p>
    <w:p>
      <w:pPr>
        <w:ind w:left="740" w:hanging="300"/>
        <w:spacing w:after="0" w:line="243" w:lineRule="auto"/>
        <w:tabs>
          <w:tab w:leader="none" w:pos="7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Level 1 – Quoted prices in active markets for identical assets and liabilities</w:t>
      </w:r>
    </w:p>
    <w:p>
      <w:pPr>
        <w:spacing w:after="0" w:line="22" w:lineRule="exact"/>
        <w:rPr>
          <w:rFonts w:ascii="Arial" w:cs="Arial" w:eastAsia="Arial" w:hAnsi="Arial"/>
          <w:sz w:val="17"/>
          <w:szCs w:val="17"/>
          <w:color w:val="auto"/>
        </w:rPr>
      </w:pPr>
    </w:p>
    <w:p>
      <w:pPr>
        <w:ind w:left="740" w:right="20" w:hanging="300"/>
        <w:spacing w:after="0" w:line="243" w:lineRule="auto"/>
        <w:tabs>
          <w:tab w:leader="none" w:pos="7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Level 2 – Observable inputs, other than quoted prices, for similar assets or liabilities in active markets</w:t>
      </w:r>
    </w:p>
    <w:p>
      <w:pPr>
        <w:spacing w:after="0" w:line="22" w:lineRule="exact"/>
        <w:rPr>
          <w:rFonts w:ascii="Arial" w:cs="Arial" w:eastAsia="Arial" w:hAnsi="Arial"/>
          <w:sz w:val="17"/>
          <w:szCs w:val="17"/>
          <w:color w:val="auto"/>
        </w:rPr>
      </w:pPr>
    </w:p>
    <w:p>
      <w:pPr>
        <w:ind w:left="740" w:right="20" w:hanging="300"/>
        <w:spacing w:after="0" w:line="243" w:lineRule="auto"/>
        <w:tabs>
          <w:tab w:leader="none" w:pos="7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Level 3 – Unobservable inputs, used to value the asset or liability which includes the use of valuation models</w:t>
      </w:r>
    </w:p>
    <w:p>
      <w:pPr>
        <w:spacing w:after="0" w:line="286"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fair values are used to value investments in publicly-traded</w:t>
      </w:r>
      <w:r>
        <w:rPr>
          <w:rFonts w:ascii="Arial" w:cs="Arial" w:eastAsia="Arial" w:hAnsi="Arial"/>
          <w:sz w:val="17"/>
          <w:szCs w:val="17"/>
          <w:b w:val="1"/>
          <w:bCs w:val="1"/>
          <w:color w:val="auto"/>
        </w:rPr>
        <w:t xml:space="preserve"> </w:t>
      </w:r>
      <w:r>
        <w:rPr>
          <w:rFonts w:ascii="Arial" w:cs="Arial" w:eastAsia="Arial" w:hAnsi="Arial"/>
          <w:sz w:val="17"/>
          <w:szCs w:val="17"/>
          <w:color w:val="auto"/>
        </w:rPr>
        <w:t>entities and assumed obligations for publicly-traded long-term debt.</w:t>
      </w:r>
    </w:p>
    <w:p>
      <w:pPr>
        <w:spacing w:after="0" w:line="1105"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77</w:t>
      </w:r>
    </w:p>
    <w:p>
      <w:pPr>
        <w:sectPr>
          <w:pgSz w:w="11900" w:h="16838" w:orient="portrait"/>
          <w:cols w:equalWidth="0" w:num="1">
            <w:col w:w="11420"/>
          </w:cols>
          <w:pgMar w:left="240" w:top="265" w:right="2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fair values are typically used to value acquired receivables,</w:t>
      </w:r>
      <w:r>
        <w:rPr>
          <w:rFonts w:ascii="Arial" w:cs="Arial" w:eastAsia="Arial" w:hAnsi="Arial"/>
          <w:sz w:val="17"/>
          <w:szCs w:val="17"/>
          <w:b w:val="1"/>
          <w:bCs w:val="1"/>
          <w:color w:val="auto"/>
        </w:rPr>
        <w:t xml:space="preserve"> </w:t>
      </w:r>
      <w:r>
        <w:rPr>
          <w:rFonts w:ascii="Arial" w:cs="Arial" w:eastAsia="Arial" w:hAnsi="Arial"/>
          <w:sz w:val="17"/>
          <w:szCs w:val="17"/>
          <w:color w:val="auto"/>
        </w:rPr>
        <w:t>inventories, machinery and equipment, land, buildings, deferred income tax assets and liabilities, and accruals for payables, asset retirement obligations, environmental remediation and compliance obligations, and contingencies. Additionally, Level 2 fair values are typically used to value assumed contracts at other-than-market rates.</w:t>
      </w:r>
    </w:p>
    <w:p>
      <w:pPr>
        <w:spacing w:after="0" w:line="29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fair values are used to value acquired mineral reserves and</w:t>
      </w:r>
      <w:r>
        <w:rPr>
          <w:rFonts w:ascii="Arial" w:cs="Arial" w:eastAsia="Arial" w:hAnsi="Arial"/>
          <w:sz w:val="17"/>
          <w:szCs w:val="17"/>
          <w:b w:val="1"/>
          <w:bCs w:val="1"/>
          <w:color w:val="auto"/>
        </w:rPr>
        <w:t xml:space="preserve"> </w:t>
      </w:r>
      <w:r>
        <w:rPr>
          <w:rFonts w:ascii="Arial" w:cs="Arial" w:eastAsia="Arial" w:hAnsi="Arial"/>
          <w:sz w:val="17"/>
          <w:szCs w:val="17"/>
          <w:color w:val="auto"/>
        </w:rPr>
        <w:t>mineral interests produced and sold as final products, and separately-identifiable intangible assets. The fair values of mineral reserves and mineral interests are determined using an excess earnings approach, which requires management to estimate future cash flows, net of capital investments in the specific operation and contributory asset charges. The estimate of future cash flows is based on available historical information and future expectations and assumptions determined by management, but is inherently uncertain. Key assumptions in estimating future cash flows include changes in sales price, shipment volumes and production costs as well as capital needs. The present value of the projected net cash flows represents the fair value assigned to mineral reserves and mineral interests. The discount rate is a significant assumption used in the valuation model and is based on the required rate of return that a hypothetical market participant would require if purchasing the acquired business, with an adjustment for the risk of these assets not generating the projected cash flows.</w:t>
      </w:r>
    </w:p>
    <w:p>
      <w:pPr>
        <w:spacing w:after="0" w:line="31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Company values separately-identifiable acquired intangible assets which may include, but are not limited to, permits, customer relationships, water rights and non-competition agreements. The fair values of these assets are typically determined by an excess earnings method, a replacement cost method or, in the case of water rights, a market approach.</w:t>
      </w:r>
    </w:p>
    <w:p>
      <w:pPr>
        <w:spacing w:after="0" w:line="31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useful lives of amortizable intangible assets and the remaining useful lives for acquired machinery and equipment have a significant impact on earnings. The selected lives are based on the expected periods that the assets will provide value to the Company subsequent to the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may adjust the amounts recognized for a business combination during a measurement period after the acquisition date. Any such adjustments are based on the Company obtaining additional information that existed at the acquisition date regarding the assets acquired or the liabilities assumed. Measurement-period adjustments are generally recorded as increases or decreases to the goodwill recognized in the transaction. The measurement period ends once the Company has obtained all necessary information that existed as of the acquisition date, but does not extend beyond one year from the date of acquisition. Any adjustments to assets acquired or liabilities assumed beyond the measurement period are recorded through earnings.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Property, Plant and Equipment</w:t>
      </w:r>
    </w:p>
    <w:p>
      <w:pPr>
        <w:spacing w:after="0" w:line="53"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Net property, plant and equipment represent 54% of total assets at December 31, 2018. Accordingly, accounting for these assets represents a critical accounting policy. Useful lives of the assets can vary depending on factors, including production levels, geographic location, portability and maintenance practices. Additionally, climate and inclement weather can reduce the useful life of an asset. Historically, the Company has not recognized significant losses on the disposal or retirement of fixed assets.</w:t>
      </w:r>
    </w:p>
    <w:p>
      <w:pPr>
        <w:spacing w:after="0" w:line="31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 xml:space="preserve">The Company evaluates aggregates reserves, including those used in the cement manufacturing process, in several ways, depending on the geology at a particular location and whether the location is a potential new site (greensite), an acquisition or an existing operation. Greensites require an extensive drilling program before any significant investment is made in terms of time, site development or efforts to obtain appropriate zoning and permitting (see </w:t>
      </w:r>
      <w:r>
        <w:rPr>
          <w:rFonts w:ascii="Arial" w:cs="Arial" w:eastAsia="Arial" w:hAnsi="Arial"/>
          <w:sz w:val="17"/>
          <w:szCs w:val="17"/>
          <w:i w:val="1"/>
          <w:iCs w:val="1"/>
          <w:color w:val="auto"/>
        </w:rPr>
        <w:t>Environmental Regulation and Litigation</w:t>
      </w:r>
      <w:r>
        <w:rPr>
          <w:rFonts w:ascii="Arial" w:cs="Arial" w:eastAsia="Arial" w:hAnsi="Arial"/>
          <w:sz w:val="17"/>
          <w:szCs w:val="17"/>
          <w:color w:val="auto"/>
        </w:rPr>
        <w:t xml:space="preserve"> section). The depth of overburden and the quality and quantity of the aggregates reserves are significant factors in determining whether to pursue opening the site. Further, the estimated average selling price for products in a market is also a significant factor in concluding that reserves are economically mineable. If the Company’s analysis based on these factors is satisfactory, the total aggregates reserves available are calculated and a determination is made whether to open the location. Reserve evaluation at existing locations is typically performed to evaluate purchasing adjoining properties, for quality control, calculating overburden volumes and</w:t>
      </w:r>
    </w:p>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78</w:t>
      </w:r>
    </w:p>
    <w:p>
      <w:pPr>
        <w:sectPr>
          <w:pgSz w:w="11900" w:h="16838" w:orient="portrait"/>
          <w:cols w:equalWidth="0" w:num="1">
            <w:col w:w="11420"/>
          </w:cols>
          <w:pgMar w:left="240" w:top="265" w:right="2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for mine planning. Reserve evaluation of acquisitions may require a higher degree of sampling to locate any problem areas that may exist and to verify the total reserves.</w:t>
      </w:r>
    </w:p>
    <w:p>
      <w:pPr>
        <w:spacing w:after="0" w:line="310"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Well-ordered subsurface sampling of the underlying deposit is basic to determining reserves at any location. This subsurface sampling usually involves one or more types of drilling, determined by the nature of the material to be sampled and the particular objective of the sampling. The Company’s objectives are to ensure that the underlying deposit meets aggregates specifications and the total reserves on site are sufficient for mining and economically recoverable. Locations underlain with hard rock deposits, such as granite and limestone, are drilled using the diamond core method, which provides the most useful and accurate samples of the deposit. Selected core samples are tested for soundness, abrasion resistance and other physical properties relevant to the aggregates industry and depending on its use. The number and depth of the holes are determined by the size of the site and the complexity of the site-specific geology. Some geological factors that may affect the number and depth of holes include faults, folds, chemical irregularities, clay pockets, thickness of formations and weathering. A typical spacing of core holes on the area to be tested is one hole for every four acres, but wider spacing may be justified if the deposit is homogeneous.</w:t>
      </w:r>
    </w:p>
    <w:p>
      <w:pPr>
        <w:spacing w:after="0" w:line="39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Despite previous drilling and sampling, once accessed, the quality of reserves within a deposit can vary. Construction contracts, for the infrastructure market in particular, include specifications related to the aggregates material. If a flaw in the deposit is discovered, the aggregates material may not meet the required specifications. Although it is possible that the aggregates material can still be used for non-specification uses, this can have an adverse effect on the Company’s ability to serve certain customers or on the Company’s profitability. In addition, other issues can arise that limit the Company’s ability to access reserves in a particular quarry, including geological occurrences, blasting practices and zoning issues.</w:t>
      </w:r>
    </w:p>
    <w:p>
      <w:pPr>
        <w:spacing w:after="0" w:line="316"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Locations underlain with sand and gravel are typically drilled using the auger method, whereby a 6-inch corkscrew brings up material from below the ground which is then sampled. Deposits in these locations are typically limited in thickness, and the quality and sand-to-gravel ratio of the deposit can vary both horizontally and vertically. Hole spacing at these locations is approximately one hole for every acre to ensure a representative sampling.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geologist conducting the reserve evaluation makes the decision as to the number of holes and the spacing in accordance with standards and procedures established by the Company. Further, the anticipated heterogeneity of the deposit, based on U.S. geological maps, also dictates the number of holes drilled.</w:t>
      </w:r>
    </w:p>
    <w:p>
      <w:pPr>
        <w:spacing w:after="0" w:line="31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generally accepted reserve categories for the aggregates industry and the designations the Company uses for reserve categories are summarized as follows:</w:t>
      </w:r>
    </w:p>
    <w:p>
      <w:pPr>
        <w:spacing w:after="0" w:line="35" w:lineRule="exact"/>
        <w:rPr>
          <w:sz w:val="20"/>
          <w:szCs w:val="20"/>
          <w:color w:val="auto"/>
        </w:rPr>
      </w:pPr>
    </w:p>
    <w:p>
      <w:pPr>
        <w:jc w:val="both"/>
        <w:ind w:left="240"/>
        <w:spacing w:after="0" w:line="234" w:lineRule="auto"/>
        <w:rPr>
          <w:sz w:val="20"/>
          <w:szCs w:val="20"/>
          <w:color w:val="auto"/>
        </w:rPr>
      </w:pPr>
      <w:r>
        <w:rPr>
          <w:rFonts w:ascii="Arial" w:cs="Arial" w:eastAsia="Arial" w:hAnsi="Arial"/>
          <w:sz w:val="17"/>
          <w:szCs w:val="17"/>
          <w:i w:val="1"/>
          <w:iCs w:val="1"/>
          <w:color w:val="auto"/>
        </w:rPr>
        <w:t xml:space="preserve">Proven Reserves </w:t>
      </w:r>
      <w:r>
        <w:rPr>
          <w:rFonts w:ascii="Arial" w:cs="Arial" w:eastAsia="Arial" w:hAnsi="Arial"/>
          <w:sz w:val="17"/>
          <w:szCs w:val="17"/>
          <w:color w:val="auto"/>
        </w:rPr>
        <w:t>– These reserves are designated using closely</w:t>
      </w:r>
      <w:r>
        <w:rPr>
          <w:rFonts w:ascii="Arial" w:cs="Arial" w:eastAsia="Arial" w:hAnsi="Arial"/>
          <w:sz w:val="17"/>
          <w:szCs w:val="17"/>
          <w:i w:val="1"/>
          <w:iCs w:val="1"/>
          <w:color w:val="auto"/>
        </w:rPr>
        <w:t xml:space="preserve"> </w:t>
      </w:r>
      <w:r>
        <w:rPr>
          <w:rFonts w:ascii="Arial" w:cs="Arial" w:eastAsia="Arial" w:hAnsi="Arial"/>
          <w:sz w:val="17"/>
          <w:szCs w:val="17"/>
          <w:color w:val="auto"/>
        </w:rPr>
        <w:t>spaced drill data as described above and a determination by a professional geologist that the deposit is relatively homogeneous based on the drilling results and exploration data provided in U.S. geologic maps, the U.S. Department of Agriculture soil maps, aerial photographs and/or electromagnetic, seismic or other surveys conducted by independent geotechnical engineering firms. The proven reserves that are recorded reflect reductions incurred through quarrying that result from leaving ramps, safety benches, pillars (underground) and the fines (small particles) that will be generated during processing. Proven reserves are further reduced by reserves that are under the plant and stockpile areas, as well as setbacks from neighboring property lines. The Company typically assumes a loss factor of 25%. However, the assumed loss factor at coastal operations is approximately 40% due to the nature of the material. The assumed loss factor for underground operations is 35% primarily due to pillars.</w:t>
      </w:r>
    </w:p>
    <w:p>
      <w:pPr>
        <w:spacing w:after="0" w:line="84" w:lineRule="exact"/>
        <w:rPr>
          <w:sz w:val="20"/>
          <w:szCs w:val="20"/>
          <w:color w:val="auto"/>
        </w:rPr>
      </w:pPr>
    </w:p>
    <w:p>
      <w:pPr>
        <w:jc w:val="both"/>
        <w:ind w:left="240"/>
        <w:spacing w:after="0" w:line="243" w:lineRule="auto"/>
        <w:rPr>
          <w:sz w:val="20"/>
          <w:szCs w:val="20"/>
          <w:color w:val="auto"/>
        </w:rPr>
      </w:pPr>
      <w:r>
        <w:rPr>
          <w:rFonts w:ascii="Arial" w:cs="Arial" w:eastAsia="Arial" w:hAnsi="Arial"/>
          <w:sz w:val="17"/>
          <w:szCs w:val="17"/>
          <w:i w:val="1"/>
          <w:iCs w:val="1"/>
          <w:color w:val="auto"/>
        </w:rPr>
        <w:t xml:space="preserve">Probable Reserves </w:t>
      </w:r>
      <w:r>
        <w:rPr>
          <w:rFonts w:ascii="Arial" w:cs="Arial" w:eastAsia="Arial" w:hAnsi="Arial"/>
          <w:sz w:val="17"/>
          <w:szCs w:val="17"/>
          <w:color w:val="auto"/>
        </w:rPr>
        <w:t>– These reserves are inferred utilizing fewer drill</w:t>
      </w:r>
      <w:r>
        <w:rPr>
          <w:rFonts w:ascii="Arial" w:cs="Arial" w:eastAsia="Arial" w:hAnsi="Arial"/>
          <w:sz w:val="17"/>
          <w:szCs w:val="17"/>
          <w:i w:val="1"/>
          <w:iCs w:val="1"/>
          <w:color w:val="auto"/>
        </w:rPr>
        <w:t xml:space="preserve"> </w:t>
      </w:r>
      <w:r>
        <w:rPr>
          <w:rFonts w:ascii="Arial" w:cs="Arial" w:eastAsia="Arial" w:hAnsi="Arial"/>
          <w:sz w:val="17"/>
          <w:szCs w:val="17"/>
          <w:color w:val="auto"/>
        </w:rPr>
        <w:t>holes and/or assumptions about the economically recoverable reserves based on local geology or drill results from adjacent properties.</w:t>
      </w:r>
    </w:p>
    <w:p>
      <w:pPr>
        <w:spacing w:after="0" w:line="200" w:lineRule="exact"/>
        <w:rPr>
          <w:sz w:val="20"/>
          <w:szCs w:val="20"/>
          <w:color w:val="auto"/>
        </w:rPr>
      </w:pPr>
    </w:p>
    <w:p>
      <w:pPr>
        <w:spacing w:after="0" w:line="30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The Company’s proven and probable reserves reflect reasonable economic and operating constraints as to maximum depth of overburden and stone excavation, and also include reserves at the Company’s inactive and undeveloped sites, including some sites where permitting and zoning applications will not be filed until warranted by expected future growth. The Company has historically been successful in obtaining and maintaining appropriate zoning and permitting (see </w:t>
      </w:r>
      <w:r>
        <w:rPr>
          <w:rFonts w:ascii="Arial" w:cs="Arial" w:eastAsia="Arial" w:hAnsi="Arial"/>
          <w:sz w:val="17"/>
          <w:szCs w:val="17"/>
          <w:i w:val="1"/>
          <w:iCs w:val="1"/>
          <w:color w:val="auto"/>
        </w:rPr>
        <w:t>Environmental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Regulation and Litigation </w:t>
      </w:r>
      <w:r>
        <w:rPr>
          <w:rFonts w:ascii="Arial" w:cs="Arial" w:eastAsia="Arial" w:hAnsi="Arial"/>
          <w:sz w:val="17"/>
          <w:szCs w:val="17"/>
          <w:color w:val="auto"/>
        </w:rPr>
        <w:t>section).</w:t>
      </w:r>
    </w:p>
    <w:p>
      <w:pPr>
        <w:spacing w:after="0" w:line="1103"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79</w:t>
      </w:r>
    </w:p>
    <w:p>
      <w:pPr>
        <w:sectPr>
          <w:pgSz w:w="11900" w:h="16838" w:orient="portrait"/>
          <w:cols w:equalWidth="0" w:num="1">
            <w:col w:w="11420"/>
          </w:cols>
          <w:pgMar w:left="240" w:top="265" w:right="2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Mineral reserves and mineral interests, when acquired in connection with a business combination, are valued using an excess earnings approach for the life of the proven and probable reserves.</w:t>
      </w:r>
    </w:p>
    <w:p>
      <w:pPr>
        <w:spacing w:after="0" w:line="31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Company uses proven and probable reserves as the denominator in its units-of-production calculation to record depletion expense for its mineral reserves and mineral interests. For 2018, depletion expense was $29.3 million.</w:t>
      </w:r>
    </w:p>
    <w:p>
      <w:pPr>
        <w:spacing w:after="0" w:line="31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Company begins capitalizing quarry development costs at a point when reserves are determined to be proven or probable, economically mineable and when demand supports investment in the market. Capitalization of these costs ceases when production commences. Capitalized quarry development costs are classified as land improvements.</w:t>
      </w:r>
    </w:p>
    <w:p>
      <w:pPr>
        <w:spacing w:after="0" w:line="310" w:lineRule="exact"/>
        <w:rPr>
          <w:sz w:val="20"/>
          <w:szCs w:val="20"/>
          <w:color w:val="auto"/>
        </w:rPr>
      </w:pPr>
    </w:p>
    <w:p>
      <w:pPr>
        <w:jc w:val="both"/>
        <w:spacing w:after="0"/>
        <w:rPr>
          <w:sz w:val="20"/>
          <w:szCs w:val="20"/>
          <w:color w:val="auto"/>
        </w:rPr>
      </w:pPr>
      <w:r>
        <w:rPr>
          <w:rFonts w:ascii="Arial" w:cs="Arial" w:eastAsia="Arial" w:hAnsi="Arial"/>
          <w:sz w:val="17"/>
          <w:szCs w:val="17"/>
          <w:color w:val="auto"/>
        </w:rPr>
        <w:t>New mining areas may be developed at existing quarries in order to access additional reserves. When this occurs, management reviews the facts and circumstances of each situation in making a determination as to the appropriateness of capitalizing or expensing the related pre-production development costs. If the additional mining location operates in a separate and distinct area of a quarry, the costs are capitalized as quarry development costs and depreciated over the life of the uncovered reserves. Further, a separate asset retirement obligation is created for additional mining areas when the liability is incurred. Once a new mining area enters the production phase, all post-production stripping costs are expensed as incurred as periodic inventory production costs.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8D5D6C"/>
        </w:rPr>
        <w:t>Inventory Standards</w:t>
      </w:r>
    </w:p>
    <w:p>
      <w:pPr>
        <w:spacing w:after="0" w:line="5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values its finished goods inventories under the first-in, first-out methodology using standard costs. For quarries, standards are developed using production costs for a twelve-month period, in addition to complying with the principle of lower of cost or net realizable value, and adjusting, if necessary, for normal capacity levels and abnormal costs. In addition to production costs, standards for distribution yards include a freight component for the cost of transporting the inventory from a quarry to the distribution yard and materials handling costs. Pre-operating start-up costs are expensed as incurred and not capitalized as part of inventory costs. In periods in which production costs, in particular, energy costs, and/or production volumes have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 xml:space="preserve">changed significantly from the prior period, the revision of standards can have a significant impact on the Company’s operating results (see </w:t>
      </w:r>
      <w:r>
        <w:rPr>
          <w:rFonts w:ascii="Arial" w:cs="Arial" w:eastAsia="Arial" w:hAnsi="Arial"/>
          <w:sz w:val="17"/>
          <w:szCs w:val="17"/>
          <w:i w:val="1"/>
          <w:iCs w:val="1"/>
          <w:color w:val="auto"/>
        </w:rPr>
        <w:t>Cost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Structure </w:t>
      </w:r>
      <w:r>
        <w:rPr>
          <w:rFonts w:ascii="Arial" w:cs="Arial" w:eastAsia="Arial" w:hAnsi="Arial"/>
          <w:sz w:val="17"/>
          <w:szCs w:val="17"/>
          <w:color w:val="auto"/>
        </w:rPr>
        <w:t>section).</w:t>
      </w:r>
    </w:p>
    <w:p>
      <w:pPr>
        <w:spacing w:after="0" w:line="310"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Standard costs for the aggregates product lines are recalculated on a quarterly basis to match finished goods inventory values with changes in production costs and production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149225</wp:posOffset>
            </wp:positionV>
            <wp:extent cx="3198495" cy="3429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319849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Company’s geographic footprint has attractive underlying market fundamentals, including notable employment gains, population growth and superior state fiscal health – all attributes that promote steady and sustainable construction growth for the foreseeable future. Supported by third-party forecasts, Martin Marietta believes the current construction cycle will expand further in 2019 for each of the Company’s three primary construction end-use markets. Notably:</w:t>
      </w:r>
    </w:p>
    <w:p>
      <w:pPr>
        <w:spacing w:after="0" w:line="111" w:lineRule="exact"/>
        <w:rPr>
          <w:sz w:val="20"/>
          <w:szCs w:val="20"/>
          <w:color w:val="auto"/>
        </w:rPr>
      </w:pPr>
    </w:p>
    <w:p>
      <w:pPr>
        <w:jc w:val="both"/>
        <w:ind w:left="480" w:hanging="310"/>
        <w:spacing w:after="0" w:line="233" w:lineRule="auto"/>
        <w:tabs>
          <w:tab w:leader="none" w:pos="4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Infrastructure construction activity, particularly for aggregates-intensive highways and streets, should benefit from recent accelerations in state lettings and con- tract awards in key Martin Marietta states, continued FAST Act funding and regulatory reform allowing for reduced permitting time for large projects. Importantly, the partial federal government shutdown did not meaningfully delay awarded contracts and construction spending as the FAST Act, and not the federal general fund, supports federal transportation programs. Additionally, state and local initiatives that support infrastructure funding, including gas tax increases, bond programs and other ballot initiatives, will continue to play an expanded role in public-sector activity as they garner voter approval at historically high levels. Further, third-party forecasts also support increased infrastructure investment in 2019 and beyond.</w:t>
      </w:r>
    </w:p>
    <w:p>
      <w:pPr>
        <w:spacing w:after="0" w:line="111" w:lineRule="exact"/>
        <w:rPr>
          <w:rFonts w:ascii="Arial" w:cs="Arial" w:eastAsia="Arial" w:hAnsi="Arial"/>
          <w:sz w:val="17"/>
          <w:szCs w:val="17"/>
          <w:color w:val="auto"/>
        </w:rPr>
      </w:pPr>
    </w:p>
    <w:p>
      <w:pPr>
        <w:jc w:val="both"/>
        <w:ind w:left="480" w:hanging="310"/>
        <w:spacing w:after="0" w:line="234" w:lineRule="auto"/>
        <w:tabs>
          <w:tab w:leader="none" w:pos="4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Nonresidential construction activity should increase in both the commercial and heavy industrial sectors for the next several years across many of the Company’s key markets. Both the Architectural Billings Index and Dodge Momentum Index suggest commercial and institutional construction activity will remain healthy throughout 2019. Continued federal regulatory approvals should notably contribute to increased aggregates</w:t>
      </w:r>
    </w:p>
    <w:p>
      <w:pPr>
        <w:spacing w:after="0" w:line="548"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6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80</w:t>
      </w:r>
    </w:p>
    <w:p>
      <w:pPr>
        <w:sectPr>
          <w:pgSz w:w="11900" w:h="16838" w:orient="portrait"/>
          <w:cols w:equalWidth="0" w:num="1">
            <w:col w:w="11420"/>
          </w:cols>
          <w:pgMar w:left="240" w:top="265" w:right="2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440"/>
        <w:spacing w:after="0" w:line="235" w:lineRule="auto"/>
        <w:rPr>
          <w:sz w:val="20"/>
          <w:szCs w:val="20"/>
          <w:color w:val="auto"/>
        </w:rPr>
      </w:pPr>
      <w:r>
        <w:rPr>
          <w:rFonts w:ascii="Arial" w:cs="Arial" w:eastAsia="Arial" w:hAnsi="Arial"/>
          <w:sz w:val="17"/>
          <w:szCs w:val="17"/>
          <w:color w:val="auto"/>
        </w:rPr>
        <w:t>consumption from the next wave of large energy-sector projects, particularly along the Gulf Coast. To date, management has not seen a slowdown in the regulatory permitting and investing decisions for these projects despite the recent pullback in oil prices. Construction activity for these projects is expected to begin in earnest in 2019 and continue for several years thereafter.</w:t>
      </w:r>
    </w:p>
    <w:p>
      <w:pPr>
        <w:spacing w:after="0" w:line="108" w:lineRule="exact"/>
        <w:rPr>
          <w:sz w:val="20"/>
          <w:szCs w:val="20"/>
          <w:color w:val="auto"/>
        </w:rPr>
      </w:pPr>
    </w:p>
    <w:p>
      <w:pPr>
        <w:jc w:val="both"/>
        <w:ind w:left="480" w:hanging="310"/>
        <w:spacing w:after="0" w:line="233" w:lineRule="auto"/>
        <w:tabs>
          <w:tab w:leader="none" w:pos="4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Residential construction should continue to grow. While mortgage rate increases temporarily paused new residential construction, now stabilized, the residential market is expected to adapt and further strengthen. Housing starts of 1.3 million units for the trailing twelve months ended November 2018 remain below the 50-year average of 1.5 million annual starts despite notable population gains. Further, management believes a shortage of single-family housing units exists, particularly for entry-level homes; a need the homebuilding industry is now beginning to address. Martin Marietta’s leading positions in southeastern and southwestern states offer superior opportunities for gains in single-family housing driven by a multitude of factors, such as affordable land, lower taxes and fewer regulatory barriers. Continued strength in residential construction supports future infrastructure and nonresidential activity.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Specifically:</w:t>
      </w:r>
    </w:p>
    <w:p>
      <w:pPr>
        <w:ind w:left="480" w:hanging="310"/>
        <w:spacing w:after="0" w:line="235" w:lineRule="auto"/>
        <w:tabs>
          <w:tab w:leader="none" w:pos="4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Aggregates shipments by end-use market compared with 2018 levels are as follows:</w:t>
      </w:r>
    </w:p>
    <w:p>
      <w:pPr>
        <w:ind w:left="740" w:right="20" w:hanging="273"/>
        <w:spacing w:after="0" w:line="234" w:lineRule="auto"/>
        <w:tabs>
          <w:tab w:leader="none" w:pos="7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Infrastructure shipments to increase in the high-single digits.</w:t>
      </w:r>
    </w:p>
    <w:p>
      <w:pPr>
        <w:spacing w:after="0" w:line="1" w:lineRule="exact"/>
        <w:rPr>
          <w:rFonts w:ascii="Arial" w:cs="Arial" w:eastAsia="Arial" w:hAnsi="Arial"/>
          <w:sz w:val="18"/>
          <w:szCs w:val="18"/>
          <w:color w:val="auto"/>
        </w:rPr>
      </w:pPr>
    </w:p>
    <w:p>
      <w:pPr>
        <w:ind w:left="740" w:hanging="273"/>
        <w:spacing w:after="0" w:line="234" w:lineRule="auto"/>
        <w:tabs>
          <w:tab w:leader="none" w:pos="7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Nonresidential shipments to increase in the mid- to high-single digits.</w:t>
      </w:r>
    </w:p>
    <w:p>
      <w:pPr>
        <w:spacing w:after="0" w:line="1" w:lineRule="exact"/>
        <w:rPr>
          <w:rFonts w:ascii="Arial" w:cs="Arial" w:eastAsia="Arial" w:hAnsi="Arial"/>
          <w:sz w:val="18"/>
          <w:szCs w:val="18"/>
          <w:color w:val="auto"/>
        </w:rPr>
      </w:pPr>
    </w:p>
    <w:p>
      <w:pPr>
        <w:ind w:left="740" w:hanging="273"/>
        <w:spacing w:after="0" w:line="234" w:lineRule="auto"/>
        <w:tabs>
          <w:tab w:leader="none" w:pos="7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Residential shipments to increase in the mid-single digits.</w:t>
      </w:r>
    </w:p>
    <w:p>
      <w:pPr>
        <w:ind w:left="740" w:hanging="273"/>
        <w:spacing w:after="0"/>
        <w:tabs>
          <w:tab w:leader="none" w:pos="7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ChemRock/Rail shipments to be up slightly.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2019 GUIDANCE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40" w:type="dxa"/>
            <w:vAlign w:val="bottom"/>
          </w:tcPr>
          <w:p>
            <w:pPr>
              <w:spacing w:after="0"/>
              <w:rPr>
                <w:sz w:val="20"/>
                <w:szCs w:val="20"/>
                <w:color w:val="auto"/>
              </w:rPr>
            </w:pPr>
            <w:r>
              <w:rPr>
                <w:rFonts w:ascii="Arial" w:cs="Arial" w:eastAsia="Arial" w:hAnsi="Arial"/>
                <w:sz w:val="14"/>
                <w:szCs w:val="14"/>
                <w:color w:val="auto"/>
              </w:rPr>
              <w:t>(dollars and tons in millions, except per ton)</w:t>
            </w:r>
          </w:p>
        </w:tc>
        <w:tc>
          <w:tcPr>
            <w:tcW w:w="720" w:type="dxa"/>
            <w:vAlign w:val="bottom"/>
          </w:tcPr>
          <w:p>
            <w:pPr>
              <w:spacing w:after="0"/>
              <w:rPr>
                <w:sz w:val="14"/>
                <w:szCs w:val="14"/>
                <w:color w:val="auto"/>
              </w:rPr>
            </w:pPr>
          </w:p>
        </w:tc>
        <w:tc>
          <w:tcPr>
            <w:tcW w:w="6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w w:val="99"/>
              </w:rPr>
              <w:t>Low</w:t>
            </w:r>
          </w:p>
        </w:tc>
        <w:tc>
          <w:tcPr>
            <w:tcW w:w="260" w:type="dxa"/>
            <w:vAlign w:val="bottom"/>
          </w:tcPr>
          <w:p>
            <w:pPr>
              <w:spacing w:after="0"/>
              <w:rPr>
                <w:sz w:val="14"/>
                <w:szCs w:val="14"/>
                <w:color w:val="auto"/>
              </w:rPr>
            </w:pPr>
          </w:p>
        </w:tc>
        <w:tc>
          <w:tcPr>
            <w:tcW w:w="4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47"/>
        </w:trPr>
        <w:tc>
          <w:tcPr>
            <w:tcW w:w="35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4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Consolidated Results</w:t>
            </w:r>
          </w:p>
        </w:tc>
        <w:tc>
          <w:tcPr>
            <w:tcW w:w="7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line="156" w:lineRule="exact"/>
              <w:rPr>
                <w:sz w:val="20"/>
                <w:szCs w:val="20"/>
                <w:color w:val="auto"/>
              </w:rPr>
            </w:pPr>
            <w:r>
              <w:rPr>
                <w:rFonts w:ascii="Arial" w:cs="Arial" w:eastAsia="Arial" w:hAnsi="Arial"/>
                <w:sz w:val="11"/>
                <w:szCs w:val="11"/>
                <w:color w:val="auto"/>
              </w:rPr>
              <w:t>Consolidated total revenues</w:t>
            </w:r>
            <w:r>
              <w:rPr>
                <w:rFonts w:ascii="Arial" w:cs="Arial" w:eastAsia="Arial" w:hAnsi="Arial"/>
                <w:sz w:val="18"/>
                <w:szCs w:val="18"/>
                <w:color w:val="auto"/>
                <w:vertAlign w:val="superscript"/>
              </w:rPr>
              <w:t>1</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4,480</w:t>
            </w:r>
          </w:p>
        </w:tc>
        <w:tc>
          <w:tcPr>
            <w:tcW w:w="2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4,680</w:t>
            </w:r>
          </w:p>
        </w:tc>
        <w:tc>
          <w:tcPr>
            <w:tcW w:w="0" w:type="dxa"/>
            <w:vAlign w:val="bottom"/>
          </w:tcPr>
          <w:p>
            <w:pPr>
              <w:spacing w:after="0"/>
              <w:rPr>
                <w:sz w:val="1"/>
                <w:szCs w:val="1"/>
                <w:color w:val="auto"/>
              </w:rPr>
            </w:pPr>
          </w:p>
        </w:tc>
      </w:tr>
      <w:tr>
        <w:trPr>
          <w:trHeight w:val="162"/>
        </w:trPr>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Consolidated gross profit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1,110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w:t>
            </w:r>
          </w:p>
        </w:tc>
        <w:tc>
          <w:tcPr>
            <w:tcW w:w="0" w:type="dxa"/>
            <w:vAlign w:val="bottom"/>
          </w:tcPr>
          <w:p>
            <w:pPr>
              <w:spacing w:after="0"/>
              <w:rPr>
                <w:sz w:val="1"/>
                <w:szCs w:val="1"/>
                <w:color w:val="auto"/>
              </w:rPr>
            </w:pPr>
          </w:p>
        </w:tc>
      </w:tr>
      <w:tr>
        <w:trPr>
          <w:trHeight w:val="378"/>
        </w:trPr>
        <w:tc>
          <w:tcPr>
            <w:tcW w:w="3540" w:type="dxa"/>
            <w:vAlign w:val="bottom"/>
          </w:tcPr>
          <w:p>
            <w:pPr>
              <w:spacing w:after="0"/>
              <w:rPr>
                <w:sz w:val="20"/>
                <w:szCs w:val="20"/>
                <w:color w:val="auto"/>
              </w:rPr>
            </w:pPr>
            <w:r>
              <w:rPr>
                <w:rFonts w:ascii="Arial" w:cs="Arial" w:eastAsia="Arial" w:hAnsi="Arial"/>
                <w:sz w:val="14"/>
                <w:szCs w:val="14"/>
                <w:color w:val="auto"/>
              </w:rPr>
              <w:t>SG&amp;A</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62"/>
        </w:trPr>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color w:val="auto"/>
              </w:rPr>
              <w:t>Estimated tax rate (excluding discrete events)</w:t>
            </w:r>
          </w:p>
        </w:tc>
        <w:tc>
          <w:tcPr>
            <w:tcW w:w="72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Net earnings attributable to Martin Marietta</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520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62"/>
        </w:trPr>
        <w:tc>
          <w:tcPr>
            <w:tcW w:w="3540" w:type="dxa"/>
            <w:vAlign w:val="bottom"/>
          </w:tcPr>
          <w:p>
            <w:pPr>
              <w:spacing w:after="0" w:line="162" w:lineRule="exact"/>
              <w:rPr>
                <w:sz w:val="20"/>
                <w:szCs w:val="20"/>
                <w:color w:val="auto"/>
              </w:rPr>
            </w:pPr>
            <w:r>
              <w:rPr>
                <w:rFonts w:ascii="Arial" w:cs="Arial" w:eastAsia="Arial" w:hAnsi="Arial"/>
                <w:sz w:val="11"/>
                <w:szCs w:val="11"/>
                <w:color w:val="auto"/>
              </w:rPr>
              <w:t>EBITDA</w:t>
            </w:r>
            <w:r>
              <w:rPr>
                <w:rFonts w:ascii="Arial" w:cs="Arial" w:eastAsia="Arial" w:hAnsi="Arial"/>
                <w:sz w:val="18"/>
                <w:szCs w:val="18"/>
                <w:color w:val="auto"/>
                <w:vertAlign w:val="superscript"/>
              </w:rPr>
              <w:t>2</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1,170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162"/>
        </w:trPr>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Capital expenditures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378"/>
        </w:trPr>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Building Materials Business</w:t>
            </w:r>
          </w:p>
        </w:tc>
        <w:tc>
          <w:tcPr>
            <w:tcW w:w="7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5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Aggregates Product Line</w:t>
            </w:r>
          </w:p>
        </w:tc>
        <w:tc>
          <w:tcPr>
            <w:tcW w:w="7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40" w:type="dxa"/>
            <w:vAlign w:val="bottom"/>
          </w:tcPr>
          <w:p>
            <w:pPr>
              <w:ind w:left="160"/>
              <w:spacing w:after="0" w:line="162" w:lineRule="exact"/>
              <w:rPr>
                <w:sz w:val="20"/>
                <w:szCs w:val="20"/>
                <w:color w:val="auto"/>
              </w:rPr>
            </w:pPr>
            <w:r>
              <w:rPr>
                <w:rFonts w:ascii="Arial" w:cs="Arial" w:eastAsia="Arial" w:hAnsi="Arial"/>
                <w:sz w:val="11"/>
                <w:szCs w:val="11"/>
                <w:color w:val="auto"/>
              </w:rPr>
              <w:t>Volume (total tons)</w:t>
            </w:r>
            <w:r>
              <w:rPr>
                <w:rFonts w:ascii="Arial" w:cs="Arial" w:eastAsia="Arial" w:hAnsi="Arial"/>
                <w:sz w:val="18"/>
                <w:szCs w:val="18"/>
                <w:color w:val="auto"/>
                <w:vertAlign w:val="superscript"/>
              </w:rPr>
              <w:t>3</w:t>
            </w:r>
          </w:p>
        </w:tc>
        <w:tc>
          <w:tcPr>
            <w:tcW w:w="72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180</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62"/>
        </w:trPr>
        <w:tc>
          <w:tcPr>
            <w:tcW w:w="3540" w:type="dxa"/>
            <w:vAlign w:val="bottom"/>
            <w:shd w:val="clear" w:color="auto" w:fill="CCEEFF"/>
          </w:tcPr>
          <w:p>
            <w:pPr>
              <w:ind w:left="160"/>
              <w:spacing w:after="0" w:line="162" w:lineRule="exact"/>
              <w:rPr>
                <w:sz w:val="20"/>
                <w:szCs w:val="20"/>
                <w:color w:val="auto"/>
              </w:rPr>
            </w:pPr>
            <w:r>
              <w:rPr>
                <w:rFonts w:ascii="Arial" w:cs="Arial" w:eastAsia="Arial" w:hAnsi="Arial"/>
                <w:sz w:val="11"/>
                <w:szCs w:val="11"/>
                <w:color w:val="auto"/>
              </w:rPr>
              <w:t>% growth</w:t>
            </w:r>
            <w:r>
              <w:rPr>
                <w:rFonts w:ascii="Arial" w:cs="Arial" w:eastAsia="Arial" w:hAnsi="Arial"/>
                <w:sz w:val="18"/>
                <w:szCs w:val="18"/>
                <w:color w:val="auto"/>
                <w:vertAlign w:val="superscript"/>
              </w:rPr>
              <w:t>3</w:t>
            </w:r>
          </w:p>
        </w:tc>
        <w:tc>
          <w:tcPr>
            <w:tcW w:w="7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i w:val="1"/>
                <w:iCs w:val="1"/>
                <w:color w:val="auto"/>
              </w:rPr>
              <w:t>6%</w:t>
            </w: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8%</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color w:val="auto"/>
              </w:rPr>
              <w:t>Average selling price per ton</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14.15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14.40</w:t>
            </w:r>
          </w:p>
        </w:tc>
        <w:tc>
          <w:tcPr>
            <w:tcW w:w="0" w:type="dxa"/>
            <w:vAlign w:val="bottom"/>
          </w:tcPr>
          <w:p>
            <w:pPr>
              <w:spacing w:after="0"/>
              <w:rPr>
                <w:sz w:val="1"/>
                <w:szCs w:val="1"/>
                <w:color w:val="auto"/>
              </w:rPr>
            </w:pPr>
          </w:p>
        </w:tc>
      </w:tr>
      <w:tr>
        <w:trPr>
          <w:trHeight w:val="162"/>
        </w:trPr>
        <w:tc>
          <w:tcPr>
            <w:tcW w:w="3540" w:type="dxa"/>
            <w:vAlign w:val="bottom"/>
            <w:shd w:val="clear" w:color="auto" w:fill="CCEEFF"/>
          </w:tcPr>
          <w:p>
            <w:pPr>
              <w:ind w:left="160"/>
              <w:spacing w:after="0" w:line="162" w:lineRule="exact"/>
              <w:rPr>
                <w:sz w:val="20"/>
                <w:szCs w:val="20"/>
                <w:color w:val="auto"/>
              </w:rPr>
            </w:pPr>
            <w:r>
              <w:rPr>
                <w:rFonts w:ascii="Arial" w:cs="Arial" w:eastAsia="Arial" w:hAnsi="Arial"/>
                <w:sz w:val="11"/>
                <w:szCs w:val="11"/>
                <w:color w:val="auto"/>
              </w:rPr>
              <w:t>% growth</w:t>
            </w:r>
            <w:r>
              <w:rPr>
                <w:rFonts w:ascii="Arial" w:cs="Arial" w:eastAsia="Arial" w:hAnsi="Arial"/>
                <w:sz w:val="18"/>
                <w:szCs w:val="18"/>
                <w:color w:val="auto"/>
                <w:vertAlign w:val="superscript"/>
              </w:rPr>
              <w:t>4</w:t>
            </w:r>
          </w:p>
        </w:tc>
        <w:tc>
          <w:tcPr>
            <w:tcW w:w="7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i w:val="1"/>
                <w:iCs w:val="1"/>
                <w:color w:val="auto"/>
              </w:rPr>
              <w:t>3%</w:t>
            </w: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color w:val="auto"/>
              </w:rPr>
              <w:t>Total revenues</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2,800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2,910</w:t>
            </w:r>
          </w:p>
        </w:tc>
        <w:tc>
          <w:tcPr>
            <w:tcW w:w="0" w:type="dxa"/>
            <w:vAlign w:val="bottom"/>
          </w:tcPr>
          <w:p>
            <w:pPr>
              <w:spacing w:after="0"/>
              <w:rPr>
                <w:sz w:val="1"/>
                <w:szCs w:val="1"/>
                <w:color w:val="auto"/>
              </w:rPr>
            </w:pPr>
          </w:p>
        </w:tc>
      </w:tr>
      <w:tr>
        <w:trPr>
          <w:trHeight w:val="162"/>
        </w:trPr>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Gross profit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755</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378"/>
        </w:trPr>
        <w:tc>
          <w:tcPr>
            <w:tcW w:w="3540" w:type="dxa"/>
            <w:vAlign w:val="bottom"/>
          </w:tcPr>
          <w:p>
            <w:pPr>
              <w:spacing w:after="0"/>
              <w:rPr>
                <w:sz w:val="20"/>
                <w:szCs w:val="20"/>
                <w:color w:val="auto"/>
              </w:rPr>
            </w:pPr>
            <w:r>
              <w:rPr>
                <w:rFonts w:ascii="Arial" w:cs="Arial" w:eastAsia="Arial" w:hAnsi="Arial"/>
                <w:sz w:val="14"/>
                <w:szCs w:val="14"/>
                <w:color w:val="auto"/>
              </w:rPr>
              <w:t>Cement Product Line</w:t>
            </w: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revenues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77"/>
        </w:trPr>
        <w:tc>
          <w:tcPr>
            <w:tcW w:w="3540" w:type="dxa"/>
            <w:vAlign w:val="bottom"/>
          </w:tcPr>
          <w:p>
            <w:pPr>
              <w:ind w:left="160"/>
              <w:spacing w:after="0"/>
              <w:rPr>
                <w:sz w:val="20"/>
                <w:szCs w:val="20"/>
                <w:color w:val="auto"/>
              </w:rPr>
            </w:pPr>
            <w:r>
              <w:rPr>
                <w:rFonts w:ascii="Arial" w:cs="Arial" w:eastAsia="Arial" w:hAnsi="Arial"/>
                <w:sz w:val="14"/>
                <w:szCs w:val="14"/>
                <w:color w:val="auto"/>
              </w:rPr>
              <w:t>Gross profit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130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01"/>
        </w:trPr>
        <w:tc>
          <w:tcPr>
            <w:tcW w:w="3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Ready Mixed Concrete and</w:t>
            </w:r>
          </w:p>
        </w:tc>
        <w:tc>
          <w:tcPr>
            <w:tcW w:w="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Asphalt and Paving Services</w:t>
            </w:r>
          </w:p>
        </w:tc>
        <w:tc>
          <w:tcPr>
            <w:tcW w:w="7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40" w:type="dxa"/>
            <w:vAlign w:val="bottom"/>
          </w:tcPr>
          <w:p>
            <w:pPr>
              <w:ind w:left="300"/>
              <w:spacing w:after="0"/>
              <w:rPr>
                <w:sz w:val="20"/>
                <w:szCs w:val="20"/>
                <w:color w:val="auto"/>
              </w:rPr>
            </w:pPr>
            <w:r>
              <w:rPr>
                <w:rFonts w:ascii="Arial" w:cs="Arial" w:eastAsia="Arial" w:hAnsi="Arial"/>
                <w:sz w:val="14"/>
                <w:szCs w:val="14"/>
                <w:color w:val="auto"/>
              </w:rPr>
              <w:t>Total revenues</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1,240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1,310</w:t>
            </w:r>
          </w:p>
        </w:tc>
        <w:tc>
          <w:tcPr>
            <w:tcW w:w="0" w:type="dxa"/>
            <w:vAlign w:val="bottom"/>
          </w:tcPr>
          <w:p>
            <w:pPr>
              <w:spacing w:after="0"/>
              <w:rPr>
                <w:sz w:val="1"/>
                <w:szCs w:val="1"/>
                <w:color w:val="auto"/>
              </w:rPr>
            </w:pPr>
          </w:p>
        </w:tc>
      </w:tr>
      <w:tr>
        <w:trPr>
          <w:trHeight w:val="162"/>
        </w:trPr>
        <w:tc>
          <w:tcPr>
            <w:tcW w:w="35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Gross profit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378"/>
        </w:trPr>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Magnesia Specialties</w:t>
            </w:r>
          </w:p>
        </w:tc>
        <w:tc>
          <w:tcPr>
            <w:tcW w:w="7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540" w:type="dxa"/>
            <w:vAlign w:val="bottom"/>
            <w:shd w:val="clear" w:color="auto" w:fill="CCEEFF"/>
          </w:tcPr>
          <w:p>
            <w:pPr>
              <w:ind w:left="160"/>
              <w:spacing w:after="0" w:line="155" w:lineRule="exact"/>
              <w:rPr>
                <w:sz w:val="20"/>
                <w:szCs w:val="20"/>
                <w:color w:val="auto"/>
              </w:rPr>
            </w:pPr>
            <w:r>
              <w:rPr>
                <w:rFonts w:ascii="Arial" w:cs="Arial" w:eastAsia="Arial" w:hAnsi="Arial"/>
                <w:sz w:val="14"/>
                <w:szCs w:val="14"/>
                <w:color w:val="auto"/>
              </w:rPr>
              <w:t>Total revenues</w:t>
            </w: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290</w:t>
            </w:r>
          </w:p>
        </w:tc>
        <w:tc>
          <w:tcPr>
            <w:tcW w:w="2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77"/>
        </w:trPr>
        <w:tc>
          <w:tcPr>
            <w:tcW w:w="3540" w:type="dxa"/>
            <w:vAlign w:val="bottom"/>
          </w:tcPr>
          <w:p>
            <w:pPr>
              <w:ind w:left="160"/>
              <w:spacing w:after="0"/>
              <w:rPr>
                <w:sz w:val="20"/>
                <w:szCs w:val="20"/>
                <w:color w:val="auto"/>
              </w:rPr>
            </w:pPr>
            <w:r>
              <w:rPr>
                <w:rFonts w:ascii="Arial" w:cs="Arial" w:eastAsia="Arial" w:hAnsi="Arial"/>
                <w:sz w:val="14"/>
                <w:szCs w:val="14"/>
                <w:color w:val="auto"/>
              </w:rPr>
              <w:t>Gross profit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20" w:right="80" w:hanging="111"/>
        <w:spacing w:after="0" w:line="264" w:lineRule="auto"/>
        <w:tabs>
          <w:tab w:leader="none" w:pos="120" w:val="left"/>
        </w:tabs>
        <w:numPr>
          <w:ilvl w:val="0"/>
          <w:numId w:val="80"/>
        </w:numPr>
        <w:rPr>
          <w:rFonts w:ascii="Arial" w:cs="Arial" w:eastAsia="Arial" w:hAnsi="Arial"/>
          <w:sz w:val="13"/>
          <w:szCs w:val="13"/>
          <w:i w:val="1"/>
          <w:iCs w:val="1"/>
          <w:color w:val="auto"/>
        </w:rPr>
      </w:pPr>
      <w:r>
        <w:rPr>
          <w:rFonts w:ascii="Arial" w:cs="Arial" w:eastAsia="Arial" w:hAnsi="Arial"/>
          <w:sz w:val="15"/>
          <w:szCs w:val="15"/>
          <w:i w:val="1"/>
          <w:iCs w:val="1"/>
          <w:color w:val="auto"/>
        </w:rPr>
        <w:t>2019 consolidated total revenues exclude $270 million to $290 million related to estimated interproduct sales.</w:t>
      </w:r>
    </w:p>
    <w:p>
      <w:pPr>
        <w:spacing w:after="0" w:line="66" w:lineRule="exact"/>
        <w:rPr>
          <w:sz w:val="20"/>
          <w:szCs w:val="20"/>
          <w:color w:val="auto"/>
        </w:rPr>
      </w:pPr>
    </w:p>
    <w:p>
      <w:pPr>
        <w:ind w:left="120" w:right="120" w:hanging="120"/>
        <w:spacing w:after="0" w:line="264" w:lineRule="auto"/>
        <w:rPr>
          <w:sz w:val="20"/>
          <w:szCs w:val="20"/>
          <w:color w:val="auto"/>
        </w:rPr>
      </w:pPr>
      <w:r>
        <w:rPr>
          <w:rFonts w:ascii="Arial" w:cs="Arial" w:eastAsia="Arial" w:hAnsi="Arial"/>
          <w:sz w:val="13"/>
          <w:szCs w:val="13"/>
          <w:i w:val="1"/>
          <w:iCs w:val="1"/>
          <w:color w:val="auto"/>
        </w:rPr>
        <w:t xml:space="preserve">2 </w:t>
      </w:r>
      <w:r>
        <w:rPr>
          <w:rFonts w:ascii="Arial" w:cs="Arial" w:eastAsia="Arial" w:hAnsi="Arial"/>
          <w:sz w:val="15"/>
          <w:szCs w:val="15"/>
          <w:i w:val="1"/>
          <w:iCs w:val="1"/>
          <w:color w:val="auto"/>
        </w:rPr>
        <w:t>EBITDA is a non-GAAP financial measure. See below for a reconciliation of net</w:t>
      </w:r>
      <w:r>
        <w:rPr>
          <w:rFonts w:ascii="Arial" w:cs="Arial" w:eastAsia="Arial" w:hAnsi="Arial"/>
          <w:sz w:val="13"/>
          <w:szCs w:val="13"/>
          <w:i w:val="1"/>
          <w:iCs w:val="1"/>
          <w:color w:val="auto"/>
        </w:rPr>
        <w:t xml:space="preserve"> </w:t>
      </w:r>
      <w:r>
        <w:rPr>
          <w:rFonts w:ascii="Arial" w:cs="Arial" w:eastAsia="Arial" w:hAnsi="Arial"/>
          <w:sz w:val="15"/>
          <w:szCs w:val="15"/>
          <w:i w:val="1"/>
          <w:iCs w:val="1"/>
          <w:color w:val="auto"/>
        </w:rPr>
        <w:t>earnings attributable to Martin Marietta to EBITDA.</w:t>
      </w:r>
    </w:p>
    <w:p>
      <w:pPr>
        <w:spacing w:after="0" w:line="66" w:lineRule="exact"/>
        <w:rPr>
          <w:sz w:val="20"/>
          <w:szCs w:val="20"/>
          <w:color w:val="auto"/>
        </w:rPr>
      </w:pPr>
    </w:p>
    <w:p>
      <w:pPr>
        <w:ind w:left="120" w:right="120" w:hanging="106"/>
        <w:spacing w:after="0" w:line="236" w:lineRule="auto"/>
        <w:rPr>
          <w:sz w:val="20"/>
          <w:szCs w:val="20"/>
          <w:color w:val="auto"/>
        </w:rPr>
      </w:pPr>
      <w:r>
        <w:rPr>
          <w:rFonts w:ascii="Arial" w:cs="Arial" w:eastAsia="Arial" w:hAnsi="Arial"/>
          <w:sz w:val="13"/>
          <w:szCs w:val="13"/>
          <w:i w:val="1"/>
          <w:iCs w:val="1"/>
          <w:color w:val="auto"/>
        </w:rPr>
        <w:t xml:space="preserve">3 </w:t>
      </w:r>
      <w:r>
        <w:rPr>
          <w:rFonts w:ascii="Arial" w:cs="Arial" w:eastAsia="Arial" w:hAnsi="Arial"/>
          <w:sz w:val="15"/>
          <w:szCs w:val="15"/>
          <w:i w:val="1"/>
          <w:iCs w:val="1"/>
          <w:color w:val="auto"/>
        </w:rPr>
        <w:t>Represents 2019 total aggregates volumes, which includes approximately</w:t>
      </w:r>
      <w:r>
        <w:rPr>
          <w:rFonts w:ascii="Arial" w:cs="Arial" w:eastAsia="Arial" w:hAnsi="Arial"/>
          <w:sz w:val="13"/>
          <w:szCs w:val="13"/>
          <w:i w:val="1"/>
          <w:iCs w:val="1"/>
          <w:color w:val="auto"/>
        </w:rPr>
        <w:t xml:space="preserve"> </w:t>
      </w:r>
      <w:r>
        <w:rPr>
          <w:rFonts w:ascii="Arial" w:cs="Arial" w:eastAsia="Arial" w:hAnsi="Arial"/>
          <w:sz w:val="15"/>
          <w:szCs w:val="15"/>
          <w:i w:val="1"/>
          <w:iCs w:val="1"/>
          <w:color w:val="auto"/>
        </w:rPr>
        <w:t>10.9 million internal tons. Volume growth ranges are in comparison with total volumes of 170.8 million tons for 2018, which included 10.6 million internal tons and 0.3 million tons from the Company’s Forsyth, Georgia, quarry that was divested in April 2018.</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4 </w:t>
      </w:r>
      <w:r>
        <w:rPr>
          <w:rFonts w:ascii="Arial" w:cs="Arial" w:eastAsia="Arial" w:hAnsi="Arial"/>
          <w:sz w:val="15"/>
          <w:szCs w:val="15"/>
          <w:i w:val="1"/>
          <w:iCs w:val="1"/>
          <w:color w:val="auto"/>
        </w:rPr>
        <w:t>ASP growth range is in comparison with ASP of $13.71 per ton for 2018.</w:t>
      </w:r>
    </w:p>
    <w:p>
      <w:pPr>
        <w:spacing w:after="0" w:line="200"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110"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8D5D6C"/>
        </w:rPr>
        <w:t>Reconciliation of 2019 Guidance – Net earnings attributable to</w:t>
      </w:r>
    </w:p>
    <w:p>
      <w:pPr>
        <w:spacing w:after="0" w:line="18"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8D5D6C"/>
        </w:rPr>
        <w:t>Martin Marietta to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23495</wp:posOffset>
            </wp:positionV>
            <wp:extent cx="3550285" cy="1028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5">
                      <a:extLst>
                        <a:ext uri="{28A0092B-C50C-407E-A947-70E740481C1C}"/>
                      </a:extLst>
                    </a:blip>
                    <a:srcRect/>
                    <a:stretch>
                      <a:fillRect/>
                    </a:stretch>
                  </pic:blipFill>
                  <pic:spPr bwMode="auto">
                    <a:xfrm>
                      <a:off x="0" y="0"/>
                      <a:ext cx="3550285" cy="102870"/>
                    </a:xfrm>
                    <a:prstGeom prst="rect">
                      <a:avLst/>
                    </a:prstGeom>
                    <a:noFill/>
                  </pic:spPr>
                </pic:pic>
              </a:graphicData>
            </a:graphic>
          </wp:anchor>
        </w:drawing>
      </w:r>
    </w:p>
    <w:p>
      <w:pPr>
        <w:spacing w:after="0" w:line="18"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(dollars in millions)</w:t>
      </w:r>
    </w:p>
    <w:tbl>
      <w:tblPr>
        <w:tblLayout w:type="fixed"/>
        <w:tblInd w:w="5820" w:type="dxa"/>
        <w:tblCellMar>
          <w:top w:w="0" w:type="dxa"/>
          <w:left w:w="0" w:type="dxa"/>
          <w:bottom w:w="0" w:type="dxa"/>
          <w:right w:w="0" w:type="dxa"/>
        </w:tblCellMar>
      </w:tblPr>
      <w:tr>
        <w:trPr>
          <w:trHeight w:val="156"/>
        </w:trPr>
        <w:tc>
          <w:tcPr>
            <w:tcW w:w="41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Net earnings attributable to Martin Marietta</w:t>
            </w: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570</w:t>
            </w:r>
          </w:p>
        </w:tc>
      </w:tr>
      <w:tr>
        <w:trPr>
          <w:trHeight w:val="162"/>
        </w:trPr>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Add back:</w:t>
            </w: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r>
      <w:tr>
        <w:trPr>
          <w:trHeight w:val="162"/>
        </w:trPr>
        <w:tc>
          <w:tcPr>
            <w:tcW w:w="4180" w:type="dxa"/>
            <w:vAlign w:val="bottom"/>
          </w:tcPr>
          <w:p>
            <w:pPr>
              <w:ind w:left="160"/>
              <w:spacing w:after="0"/>
              <w:rPr>
                <w:sz w:val="20"/>
                <w:szCs w:val="20"/>
                <w:color w:val="auto"/>
              </w:rPr>
            </w:pPr>
            <w:r>
              <w:rPr>
                <w:rFonts w:ascii="Arial" w:cs="Arial" w:eastAsia="Arial" w:hAnsi="Arial"/>
                <w:sz w:val="14"/>
                <w:szCs w:val="14"/>
                <w:color w:val="auto"/>
              </w:rPr>
              <w:t>Interest expense</w:t>
            </w:r>
          </w:p>
        </w:tc>
        <w:tc>
          <w:tcPr>
            <w:tcW w:w="9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162"/>
        </w:trPr>
        <w:tc>
          <w:tcPr>
            <w:tcW w:w="41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tax expense for controlling interests</w:t>
            </w: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r>
      <w:tr>
        <w:trPr>
          <w:trHeight w:val="162"/>
        </w:trPr>
        <w:tc>
          <w:tcPr>
            <w:tcW w:w="41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Depreciation, depletion and amortization expense</w:t>
            </w: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w:t>
            </w:r>
          </w:p>
        </w:tc>
      </w:tr>
      <w:tr>
        <w:trPr>
          <w:trHeight w:val="163"/>
        </w:trPr>
        <w:tc>
          <w:tcPr>
            <w:tcW w:w="418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EBITDA</w:t>
            </w: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1,225</w:t>
            </w: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81</w:t>
      </w:r>
    </w:p>
    <w:p>
      <w:pPr>
        <w:sectPr>
          <w:pgSz w:w="11900" w:h="16838" w:orient="portrait"/>
          <w:cols w:equalWidth="0" w:num="1">
            <w:col w:w="11420"/>
          </w:cols>
          <w:pgMar w:left="240" w:top="265" w:right="2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0085CD"/>
        </w:rPr>
        <w:t>Risks To Outlook</w:t>
      </w:r>
    </w:p>
    <w:p>
      <w:pPr>
        <w:spacing w:after="0" w:line="53"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outlook includes management’s assessment of the likelihood of certain risks and uncertainties that may affect performance, including but not limited to: both price and volume, and a widespread decline in aggregates pricing, including a decline in aggregates volume negatively affecting aggregates price; the termination, capping and/or reduction of the federal and/or state gasoline tax(es) or other revenue related to infrastructure construction; a significant change in the level and timing of funding patterns for traditional federal, state and/or local infrastructure projects, most particularly in Texas, North Carolina, Iowa, Colorado, Georgia and Maryland; the volatility in the commencement of infrastructure projects; the performance of the United States economy; shipment declines resulting from economic events beyond the Company’s control; the history of both cement and ready mixed concrete being subject to significant changes in supply, demand and price fluctuations; the ability of states and/or other entities to finance approved projects either with tax revenues or alternative financing structures; levels of construction spending in the markets the Company serves; a reduction in defense spending, and the subsequent impact on construction activity on or near military bases; a decline in the commercial component of the nonresidential construction market, notably office and retail space; a further decline in energy-related construction activity resulting from a sustained period of low global oil prices or changes in oil production patterns in response to this decline, particularly in Texas; a slowdown in residential construction recovery; continuing unfavorable weather conditions, particularly Atlantic Ocean and Gulf Coast hurricane activity, excessive rainfall in the markets served by the Company and the early onset of winter, any of which can significantly affect production schedules, volumes, product and/or geographic mix and profitability; the volatility of fuel costs, particularly diesel fuel, and the impact on the cost, or the availability generally, of other consumables, namely steel, explosives, tires and conveyor belts, and with respect to the Company’s Magnesia Specialties business, natural gas; continued increases in the cost of other repair and supply parts; continuing construction labor shortages and/ or supply-chain challenges; unexpected equipment failures, unscheduled maintenance, industrial accident or other prolonged and/or significant disruption to production facilities; increase cost of compliance with governmental regulation, including environmental laws; increased transportation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costs, including increases from higher or fluctuating passed-through energy costs or fuel surcharges, and other costs to comply with tightening regulations, as well as higher volumes of rail and water shipments; availability of trucks and licensed drivers for transport of the Company’s materials; availability and cost of construction equipment in the United States; weakening in the steel industry markets served by the Company’s dolomitic lime products; a trade dispute with one or more nations impacting the U.S. economy, including the impact of tariffs on the steel industry; unplanned changes in costs or realignment of customers that introduce volatility to earnings, including that of the Magnesia Specialties business that is running at capacity; proper functioning of information technology and automated operating systems to manage or support operations; inflation and its effect on both production and interest costs; the concentration of customers in construction markets and the increased risk of potential losses on customer receivables; the impact of the level of demand in the Company’s end-use markets, production levels and management of production costs on the operating leverage and therefore profitability of the Company; the possibility that the expected synergies from acquisitions will not be realized or will not be realized within the expected time period, including achieving anticipated profitability to maintain compliance with the Company’s leverage ratio debt covenant; changes in tax laws, the interpretation of such laws and/or administrative practices that would increase the Company’s tax rate; violation of the Company’s debt covenant if price and/or volumes return to previous levels of instability; continued downward pressure on the Company’s common stock price and its impact on goodwill impairment evaluations; reduction of the Company’s credit rating to non-investment grade resulting from strategic acquisitions; and the United States Congress’ inability to reach agreement among themselves or with the current Administration on policy issues that impact the federal budget or another government shutdown. Further, increased highway construction funding pressures resulting from either federal or state issues can affect profitability. If these negatively affect transportation budgets more than in the past, construction spending could be reduced. Cement is subject to cyclical supply and demand and price fluctuations. The Magnesia Specialties business essentially runs at capacity; therefore, any unplanned changes in costs or realignment of customers introduce volatility to the earnings of this segment.</w:t>
      </w:r>
    </w:p>
    <w:p>
      <w:pPr>
        <w:spacing w:after="0" w:line="451"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82</w:t>
      </w:r>
    </w:p>
    <w:p>
      <w:pPr>
        <w:sectPr>
          <w:pgSz w:w="11900" w:h="16838" w:orient="portrait"/>
          <w:cols w:equalWidth="0" w:num="1">
            <w:col w:w="11420"/>
          </w:cols>
          <w:pgMar w:left="240" w:top="265" w:right="2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7"/>
          <w:szCs w:val="17"/>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5"/>
          <w:szCs w:val="15"/>
          <w:color w:val="4D5358"/>
        </w:rPr>
        <w:t>(continued)</w:t>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Company’s principal business serves customers in construction markets. This concentration could increase the risk of potential losses on customer receivables; however, payment bonds normally posted on public projects, together with lien rights on private projects, mitigate the risk of uncollectible receivables. The level of demand in the Company’s end-use markets, production levels and the management of production costs will affect the operating leverage of the Building Materials business and, therefore, profitability. Production costs in the Building Materials business are also sensitive to energy and raw material prices, both directly and indirectly. Diesel fuel, coal and other consumables change production costs directly through consumption or indirectly by increased energy-related input costs, such as steel, explosives, tires and conveyor belts. Fluctuating diesel fuel pricing also affects transportation costs, primarily through fuel surcharges in the Company’s long-haul distribution network. The Magnesia Specialties business is sensitive to changes in domestic steel capacity utilization as well as the absolute price and fluctuation in the cost of natural gas.</w:t>
      </w:r>
    </w:p>
    <w:p>
      <w:pPr>
        <w:spacing w:after="0" w:line="31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Transportation in the Company’s long-haul network, particularly the supply of rail cars and locomotive power and condition of rail infrastructure to move trains, affects the Company’s efficient transportation of aggregates products in certain markets, most notably Texas, Colorado, Florida, North Carolina and the Gulf Coast. In addition, availability of rail cars and locomotives affects the Company’s movement of essential dolomitic lime for magnesia chemicals to both the Company’s plant in Manistee, Michigan, and its customers. The availability of trucks, drivers and railcars to transport the Company’s product, particularly in markets experiencing high growth and increased demand, is also a risk and pressures the associated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All of the Company’s businesses are also subject to weather-related risks that can significantly affect production schedules and profitability. The first and fourth quarters are most adversely affected by winter weather. Hurricane activity in the Atlantic Ocean and Gulf Coast generally is most active during the third and fourth quarters. In fact, in September and October 2018, respectively, Hurricanes Florence and Michael generated winds, rainfall and flooding which disrupted operations in the Carolinas, Florida and Georgia. However, after flood waters recede, management typically expects an increase in construction activity as roads, homes and businesses are repaired.</w:t>
      </w:r>
    </w:p>
    <w:p>
      <w:pPr>
        <w:spacing w:after="0" w:line="30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Risks to the outlook also include shipment declines resulting from economic events beyond the Company’s control.</w:t>
      </w:r>
    </w:p>
    <w:p>
      <w:pPr>
        <w:spacing w:after="0" w:line="3215" w:lineRule="exact"/>
        <w:rPr>
          <w:sz w:val="20"/>
          <w:szCs w:val="20"/>
          <w:color w:val="auto"/>
        </w:rPr>
      </w:pPr>
    </w:p>
    <w:p>
      <w:pPr>
        <w:sectPr>
          <w:pgSz w:w="11900" w:h="16838" w:orient="portrait"/>
          <w:cols w:equalWidth="0" w:num="2">
            <w:col w:w="5480" w:space="340"/>
            <w:col w:w="5600"/>
          </w:cols>
          <w:pgMar w:left="240" w:top="265" w:right="239" w:bottom="1440" w:gutter="0" w:footer="0" w:header="0"/>
          <w:type w:val="continuous"/>
        </w:sectPr>
      </w:pPr>
    </w:p>
    <w:p>
      <w:pPr>
        <w:spacing w:after="0" w:line="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83</w:t>
      </w:r>
    </w:p>
    <w:p>
      <w:pPr>
        <w:sectPr>
          <w:pgSz w:w="11900" w:h="16838" w:orient="portrait"/>
          <w:cols w:equalWidth="0" w:num="1">
            <w:col w:w="11420"/>
          </w:cols>
          <w:pgMar w:left="240" w:top="265" w:right="2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8"/>
          <w:szCs w:val="18"/>
          <w:b w:val="1"/>
          <w:bCs w:val="1"/>
          <w:color w:val="4D5358"/>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MANAGEMENT’S DISCUSSION &amp; ANALYSIS OF FINANCIAL CONDITION &amp; RESULTS OF OPERATIONS </w:t>
      </w:r>
      <w:r>
        <w:rPr>
          <w:rFonts w:ascii="Arial" w:cs="Arial" w:eastAsia="Arial" w:hAnsi="Arial"/>
          <w:sz w:val="16"/>
          <w:szCs w:val="16"/>
          <w:color w:val="4D5358"/>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7246620" cy="291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FFFFFF"/>
        </w:rPr>
        <w:t>Forward-Looking Statements – Safe Harbor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56857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0">
                      <a:extLst>
                        <a:ext uri="{28A0092B-C50C-407E-A947-70E740481C1C}"/>
                      </a:extLst>
                    </a:blip>
                    <a:srcRect/>
                    <a:stretch>
                      <a:fillRect/>
                    </a:stretch>
                  </pic:blipFill>
                  <pic:spPr bwMode="auto">
                    <a:xfrm>
                      <a:off x="0" y="0"/>
                      <a:ext cx="7246620" cy="56857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both"/>
        <w:ind w:left="360"/>
        <w:spacing w:after="0"/>
        <w:rPr>
          <w:sz w:val="20"/>
          <w:szCs w:val="20"/>
          <w:color w:val="auto"/>
        </w:rPr>
      </w:pPr>
      <w:r>
        <w:rPr>
          <w:rFonts w:ascii="Arial" w:cs="Arial" w:eastAsia="Arial" w:hAnsi="Arial"/>
          <w:sz w:val="17"/>
          <w:szCs w:val="17"/>
          <w:color w:val="auto"/>
        </w:rPr>
        <w:t xml:space="preserve">If you are interested in Martin Marietta Materials, Inc. stock, management recommends that, at a minimum, you read the Company’s Forms 10-K, 10-Q and 8-K reports to the Securities and Exchange Commission (SEC) over the past year, in addition to the Annual Report. The Company’s recent proxy statement for the annual meeting of shareholders also contains important information. These and other materials that have been filed with the SEC are accessible through the Company’s website at </w:t>
      </w:r>
      <w:r>
        <w:rPr>
          <w:rFonts w:ascii="Arial" w:cs="Arial" w:eastAsia="Arial" w:hAnsi="Arial"/>
          <w:sz w:val="17"/>
          <w:szCs w:val="17"/>
          <w:u w:val="single" w:color="auto"/>
          <w:color w:val="auto"/>
        </w:rPr>
        <w:t>www.martinmarietta.com</w:t>
      </w:r>
      <w:r>
        <w:rPr>
          <w:rFonts w:ascii="Arial" w:cs="Arial" w:eastAsia="Arial" w:hAnsi="Arial"/>
          <w:sz w:val="17"/>
          <w:szCs w:val="17"/>
          <w:color w:val="auto"/>
        </w:rPr>
        <w:t xml:space="preserve"> and are also available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You may also write or call the Company’s Corporate Secretary, who will provide copies of such reports.</w:t>
      </w:r>
    </w:p>
    <w:p>
      <w:pPr>
        <w:spacing w:after="0" w:line="400" w:lineRule="exact"/>
        <w:rPr>
          <w:sz w:val="20"/>
          <w:szCs w:val="20"/>
          <w:color w:val="auto"/>
        </w:rPr>
      </w:pPr>
    </w:p>
    <w:p>
      <w:pPr>
        <w:jc w:val="both"/>
        <w:ind w:left="360"/>
        <w:spacing w:after="0" w:line="234" w:lineRule="auto"/>
        <w:rPr>
          <w:sz w:val="20"/>
          <w:szCs w:val="20"/>
          <w:color w:val="auto"/>
        </w:rPr>
      </w:pPr>
      <w:r>
        <w:rPr>
          <w:rFonts w:ascii="Arial" w:cs="Arial" w:eastAsia="Arial" w:hAnsi="Arial"/>
          <w:sz w:val="17"/>
          <w:szCs w:val="17"/>
          <w:color w:val="auto"/>
        </w:rPr>
        <w:t>Investors are cautioned that all statements in this Annual Report that relate to the future involve risks and uncertainties, and are based on assumptions that the Company believes in good faith are reasonable but which may be materially different from actual results. These statements are “forward-looking” statements within the meaning of Section 27A of the Securities Act of 1933 and Section 21E of the Securities Exchange Act of 1934. Forward-looking statements give the investor the Company’s expectations or forecasts of future events. These statements can be identified by the fact that they do not relate only to historical or current facts. They may use words such as “anticipate,” “expect,” “should be,” “believe,” “will,” and other words of similar meaning in connection with future events or future operating or financial performance. Any or all of the Company’s forward-looking statements here and in other publications may turn out to be wrong.</w:t>
      </w:r>
    </w:p>
    <w:p>
      <w:pPr>
        <w:spacing w:after="0" w:line="233" w:lineRule="exact"/>
        <w:rPr>
          <w:sz w:val="20"/>
          <w:szCs w:val="20"/>
          <w:color w:val="auto"/>
        </w:rPr>
      </w:pPr>
    </w:p>
    <w:p>
      <w:pPr>
        <w:jc w:val="both"/>
        <w:ind w:left="360" w:right="20"/>
        <w:spacing w:after="0" w:line="235" w:lineRule="auto"/>
        <w:rPr>
          <w:sz w:val="20"/>
          <w:szCs w:val="20"/>
          <w:color w:val="auto"/>
        </w:rPr>
      </w:pPr>
      <w:r>
        <w:rPr>
          <w:rFonts w:ascii="Arial" w:cs="Arial" w:eastAsia="Arial" w:hAnsi="Arial"/>
          <w:sz w:val="17"/>
          <w:szCs w:val="17"/>
          <w:color w:val="auto"/>
        </w:rPr>
        <w:t>Factors that the Company currently believes could cause actual results to differ materially from the forward-looking statements in this Annual Report include but are not limited to those listed above in “ – Risks to Outlook” and other risk factors listed from time to time found in the Company’s filings with the SEC, including, but not limited to, the discussion of “Competition” in the Company’s Annual Report on Form 10-K and in Item 1A of the Company’s Annual Report on Form 10-K, “Note A: Accounting Policies” and “Note O: Commitments and Contingencies” of the “Notes to Financial Statements” of the audited consolidated financial statements included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780"/>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84</w:t>
      </w:r>
    </w:p>
    <w:p>
      <w:pPr>
        <w:sectPr>
          <w:pgSz w:w="11900" w:h="16838" w:orient="portrait"/>
          <w:cols w:equalWidth="0" w:num="1">
            <w:col w:w="10820"/>
          </w:cols>
          <w:pgMar w:left="240" w:top="265" w:right="8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3687445" cy="4114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2">
                      <a:extLst>
                        <a:ext uri="{28A0092B-C50C-407E-A947-70E740481C1C}"/>
                      </a:extLst>
                    </a:blip>
                    <a:srcRect/>
                    <a:stretch>
                      <a:fillRect/>
                    </a:stretch>
                  </pic:blipFill>
                  <pic:spPr bwMode="auto">
                    <a:xfrm>
                      <a:off x="0" y="0"/>
                      <a:ext cx="3687445" cy="411480"/>
                    </a:xfrm>
                    <a:prstGeom prst="rect">
                      <a:avLst/>
                    </a:prstGeom>
                    <a:noFill/>
                  </pic:spPr>
                </pic:pic>
              </a:graphicData>
            </a:graphic>
          </wp:anchor>
        </w:drawing>
        <w:t xml:space="preserve">QUARTERLY PERFORMANCE </w:t>
      </w:r>
      <w:r>
        <w:rPr>
          <w:rFonts w:ascii="Arial" w:cs="Arial" w:eastAsia="Arial" w:hAnsi="Arial"/>
          <w:sz w:val="12"/>
          <w:szCs w:val="12"/>
          <w:color w:val="FFFFFF"/>
        </w:rPr>
        <w:t>(UNAUDITED)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FFFFFF"/>
        </w:rPr>
        <w:t>(add 000, except per share and stock prices)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3"/>
          </w:tcPr>
          <w:p>
            <w:pPr>
              <w:jc w:val="center"/>
              <w:ind w:right="119"/>
              <w:spacing w:after="0"/>
              <w:rPr>
                <w:sz w:val="20"/>
                <w:szCs w:val="20"/>
                <w:color w:val="auto"/>
              </w:rPr>
            </w:pPr>
            <w:r>
              <w:rPr>
                <w:rFonts w:ascii="Arial" w:cs="Arial" w:eastAsia="Arial" w:hAnsi="Arial"/>
                <w:sz w:val="16"/>
                <w:szCs w:val="16"/>
                <w:b w:val="1"/>
                <w:bCs w:val="1"/>
                <w:color w:val="auto"/>
              </w:rPr>
              <w:t>Net Earnings</w:t>
            </w:r>
          </w:p>
        </w:tc>
      </w:tr>
      <w:tr>
        <w:trPr>
          <w:trHeight w:val="189"/>
        </w:trPr>
        <w:tc>
          <w:tcPr>
            <w:tcW w:w="3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Consolidated Net</w:t>
            </w:r>
          </w:p>
        </w:tc>
        <w:tc>
          <w:tcPr>
            <w:tcW w:w="260" w:type="dxa"/>
            <w:vAlign w:val="bottom"/>
          </w:tcPr>
          <w:p>
            <w:pPr>
              <w:spacing w:after="0"/>
              <w:rPr>
                <w:sz w:val="16"/>
                <w:szCs w:val="16"/>
                <w:color w:val="auto"/>
              </w:rPr>
            </w:pPr>
          </w:p>
        </w:tc>
        <w:tc>
          <w:tcPr>
            <w:tcW w:w="1640" w:type="dxa"/>
            <w:vAlign w:val="bottom"/>
            <w:gridSpan w:val="3"/>
          </w:tcPr>
          <w:p>
            <w:pPr>
              <w:jc w:val="center"/>
              <w:ind w:right="119"/>
              <w:spacing w:after="0"/>
              <w:rPr>
                <w:sz w:val="20"/>
                <w:szCs w:val="20"/>
                <w:color w:val="auto"/>
              </w:rPr>
            </w:pPr>
            <w:r>
              <w:rPr>
                <w:rFonts w:ascii="Arial" w:cs="Arial" w:eastAsia="Arial" w:hAnsi="Arial"/>
                <w:sz w:val="16"/>
                <w:szCs w:val="16"/>
                <w:b w:val="1"/>
                <w:bCs w:val="1"/>
                <w:color w:val="auto"/>
              </w:rPr>
              <w:t>Attributable to</w:t>
            </w:r>
          </w:p>
        </w:tc>
      </w:tr>
      <w:tr>
        <w:trPr>
          <w:trHeight w:val="221"/>
        </w:trPr>
        <w:tc>
          <w:tcPr>
            <w:tcW w:w="3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Total Revenues</w:t>
            </w: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Gross Profit</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Earnings</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right="119"/>
              <w:spacing w:after="0"/>
              <w:rPr>
                <w:sz w:val="20"/>
                <w:szCs w:val="20"/>
                <w:color w:val="auto"/>
              </w:rPr>
            </w:pPr>
            <w:r>
              <w:rPr>
                <w:rFonts w:ascii="Arial" w:cs="Arial" w:eastAsia="Arial" w:hAnsi="Arial"/>
                <w:sz w:val="16"/>
                <w:szCs w:val="16"/>
                <w:b w:val="1"/>
                <w:bCs w:val="1"/>
                <w:color w:val="auto"/>
              </w:rPr>
              <w:t>Martin Marietta</w:t>
            </w:r>
          </w:p>
        </w:tc>
      </w:tr>
      <w:tr>
        <w:trPr>
          <w:trHeight w:val="237"/>
        </w:trPr>
        <w:tc>
          <w:tcPr>
            <w:tcW w:w="3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Quarter</w:t>
            </w:r>
          </w:p>
        </w:tc>
        <w:tc>
          <w:tcPr>
            <w:tcW w:w="260" w:type="dxa"/>
            <w:vAlign w:val="bottom"/>
            <w:tcBorders>
              <w:bottom w:val="single" w:sz="8" w:color="auto"/>
            </w:tcBorders>
            <w:shd w:val="clear" w:color="auto" w:fill="0085CD"/>
          </w:tcPr>
          <w:p>
            <w:pPr>
              <w:spacing w:after="0"/>
              <w:rPr>
                <w:sz w:val="20"/>
                <w:szCs w:val="20"/>
                <w:color w:val="auto"/>
              </w:rPr>
            </w:pPr>
          </w:p>
        </w:tc>
        <w:tc>
          <w:tcPr>
            <w:tcW w:w="820" w:type="dxa"/>
            <w:vAlign w:val="bottom"/>
            <w:tcBorders>
              <w:bottom w:val="single" w:sz="8" w:color="auto"/>
            </w:tcBorders>
            <w:shd w:val="clear" w:color="auto" w:fill="0085CD"/>
          </w:tcPr>
          <w:p>
            <w:pPr>
              <w:jc w:val="right"/>
              <w:ind w:right="239"/>
              <w:spacing w:after="0"/>
              <w:rPr>
                <w:sz w:val="20"/>
                <w:szCs w:val="20"/>
                <w:color w:val="auto"/>
              </w:rPr>
            </w:pPr>
            <w:r>
              <w:rPr>
                <w:rFonts w:ascii="Arial" w:cs="Arial" w:eastAsia="Arial" w:hAnsi="Arial"/>
                <w:sz w:val="16"/>
                <w:szCs w:val="16"/>
                <w:b w:val="1"/>
                <w:bCs w:val="1"/>
                <w:color w:val="FFFFFF"/>
              </w:rPr>
              <w:t>2018</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2017</w:t>
            </w:r>
          </w:p>
        </w:tc>
        <w:tc>
          <w:tcPr>
            <w:tcW w:w="220" w:type="dxa"/>
            <w:vAlign w:val="bottom"/>
            <w:tcBorders>
              <w:bottom w:val="single" w:sz="8" w:color="auto"/>
            </w:tcBorders>
            <w:shd w:val="clear" w:color="auto" w:fill="0085CD"/>
          </w:tcPr>
          <w:p>
            <w:pPr>
              <w:spacing w:after="0"/>
              <w:rPr>
                <w:sz w:val="20"/>
                <w:szCs w:val="20"/>
                <w:color w:val="auto"/>
              </w:rPr>
            </w:pPr>
          </w:p>
        </w:tc>
        <w:tc>
          <w:tcPr>
            <w:tcW w:w="740" w:type="dxa"/>
            <w:vAlign w:val="bottom"/>
            <w:tcBorders>
              <w:bottom w:val="single" w:sz="8" w:color="auto"/>
            </w:tcBorders>
            <w:shd w:val="clear" w:color="auto" w:fill="0085CD"/>
          </w:tcPr>
          <w:p>
            <w:pPr>
              <w:jc w:val="right"/>
              <w:ind w:right="99"/>
              <w:spacing w:after="0" w:line="236" w:lineRule="exact"/>
              <w:rPr>
                <w:sz w:val="20"/>
                <w:szCs w:val="20"/>
                <w:color w:val="auto"/>
              </w:rPr>
            </w:pPr>
            <w:r>
              <w:rPr>
                <w:rFonts w:ascii="Arial" w:cs="Arial" w:eastAsia="Arial" w:hAnsi="Arial"/>
                <w:sz w:val="16"/>
                <w:szCs w:val="16"/>
                <w:b w:val="1"/>
                <w:bCs w:val="1"/>
                <w:color w:val="FFFFFF"/>
                <w:w w:val="89"/>
                <w:shd w:val="clear" w:color="auto" w:fill="0085CD"/>
              </w:rPr>
              <w:t>2018</w:t>
            </w:r>
            <w:r>
              <w:rPr>
                <w:rFonts w:ascii="Arial" w:cs="Arial" w:eastAsia="Arial" w:hAnsi="Arial"/>
                <w:sz w:val="27"/>
                <w:szCs w:val="27"/>
                <w:b w:val="1"/>
                <w:bCs w:val="1"/>
                <w:color w:val="FFFFFF"/>
                <w:w w:val="89"/>
                <w:vertAlign w:val="superscript"/>
                <w:shd w:val="clear" w:color="auto" w:fill="0085CD"/>
              </w:rPr>
              <w:t>2,3</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2017</w:t>
            </w:r>
          </w:p>
        </w:tc>
        <w:tc>
          <w:tcPr>
            <w:tcW w:w="940" w:type="dxa"/>
            <w:vAlign w:val="bottom"/>
            <w:tcBorders>
              <w:bottom w:val="single" w:sz="8" w:color="auto"/>
            </w:tcBorders>
            <w:gridSpan w:val="2"/>
            <w:shd w:val="clear" w:color="auto" w:fill="0085CD"/>
          </w:tcPr>
          <w:p>
            <w:pPr>
              <w:jc w:val="right"/>
              <w:spacing w:after="0"/>
              <w:rPr>
                <w:sz w:val="20"/>
                <w:szCs w:val="20"/>
                <w:color w:val="auto"/>
              </w:rPr>
            </w:pPr>
            <w:r>
              <w:rPr>
                <w:rFonts w:ascii="Arial" w:cs="Arial" w:eastAsia="Arial" w:hAnsi="Arial"/>
                <w:sz w:val="16"/>
                <w:szCs w:val="16"/>
                <w:b w:val="1"/>
                <w:bCs w:val="1"/>
                <w:color w:val="FFFFFF"/>
                <w:shd w:val="clear" w:color="auto" w:fill="0085CD"/>
              </w:rPr>
              <w:t>2018</w:t>
            </w:r>
            <w:r>
              <w:rPr>
                <w:rFonts w:ascii="Arial" w:cs="Arial" w:eastAsia="Arial" w:hAnsi="Arial"/>
                <w:sz w:val="13"/>
                <w:szCs w:val="13"/>
                <w:b w:val="1"/>
                <w:bCs w:val="1"/>
                <w:color w:val="FFFFFF"/>
                <w:shd w:val="clear" w:color="auto" w:fill="0085CD"/>
              </w:rPr>
              <w:t>2,3,4,5</w:t>
            </w:r>
          </w:p>
        </w:tc>
        <w:tc>
          <w:tcPr>
            <w:tcW w:w="9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2017</w:t>
            </w:r>
            <w:r>
              <w:rPr>
                <w:rFonts w:ascii="Arial" w:cs="Arial" w:eastAsia="Arial" w:hAnsi="Arial"/>
                <w:sz w:val="13"/>
                <w:szCs w:val="13"/>
                <w:color w:val="auto"/>
              </w:rPr>
              <w:t>6,7,8</w:t>
            </w:r>
          </w:p>
        </w:tc>
        <w:tc>
          <w:tcPr>
            <w:tcW w:w="960" w:type="dxa"/>
            <w:vAlign w:val="bottom"/>
            <w:tcBorders>
              <w:bottom w:val="single" w:sz="8" w:color="auto"/>
            </w:tcBorders>
            <w:gridSpan w:val="2"/>
            <w:shd w:val="clear" w:color="auto" w:fill="0085CD"/>
          </w:tcPr>
          <w:p>
            <w:pPr>
              <w:jc w:val="right"/>
              <w:spacing w:after="0"/>
              <w:rPr>
                <w:sz w:val="20"/>
                <w:szCs w:val="20"/>
                <w:color w:val="auto"/>
              </w:rPr>
            </w:pPr>
            <w:r>
              <w:rPr>
                <w:rFonts w:ascii="Arial" w:cs="Arial" w:eastAsia="Arial" w:hAnsi="Arial"/>
                <w:sz w:val="16"/>
                <w:szCs w:val="16"/>
                <w:b w:val="1"/>
                <w:bCs w:val="1"/>
                <w:color w:val="FFFFFF"/>
                <w:shd w:val="clear" w:color="auto" w:fill="0085CD"/>
              </w:rPr>
              <w:t>2018</w:t>
            </w:r>
            <w:r>
              <w:rPr>
                <w:rFonts w:ascii="Arial" w:cs="Arial" w:eastAsia="Arial" w:hAnsi="Arial"/>
                <w:sz w:val="13"/>
                <w:szCs w:val="13"/>
                <w:b w:val="1"/>
                <w:bCs w:val="1"/>
                <w:color w:val="FFFFFF"/>
                <w:shd w:val="clear" w:color="auto" w:fill="0085CD"/>
              </w:rPr>
              <w:t>2,3,4,5</w:t>
            </w:r>
          </w:p>
        </w:tc>
        <w:tc>
          <w:tcPr>
            <w:tcW w:w="9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2017</w:t>
            </w:r>
            <w:r>
              <w:rPr>
                <w:rFonts w:ascii="Arial" w:cs="Arial" w:eastAsia="Arial" w:hAnsi="Arial"/>
                <w:sz w:val="13"/>
                <w:szCs w:val="13"/>
                <w:color w:val="auto"/>
              </w:rPr>
              <w:t>6,7,8</w:t>
            </w:r>
          </w:p>
        </w:tc>
      </w:tr>
      <w:tr>
        <w:trPr>
          <w:trHeight w:val="244"/>
        </w:trPr>
        <w:tc>
          <w:tcPr>
            <w:tcW w:w="3580" w:type="dxa"/>
            <w:vAlign w:val="bottom"/>
          </w:tcPr>
          <w:p>
            <w:pPr>
              <w:spacing w:after="0"/>
              <w:rPr>
                <w:sz w:val="20"/>
                <w:szCs w:val="20"/>
                <w:color w:val="auto"/>
              </w:rPr>
            </w:pPr>
            <w:r>
              <w:rPr>
                <w:rFonts w:ascii="Arial" w:cs="Arial" w:eastAsia="Arial" w:hAnsi="Arial"/>
                <w:sz w:val="16"/>
                <w:szCs w:val="16"/>
                <w:color w:val="auto"/>
              </w:rPr>
              <w:t>First</w:t>
            </w:r>
          </w:p>
        </w:tc>
        <w:tc>
          <w:tcPr>
            <w:tcW w:w="26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802,004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843,859</w:t>
            </w:r>
          </w:p>
        </w:tc>
        <w:tc>
          <w:tcPr>
            <w:tcW w:w="22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110,392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ind w:left="60"/>
              <w:spacing w:after="0"/>
              <w:rPr>
                <w:sz w:val="20"/>
                <w:szCs w:val="20"/>
                <w:color w:val="auto"/>
              </w:rPr>
            </w:pPr>
            <w:r>
              <w:rPr>
                <w:rFonts w:ascii="Arial" w:cs="Arial" w:eastAsia="Arial" w:hAnsi="Arial"/>
                <w:sz w:val="16"/>
                <w:szCs w:val="16"/>
                <w:color w:val="auto"/>
              </w:rPr>
              <w:t>147,067</w:t>
            </w:r>
          </w:p>
        </w:tc>
        <w:tc>
          <w:tcPr>
            <w:tcW w:w="26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10,040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42,307</w:t>
            </w:r>
          </w:p>
        </w:tc>
        <w:tc>
          <w:tcPr>
            <w:tcW w:w="26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10,023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42,334</w:t>
            </w:r>
          </w:p>
        </w:tc>
      </w:tr>
      <w:tr>
        <w:trPr>
          <w:trHeight w:val="257"/>
        </w:trPr>
        <w:tc>
          <w:tcPr>
            <w:tcW w:w="3580" w:type="dxa"/>
            <w:vAlign w:val="bottom"/>
          </w:tcPr>
          <w:p>
            <w:pPr>
              <w:spacing w:after="0"/>
              <w:rPr>
                <w:sz w:val="20"/>
                <w:szCs w:val="20"/>
                <w:color w:val="auto"/>
              </w:rPr>
            </w:pPr>
            <w:r>
              <w:rPr>
                <w:rFonts w:ascii="Arial" w:cs="Arial" w:eastAsia="Arial" w:hAnsi="Arial"/>
                <w:sz w:val="16"/>
                <w:szCs w:val="16"/>
                <w:color w:val="auto"/>
              </w:rPr>
              <w:t>Second</w:t>
            </w:r>
          </w:p>
        </w:tc>
        <w:tc>
          <w:tcPr>
            <w:tcW w:w="260" w:type="dxa"/>
            <w:vAlign w:val="bottom"/>
            <w:shd w:val="clear" w:color="auto" w:fill="CDDEE7"/>
          </w:tcPr>
          <w:p>
            <w:pPr>
              <w:spacing w:after="0"/>
              <w:rPr>
                <w:sz w:val="22"/>
                <w:szCs w:val="22"/>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1,202,403</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1,063,524</w:t>
            </w:r>
          </w:p>
        </w:tc>
        <w:tc>
          <w:tcPr>
            <w:tcW w:w="220" w:type="dxa"/>
            <w:vAlign w:val="bottom"/>
            <w:shd w:val="clear" w:color="auto" w:fill="CDDEE7"/>
          </w:tcPr>
          <w:p>
            <w:pPr>
              <w:spacing w:after="0"/>
              <w:rPr>
                <w:sz w:val="22"/>
                <w:szCs w:val="22"/>
                <w:color w:val="auto"/>
              </w:rPr>
            </w:pPr>
          </w:p>
        </w:tc>
        <w:tc>
          <w:tcPr>
            <w:tcW w:w="74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315,917</w:t>
            </w:r>
          </w:p>
        </w:tc>
        <w:tc>
          <w:tcPr>
            <w:tcW w:w="240" w:type="dxa"/>
            <w:vAlign w:val="bottom"/>
          </w:tcPr>
          <w:p>
            <w:pPr>
              <w:spacing w:after="0"/>
              <w:rPr>
                <w:sz w:val="22"/>
                <w:szCs w:val="22"/>
                <w:color w:val="auto"/>
              </w:rPr>
            </w:pPr>
          </w:p>
        </w:tc>
        <w:tc>
          <w:tcPr>
            <w:tcW w:w="700" w:type="dxa"/>
            <w:vAlign w:val="bottom"/>
          </w:tcPr>
          <w:p>
            <w:pPr>
              <w:ind w:left="60"/>
              <w:spacing w:after="0"/>
              <w:rPr>
                <w:sz w:val="20"/>
                <w:szCs w:val="20"/>
                <w:color w:val="auto"/>
              </w:rPr>
            </w:pPr>
            <w:r>
              <w:rPr>
                <w:rFonts w:ascii="Arial" w:cs="Arial" w:eastAsia="Arial" w:hAnsi="Arial"/>
                <w:sz w:val="16"/>
                <w:szCs w:val="16"/>
                <w:color w:val="auto"/>
              </w:rPr>
              <w:t>274,094</w:t>
            </w:r>
          </w:p>
        </w:tc>
        <w:tc>
          <w:tcPr>
            <w:tcW w:w="260" w:type="dxa"/>
            <w:vAlign w:val="bottom"/>
            <w:shd w:val="clear" w:color="auto" w:fill="CDDEE7"/>
          </w:tcPr>
          <w:p>
            <w:pPr>
              <w:spacing w:after="0"/>
              <w:rPr>
                <w:sz w:val="22"/>
                <w:szCs w:val="22"/>
                <w:color w:val="auto"/>
              </w:rPr>
            </w:pPr>
          </w:p>
        </w:tc>
        <w:tc>
          <w:tcPr>
            <w:tcW w:w="68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185,503</w:t>
            </w:r>
          </w:p>
        </w:tc>
        <w:tc>
          <w:tcPr>
            <w:tcW w:w="2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142,241</w:t>
            </w:r>
          </w:p>
        </w:tc>
        <w:tc>
          <w:tcPr>
            <w:tcW w:w="260" w:type="dxa"/>
            <w:vAlign w:val="bottom"/>
            <w:shd w:val="clear" w:color="auto" w:fill="CDDEE7"/>
          </w:tcPr>
          <w:p>
            <w:pPr>
              <w:spacing w:after="0"/>
              <w:rPr>
                <w:sz w:val="22"/>
                <w:szCs w:val="22"/>
                <w:color w:val="auto"/>
              </w:rPr>
            </w:pPr>
          </w:p>
        </w:tc>
        <w:tc>
          <w:tcPr>
            <w:tcW w:w="70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185,377</w:t>
            </w: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142,279</w:t>
            </w:r>
          </w:p>
        </w:tc>
      </w:tr>
      <w:tr>
        <w:trPr>
          <w:trHeight w:val="257"/>
        </w:trPr>
        <w:tc>
          <w:tcPr>
            <w:tcW w:w="3580" w:type="dxa"/>
            <w:vAlign w:val="bottom"/>
          </w:tcPr>
          <w:p>
            <w:pPr>
              <w:spacing w:after="0"/>
              <w:rPr>
                <w:sz w:val="20"/>
                <w:szCs w:val="20"/>
                <w:color w:val="auto"/>
              </w:rPr>
            </w:pPr>
            <w:r>
              <w:rPr>
                <w:rFonts w:ascii="Arial" w:cs="Arial" w:eastAsia="Arial" w:hAnsi="Arial"/>
                <w:sz w:val="16"/>
                <w:szCs w:val="16"/>
                <w:color w:val="auto"/>
              </w:rPr>
              <w:t>Third</w:t>
            </w:r>
          </w:p>
        </w:tc>
        <w:tc>
          <w:tcPr>
            <w:tcW w:w="260" w:type="dxa"/>
            <w:vAlign w:val="bottom"/>
            <w:shd w:val="clear" w:color="auto" w:fill="CDDEE7"/>
          </w:tcPr>
          <w:p>
            <w:pPr>
              <w:spacing w:after="0"/>
              <w:rPr>
                <w:sz w:val="22"/>
                <w:szCs w:val="22"/>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1,219,640</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1,087,732</w:t>
            </w:r>
          </w:p>
        </w:tc>
        <w:tc>
          <w:tcPr>
            <w:tcW w:w="220" w:type="dxa"/>
            <w:vAlign w:val="bottom"/>
            <w:shd w:val="clear" w:color="auto" w:fill="CDDEE7"/>
          </w:tcPr>
          <w:p>
            <w:pPr>
              <w:spacing w:after="0"/>
              <w:rPr>
                <w:sz w:val="22"/>
                <w:szCs w:val="22"/>
                <w:color w:val="auto"/>
              </w:rPr>
            </w:pPr>
          </w:p>
        </w:tc>
        <w:tc>
          <w:tcPr>
            <w:tcW w:w="74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312,984</w:t>
            </w:r>
          </w:p>
        </w:tc>
        <w:tc>
          <w:tcPr>
            <w:tcW w:w="240" w:type="dxa"/>
            <w:vAlign w:val="bottom"/>
          </w:tcPr>
          <w:p>
            <w:pPr>
              <w:spacing w:after="0"/>
              <w:rPr>
                <w:sz w:val="22"/>
                <w:szCs w:val="22"/>
                <w:color w:val="auto"/>
              </w:rPr>
            </w:pPr>
          </w:p>
        </w:tc>
        <w:tc>
          <w:tcPr>
            <w:tcW w:w="700" w:type="dxa"/>
            <w:vAlign w:val="bottom"/>
          </w:tcPr>
          <w:p>
            <w:pPr>
              <w:ind w:left="60"/>
              <w:spacing w:after="0"/>
              <w:rPr>
                <w:sz w:val="20"/>
                <w:szCs w:val="20"/>
                <w:color w:val="auto"/>
              </w:rPr>
            </w:pPr>
            <w:r>
              <w:rPr>
                <w:rFonts w:ascii="Arial" w:cs="Arial" w:eastAsia="Arial" w:hAnsi="Arial"/>
                <w:sz w:val="16"/>
                <w:szCs w:val="16"/>
                <w:color w:val="auto"/>
              </w:rPr>
              <w:t>291,678</w:t>
            </w:r>
          </w:p>
        </w:tc>
        <w:tc>
          <w:tcPr>
            <w:tcW w:w="260" w:type="dxa"/>
            <w:vAlign w:val="bottom"/>
            <w:shd w:val="clear" w:color="auto" w:fill="CDDEE7"/>
          </w:tcPr>
          <w:p>
            <w:pPr>
              <w:spacing w:after="0"/>
              <w:rPr>
                <w:sz w:val="22"/>
                <w:szCs w:val="22"/>
                <w:color w:val="auto"/>
              </w:rPr>
            </w:pPr>
          </w:p>
        </w:tc>
        <w:tc>
          <w:tcPr>
            <w:tcW w:w="68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180,353</w:t>
            </w:r>
          </w:p>
        </w:tc>
        <w:tc>
          <w:tcPr>
            <w:tcW w:w="2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151,539</w:t>
            </w:r>
          </w:p>
        </w:tc>
        <w:tc>
          <w:tcPr>
            <w:tcW w:w="260" w:type="dxa"/>
            <w:vAlign w:val="bottom"/>
            <w:shd w:val="clear" w:color="auto" w:fill="CDDEE7"/>
          </w:tcPr>
          <w:p>
            <w:pPr>
              <w:spacing w:after="0"/>
              <w:rPr>
                <w:sz w:val="22"/>
                <w:szCs w:val="22"/>
                <w:color w:val="auto"/>
              </w:rPr>
            </w:pPr>
          </w:p>
        </w:tc>
        <w:tc>
          <w:tcPr>
            <w:tcW w:w="70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180,221</w:t>
            </w: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151,546</w:t>
            </w:r>
          </w:p>
        </w:tc>
      </w:tr>
      <w:tr>
        <w:trPr>
          <w:trHeight w:val="249"/>
        </w:trPr>
        <w:tc>
          <w:tcPr>
            <w:tcW w:w="3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Fourth</w:t>
            </w:r>
          </w:p>
        </w:tc>
        <w:tc>
          <w:tcPr>
            <w:tcW w:w="260" w:type="dxa"/>
            <w:vAlign w:val="bottom"/>
            <w:tcBorders>
              <w:bottom w:val="single" w:sz="8" w:color="auto"/>
            </w:tcBorders>
            <w:shd w:val="clear" w:color="auto" w:fill="CDDEE7"/>
          </w:tcPr>
          <w:p>
            <w:pPr>
              <w:spacing w:after="0"/>
              <w:rPr>
                <w:sz w:val="21"/>
                <w:szCs w:val="21"/>
                <w:color w:val="auto"/>
              </w:rPr>
            </w:pPr>
          </w:p>
        </w:tc>
        <w:tc>
          <w:tcPr>
            <w:tcW w:w="8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1,020,218</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970,479</w:t>
            </w:r>
          </w:p>
        </w:tc>
        <w:tc>
          <w:tcPr>
            <w:tcW w:w="220" w:type="dxa"/>
            <w:vAlign w:val="bottom"/>
            <w:tcBorders>
              <w:bottom w:val="single" w:sz="8" w:color="auto"/>
            </w:tcBorders>
            <w:shd w:val="clear" w:color="auto" w:fill="CDDEE7"/>
          </w:tcPr>
          <w:p>
            <w:pPr>
              <w:spacing w:after="0"/>
              <w:rPr>
                <w:sz w:val="21"/>
                <w:szCs w:val="21"/>
                <w:color w:val="auto"/>
              </w:rPr>
            </w:pPr>
          </w:p>
        </w:tc>
        <w:tc>
          <w:tcPr>
            <w:tcW w:w="74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227,284</w:t>
            </w: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259,101</w:t>
            </w:r>
          </w:p>
        </w:tc>
        <w:tc>
          <w:tcPr>
            <w:tcW w:w="260" w:type="dxa"/>
            <w:vAlign w:val="bottom"/>
            <w:tcBorders>
              <w:bottom w:val="single" w:sz="8" w:color="auto"/>
            </w:tcBorders>
            <w:shd w:val="clear" w:color="auto" w:fill="CDDEE7"/>
          </w:tcPr>
          <w:p>
            <w:pPr>
              <w:spacing w:after="0"/>
              <w:rPr>
                <w:sz w:val="21"/>
                <w:szCs w:val="21"/>
                <w:color w:val="auto"/>
              </w:rPr>
            </w:pPr>
          </w:p>
        </w:tc>
        <w:tc>
          <w:tcPr>
            <w:tcW w:w="68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94,480</w:t>
            </w: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377,298</w:t>
            </w:r>
          </w:p>
        </w:tc>
        <w:tc>
          <w:tcPr>
            <w:tcW w:w="260" w:type="dxa"/>
            <w:vAlign w:val="bottom"/>
            <w:tcBorders>
              <w:bottom w:val="single" w:sz="8" w:color="auto"/>
            </w:tcBorders>
            <w:shd w:val="clear" w:color="auto" w:fill="CDDEE7"/>
          </w:tcPr>
          <w:p>
            <w:pPr>
              <w:spacing w:after="0"/>
              <w:rPr>
                <w:sz w:val="21"/>
                <w:szCs w:val="21"/>
                <w:color w:val="auto"/>
              </w:rPr>
            </w:pPr>
          </w:p>
        </w:tc>
        <w:tc>
          <w:tcPr>
            <w:tcW w:w="70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94,377</w:t>
            </w: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377,183</w:t>
            </w:r>
          </w:p>
        </w:tc>
      </w:tr>
      <w:tr>
        <w:trPr>
          <w:trHeight w:val="244"/>
        </w:trPr>
        <w:tc>
          <w:tcPr>
            <w:tcW w:w="3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Totals</w:t>
            </w:r>
          </w:p>
        </w:tc>
        <w:tc>
          <w:tcPr>
            <w:tcW w:w="26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4,244,265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3,965,594</w:t>
            </w:r>
          </w:p>
        </w:tc>
        <w:tc>
          <w:tcPr>
            <w:tcW w:w="2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966,577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971,940</w:t>
            </w:r>
          </w:p>
        </w:tc>
        <w:tc>
          <w:tcPr>
            <w:tcW w:w="26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470,376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713,385</w:t>
            </w:r>
          </w:p>
        </w:tc>
        <w:tc>
          <w:tcPr>
            <w:tcW w:w="26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469,998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713,342</w:t>
            </w:r>
          </w:p>
        </w:tc>
      </w:tr>
    </w:tbl>
    <w:p>
      <w:pPr>
        <w:spacing w:after="0" w:line="225" w:lineRule="exact"/>
        <w:rPr>
          <w:sz w:val="20"/>
          <w:szCs w:val="20"/>
          <w:color w:val="auto"/>
        </w:rPr>
      </w:pPr>
    </w:p>
    <w:p>
      <w:pPr>
        <w:jc w:val="center"/>
        <w:ind w:right="420"/>
        <w:spacing w:after="0"/>
        <w:rPr>
          <w:sz w:val="20"/>
          <w:szCs w:val="20"/>
          <w:color w:val="auto"/>
        </w:rPr>
      </w:pPr>
      <w:r>
        <w:rPr>
          <w:rFonts w:ascii="Arial" w:cs="Arial" w:eastAsia="Arial" w:hAnsi="Arial"/>
          <w:sz w:val="16"/>
          <w:szCs w:val="16"/>
          <w:b w:val="1"/>
          <w:bCs w:val="1"/>
          <w:color w:val="auto"/>
        </w:rPr>
        <w:t>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6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6"/>
                <w:szCs w:val="16"/>
                <w:b w:val="1"/>
                <w:bCs w:val="1"/>
                <w:color w:val="auto"/>
              </w:rPr>
              <w:t>Basic Earnings</w:t>
            </w:r>
            <w:r>
              <w:rPr>
                <w:rFonts w:ascii="Arial" w:cs="Arial" w:eastAsia="Arial" w:hAnsi="Arial"/>
                <w:sz w:val="27"/>
                <w:szCs w:val="27"/>
                <w:b w:val="1"/>
                <w:bCs w:val="1"/>
                <w:color w:val="auto"/>
                <w:vertAlign w:val="superscript"/>
              </w:rPr>
              <w:t>1</w:t>
            </w: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6"/>
                <w:szCs w:val="16"/>
                <w:b w:val="1"/>
                <w:bCs w:val="1"/>
                <w:color w:val="auto"/>
              </w:rPr>
              <w:t>Diluted Earnings</w:t>
            </w:r>
            <w:r>
              <w:rPr>
                <w:rFonts w:ascii="Arial" w:cs="Arial" w:eastAsia="Arial" w:hAnsi="Arial"/>
                <w:sz w:val="27"/>
                <w:szCs w:val="27"/>
                <w:b w:val="1"/>
                <w:bCs w:val="1"/>
                <w:color w:val="auto"/>
                <w:vertAlign w:val="superscript"/>
              </w:rPr>
              <w:t>1</w:t>
            </w:r>
          </w:p>
        </w:tc>
      </w:tr>
      <w:tr>
        <w:trPr>
          <w:trHeight w:val="237"/>
        </w:trPr>
        <w:tc>
          <w:tcPr>
            <w:tcW w:w="6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Quarter</w:t>
            </w:r>
          </w:p>
        </w:tc>
        <w:tc>
          <w:tcPr>
            <w:tcW w:w="180" w:type="dxa"/>
            <w:vAlign w:val="bottom"/>
            <w:tcBorders>
              <w:bottom w:val="single" w:sz="8" w:color="auto"/>
            </w:tcBorders>
            <w:shd w:val="clear" w:color="auto" w:fill="0085CD"/>
          </w:tcPr>
          <w:p>
            <w:pPr>
              <w:spacing w:after="0"/>
              <w:rPr>
                <w:sz w:val="20"/>
                <w:szCs w:val="20"/>
                <w:color w:val="auto"/>
              </w:rPr>
            </w:pPr>
          </w:p>
        </w:tc>
        <w:tc>
          <w:tcPr>
            <w:tcW w:w="1200" w:type="dxa"/>
            <w:vAlign w:val="bottom"/>
            <w:tcBorders>
              <w:bottom w:val="single" w:sz="8" w:color="auto"/>
            </w:tcBorders>
            <w:shd w:val="clear" w:color="auto" w:fill="0085CD"/>
          </w:tcPr>
          <w:p>
            <w:pPr>
              <w:jc w:val="right"/>
              <w:ind w:right="339"/>
              <w:spacing w:after="0"/>
              <w:rPr>
                <w:sz w:val="20"/>
                <w:szCs w:val="20"/>
                <w:color w:val="auto"/>
              </w:rPr>
            </w:pPr>
            <w:r>
              <w:rPr>
                <w:rFonts w:ascii="Arial" w:cs="Arial" w:eastAsia="Arial" w:hAnsi="Arial"/>
                <w:sz w:val="16"/>
                <w:szCs w:val="16"/>
                <w:b w:val="1"/>
                <w:bCs w:val="1"/>
                <w:color w:val="FFFFFF"/>
              </w:rPr>
              <w:t>2018</w:t>
            </w:r>
            <w:r>
              <w:rPr>
                <w:rFonts w:ascii="Arial" w:cs="Arial" w:eastAsia="Arial" w:hAnsi="Arial"/>
                <w:sz w:val="13"/>
                <w:szCs w:val="13"/>
                <w:b w:val="1"/>
                <w:bCs w:val="1"/>
                <w:color w:val="FFFFFF"/>
              </w:rPr>
              <w:t>2,3,4,5</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2017</w:t>
            </w:r>
            <w:r>
              <w:rPr>
                <w:rFonts w:ascii="Arial" w:cs="Arial" w:eastAsia="Arial" w:hAnsi="Arial"/>
                <w:sz w:val="13"/>
                <w:szCs w:val="13"/>
                <w:color w:val="auto"/>
              </w:rPr>
              <w:t>6,7,8</w:t>
            </w:r>
          </w:p>
        </w:tc>
        <w:tc>
          <w:tcPr>
            <w:tcW w:w="200" w:type="dxa"/>
            <w:vAlign w:val="bottom"/>
            <w:tcBorders>
              <w:bottom w:val="single" w:sz="8" w:color="auto"/>
            </w:tcBorders>
            <w:shd w:val="clear" w:color="auto" w:fill="0085CD"/>
          </w:tcPr>
          <w:p>
            <w:pPr>
              <w:spacing w:after="0"/>
              <w:rPr>
                <w:sz w:val="20"/>
                <w:szCs w:val="20"/>
                <w:color w:val="auto"/>
              </w:rPr>
            </w:pPr>
          </w:p>
        </w:tc>
        <w:tc>
          <w:tcPr>
            <w:tcW w:w="1200" w:type="dxa"/>
            <w:vAlign w:val="bottom"/>
            <w:tcBorders>
              <w:bottom w:val="single" w:sz="8" w:color="auto"/>
            </w:tcBorders>
            <w:shd w:val="clear" w:color="auto" w:fill="0085CD"/>
          </w:tcPr>
          <w:p>
            <w:pPr>
              <w:jc w:val="right"/>
              <w:ind w:right="339"/>
              <w:spacing w:after="0"/>
              <w:rPr>
                <w:sz w:val="20"/>
                <w:szCs w:val="20"/>
                <w:color w:val="auto"/>
              </w:rPr>
            </w:pPr>
            <w:r>
              <w:rPr>
                <w:rFonts w:ascii="Arial" w:cs="Arial" w:eastAsia="Arial" w:hAnsi="Arial"/>
                <w:sz w:val="16"/>
                <w:szCs w:val="16"/>
                <w:b w:val="1"/>
                <w:bCs w:val="1"/>
                <w:color w:val="FFFFFF"/>
              </w:rPr>
              <w:t>2018</w:t>
            </w:r>
            <w:r>
              <w:rPr>
                <w:rFonts w:ascii="Arial" w:cs="Arial" w:eastAsia="Arial" w:hAnsi="Arial"/>
                <w:sz w:val="13"/>
                <w:szCs w:val="13"/>
                <w:b w:val="1"/>
                <w:bCs w:val="1"/>
                <w:color w:val="FFFFFF"/>
              </w:rPr>
              <w:t>2,3,4,5</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2017</w:t>
            </w:r>
            <w:r>
              <w:rPr>
                <w:rFonts w:ascii="Arial" w:cs="Arial" w:eastAsia="Arial" w:hAnsi="Arial"/>
                <w:sz w:val="13"/>
                <w:szCs w:val="13"/>
                <w:color w:val="auto"/>
              </w:rPr>
              <w:t>6,7,8</w:t>
            </w:r>
          </w:p>
        </w:tc>
      </w:tr>
      <w:tr>
        <w:trPr>
          <w:trHeight w:val="244"/>
        </w:trPr>
        <w:tc>
          <w:tcPr>
            <w:tcW w:w="6040" w:type="dxa"/>
            <w:vAlign w:val="bottom"/>
          </w:tcPr>
          <w:p>
            <w:pPr>
              <w:spacing w:after="0"/>
              <w:rPr>
                <w:sz w:val="20"/>
                <w:szCs w:val="20"/>
                <w:color w:val="auto"/>
              </w:rPr>
            </w:pPr>
            <w:r>
              <w:rPr>
                <w:rFonts w:ascii="Arial" w:cs="Arial" w:eastAsia="Arial" w:hAnsi="Arial"/>
                <w:sz w:val="16"/>
                <w:szCs w:val="16"/>
                <w:color w:val="auto"/>
              </w:rPr>
              <w:t>First</w:t>
            </w:r>
          </w:p>
        </w:tc>
        <w:tc>
          <w:tcPr>
            <w:tcW w:w="18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DDEE7"/>
          </w:tcPr>
          <w:p>
            <w:pPr>
              <w:jc w:val="right"/>
              <w:ind w:right="339"/>
              <w:spacing w:after="0"/>
              <w:rPr>
                <w:sz w:val="20"/>
                <w:szCs w:val="20"/>
                <w:color w:val="auto"/>
              </w:rPr>
            </w:pPr>
            <w:r>
              <w:rPr>
                <w:rFonts w:ascii="Arial" w:cs="Arial" w:eastAsia="Arial" w:hAnsi="Arial"/>
                <w:sz w:val="16"/>
                <w:szCs w:val="16"/>
                <w:b w:val="1"/>
                <w:bCs w:val="1"/>
                <w:color w:val="auto"/>
              </w:rPr>
              <w:t>0.16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0.67</w:t>
            </w:r>
          </w:p>
        </w:tc>
        <w:tc>
          <w:tcPr>
            <w:tcW w:w="20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DDEE7"/>
          </w:tcPr>
          <w:p>
            <w:pPr>
              <w:jc w:val="right"/>
              <w:ind w:right="339"/>
              <w:spacing w:after="0"/>
              <w:rPr>
                <w:sz w:val="20"/>
                <w:szCs w:val="20"/>
                <w:color w:val="auto"/>
              </w:rPr>
            </w:pPr>
            <w:r>
              <w:rPr>
                <w:rFonts w:ascii="Arial" w:cs="Arial" w:eastAsia="Arial" w:hAnsi="Arial"/>
                <w:sz w:val="16"/>
                <w:szCs w:val="16"/>
                <w:b w:val="1"/>
                <w:bCs w:val="1"/>
                <w:color w:val="auto"/>
              </w:rPr>
              <w:t>0.16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0.67</w:t>
            </w:r>
          </w:p>
        </w:tc>
      </w:tr>
      <w:tr>
        <w:trPr>
          <w:trHeight w:val="257"/>
        </w:trPr>
        <w:tc>
          <w:tcPr>
            <w:tcW w:w="6040" w:type="dxa"/>
            <w:vAlign w:val="bottom"/>
          </w:tcPr>
          <w:p>
            <w:pPr>
              <w:spacing w:after="0"/>
              <w:rPr>
                <w:sz w:val="20"/>
                <w:szCs w:val="20"/>
                <w:color w:val="auto"/>
              </w:rPr>
            </w:pPr>
            <w:r>
              <w:rPr>
                <w:rFonts w:ascii="Arial" w:cs="Arial" w:eastAsia="Arial" w:hAnsi="Arial"/>
                <w:sz w:val="16"/>
                <w:szCs w:val="16"/>
                <w:color w:val="auto"/>
              </w:rPr>
              <w:t>Second</w:t>
            </w:r>
          </w:p>
        </w:tc>
        <w:tc>
          <w:tcPr>
            <w:tcW w:w="18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DDEE7"/>
          </w:tcPr>
          <w:p>
            <w:pPr>
              <w:jc w:val="right"/>
              <w:ind w:right="339"/>
              <w:spacing w:after="0"/>
              <w:rPr>
                <w:sz w:val="20"/>
                <w:szCs w:val="20"/>
                <w:color w:val="auto"/>
              </w:rPr>
            </w:pPr>
            <w:r>
              <w:rPr>
                <w:rFonts w:ascii="Arial" w:cs="Arial" w:eastAsia="Arial" w:hAnsi="Arial"/>
                <w:sz w:val="16"/>
                <w:szCs w:val="16"/>
                <w:b w:val="1"/>
                <w:bCs w:val="1"/>
                <w:color w:val="auto"/>
              </w:rPr>
              <w:t>2.94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2.26</w:t>
            </w:r>
          </w:p>
        </w:tc>
        <w:tc>
          <w:tcPr>
            <w:tcW w:w="20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DDEE7"/>
          </w:tcPr>
          <w:p>
            <w:pPr>
              <w:jc w:val="right"/>
              <w:ind w:right="339"/>
              <w:spacing w:after="0"/>
              <w:rPr>
                <w:sz w:val="20"/>
                <w:szCs w:val="20"/>
                <w:color w:val="auto"/>
              </w:rPr>
            </w:pPr>
            <w:r>
              <w:rPr>
                <w:rFonts w:ascii="Arial" w:cs="Arial" w:eastAsia="Arial" w:hAnsi="Arial"/>
                <w:sz w:val="16"/>
                <w:szCs w:val="16"/>
                <w:b w:val="1"/>
                <w:bCs w:val="1"/>
                <w:color w:val="auto"/>
              </w:rPr>
              <w:t>2.92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2.25</w:t>
            </w:r>
          </w:p>
        </w:tc>
      </w:tr>
      <w:tr>
        <w:trPr>
          <w:trHeight w:val="257"/>
        </w:trPr>
        <w:tc>
          <w:tcPr>
            <w:tcW w:w="6040" w:type="dxa"/>
            <w:vAlign w:val="bottom"/>
          </w:tcPr>
          <w:p>
            <w:pPr>
              <w:spacing w:after="0"/>
              <w:rPr>
                <w:sz w:val="20"/>
                <w:szCs w:val="20"/>
                <w:color w:val="auto"/>
              </w:rPr>
            </w:pPr>
            <w:r>
              <w:rPr>
                <w:rFonts w:ascii="Arial" w:cs="Arial" w:eastAsia="Arial" w:hAnsi="Arial"/>
                <w:sz w:val="16"/>
                <w:szCs w:val="16"/>
                <w:color w:val="auto"/>
              </w:rPr>
              <w:t>Third</w:t>
            </w:r>
          </w:p>
        </w:tc>
        <w:tc>
          <w:tcPr>
            <w:tcW w:w="18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DDEE7"/>
          </w:tcPr>
          <w:p>
            <w:pPr>
              <w:jc w:val="right"/>
              <w:ind w:right="339"/>
              <w:spacing w:after="0"/>
              <w:rPr>
                <w:sz w:val="20"/>
                <w:szCs w:val="20"/>
                <w:color w:val="auto"/>
              </w:rPr>
            </w:pPr>
            <w:r>
              <w:rPr>
                <w:rFonts w:ascii="Arial" w:cs="Arial" w:eastAsia="Arial" w:hAnsi="Arial"/>
                <w:sz w:val="16"/>
                <w:szCs w:val="16"/>
                <w:b w:val="1"/>
                <w:bCs w:val="1"/>
                <w:color w:val="auto"/>
              </w:rPr>
              <w:t>2.86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2.40</w:t>
            </w:r>
          </w:p>
        </w:tc>
        <w:tc>
          <w:tcPr>
            <w:tcW w:w="20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DDEE7"/>
          </w:tcPr>
          <w:p>
            <w:pPr>
              <w:jc w:val="right"/>
              <w:ind w:right="339"/>
              <w:spacing w:after="0"/>
              <w:rPr>
                <w:sz w:val="20"/>
                <w:szCs w:val="20"/>
                <w:color w:val="auto"/>
              </w:rPr>
            </w:pPr>
            <w:r>
              <w:rPr>
                <w:rFonts w:ascii="Arial" w:cs="Arial" w:eastAsia="Arial" w:hAnsi="Arial"/>
                <w:sz w:val="16"/>
                <w:szCs w:val="16"/>
                <w:b w:val="1"/>
                <w:bCs w:val="1"/>
                <w:color w:val="auto"/>
              </w:rPr>
              <w:t>2.85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2.39</w:t>
            </w:r>
          </w:p>
        </w:tc>
      </w:tr>
      <w:tr>
        <w:trPr>
          <w:trHeight w:val="257"/>
        </w:trPr>
        <w:tc>
          <w:tcPr>
            <w:tcW w:w="6040" w:type="dxa"/>
            <w:vAlign w:val="bottom"/>
          </w:tcPr>
          <w:p>
            <w:pPr>
              <w:spacing w:after="0"/>
              <w:rPr>
                <w:sz w:val="20"/>
                <w:szCs w:val="20"/>
                <w:color w:val="auto"/>
              </w:rPr>
            </w:pPr>
            <w:r>
              <w:rPr>
                <w:rFonts w:ascii="Arial" w:cs="Arial" w:eastAsia="Arial" w:hAnsi="Arial"/>
                <w:sz w:val="16"/>
                <w:szCs w:val="16"/>
                <w:color w:val="auto"/>
              </w:rPr>
              <w:t>Fourth</w:t>
            </w:r>
          </w:p>
        </w:tc>
        <w:tc>
          <w:tcPr>
            <w:tcW w:w="18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DDEE7"/>
          </w:tcPr>
          <w:p>
            <w:pPr>
              <w:jc w:val="right"/>
              <w:ind w:right="339"/>
              <w:spacing w:after="0"/>
              <w:rPr>
                <w:sz w:val="20"/>
                <w:szCs w:val="20"/>
                <w:color w:val="auto"/>
              </w:rPr>
            </w:pPr>
            <w:r>
              <w:rPr>
                <w:rFonts w:ascii="Arial" w:cs="Arial" w:eastAsia="Arial" w:hAnsi="Arial"/>
                <w:sz w:val="16"/>
                <w:szCs w:val="16"/>
                <w:b w:val="1"/>
                <w:bCs w:val="1"/>
                <w:color w:val="auto"/>
              </w:rPr>
              <w:t>1.50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5.98</w:t>
            </w:r>
          </w:p>
        </w:tc>
        <w:tc>
          <w:tcPr>
            <w:tcW w:w="20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DDEE7"/>
          </w:tcPr>
          <w:p>
            <w:pPr>
              <w:jc w:val="right"/>
              <w:ind w:right="339"/>
              <w:spacing w:after="0"/>
              <w:rPr>
                <w:sz w:val="20"/>
                <w:szCs w:val="20"/>
                <w:color w:val="auto"/>
              </w:rPr>
            </w:pPr>
            <w:r>
              <w:rPr>
                <w:rFonts w:ascii="Arial" w:cs="Arial" w:eastAsia="Arial" w:hAnsi="Arial"/>
                <w:sz w:val="16"/>
                <w:szCs w:val="16"/>
                <w:b w:val="1"/>
                <w:bCs w:val="1"/>
                <w:color w:val="auto"/>
              </w:rPr>
              <w:t>1.50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5.95</w:t>
            </w:r>
          </w:p>
        </w:tc>
      </w:tr>
      <w:tr>
        <w:trPr>
          <w:trHeight w:val="249"/>
        </w:trPr>
        <w:tc>
          <w:tcPr>
            <w:tcW w:w="6040" w:type="dxa"/>
            <w:vAlign w:val="bottom"/>
          </w:tcPr>
          <w:p>
            <w:pPr>
              <w:spacing w:after="0"/>
              <w:rPr>
                <w:sz w:val="20"/>
                <w:szCs w:val="20"/>
                <w:color w:val="auto"/>
              </w:rPr>
            </w:pPr>
            <w:r>
              <w:rPr>
                <w:rFonts w:ascii="Arial" w:cs="Arial" w:eastAsia="Arial" w:hAnsi="Arial"/>
                <w:sz w:val="16"/>
                <w:szCs w:val="16"/>
                <w:color w:val="auto"/>
              </w:rPr>
              <w:t>Full Year</w:t>
            </w:r>
          </w:p>
        </w:tc>
        <w:tc>
          <w:tcPr>
            <w:tcW w:w="18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DDEE7"/>
          </w:tcPr>
          <w:p>
            <w:pPr>
              <w:jc w:val="right"/>
              <w:ind w:right="339"/>
              <w:spacing w:after="0"/>
              <w:rPr>
                <w:sz w:val="20"/>
                <w:szCs w:val="20"/>
                <w:color w:val="auto"/>
              </w:rPr>
            </w:pPr>
            <w:r>
              <w:rPr>
                <w:rFonts w:ascii="Arial" w:cs="Arial" w:eastAsia="Arial" w:hAnsi="Arial"/>
                <w:sz w:val="16"/>
                <w:szCs w:val="16"/>
                <w:b w:val="1"/>
                <w:bCs w:val="1"/>
                <w:color w:val="auto"/>
              </w:rPr>
              <w:t>7.46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11.30</w:t>
            </w:r>
          </w:p>
        </w:tc>
        <w:tc>
          <w:tcPr>
            <w:tcW w:w="20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DDEE7"/>
          </w:tcPr>
          <w:p>
            <w:pPr>
              <w:jc w:val="right"/>
              <w:ind w:right="339"/>
              <w:spacing w:after="0"/>
              <w:rPr>
                <w:sz w:val="20"/>
                <w:szCs w:val="20"/>
                <w:color w:val="auto"/>
              </w:rPr>
            </w:pPr>
            <w:r>
              <w:rPr>
                <w:rFonts w:ascii="Arial" w:cs="Arial" w:eastAsia="Arial" w:hAnsi="Arial"/>
                <w:sz w:val="16"/>
                <w:szCs w:val="16"/>
                <w:b w:val="1"/>
                <w:bCs w:val="1"/>
                <w:color w:val="auto"/>
              </w:rPr>
              <w:t>7.43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11.25</w:t>
            </w:r>
          </w:p>
        </w:tc>
      </w:tr>
    </w:tbl>
    <w:p>
      <w:pPr>
        <w:spacing w:after="0" w:line="237" w:lineRule="exact"/>
        <w:rPr>
          <w:sz w:val="20"/>
          <w:szCs w:val="20"/>
          <w:color w:val="auto"/>
        </w:rPr>
      </w:pPr>
    </w:p>
    <w:p>
      <w:pPr>
        <w:ind w:left="120" w:hanging="112"/>
        <w:spacing w:after="0"/>
        <w:tabs>
          <w:tab w:leader="none" w:pos="120" w:val="left"/>
        </w:tabs>
        <w:numPr>
          <w:ilvl w:val="0"/>
          <w:numId w:val="81"/>
        </w:numPr>
        <w:rPr>
          <w:rFonts w:ascii="Arial" w:cs="Arial" w:eastAsia="Arial" w:hAnsi="Arial"/>
          <w:sz w:val="11"/>
          <w:szCs w:val="11"/>
          <w:color w:val="auto"/>
        </w:rPr>
      </w:pPr>
      <w:r>
        <w:rPr>
          <w:rFonts w:ascii="Arial" w:cs="Arial" w:eastAsia="Arial" w:hAnsi="Arial"/>
          <w:sz w:val="13"/>
          <w:szCs w:val="13"/>
          <w:color w:val="auto"/>
        </w:rPr>
        <w:t>The sum of per-share earnings by quarter may not equal earnings per share for the year due to changes in average share calculations. This is in accordance with prescribed reporting requirements.</w:t>
      </w:r>
    </w:p>
    <w:p>
      <w:pPr>
        <w:spacing w:after="0" w:line="107" w:lineRule="exact"/>
        <w:rPr>
          <w:sz w:val="20"/>
          <w:szCs w:val="20"/>
          <w:color w:val="auto"/>
        </w:rPr>
      </w:pPr>
    </w:p>
    <w:p>
      <w:pPr>
        <w:jc w:val="both"/>
        <w:ind w:left="120" w:hanging="112"/>
        <w:spacing w:after="0" w:line="223" w:lineRule="auto"/>
        <w:tabs>
          <w:tab w:leader="none" w:pos="120" w:val="left"/>
        </w:tabs>
        <w:numPr>
          <w:ilvl w:val="0"/>
          <w:numId w:val="82"/>
        </w:numPr>
        <w:rPr>
          <w:rFonts w:ascii="Arial" w:cs="Arial" w:eastAsia="Arial" w:hAnsi="Arial"/>
          <w:sz w:val="11"/>
          <w:szCs w:val="11"/>
          <w:color w:val="auto"/>
        </w:rPr>
      </w:pPr>
      <w:r>
        <w:rPr>
          <w:rFonts w:ascii="Arial" w:cs="Arial" w:eastAsia="Arial" w:hAnsi="Arial"/>
          <w:sz w:val="13"/>
          <w:szCs w:val="13"/>
          <w:color w:val="auto"/>
        </w:rPr>
        <w:t>Gross profit for the second quarter of 2018 was $10.2 million lower due to the impact of selling acquired inventory after its mark up to fair value as part of acquisition accounting. Consolidated net earnings, net earnings attributable to Martin Marietta, and basic and diluted earnings per common share for the second quarter of 2018 were reduced by $13.2 million, or $0.21 per basic and diluted share, as a result of acquisition-related expenses, net, primarily attributable to the acquisition of Bluegrass Materials Company, and by $7.8 million, or $0.12 per basic and diluted share, for the impact of selling acquired inventory after its mark up to fair value as part of acquisition accounting.</w:t>
      </w:r>
    </w:p>
    <w:p>
      <w:pPr>
        <w:spacing w:after="0" w:line="106" w:lineRule="exact"/>
        <w:rPr>
          <w:sz w:val="20"/>
          <w:szCs w:val="20"/>
          <w:color w:val="auto"/>
        </w:rPr>
      </w:pPr>
    </w:p>
    <w:p>
      <w:pPr>
        <w:jc w:val="both"/>
        <w:ind w:left="120" w:hanging="112"/>
        <w:spacing w:after="0" w:line="223" w:lineRule="auto"/>
        <w:tabs>
          <w:tab w:leader="none" w:pos="120" w:val="left"/>
        </w:tabs>
        <w:numPr>
          <w:ilvl w:val="0"/>
          <w:numId w:val="83"/>
        </w:numPr>
        <w:rPr>
          <w:rFonts w:ascii="Arial" w:cs="Arial" w:eastAsia="Arial" w:hAnsi="Arial"/>
          <w:sz w:val="11"/>
          <w:szCs w:val="11"/>
          <w:color w:val="auto"/>
        </w:rPr>
      </w:pPr>
      <w:r>
        <w:rPr>
          <w:rFonts w:ascii="Arial" w:cs="Arial" w:eastAsia="Arial" w:hAnsi="Arial"/>
          <w:sz w:val="13"/>
          <w:szCs w:val="13"/>
          <w:color w:val="auto"/>
        </w:rPr>
        <w:t>Gross profit for the third quarter of 2018 was $8.3 million lower due to the impact of selling acquired inventory after its mark up to fair value as part of acquisition accounting. Consolidated net earnings, net earnings attributable to Martin Marietta, and basic and diluted earnings per common share for the third quarter of 2018 were $5.6 million, or $0.09 per basic and diluted share, lower due to an asset and portfolio rationalization charge and $6.4 million, or $0.10 per basic and diluted share, lower due to the impact of selling acquired inventory after its mark up to fair value as part of acquisition accounting.</w:t>
      </w:r>
    </w:p>
    <w:p>
      <w:pPr>
        <w:spacing w:after="0" w:line="106" w:lineRule="exact"/>
        <w:rPr>
          <w:sz w:val="20"/>
          <w:szCs w:val="20"/>
          <w:color w:val="auto"/>
        </w:rPr>
      </w:pPr>
    </w:p>
    <w:p>
      <w:pPr>
        <w:ind w:left="120" w:hanging="112"/>
        <w:spacing w:after="0" w:line="230" w:lineRule="auto"/>
        <w:tabs>
          <w:tab w:leader="none" w:pos="120" w:val="left"/>
        </w:tabs>
        <w:numPr>
          <w:ilvl w:val="0"/>
          <w:numId w:val="84"/>
        </w:numPr>
        <w:rPr>
          <w:rFonts w:ascii="Arial" w:cs="Arial" w:eastAsia="Arial" w:hAnsi="Arial"/>
          <w:sz w:val="11"/>
          <w:szCs w:val="11"/>
          <w:color w:val="auto"/>
        </w:rPr>
      </w:pPr>
      <w:r>
        <w:rPr>
          <w:rFonts w:ascii="Arial" w:cs="Arial" w:eastAsia="Arial" w:hAnsi="Arial"/>
          <w:sz w:val="13"/>
          <w:szCs w:val="13"/>
          <w:color w:val="auto"/>
        </w:rPr>
        <w:t>Consolidated net earnings, net earnings attributable to Martin Marietta, and basic and diluted earnings per share for the third quarter ended September 30, 2018 were increased $21.2 million, or $0.34 per basic and diluted share, as a result of measurement period adjustments related to the 2017 Tax Act.</w:t>
      </w:r>
    </w:p>
    <w:p>
      <w:pPr>
        <w:spacing w:after="0" w:line="105" w:lineRule="exact"/>
        <w:rPr>
          <w:sz w:val="20"/>
          <w:szCs w:val="20"/>
          <w:color w:val="auto"/>
        </w:rPr>
      </w:pPr>
    </w:p>
    <w:p>
      <w:pPr>
        <w:ind w:left="120" w:hanging="112"/>
        <w:spacing w:after="0" w:line="230" w:lineRule="auto"/>
        <w:tabs>
          <w:tab w:leader="none" w:pos="120" w:val="left"/>
        </w:tabs>
        <w:numPr>
          <w:ilvl w:val="0"/>
          <w:numId w:val="85"/>
        </w:numPr>
        <w:rPr>
          <w:rFonts w:ascii="Arial" w:cs="Arial" w:eastAsia="Arial" w:hAnsi="Arial"/>
          <w:sz w:val="11"/>
          <w:szCs w:val="11"/>
          <w:color w:val="auto"/>
        </w:rPr>
      </w:pPr>
      <w:r>
        <w:rPr>
          <w:rFonts w:ascii="Arial" w:cs="Arial" w:eastAsia="Arial" w:hAnsi="Arial"/>
          <w:sz w:val="13"/>
          <w:szCs w:val="13"/>
          <w:color w:val="auto"/>
        </w:rPr>
        <w:t>Consolidated net earnings, net earnings attributable to Martin Marietta, and basic and diluted earnings per common share for the fourth quarter of 2018 were $9.1 million, or $0.14 per basic and diluted share, lower due to an asset and portfolio rationalization charge.</w:t>
      </w:r>
    </w:p>
    <w:p>
      <w:pPr>
        <w:spacing w:after="0" w:line="105" w:lineRule="exact"/>
        <w:rPr>
          <w:sz w:val="20"/>
          <w:szCs w:val="20"/>
          <w:color w:val="auto"/>
        </w:rPr>
      </w:pPr>
    </w:p>
    <w:p>
      <w:pPr>
        <w:ind w:left="120" w:right="20" w:hanging="112"/>
        <w:spacing w:after="0" w:line="230" w:lineRule="auto"/>
        <w:tabs>
          <w:tab w:leader="none" w:pos="120" w:val="left"/>
        </w:tabs>
        <w:numPr>
          <w:ilvl w:val="0"/>
          <w:numId w:val="86"/>
        </w:numPr>
        <w:rPr>
          <w:rFonts w:ascii="Arial" w:cs="Arial" w:eastAsia="Arial" w:hAnsi="Arial"/>
          <w:sz w:val="11"/>
          <w:szCs w:val="11"/>
          <w:color w:val="auto"/>
        </w:rPr>
      </w:pPr>
      <w:r>
        <w:rPr>
          <w:rFonts w:ascii="Arial" w:cs="Arial" w:eastAsia="Arial" w:hAnsi="Arial"/>
          <w:sz w:val="13"/>
          <w:szCs w:val="13"/>
          <w:color w:val="auto"/>
        </w:rPr>
        <w:t>Consolidated net earnings, net earnings attributable to Martin Marietta, and basic and diluted earnings per common share for the second quarter of 2017 were $3.8 million, or $0.06 per basic and diluted share, lower due to the expense related to a retirement agreement and $8.3 million, or $0.13 per basic and diluted share, higher as a result of a gain on the sale of real property.</w:t>
      </w:r>
    </w:p>
    <w:p>
      <w:pPr>
        <w:spacing w:after="0" w:line="105" w:lineRule="exact"/>
        <w:rPr>
          <w:sz w:val="20"/>
          <w:szCs w:val="20"/>
          <w:color w:val="auto"/>
        </w:rPr>
      </w:pPr>
    </w:p>
    <w:p>
      <w:pPr>
        <w:ind w:left="120" w:right="20" w:hanging="112"/>
        <w:spacing w:after="0" w:line="230" w:lineRule="auto"/>
        <w:tabs>
          <w:tab w:leader="none" w:pos="120" w:val="left"/>
        </w:tabs>
        <w:numPr>
          <w:ilvl w:val="0"/>
          <w:numId w:val="87"/>
        </w:numPr>
        <w:rPr>
          <w:rFonts w:ascii="Arial" w:cs="Arial" w:eastAsia="Arial" w:hAnsi="Arial"/>
          <w:sz w:val="11"/>
          <w:szCs w:val="11"/>
          <w:color w:val="auto"/>
        </w:rPr>
      </w:pPr>
      <w:r>
        <w:rPr>
          <w:rFonts w:ascii="Arial" w:cs="Arial" w:eastAsia="Arial" w:hAnsi="Arial"/>
          <w:sz w:val="13"/>
          <w:szCs w:val="13"/>
          <w:color w:val="auto"/>
        </w:rPr>
        <w:t>Consolidated net earnings, net earnings attributable to Martin Marietta, and basic and diluted earnings per common share for the third quarter of 2017 were $7.9 million, or $0.13 per basic and diluted share, lower due to nonrecurring repair costs related to certain of the Company’s leased railcars.</w:t>
      </w:r>
    </w:p>
    <w:p>
      <w:pPr>
        <w:spacing w:after="0" w:line="105" w:lineRule="exact"/>
        <w:rPr>
          <w:sz w:val="20"/>
          <w:szCs w:val="20"/>
          <w:color w:val="auto"/>
        </w:rPr>
      </w:pPr>
    </w:p>
    <w:p>
      <w:pPr>
        <w:ind w:left="120" w:right="20" w:hanging="112"/>
        <w:spacing w:after="0" w:line="230" w:lineRule="auto"/>
        <w:tabs>
          <w:tab w:leader="none" w:pos="120" w:val="left"/>
        </w:tabs>
        <w:numPr>
          <w:ilvl w:val="0"/>
          <w:numId w:val="88"/>
        </w:numPr>
        <w:rPr>
          <w:rFonts w:ascii="Arial" w:cs="Arial" w:eastAsia="Arial" w:hAnsi="Arial"/>
          <w:sz w:val="11"/>
          <w:szCs w:val="11"/>
          <w:color w:val="auto"/>
        </w:rPr>
      </w:pPr>
      <w:r>
        <w:rPr>
          <w:rFonts w:ascii="Arial" w:cs="Arial" w:eastAsia="Arial" w:hAnsi="Arial"/>
          <w:sz w:val="13"/>
          <w:szCs w:val="13"/>
          <w:color w:val="auto"/>
        </w:rPr>
        <w:t>Consolidated net earnings, net earnings attributable to Martin Marietta, and basic and diluted earnings per common share for the fourth quarter of 2017 were $258.1 million, or $4.09 and $4.07 per basic and diluted share, respectively, higher as a result of the impact of the 2017 Tax Act.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At February 15, 2019, there were 878 shareholders of record.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85</w:t>
      </w:r>
    </w:p>
    <w:p>
      <w:pPr>
        <w:sectPr>
          <w:pgSz w:w="11900" w:h="16838" w:orient="portrait"/>
          <w:cols w:equalWidth="0" w:num="1">
            <w:col w:w="11420"/>
          </w:cols>
          <w:pgMar w:left="240" w:top="387"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3687445" cy="3346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5">
                      <a:extLst>
                        <a:ext uri="{28A0092B-C50C-407E-A947-70E740481C1C}"/>
                      </a:extLst>
                    </a:blip>
                    <a:srcRect/>
                    <a:stretch>
                      <a:fillRect/>
                    </a:stretch>
                  </pic:blipFill>
                  <pic:spPr bwMode="auto">
                    <a:xfrm>
                      <a:off x="0" y="0"/>
                      <a:ext cx="3687445" cy="334645"/>
                    </a:xfrm>
                    <a:prstGeom prst="rect">
                      <a:avLst/>
                    </a:prstGeom>
                    <a:noFill/>
                  </pic:spPr>
                </pic:pic>
              </a:graphicData>
            </a:graphic>
          </wp:anchor>
        </w:drawing>
        <w:t>FIVE YEAR SELECTED FINANCIAL DATA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FFFFFF"/>
        </w:rPr>
        <w:t>(add 000, except per share)</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shd w:val="clear" w:color="auto" w:fill="0085CD"/>
          </w:tcPr>
          <w:p>
            <w:pPr>
              <w:spacing w:after="0"/>
              <w:rPr>
                <w:sz w:val="18"/>
                <w:szCs w:val="18"/>
                <w:color w:val="auto"/>
              </w:rPr>
            </w:pPr>
          </w:p>
        </w:tc>
        <w:tc>
          <w:tcPr>
            <w:tcW w:w="100" w:type="dxa"/>
            <w:vAlign w:val="bottom"/>
            <w:tcBorders>
              <w:bottom w:val="single" w:sz="8" w:color="auto"/>
            </w:tcBorders>
            <w:shd w:val="clear" w:color="auto" w:fill="0085CD"/>
          </w:tcPr>
          <w:p>
            <w:pPr>
              <w:spacing w:after="0"/>
              <w:rPr>
                <w:sz w:val="18"/>
                <w:szCs w:val="18"/>
                <w:color w:val="auto"/>
              </w:rPr>
            </w:pPr>
          </w:p>
        </w:tc>
        <w:tc>
          <w:tcPr>
            <w:tcW w:w="820" w:type="dxa"/>
            <w:vAlign w:val="bottom"/>
            <w:tcBorders>
              <w:bottom w:val="single" w:sz="8" w:color="auto"/>
            </w:tcBorders>
            <w:shd w:val="clear" w:color="auto" w:fill="0085CD"/>
          </w:tcPr>
          <w:p>
            <w:pPr>
              <w:jc w:val="right"/>
              <w:ind w:right="219"/>
              <w:spacing w:after="0"/>
              <w:rPr>
                <w:sz w:val="20"/>
                <w:szCs w:val="20"/>
                <w:color w:val="auto"/>
              </w:rPr>
            </w:pPr>
            <w:r>
              <w:rPr>
                <w:rFonts w:ascii="Arial" w:cs="Arial" w:eastAsia="Arial" w:hAnsi="Arial"/>
                <w:sz w:val="14"/>
                <w:szCs w:val="14"/>
                <w:b w:val="1"/>
                <w:bCs w:val="1"/>
                <w:color w:val="FFFFFF"/>
              </w:rPr>
              <w:t>2018</w:t>
            </w:r>
          </w:p>
        </w:tc>
        <w:tc>
          <w:tcPr>
            <w:tcW w:w="100" w:type="dxa"/>
            <w:vAlign w:val="bottom"/>
            <w:tcBorders>
              <w:bottom w:val="single" w:sz="8" w:color="auto"/>
            </w:tcBorders>
            <w:shd w:val="clear" w:color="auto" w:fill="0085CD"/>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319"/>
              <w:spacing w:after="0"/>
              <w:rPr>
                <w:sz w:val="20"/>
                <w:szCs w:val="20"/>
                <w:color w:val="auto"/>
              </w:rPr>
            </w:pPr>
            <w:r>
              <w:rPr>
                <w:rFonts w:ascii="Arial" w:cs="Arial" w:eastAsia="Arial" w:hAnsi="Arial"/>
                <w:sz w:val="14"/>
                <w:szCs w:val="14"/>
                <w:color w:val="auto"/>
              </w:rPr>
              <w:t>2017</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319"/>
              <w:spacing w:after="0"/>
              <w:rPr>
                <w:sz w:val="20"/>
                <w:szCs w:val="20"/>
                <w:color w:val="auto"/>
              </w:rPr>
            </w:pPr>
            <w:r>
              <w:rPr>
                <w:rFonts w:ascii="Arial" w:cs="Arial" w:eastAsia="Arial" w:hAnsi="Arial"/>
                <w:sz w:val="14"/>
                <w:szCs w:val="14"/>
                <w:color w:val="auto"/>
              </w:rPr>
              <w:t>2016</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880" w:type="dxa"/>
            <w:vAlign w:val="bottom"/>
            <w:tcBorders>
              <w:bottom w:val="single" w:sz="8" w:color="auto"/>
            </w:tcBorders>
            <w:shd w:val="clear" w:color="auto" w:fill="E0EBED"/>
          </w:tcPr>
          <w:p>
            <w:pPr>
              <w:jc w:val="right"/>
              <w:ind w:right="259"/>
              <w:spacing w:after="0"/>
              <w:rPr>
                <w:sz w:val="20"/>
                <w:szCs w:val="20"/>
                <w:color w:val="auto"/>
              </w:rPr>
            </w:pPr>
            <w:r>
              <w:rPr>
                <w:rFonts w:ascii="Arial" w:cs="Arial" w:eastAsia="Arial" w:hAnsi="Arial"/>
                <w:sz w:val="14"/>
                <w:szCs w:val="14"/>
                <w:color w:val="auto"/>
              </w:rPr>
              <w:t>2015</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319"/>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120" w:type="dxa"/>
            <w:vAlign w:val="bottom"/>
          </w:tcPr>
          <w:p>
            <w:pPr>
              <w:spacing w:after="0" w:line="180" w:lineRule="exact"/>
              <w:rPr>
                <w:sz w:val="20"/>
                <w:szCs w:val="20"/>
                <w:color w:val="auto"/>
              </w:rPr>
            </w:pPr>
            <w:r>
              <w:rPr>
                <w:rFonts w:ascii="Arial" w:cs="Arial" w:eastAsia="Arial" w:hAnsi="Arial"/>
                <w:sz w:val="16"/>
                <w:szCs w:val="16"/>
                <w:b w:val="1"/>
                <w:bCs w:val="1"/>
                <w:color w:val="auto"/>
              </w:rPr>
              <w:t>Consolidated Operating Results</w:t>
            </w:r>
          </w:p>
        </w:tc>
        <w:tc>
          <w:tcPr>
            <w:tcW w:w="120" w:type="dxa"/>
            <w:vAlign w:val="bottom"/>
            <w:shd w:val="clear" w:color="auto" w:fill="CDDEE7"/>
          </w:tcPr>
          <w:p>
            <w:pPr>
              <w:spacing w:after="0"/>
              <w:rPr>
                <w:sz w:val="15"/>
                <w:szCs w:val="15"/>
                <w:color w:val="auto"/>
              </w:rPr>
            </w:pPr>
          </w:p>
        </w:tc>
        <w:tc>
          <w:tcPr>
            <w:tcW w:w="100" w:type="dxa"/>
            <w:vAlign w:val="bottom"/>
            <w:vMerge w:val="restart"/>
            <w:shd w:val="clear" w:color="auto" w:fill="CDDEE7"/>
          </w:tcPr>
          <w:p>
            <w:pPr>
              <w:jc w:val="right"/>
              <w:spacing w:after="0"/>
              <w:rPr>
                <w:sz w:val="20"/>
                <w:szCs w:val="20"/>
                <w:color w:val="auto"/>
              </w:rPr>
            </w:pPr>
            <w:r>
              <w:rPr>
                <w:rFonts w:ascii="Arial" w:cs="Arial" w:eastAsia="Arial" w:hAnsi="Arial"/>
                <w:sz w:val="16"/>
                <w:szCs w:val="16"/>
                <w:b w:val="1"/>
                <w:bCs w:val="1"/>
                <w:color w:val="auto"/>
                <w:w w:val="89"/>
                <w:shd w:val="clear" w:color="auto" w:fill="CDDEE7"/>
              </w:rPr>
              <w:t>$</w:t>
            </w:r>
          </w:p>
        </w:tc>
        <w:tc>
          <w:tcPr>
            <w:tcW w:w="920" w:type="dxa"/>
            <w:vAlign w:val="bottom"/>
            <w:gridSpan w:val="2"/>
            <w:vMerge w:val="restart"/>
            <w:shd w:val="clear" w:color="auto" w:fill="CDDEE7"/>
          </w:tcPr>
          <w:p>
            <w:pPr>
              <w:jc w:val="right"/>
              <w:ind w:right="100"/>
              <w:spacing w:after="0"/>
              <w:rPr>
                <w:sz w:val="20"/>
                <w:szCs w:val="20"/>
                <w:color w:val="auto"/>
              </w:rPr>
            </w:pPr>
            <w:r>
              <w:rPr>
                <w:rFonts w:ascii="Arial" w:cs="Arial" w:eastAsia="Arial" w:hAnsi="Arial"/>
                <w:sz w:val="16"/>
                <w:szCs w:val="16"/>
                <w:b w:val="1"/>
                <w:bCs w:val="1"/>
                <w:color w:val="auto"/>
                <w:shd w:val="clear" w:color="auto" w:fill="CDDEE7"/>
              </w:rPr>
              <w:t>3,980,351</w:t>
            </w:r>
          </w:p>
        </w:tc>
        <w:tc>
          <w:tcPr>
            <w:tcW w:w="160" w:type="dxa"/>
            <w:vAlign w:val="bottom"/>
          </w:tcPr>
          <w:p>
            <w:pPr>
              <w:spacing w:after="0"/>
              <w:rPr>
                <w:sz w:val="15"/>
                <w:szCs w:val="15"/>
                <w:color w:val="auto"/>
              </w:rPr>
            </w:pPr>
          </w:p>
        </w:tc>
        <w:tc>
          <w:tcPr>
            <w:tcW w:w="220" w:type="dxa"/>
            <w:vAlign w:val="bottom"/>
            <w:shd w:val="clear" w:color="auto" w:fill="E0EBED"/>
          </w:tcPr>
          <w:p>
            <w:pPr>
              <w:spacing w:after="0"/>
              <w:rPr>
                <w:sz w:val="15"/>
                <w:szCs w:val="15"/>
                <w:color w:val="auto"/>
              </w:rPr>
            </w:pPr>
          </w:p>
        </w:tc>
        <w:tc>
          <w:tcPr>
            <w:tcW w:w="920" w:type="dxa"/>
            <w:vAlign w:val="bottom"/>
            <w:shd w:val="clear" w:color="auto" w:fill="E0EBED"/>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940" w:type="dxa"/>
            <w:vAlign w:val="bottom"/>
            <w:shd w:val="clear" w:color="auto" w:fill="E0EBED"/>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shd w:val="clear" w:color="auto" w:fill="E0EBED"/>
          </w:tcPr>
          <w:p>
            <w:pPr>
              <w:spacing w:after="0"/>
              <w:rPr>
                <w:sz w:val="15"/>
                <w:szCs w:val="15"/>
                <w:color w:val="auto"/>
              </w:rPr>
            </w:pPr>
          </w:p>
        </w:tc>
        <w:tc>
          <w:tcPr>
            <w:tcW w:w="880" w:type="dxa"/>
            <w:vAlign w:val="bottom"/>
            <w:shd w:val="clear" w:color="auto" w:fill="E0EBED"/>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940" w:type="dxa"/>
            <w:vAlign w:val="bottom"/>
            <w:shd w:val="clear" w:color="auto" w:fill="E0EBED"/>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40" w:type="dxa"/>
            <w:vAlign w:val="bottom"/>
            <w:gridSpan w:val="2"/>
          </w:tcPr>
          <w:p>
            <w:pPr>
              <w:spacing w:after="0" w:line="174" w:lineRule="exact"/>
              <w:rPr>
                <w:sz w:val="20"/>
                <w:szCs w:val="20"/>
                <w:color w:val="auto"/>
              </w:rPr>
            </w:pPr>
            <w:r>
              <w:rPr>
                <w:rFonts w:ascii="Arial" w:cs="Arial" w:eastAsia="Arial" w:hAnsi="Arial"/>
                <w:sz w:val="13"/>
                <w:szCs w:val="13"/>
                <w:color w:val="auto"/>
              </w:rPr>
              <w:t>Products and services revenues</w:t>
            </w:r>
            <w:r>
              <w:rPr>
                <w:rFonts w:ascii="Arial" w:cs="Arial" w:eastAsia="Arial" w:hAnsi="Arial"/>
                <w:sz w:val="20"/>
                <w:szCs w:val="20"/>
                <w:color w:val="auto"/>
                <w:vertAlign w:val="superscript"/>
              </w:rPr>
              <w:t>1</w:t>
            </w:r>
          </w:p>
        </w:tc>
        <w:tc>
          <w:tcPr>
            <w:tcW w:w="120" w:type="dxa"/>
            <w:vAlign w:val="bottom"/>
            <w:shd w:val="clear" w:color="auto" w:fill="CDDEE7"/>
          </w:tcPr>
          <w:p>
            <w:pPr>
              <w:spacing w:after="0"/>
              <w:rPr>
                <w:sz w:val="15"/>
                <w:szCs w:val="15"/>
                <w:color w:val="auto"/>
              </w:rPr>
            </w:pPr>
          </w:p>
        </w:tc>
        <w:tc>
          <w:tcPr>
            <w:tcW w:w="100" w:type="dxa"/>
            <w:vAlign w:val="bottom"/>
            <w:vMerge w:val="continue"/>
            <w:shd w:val="clear" w:color="auto" w:fill="CDDEE7"/>
          </w:tcPr>
          <w:p>
            <w:pPr>
              <w:spacing w:after="0"/>
              <w:rPr>
                <w:sz w:val="15"/>
                <w:szCs w:val="15"/>
                <w:color w:val="auto"/>
              </w:rPr>
            </w:pPr>
          </w:p>
        </w:tc>
        <w:tc>
          <w:tcPr>
            <w:tcW w:w="920" w:type="dxa"/>
            <w:vAlign w:val="bottom"/>
            <w:gridSpan w:val="2"/>
            <w:vMerge w:val="continue"/>
            <w:shd w:val="clear" w:color="auto" w:fill="CDDEE7"/>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shd w:val="clear" w:color="auto" w:fill="E0EBED"/>
          </w:tcPr>
          <w:p>
            <w:pPr>
              <w:jc w:val="right"/>
              <w:spacing w:after="0" w:line="175" w:lineRule="exact"/>
              <w:rPr>
                <w:sz w:val="20"/>
                <w:szCs w:val="20"/>
                <w:color w:val="auto"/>
              </w:rPr>
            </w:pPr>
            <w:r>
              <w:rPr>
                <w:rFonts w:ascii="Arial" w:cs="Arial" w:eastAsia="Arial" w:hAnsi="Arial"/>
                <w:sz w:val="16"/>
                <w:szCs w:val="16"/>
                <w:color w:val="auto"/>
              </w:rPr>
              <w:t>$</w:t>
            </w:r>
          </w:p>
        </w:tc>
        <w:tc>
          <w:tcPr>
            <w:tcW w:w="920" w:type="dxa"/>
            <w:vAlign w:val="bottom"/>
            <w:shd w:val="clear" w:color="auto" w:fill="E0EBED"/>
          </w:tcPr>
          <w:p>
            <w:pPr>
              <w:jc w:val="right"/>
              <w:ind w:right="19"/>
              <w:spacing w:after="0" w:line="175" w:lineRule="exact"/>
              <w:rPr>
                <w:sz w:val="20"/>
                <w:szCs w:val="20"/>
                <w:color w:val="auto"/>
              </w:rPr>
            </w:pPr>
            <w:r>
              <w:rPr>
                <w:rFonts w:ascii="Arial" w:cs="Arial" w:eastAsia="Arial" w:hAnsi="Arial"/>
                <w:sz w:val="16"/>
                <w:szCs w:val="16"/>
                <w:color w:val="auto"/>
                <w:shd w:val="clear" w:color="auto" w:fill="E0EBED"/>
              </w:rPr>
              <w:t>3,723,478</w:t>
            </w:r>
          </w:p>
        </w:tc>
        <w:tc>
          <w:tcPr>
            <w:tcW w:w="160" w:type="dxa"/>
            <w:vAlign w:val="bottom"/>
          </w:tcPr>
          <w:p>
            <w:pPr>
              <w:spacing w:after="0"/>
              <w:rPr>
                <w:sz w:val="15"/>
                <w:szCs w:val="15"/>
                <w:color w:val="auto"/>
              </w:rPr>
            </w:pPr>
          </w:p>
        </w:tc>
        <w:tc>
          <w:tcPr>
            <w:tcW w:w="200" w:type="dxa"/>
            <w:vAlign w:val="bottom"/>
            <w:shd w:val="clear" w:color="auto" w:fill="E0EBED"/>
          </w:tcPr>
          <w:p>
            <w:pPr>
              <w:jc w:val="right"/>
              <w:spacing w:after="0" w:line="175" w:lineRule="exact"/>
              <w:rPr>
                <w:sz w:val="20"/>
                <w:szCs w:val="20"/>
                <w:color w:val="auto"/>
              </w:rPr>
            </w:pPr>
            <w:r>
              <w:rPr>
                <w:rFonts w:ascii="Arial" w:cs="Arial" w:eastAsia="Arial" w:hAnsi="Arial"/>
                <w:sz w:val="16"/>
                <w:szCs w:val="16"/>
                <w:color w:val="auto"/>
              </w:rPr>
              <w:t>$</w:t>
            </w:r>
          </w:p>
        </w:tc>
        <w:tc>
          <w:tcPr>
            <w:tcW w:w="940" w:type="dxa"/>
            <w:vAlign w:val="bottom"/>
            <w:shd w:val="clear" w:color="auto" w:fill="E0EBED"/>
          </w:tcPr>
          <w:p>
            <w:pPr>
              <w:jc w:val="right"/>
              <w:ind w:right="19"/>
              <w:spacing w:after="0" w:line="175" w:lineRule="exact"/>
              <w:rPr>
                <w:sz w:val="20"/>
                <w:szCs w:val="20"/>
                <w:color w:val="auto"/>
              </w:rPr>
            </w:pPr>
            <w:r>
              <w:rPr>
                <w:rFonts w:ascii="Arial" w:cs="Arial" w:eastAsia="Arial" w:hAnsi="Arial"/>
                <w:sz w:val="16"/>
                <w:szCs w:val="16"/>
                <w:color w:val="auto"/>
                <w:shd w:val="clear" w:color="auto" w:fill="E0EBED"/>
              </w:rPr>
              <w:t>3,578,650</w:t>
            </w:r>
          </w:p>
        </w:tc>
        <w:tc>
          <w:tcPr>
            <w:tcW w:w="140" w:type="dxa"/>
            <w:vAlign w:val="bottom"/>
          </w:tcPr>
          <w:p>
            <w:pPr>
              <w:spacing w:after="0"/>
              <w:rPr>
                <w:sz w:val="15"/>
                <w:szCs w:val="15"/>
                <w:color w:val="auto"/>
              </w:rPr>
            </w:pPr>
          </w:p>
        </w:tc>
        <w:tc>
          <w:tcPr>
            <w:tcW w:w="220" w:type="dxa"/>
            <w:vAlign w:val="bottom"/>
            <w:shd w:val="clear" w:color="auto" w:fill="E0EBED"/>
          </w:tcPr>
          <w:p>
            <w:pPr>
              <w:jc w:val="right"/>
              <w:spacing w:after="0" w:line="175" w:lineRule="exact"/>
              <w:rPr>
                <w:sz w:val="20"/>
                <w:szCs w:val="20"/>
                <w:color w:val="auto"/>
              </w:rPr>
            </w:pPr>
            <w:r>
              <w:rPr>
                <w:rFonts w:ascii="Arial" w:cs="Arial" w:eastAsia="Arial" w:hAnsi="Arial"/>
                <w:sz w:val="16"/>
                <w:szCs w:val="16"/>
                <w:color w:val="auto"/>
              </w:rPr>
              <w:t>$</w:t>
            </w:r>
          </w:p>
        </w:tc>
        <w:tc>
          <w:tcPr>
            <w:tcW w:w="880" w:type="dxa"/>
            <w:vAlign w:val="bottom"/>
            <w:shd w:val="clear" w:color="auto" w:fill="E0EBED"/>
          </w:tcPr>
          <w:p>
            <w:pPr>
              <w:jc w:val="right"/>
              <w:spacing w:after="0" w:line="175" w:lineRule="exact"/>
              <w:rPr>
                <w:sz w:val="20"/>
                <w:szCs w:val="20"/>
                <w:color w:val="auto"/>
              </w:rPr>
            </w:pPr>
            <w:r>
              <w:rPr>
                <w:rFonts w:ascii="Arial" w:cs="Arial" w:eastAsia="Arial" w:hAnsi="Arial"/>
                <w:sz w:val="16"/>
                <w:szCs w:val="16"/>
                <w:color w:val="auto"/>
                <w:shd w:val="clear" w:color="auto" w:fill="E0EBED"/>
              </w:rPr>
              <w:t>3,269,148</w:t>
            </w:r>
          </w:p>
        </w:tc>
        <w:tc>
          <w:tcPr>
            <w:tcW w:w="160" w:type="dxa"/>
            <w:vAlign w:val="bottom"/>
          </w:tcPr>
          <w:p>
            <w:pPr>
              <w:spacing w:after="0"/>
              <w:rPr>
                <w:sz w:val="15"/>
                <w:szCs w:val="15"/>
                <w:color w:val="auto"/>
              </w:rPr>
            </w:pPr>
          </w:p>
        </w:tc>
        <w:tc>
          <w:tcPr>
            <w:tcW w:w="200" w:type="dxa"/>
            <w:vAlign w:val="bottom"/>
            <w:shd w:val="clear" w:color="auto" w:fill="E0EBED"/>
          </w:tcPr>
          <w:p>
            <w:pPr>
              <w:jc w:val="right"/>
              <w:spacing w:after="0" w:line="175" w:lineRule="exact"/>
              <w:rPr>
                <w:sz w:val="20"/>
                <w:szCs w:val="20"/>
                <w:color w:val="auto"/>
              </w:rPr>
            </w:pPr>
            <w:r>
              <w:rPr>
                <w:rFonts w:ascii="Arial" w:cs="Arial" w:eastAsia="Arial" w:hAnsi="Arial"/>
                <w:sz w:val="16"/>
                <w:szCs w:val="16"/>
                <w:color w:val="auto"/>
              </w:rPr>
              <w:t>$</w:t>
            </w:r>
          </w:p>
        </w:tc>
        <w:tc>
          <w:tcPr>
            <w:tcW w:w="940" w:type="dxa"/>
            <w:vAlign w:val="bottom"/>
            <w:shd w:val="clear" w:color="auto" w:fill="E0EBED"/>
          </w:tcPr>
          <w:p>
            <w:pPr>
              <w:jc w:val="right"/>
              <w:ind w:right="19"/>
              <w:spacing w:after="0" w:line="175" w:lineRule="exact"/>
              <w:rPr>
                <w:sz w:val="20"/>
                <w:szCs w:val="20"/>
                <w:color w:val="auto"/>
              </w:rPr>
            </w:pPr>
            <w:r>
              <w:rPr>
                <w:rFonts w:ascii="Arial" w:cs="Arial" w:eastAsia="Arial" w:hAnsi="Arial"/>
                <w:sz w:val="16"/>
                <w:szCs w:val="16"/>
                <w:color w:val="auto"/>
              </w:rPr>
              <w:t>2,681,626</w:t>
            </w:r>
          </w:p>
        </w:tc>
        <w:tc>
          <w:tcPr>
            <w:tcW w:w="0" w:type="dxa"/>
            <w:vAlign w:val="bottom"/>
          </w:tcPr>
          <w:p>
            <w:pPr>
              <w:spacing w:after="0"/>
              <w:rPr>
                <w:sz w:val="1"/>
                <w:szCs w:val="1"/>
                <w:color w:val="auto"/>
              </w:rPr>
            </w:pPr>
          </w:p>
        </w:tc>
      </w:tr>
      <w:tr>
        <w:trPr>
          <w:trHeight w:val="207"/>
        </w:trPr>
        <w:tc>
          <w:tcPr>
            <w:tcW w:w="5140" w:type="dxa"/>
            <w:vAlign w:val="bottom"/>
            <w:gridSpan w:val="2"/>
          </w:tcPr>
          <w:p>
            <w:pPr>
              <w:spacing w:after="0" w:line="207" w:lineRule="exact"/>
              <w:rPr>
                <w:sz w:val="20"/>
                <w:szCs w:val="20"/>
                <w:color w:val="auto"/>
              </w:rPr>
            </w:pPr>
            <w:r>
              <w:rPr>
                <w:rFonts w:ascii="Arial" w:cs="Arial" w:eastAsia="Arial" w:hAnsi="Arial"/>
                <w:sz w:val="15"/>
                <w:szCs w:val="15"/>
                <w:color w:val="auto"/>
              </w:rPr>
              <w:t>Freight revenues</w:t>
            </w:r>
            <w:r>
              <w:rPr>
                <w:rFonts w:ascii="Arial" w:cs="Arial" w:eastAsia="Arial" w:hAnsi="Arial"/>
                <w:sz w:val="24"/>
                <w:szCs w:val="24"/>
                <w:color w:val="auto"/>
                <w:vertAlign w:val="superscript"/>
              </w:rPr>
              <w:t>1</w:t>
            </w:r>
          </w:p>
        </w:tc>
        <w:tc>
          <w:tcPr>
            <w:tcW w:w="12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263,914</w:t>
            </w:r>
          </w:p>
        </w:tc>
        <w:tc>
          <w:tcPr>
            <w:tcW w:w="100" w:type="dxa"/>
            <w:vAlign w:val="bottom"/>
            <w:tcBorders>
              <w:bottom w:val="single" w:sz="8" w:color="auto"/>
            </w:tcBorders>
            <w:shd w:val="clear" w:color="auto" w:fill="CDDEE7"/>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242,116</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240,099</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88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6"/>
                <w:szCs w:val="16"/>
                <w:color w:val="auto"/>
              </w:rPr>
              <w:t>270,422</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276,325</w:t>
            </w:r>
          </w:p>
        </w:tc>
        <w:tc>
          <w:tcPr>
            <w:tcW w:w="0" w:type="dxa"/>
            <w:vAlign w:val="bottom"/>
          </w:tcPr>
          <w:p>
            <w:pPr>
              <w:spacing w:after="0"/>
              <w:rPr>
                <w:sz w:val="1"/>
                <w:szCs w:val="1"/>
                <w:color w:val="auto"/>
              </w:rPr>
            </w:pPr>
          </w:p>
        </w:tc>
      </w:tr>
      <w:tr>
        <w:trPr>
          <w:trHeight w:val="183"/>
        </w:trPr>
        <w:tc>
          <w:tcPr>
            <w:tcW w:w="514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Total revenues</w:t>
            </w:r>
          </w:p>
        </w:tc>
        <w:tc>
          <w:tcPr>
            <w:tcW w:w="120" w:type="dxa"/>
            <w:vAlign w:val="bottom"/>
            <w:shd w:val="clear" w:color="auto" w:fill="CDDEE7"/>
          </w:tcPr>
          <w:p>
            <w:pPr>
              <w:spacing w:after="0"/>
              <w:rPr>
                <w:sz w:val="15"/>
                <w:szCs w:val="15"/>
                <w:color w:val="auto"/>
              </w:rPr>
            </w:pPr>
          </w:p>
        </w:tc>
        <w:tc>
          <w:tcPr>
            <w:tcW w:w="100" w:type="dxa"/>
            <w:vAlign w:val="bottom"/>
            <w:shd w:val="clear" w:color="auto" w:fill="CDDEE7"/>
          </w:tcPr>
          <w:p>
            <w:pPr>
              <w:spacing w:after="0"/>
              <w:rPr>
                <w:sz w:val="15"/>
                <w:szCs w:val="15"/>
                <w:color w:val="auto"/>
              </w:rPr>
            </w:pPr>
          </w:p>
        </w:tc>
        <w:tc>
          <w:tcPr>
            <w:tcW w:w="820" w:type="dxa"/>
            <w:vAlign w:val="bottom"/>
            <w:shd w:val="clear" w:color="auto" w:fill="CDDEE7"/>
          </w:tcPr>
          <w:p>
            <w:pPr>
              <w:jc w:val="right"/>
              <w:spacing w:after="0" w:line="183" w:lineRule="exact"/>
              <w:rPr>
                <w:sz w:val="20"/>
                <w:szCs w:val="20"/>
                <w:color w:val="auto"/>
              </w:rPr>
            </w:pPr>
            <w:r>
              <w:rPr>
                <w:rFonts w:ascii="Arial" w:cs="Arial" w:eastAsia="Arial" w:hAnsi="Arial"/>
                <w:sz w:val="16"/>
                <w:szCs w:val="16"/>
                <w:b w:val="1"/>
                <w:bCs w:val="1"/>
                <w:color w:val="auto"/>
              </w:rPr>
              <w:t>4,244,265</w:t>
            </w:r>
          </w:p>
        </w:tc>
        <w:tc>
          <w:tcPr>
            <w:tcW w:w="100" w:type="dxa"/>
            <w:vAlign w:val="bottom"/>
            <w:shd w:val="clear" w:color="auto" w:fill="CDDEE7"/>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shd w:val="clear" w:color="auto" w:fill="E0EBED"/>
          </w:tcPr>
          <w:p>
            <w:pPr>
              <w:spacing w:after="0"/>
              <w:rPr>
                <w:sz w:val="15"/>
                <w:szCs w:val="15"/>
                <w:color w:val="auto"/>
              </w:rPr>
            </w:pPr>
          </w:p>
        </w:tc>
        <w:tc>
          <w:tcPr>
            <w:tcW w:w="920" w:type="dxa"/>
            <w:vAlign w:val="bottom"/>
            <w:shd w:val="clear" w:color="auto" w:fill="E0EBED"/>
          </w:tcPr>
          <w:p>
            <w:pPr>
              <w:jc w:val="right"/>
              <w:ind w:right="19"/>
              <w:spacing w:after="0" w:line="183" w:lineRule="exact"/>
              <w:rPr>
                <w:sz w:val="20"/>
                <w:szCs w:val="20"/>
                <w:color w:val="auto"/>
              </w:rPr>
            </w:pPr>
            <w:r>
              <w:rPr>
                <w:rFonts w:ascii="Arial" w:cs="Arial" w:eastAsia="Arial" w:hAnsi="Arial"/>
                <w:sz w:val="16"/>
                <w:szCs w:val="16"/>
                <w:color w:val="auto"/>
              </w:rPr>
              <w:t>3,965,594</w:t>
            </w:r>
          </w:p>
        </w:tc>
        <w:tc>
          <w:tcPr>
            <w:tcW w:w="16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940" w:type="dxa"/>
            <w:vAlign w:val="bottom"/>
            <w:shd w:val="clear" w:color="auto" w:fill="E0EBED"/>
          </w:tcPr>
          <w:p>
            <w:pPr>
              <w:jc w:val="right"/>
              <w:ind w:right="19"/>
              <w:spacing w:after="0" w:line="183" w:lineRule="exact"/>
              <w:rPr>
                <w:sz w:val="20"/>
                <w:szCs w:val="20"/>
                <w:color w:val="auto"/>
              </w:rPr>
            </w:pPr>
            <w:r>
              <w:rPr>
                <w:rFonts w:ascii="Arial" w:cs="Arial" w:eastAsia="Arial" w:hAnsi="Arial"/>
                <w:sz w:val="16"/>
                <w:szCs w:val="16"/>
                <w:color w:val="auto"/>
              </w:rPr>
              <w:t>3,818,749</w:t>
            </w:r>
          </w:p>
        </w:tc>
        <w:tc>
          <w:tcPr>
            <w:tcW w:w="140" w:type="dxa"/>
            <w:vAlign w:val="bottom"/>
          </w:tcPr>
          <w:p>
            <w:pPr>
              <w:spacing w:after="0"/>
              <w:rPr>
                <w:sz w:val="15"/>
                <w:szCs w:val="15"/>
                <w:color w:val="auto"/>
              </w:rPr>
            </w:pPr>
          </w:p>
        </w:tc>
        <w:tc>
          <w:tcPr>
            <w:tcW w:w="220" w:type="dxa"/>
            <w:vAlign w:val="bottom"/>
            <w:shd w:val="clear" w:color="auto" w:fill="E0EBED"/>
          </w:tcPr>
          <w:p>
            <w:pPr>
              <w:spacing w:after="0"/>
              <w:rPr>
                <w:sz w:val="15"/>
                <w:szCs w:val="15"/>
                <w:color w:val="auto"/>
              </w:rPr>
            </w:pPr>
          </w:p>
        </w:tc>
        <w:tc>
          <w:tcPr>
            <w:tcW w:w="880" w:type="dxa"/>
            <w:vAlign w:val="bottom"/>
            <w:shd w:val="clear" w:color="auto" w:fill="E0EBED"/>
          </w:tcPr>
          <w:p>
            <w:pPr>
              <w:jc w:val="right"/>
              <w:spacing w:after="0" w:line="183" w:lineRule="exact"/>
              <w:rPr>
                <w:sz w:val="20"/>
                <w:szCs w:val="20"/>
                <w:color w:val="auto"/>
              </w:rPr>
            </w:pPr>
            <w:r>
              <w:rPr>
                <w:rFonts w:ascii="Arial" w:cs="Arial" w:eastAsia="Arial" w:hAnsi="Arial"/>
                <w:sz w:val="16"/>
                <w:szCs w:val="16"/>
                <w:color w:val="auto"/>
              </w:rPr>
              <w:t>3,539,570</w:t>
            </w:r>
          </w:p>
        </w:tc>
        <w:tc>
          <w:tcPr>
            <w:tcW w:w="16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940" w:type="dxa"/>
            <w:vAlign w:val="bottom"/>
            <w:shd w:val="clear" w:color="auto" w:fill="E0EBED"/>
          </w:tcPr>
          <w:p>
            <w:pPr>
              <w:jc w:val="right"/>
              <w:ind w:right="19"/>
              <w:spacing w:after="0" w:line="183" w:lineRule="exact"/>
              <w:rPr>
                <w:sz w:val="20"/>
                <w:szCs w:val="20"/>
                <w:color w:val="auto"/>
              </w:rPr>
            </w:pPr>
            <w:r>
              <w:rPr>
                <w:rFonts w:ascii="Arial" w:cs="Arial" w:eastAsia="Arial" w:hAnsi="Arial"/>
                <w:sz w:val="16"/>
                <w:szCs w:val="16"/>
                <w:color w:val="auto"/>
              </w:rPr>
              <w:t>2,957,951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140" w:type="dxa"/>
            <w:vAlign w:val="bottom"/>
            <w:gridSpan w:val="2"/>
          </w:tcPr>
          <w:p>
            <w:pPr>
              <w:spacing w:after="0" w:line="165" w:lineRule="exact"/>
              <w:rPr>
                <w:sz w:val="20"/>
                <w:szCs w:val="20"/>
                <w:color w:val="auto"/>
              </w:rPr>
            </w:pPr>
            <w:r>
              <w:rPr>
                <w:rFonts w:ascii="Arial" w:cs="Arial" w:eastAsia="Arial" w:hAnsi="Arial"/>
                <w:sz w:val="16"/>
                <w:szCs w:val="16"/>
                <w:color w:val="auto"/>
              </w:rPr>
              <w:t>Cost of revenues - products and services</w:t>
            </w:r>
          </w:p>
        </w:tc>
        <w:tc>
          <w:tcPr>
            <w:tcW w:w="120" w:type="dxa"/>
            <w:vAlign w:val="bottom"/>
            <w:shd w:val="clear" w:color="auto" w:fill="CDDEE7"/>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820" w:type="dxa"/>
            <w:vAlign w:val="bottom"/>
            <w:shd w:val="clear" w:color="auto" w:fill="CDDEE7"/>
          </w:tcPr>
          <w:p>
            <w:pPr>
              <w:jc w:val="right"/>
              <w:spacing w:after="0" w:line="165" w:lineRule="exact"/>
              <w:rPr>
                <w:sz w:val="20"/>
                <w:szCs w:val="20"/>
                <w:color w:val="auto"/>
              </w:rPr>
            </w:pPr>
            <w:r>
              <w:rPr>
                <w:rFonts w:ascii="Arial" w:cs="Arial" w:eastAsia="Arial" w:hAnsi="Arial"/>
                <w:sz w:val="16"/>
                <w:szCs w:val="16"/>
                <w:b w:val="1"/>
                <w:bCs w:val="1"/>
                <w:color w:val="auto"/>
              </w:rPr>
              <w:t>3,009,810</w:t>
            </w:r>
          </w:p>
        </w:tc>
        <w:tc>
          <w:tcPr>
            <w:tcW w:w="100" w:type="dxa"/>
            <w:vAlign w:val="bottom"/>
            <w:shd w:val="clear" w:color="auto" w:fill="CDDEE7"/>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shd w:val="clear" w:color="auto" w:fill="E0EBED"/>
          </w:tcPr>
          <w:p>
            <w:pPr>
              <w:spacing w:after="0"/>
              <w:rPr>
                <w:sz w:val="14"/>
                <w:szCs w:val="14"/>
                <w:color w:val="auto"/>
              </w:rPr>
            </w:pPr>
          </w:p>
        </w:tc>
        <w:tc>
          <w:tcPr>
            <w:tcW w:w="920" w:type="dxa"/>
            <w:vAlign w:val="bottom"/>
            <w:shd w:val="clear" w:color="auto" w:fill="E0EBED"/>
          </w:tcPr>
          <w:p>
            <w:pPr>
              <w:jc w:val="right"/>
              <w:ind w:right="19"/>
              <w:spacing w:after="0" w:line="165" w:lineRule="exact"/>
              <w:rPr>
                <w:sz w:val="20"/>
                <w:szCs w:val="20"/>
                <w:color w:val="auto"/>
              </w:rPr>
            </w:pPr>
            <w:r>
              <w:rPr>
                <w:rFonts w:ascii="Arial" w:cs="Arial" w:eastAsia="Arial" w:hAnsi="Arial"/>
                <w:sz w:val="16"/>
                <w:szCs w:val="16"/>
                <w:color w:val="auto"/>
              </w:rPr>
              <w:t>2,749,488</w:t>
            </w:r>
          </w:p>
        </w:tc>
        <w:tc>
          <w:tcPr>
            <w:tcW w:w="160" w:type="dxa"/>
            <w:vAlign w:val="bottom"/>
          </w:tcPr>
          <w:p>
            <w:pPr>
              <w:spacing w:after="0"/>
              <w:rPr>
                <w:sz w:val="14"/>
                <w:szCs w:val="14"/>
                <w:color w:val="auto"/>
              </w:rPr>
            </w:pPr>
          </w:p>
        </w:tc>
        <w:tc>
          <w:tcPr>
            <w:tcW w:w="200" w:type="dxa"/>
            <w:vAlign w:val="bottom"/>
            <w:shd w:val="clear" w:color="auto" w:fill="E0EBED"/>
          </w:tcPr>
          <w:p>
            <w:pPr>
              <w:spacing w:after="0"/>
              <w:rPr>
                <w:sz w:val="14"/>
                <w:szCs w:val="14"/>
                <w:color w:val="auto"/>
              </w:rPr>
            </w:pPr>
          </w:p>
        </w:tc>
        <w:tc>
          <w:tcPr>
            <w:tcW w:w="940" w:type="dxa"/>
            <w:vAlign w:val="bottom"/>
            <w:shd w:val="clear" w:color="auto" w:fill="E0EBED"/>
          </w:tcPr>
          <w:p>
            <w:pPr>
              <w:jc w:val="right"/>
              <w:ind w:right="19"/>
              <w:spacing w:after="0" w:line="165" w:lineRule="exact"/>
              <w:rPr>
                <w:sz w:val="20"/>
                <w:szCs w:val="20"/>
                <w:color w:val="auto"/>
              </w:rPr>
            </w:pPr>
            <w:r>
              <w:rPr>
                <w:rFonts w:ascii="Arial" w:cs="Arial" w:eastAsia="Arial" w:hAnsi="Arial"/>
                <w:sz w:val="16"/>
                <w:szCs w:val="16"/>
                <w:color w:val="auto"/>
              </w:rPr>
              <w:t>2,665,029</w:t>
            </w:r>
          </w:p>
        </w:tc>
        <w:tc>
          <w:tcPr>
            <w:tcW w:w="140" w:type="dxa"/>
            <w:vAlign w:val="bottom"/>
          </w:tcPr>
          <w:p>
            <w:pPr>
              <w:spacing w:after="0"/>
              <w:rPr>
                <w:sz w:val="14"/>
                <w:szCs w:val="14"/>
                <w:color w:val="auto"/>
              </w:rPr>
            </w:pPr>
          </w:p>
        </w:tc>
        <w:tc>
          <w:tcPr>
            <w:tcW w:w="220" w:type="dxa"/>
            <w:vAlign w:val="bottom"/>
            <w:shd w:val="clear" w:color="auto" w:fill="E0EBED"/>
          </w:tcPr>
          <w:p>
            <w:pPr>
              <w:spacing w:after="0"/>
              <w:rPr>
                <w:sz w:val="14"/>
                <w:szCs w:val="14"/>
                <w:color w:val="auto"/>
              </w:rPr>
            </w:pPr>
          </w:p>
        </w:tc>
        <w:tc>
          <w:tcPr>
            <w:tcW w:w="880" w:type="dxa"/>
            <w:vAlign w:val="bottom"/>
            <w:shd w:val="clear" w:color="auto" w:fill="E0EBED"/>
          </w:tcPr>
          <w:p>
            <w:pPr>
              <w:jc w:val="right"/>
              <w:spacing w:after="0" w:line="165" w:lineRule="exact"/>
              <w:rPr>
                <w:sz w:val="20"/>
                <w:szCs w:val="20"/>
                <w:color w:val="auto"/>
              </w:rPr>
            </w:pPr>
            <w:r>
              <w:rPr>
                <w:rFonts w:ascii="Arial" w:cs="Arial" w:eastAsia="Arial" w:hAnsi="Arial"/>
                <w:sz w:val="16"/>
                <w:szCs w:val="16"/>
                <w:color w:val="auto"/>
              </w:rPr>
              <w:t>2,541,196</w:t>
            </w:r>
          </w:p>
        </w:tc>
        <w:tc>
          <w:tcPr>
            <w:tcW w:w="160" w:type="dxa"/>
            <w:vAlign w:val="bottom"/>
          </w:tcPr>
          <w:p>
            <w:pPr>
              <w:spacing w:after="0"/>
              <w:rPr>
                <w:sz w:val="14"/>
                <w:szCs w:val="14"/>
                <w:color w:val="auto"/>
              </w:rPr>
            </w:pPr>
          </w:p>
        </w:tc>
        <w:tc>
          <w:tcPr>
            <w:tcW w:w="200" w:type="dxa"/>
            <w:vAlign w:val="bottom"/>
            <w:shd w:val="clear" w:color="auto" w:fill="E0EBED"/>
          </w:tcPr>
          <w:p>
            <w:pPr>
              <w:spacing w:after="0"/>
              <w:rPr>
                <w:sz w:val="14"/>
                <w:szCs w:val="14"/>
                <w:color w:val="auto"/>
              </w:rPr>
            </w:pPr>
          </w:p>
        </w:tc>
        <w:tc>
          <w:tcPr>
            <w:tcW w:w="940" w:type="dxa"/>
            <w:vAlign w:val="bottom"/>
            <w:shd w:val="clear" w:color="auto" w:fill="E0EBED"/>
          </w:tcPr>
          <w:p>
            <w:pPr>
              <w:jc w:val="right"/>
              <w:ind w:right="19"/>
              <w:spacing w:after="0" w:line="165" w:lineRule="exact"/>
              <w:rPr>
                <w:sz w:val="20"/>
                <w:szCs w:val="20"/>
                <w:color w:val="auto"/>
              </w:rPr>
            </w:pPr>
            <w:r>
              <w:rPr>
                <w:rFonts w:ascii="Arial" w:cs="Arial" w:eastAsia="Arial" w:hAnsi="Arial"/>
                <w:sz w:val="16"/>
                <w:szCs w:val="16"/>
                <w:color w:val="auto"/>
              </w:rPr>
              <w:t>2,159,471</w:t>
            </w:r>
          </w:p>
        </w:tc>
        <w:tc>
          <w:tcPr>
            <w:tcW w:w="0" w:type="dxa"/>
            <w:vAlign w:val="bottom"/>
          </w:tcPr>
          <w:p>
            <w:pPr>
              <w:spacing w:after="0"/>
              <w:rPr>
                <w:sz w:val="1"/>
                <w:szCs w:val="1"/>
                <w:color w:val="auto"/>
              </w:rPr>
            </w:pPr>
          </w:p>
        </w:tc>
      </w:tr>
      <w:tr>
        <w:trPr>
          <w:trHeight w:val="204"/>
        </w:trPr>
        <w:tc>
          <w:tcPr>
            <w:tcW w:w="5140" w:type="dxa"/>
            <w:vAlign w:val="bottom"/>
            <w:gridSpan w:val="2"/>
          </w:tcPr>
          <w:p>
            <w:pPr>
              <w:spacing w:after="0"/>
              <w:rPr>
                <w:sz w:val="20"/>
                <w:szCs w:val="20"/>
                <w:color w:val="auto"/>
              </w:rPr>
            </w:pPr>
            <w:r>
              <w:rPr>
                <w:rFonts w:ascii="Arial" w:cs="Arial" w:eastAsia="Arial" w:hAnsi="Arial"/>
                <w:sz w:val="16"/>
                <w:szCs w:val="16"/>
                <w:color w:val="auto"/>
              </w:rPr>
              <w:t>Cost of revenues - freight</w:t>
            </w:r>
          </w:p>
        </w:tc>
        <w:tc>
          <w:tcPr>
            <w:tcW w:w="120" w:type="dxa"/>
            <w:vAlign w:val="bottom"/>
            <w:tcBorders>
              <w:bottom w:val="single" w:sz="8" w:color="auto"/>
            </w:tcBorders>
            <w:shd w:val="clear" w:color="auto" w:fill="CDDEE7"/>
          </w:tcPr>
          <w:p>
            <w:pPr>
              <w:spacing w:after="0"/>
              <w:rPr>
                <w:sz w:val="17"/>
                <w:szCs w:val="17"/>
                <w:color w:val="auto"/>
              </w:rPr>
            </w:pPr>
          </w:p>
        </w:tc>
        <w:tc>
          <w:tcPr>
            <w:tcW w:w="100" w:type="dxa"/>
            <w:vAlign w:val="bottom"/>
            <w:tcBorders>
              <w:bottom w:val="single" w:sz="8" w:color="auto"/>
            </w:tcBorders>
            <w:shd w:val="clear" w:color="auto" w:fill="CDDEE7"/>
          </w:tcPr>
          <w:p>
            <w:pPr>
              <w:spacing w:after="0"/>
              <w:rPr>
                <w:sz w:val="17"/>
                <w:szCs w:val="17"/>
                <w:color w:val="auto"/>
              </w:rPr>
            </w:pPr>
          </w:p>
        </w:tc>
        <w:tc>
          <w:tcPr>
            <w:tcW w:w="8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267,878</w:t>
            </w:r>
          </w:p>
        </w:tc>
        <w:tc>
          <w:tcPr>
            <w:tcW w:w="100" w:type="dxa"/>
            <w:vAlign w:val="bottom"/>
            <w:tcBorders>
              <w:bottom w:val="single" w:sz="8" w:color="auto"/>
            </w:tcBorders>
            <w:shd w:val="clear" w:color="auto" w:fill="CDDEE7"/>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shd w:val="clear" w:color="auto" w:fill="E0EBED"/>
          </w:tcPr>
          <w:p>
            <w:pPr>
              <w:spacing w:after="0"/>
              <w:rPr>
                <w:sz w:val="17"/>
                <w:szCs w:val="17"/>
                <w:color w:val="auto"/>
              </w:rPr>
            </w:pPr>
          </w:p>
        </w:tc>
        <w:tc>
          <w:tcPr>
            <w:tcW w:w="92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244,166</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94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241,982</w:t>
            </w: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shd w:val="clear" w:color="auto" w:fill="E0EBED"/>
          </w:tcPr>
          <w:p>
            <w:pPr>
              <w:spacing w:after="0"/>
              <w:rPr>
                <w:sz w:val="17"/>
                <w:szCs w:val="17"/>
                <w:color w:val="auto"/>
              </w:rPr>
            </w:pPr>
          </w:p>
        </w:tc>
        <w:tc>
          <w:tcPr>
            <w:tcW w:w="88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6"/>
                <w:szCs w:val="16"/>
                <w:color w:val="auto"/>
              </w:rPr>
              <w:t>271,454</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shd w:val="clear" w:color="auto" w:fill="E0EBED"/>
          </w:tcPr>
          <w:p>
            <w:pPr>
              <w:spacing w:after="0"/>
              <w:rPr>
                <w:sz w:val="17"/>
                <w:szCs w:val="17"/>
                <w:color w:val="auto"/>
              </w:rPr>
            </w:pPr>
          </w:p>
        </w:tc>
        <w:tc>
          <w:tcPr>
            <w:tcW w:w="94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278,856</w:t>
            </w:r>
          </w:p>
        </w:tc>
        <w:tc>
          <w:tcPr>
            <w:tcW w:w="0" w:type="dxa"/>
            <w:vAlign w:val="bottom"/>
          </w:tcPr>
          <w:p>
            <w:pPr>
              <w:spacing w:after="0"/>
              <w:rPr>
                <w:sz w:val="1"/>
                <w:szCs w:val="1"/>
                <w:color w:val="auto"/>
              </w:rPr>
            </w:pPr>
          </w:p>
        </w:tc>
      </w:tr>
      <w:tr>
        <w:trPr>
          <w:trHeight w:val="186"/>
        </w:trPr>
        <w:tc>
          <w:tcPr>
            <w:tcW w:w="5140" w:type="dxa"/>
            <w:vAlign w:val="bottom"/>
            <w:tcBorders>
              <w:bottom w:val="single" w:sz="8" w:color="auto"/>
            </w:tcBorders>
            <w:gridSpan w:val="2"/>
          </w:tcPr>
          <w:p>
            <w:pPr>
              <w:spacing w:after="0" w:line="186" w:lineRule="exact"/>
              <w:rPr>
                <w:sz w:val="20"/>
                <w:szCs w:val="20"/>
                <w:color w:val="auto"/>
              </w:rPr>
            </w:pPr>
            <w:r>
              <w:rPr>
                <w:rFonts w:ascii="Arial" w:cs="Arial" w:eastAsia="Arial" w:hAnsi="Arial"/>
                <w:sz w:val="13"/>
                <w:szCs w:val="13"/>
                <w:color w:val="auto"/>
              </w:rPr>
              <w:t>Total cost of revenues</w:t>
            </w:r>
            <w:r>
              <w:rPr>
                <w:rFonts w:ascii="Arial" w:cs="Arial" w:eastAsia="Arial" w:hAnsi="Arial"/>
                <w:sz w:val="21"/>
                <w:szCs w:val="21"/>
                <w:color w:val="auto"/>
                <w:vertAlign w:val="superscript"/>
              </w:rPr>
              <w:t>2</w:t>
            </w:r>
          </w:p>
        </w:tc>
        <w:tc>
          <w:tcPr>
            <w:tcW w:w="120" w:type="dxa"/>
            <w:vAlign w:val="bottom"/>
            <w:tcBorders>
              <w:bottom w:val="single" w:sz="8" w:color="auto"/>
            </w:tcBorders>
            <w:shd w:val="clear" w:color="auto" w:fill="CDDEE7"/>
          </w:tcPr>
          <w:p>
            <w:pPr>
              <w:spacing w:after="0"/>
              <w:rPr>
                <w:sz w:val="16"/>
                <w:szCs w:val="16"/>
                <w:color w:val="auto"/>
              </w:rPr>
            </w:pPr>
          </w:p>
        </w:tc>
        <w:tc>
          <w:tcPr>
            <w:tcW w:w="100" w:type="dxa"/>
            <w:vAlign w:val="bottom"/>
            <w:tcBorders>
              <w:bottom w:val="single" w:sz="8" w:color="auto"/>
            </w:tcBorders>
            <w:shd w:val="clear" w:color="auto" w:fill="CDDEE7"/>
          </w:tcPr>
          <w:p>
            <w:pPr>
              <w:spacing w:after="0"/>
              <w:rPr>
                <w:sz w:val="16"/>
                <w:szCs w:val="16"/>
                <w:color w:val="auto"/>
              </w:rPr>
            </w:pPr>
          </w:p>
        </w:tc>
        <w:tc>
          <w:tcPr>
            <w:tcW w:w="8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3,277,688</w:t>
            </w:r>
          </w:p>
        </w:tc>
        <w:tc>
          <w:tcPr>
            <w:tcW w:w="100" w:type="dxa"/>
            <w:vAlign w:val="bottom"/>
            <w:tcBorders>
              <w:bottom w:val="single" w:sz="8" w:color="auto"/>
            </w:tcBorders>
            <w:shd w:val="clear" w:color="auto" w:fill="CDDEE7"/>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shd w:val="clear" w:color="auto" w:fill="E0EBED"/>
          </w:tcPr>
          <w:p>
            <w:pPr>
              <w:spacing w:after="0"/>
              <w:rPr>
                <w:sz w:val="16"/>
                <w:szCs w:val="16"/>
                <w:color w:val="auto"/>
              </w:rPr>
            </w:pPr>
          </w:p>
        </w:tc>
        <w:tc>
          <w:tcPr>
            <w:tcW w:w="92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2,993,654</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0EBED"/>
          </w:tcPr>
          <w:p>
            <w:pPr>
              <w:spacing w:after="0"/>
              <w:rPr>
                <w:sz w:val="16"/>
                <w:szCs w:val="16"/>
                <w:color w:val="auto"/>
              </w:rPr>
            </w:pPr>
          </w:p>
        </w:tc>
        <w:tc>
          <w:tcPr>
            <w:tcW w:w="94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2,907,011</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shd w:val="clear" w:color="auto" w:fill="E0EBED"/>
          </w:tcPr>
          <w:p>
            <w:pPr>
              <w:spacing w:after="0"/>
              <w:rPr>
                <w:sz w:val="16"/>
                <w:szCs w:val="16"/>
                <w:color w:val="auto"/>
              </w:rPr>
            </w:pPr>
          </w:p>
        </w:tc>
        <w:tc>
          <w:tcPr>
            <w:tcW w:w="88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6"/>
                <w:szCs w:val="16"/>
                <w:color w:val="auto"/>
              </w:rPr>
              <w:t>2,812,650</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0EBED"/>
          </w:tcPr>
          <w:p>
            <w:pPr>
              <w:spacing w:after="0"/>
              <w:rPr>
                <w:sz w:val="16"/>
                <w:szCs w:val="16"/>
                <w:color w:val="auto"/>
              </w:rPr>
            </w:pPr>
          </w:p>
        </w:tc>
        <w:tc>
          <w:tcPr>
            <w:tcW w:w="94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2,438,327</w:t>
            </w:r>
          </w:p>
        </w:tc>
        <w:tc>
          <w:tcPr>
            <w:tcW w:w="0" w:type="dxa"/>
            <w:vAlign w:val="bottom"/>
          </w:tcPr>
          <w:p>
            <w:pPr>
              <w:spacing w:after="0"/>
              <w:rPr>
                <w:sz w:val="1"/>
                <w:szCs w:val="1"/>
                <w:color w:val="auto"/>
              </w:rPr>
            </w:pPr>
          </w:p>
        </w:tc>
      </w:tr>
      <w:tr>
        <w:trPr>
          <w:trHeight w:val="164"/>
        </w:trPr>
        <w:tc>
          <w:tcPr>
            <w:tcW w:w="5140" w:type="dxa"/>
            <w:vAlign w:val="bottom"/>
            <w:gridSpan w:val="2"/>
          </w:tcPr>
          <w:p>
            <w:pPr>
              <w:spacing w:after="0" w:line="164" w:lineRule="exact"/>
              <w:rPr>
                <w:sz w:val="20"/>
                <w:szCs w:val="20"/>
                <w:color w:val="auto"/>
              </w:rPr>
            </w:pPr>
            <w:r>
              <w:rPr>
                <w:rFonts w:ascii="Arial" w:cs="Arial" w:eastAsia="Arial" w:hAnsi="Arial"/>
                <w:sz w:val="12"/>
                <w:szCs w:val="12"/>
                <w:b w:val="1"/>
                <w:bCs w:val="1"/>
                <w:color w:val="auto"/>
              </w:rPr>
              <w:t>Gross Profit</w:t>
            </w:r>
            <w:r>
              <w:rPr>
                <w:rFonts w:ascii="Arial" w:cs="Arial" w:eastAsia="Arial" w:hAnsi="Arial"/>
                <w:sz w:val="19"/>
                <w:szCs w:val="19"/>
                <w:b w:val="1"/>
                <w:bCs w:val="1"/>
                <w:color w:val="auto"/>
                <w:vertAlign w:val="superscript"/>
              </w:rPr>
              <w:t>2</w:t>
            </w:r>
          </w:p>
        </w:tc>
        <w:tc>
          <w:tcPr>
            <w:tcW w:w="120" w:type="dxa"/>
            <w:vAlign w:val="bottom"/>
            <w:shd w:val="clear" w:color="auto" w:fill="CDDEE7"/>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820" w:type="dxa"/>
            <w:vAlign w:val="bottom"/>
            <w:shd w:val="clear" w:color="auto" w:fill="CDDEE7"/>
          </w:tcPr>
          <w:p>
            <w:pPr>
              <w:jc w:val="right"/>
              <w:spacing w:after="0" w:line="165" w:lineRule="exact"/>
              <w:rPr>
                <w:sz w:val="20"/>
                <w:szCs w:val="20"/>
                <w:color w:val="auto"/>
              </w:rPr>
            </w:pPr>
            <w:r>
              <w:rPr>
                <w:rFonts w:ascii="Arial" w:cs="Arial" w:eastAsia="Arial" w:hAnsi="Arial"/>
                <w:sz w:val="16"/>
                <w:szCs w:val="16"/>
                <w:b w:val="1"/>
                <w:bCs w:val="1"/>
                <w:color w:val="auto"/>
              </w:rPr>
              <w:t>966,577</w:t>
            </w:r>
          </w:p>
        </w:tc>
        <w:tc>
          <w:tcPr>
            <w:tcW w:w="100" w:type="dxa"/>
            <w:vAlign w:val="bottom"/>
            <w:shd w:val="clear" w:color="auto" w:fill="CDDEE7"/>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shd w:val="clear" w:color="auto" w:fill="E0EBED"/>
          </w:tcPr>
          <w:p>
            <w:pPr>
              <w:spacing w:after="0"/>
              <w:rPr>
                <w:sz w:val="14"/>
                <w:szCs w:val="14"/>
                <w:color w:val="auto"/>
              </w:rPr>
            </w:pPr>
          </w:p>
        </w:tc>
        <w:tc>
          <w:tcPr>
            <w:tcW w:w="920" w:type="dxa"/>
            <w:vAlign w:val="bottom"/>
            <w:shd w:val="clear" w:color="auto" w:fill="E0EBED"/>
          </w:tcPr>
          <w:p>
            <w:pPr>
              <w:jc w:val="right"/>
              <w:ind w:right="19"/>
              <w:spacing w:after="0" w:line="165" w:lineRule="exact"/>
              <w:rPr>
                <w:sz w:val="20"/>
                <w:szCs w:val="20"/>
                <w:color w:val="auto"/>
              </w:rPr>
            </w:pPr>
            <w:r>
              <w:rPr>
                <w:rFonts w:ascii="Arial" w:cs="Arial" w:eastAsia="Arial" w:hAnsi="Arial"/>
                <w:sz w:val="16"/>
                <w:szCs w:val="16"/>
                <w:color w:val="auto"/>
              </w:rPr>
              <w:t>971,940</w:t>
            </w:r>
          </w:p>
        </w:tc>
        <w:tc>
          <w:tcPr>
            <w:tcW w:w="160" w:type="dxa"/>
            <w:vAlign w:val="bottom"/>
          </w:tcPr>
          <w:p>
            <w:pPr>
              <w:spacing w:after="0"/>
              <w:rPr>
                <w:sz w:val="14"/>
                <w:szCs w:val="14"/>
                <w:color w:val="auto"/>
              </w:rPr>
            </w:pPr>
          </w:p>
        </w:tc>
        <w:tc>
          <w:tcPr>
            <w:tcW w:w="200" w:type="dxa"/>
            <w:vAlign w:val="bottom"/>
            <w:shd w:val="clear" w:color="auto" w:fill="E0EBED"/>
          </w:tcPr>
          <w:p>
            <w:pPr>
              <w:spacing w:after="0"/>
              <w:rPr>
                <w:sz w:val="14"/>
                <w:szCs w:val="14"/>
                <w:color w:val="auto"/>
              </w:rPr>
            </w:pPr>
          </w:p>
        </w:tc>
        <w:tc>
          <w:tcPr>
            <w:tcW w:w="940" w:type="dxa"/>
            <w:vAlign w:val="bottom"/>
            <w:shd w:val="clear" w:color="auto" w:fill="E0EBED"/>
          </w:tcPr>
          <w:p>
            <w:pPr>
              <w:jc w:val="right"/>
              <w:ind w:right="19"/>
              <w:spacing w:after="0" w:line="165" w:lineRule="exact"/>
              <w:rPr>
                <w:sz w:val="20"/>
                <w:szCs w:val="20"/>
                <w:color w:val="auto"/>
              </w:rPr>
            </w:pPr>
            <w:r>
              <w:rPr>
                <w:rFonts w:ascii="Arial" w:cs="Arial" w:eastAsia="Arial" w:hAnsi="Arial"/>
                <w:sz w:val="16"/>
                <w:szCs w:val="16"/>
                <w:color w:val="auto"/>
              </w:rPr>
              <w:t>911,738</w:t>
            </w:r>
          </w:p>
        </w:tc>
        <w:tc>
          <w:tcPr>
            <w:tcW w:w="140" w:type="dxa"/>
            <w:vAlign w:val="bottom"/>
          </w:tcPr>
          <w:p>
            <w:pPr>
              <w:spacing w:after="0"/>
              <w:rPr>
                <w:sz w:val="14"/>
                <w:szCs w:val="14"/>
                <w:color w:val="auto"/>
              </w:rPr>
            </w:pPr>
          </w:p>
        </w:tc>
        <w:tc>
          <w:tcPr>
            <w:tcW w:w="220" w:type="dxa"/>
            <w:vAlign w:val="bottom"/>
            <w:shd w:val="clear" w:color="auto" w:fill="E0EBED"/>
          </w:tcPr>
          <w:p>
            <w:pPr>
              <w:spacing w:after="0"/>
              <w:rPr>
                <w:sz w:val="14"/>
                <w:szCs w:val="14"/>
                <w:color w:val="auto"/>
              </w:rPr>
            </w:pPr>
          </w:p>
        </w:tc>
        <w:tc>
          <w:tcPr>
            <w:tcW w:w="880" w:type="dxa"/>
            <w:vAlign w:val="bottom"/>
            <w:shd w:val="clear" w:color="auto" w:fill="E0EBED"/>
          </w:tcPr>
          <w:p>
            <w:pPr>
              <w:jc w:val="right"/>
              <w:spacing w:after="0" w:line="165" w:lineRule="exact"/>
              <w:rPr>
                <w:sz w:val="20"/>
                <w:szCs w:val="20"/>
                <w:color w:val="auto"/>
              </w:rPr>
            </w:pPr>
            <w:r>
              <w:rPr>
                <w:rFonts w:ascii="Arial" w:cs="Arial" w:eastAsia="Arial" w:hAnsi="Arial"/>
                <w:sz w:val="16"/>
                <w:szCs w:val="16"/>
                <w:color w:val="auto"/>
              </w:rPr>
              <w:t>726,920</w:t>
            </w:r>
          </w:p>
        </w:tc>
        <w:tc>
          <w:tcPr>
            <w:tcW w:w="160" w:type="dxa"/>
            <w:vAlign w:val="bottom"/>
          </w:tcPr>
          <w:p>
            <w:pPr>
              <w:spacing w:after="0"/>
              <w:rPr>
                <w:sz w:val="14"/>
                <w:szCs w:val="14"/>
                <w:color w:val="auto"/>
              </w:rPr>
            </w:pPr>
          </w:p>
        </w:tc>
        <w:tc>
          <w:tcPr>
            <w:tcW w:w="200" w:type="dxa"/>
            <w:vAlign w:val="bottom"/>
            <w:shd w:val="clear" w:color="auto" w:fill="E0EBED"/>
          </w:tcPr>
          <w:p>
            <w:pPr>
              <w:spacing w:after="0"/>
              <w:rPr>
                <w:sz w:val="14"/>
                <w:szCs w:val="14"/>
                <w:color w:val="auto"/>
              </w:rPr>
            </w:pPr>
          </w:p>
        </w:tc>
        <w:tc>
          <w:tcPr>
            <w:tcW w:w="940" w:type="dxa"/>
            <w:vAlign w:val="bottom"/>
            <w:shd w:val="clear" w:color="auto" w:fill="E0EBED"/>
          </w:tcPr>
          <w:p>
            <w:pPr>
              <w:jc w:val="right"/>
              <w:ind w:right="19"/>
              <w:spacing w:after="0" w:line="165" w:lineRule="exact"/>
              <w:rPr>
                <w:sz w:val="20"/>
                <w:szCs w:val="20"/>
                <w:color w:val="auto"/>
              </w:rPr>
            </w:pPr>
            <w:r>
              <w:rPr>
                <w:rFonts w:ascii="Arial" w:cs="Arial" w:eastAsia="Arial" w:hAnsi="Arial"/>
                <w:sz w:val="16"/>
                <w:szCs w:val="16"/>
                <w:color w:val="auto"/>
              </w:rPr>
              <w:t>519,624</w:t>
            </w:r>
          </w:p>
        </w:tc>
        <w:tc>
          <w:tcPr>
            <w:tcW w:w="0" w:type="dxa"/>
            <w:vAlign w:val="bottom"/>
          </w:tcPr>
          <w:p>
            <w:pPr>
              <w:spacing w:after="0"/>
              <w:rPr>
                <w:sz w:val="1"/>
                <w:szCs w:val="1"/>
                <w:color w:val="auto"/>
              </w:rPr>
            </w:pPr>
          </w:p>
        </w:tc>
      </w:tr>
      <w:tr>
        <w:trPr>
          <w:trHeight w:val="189"/>
        </w:trPr>
        <w:tc>
          <w:tcPr>
            <w:tcW w:w="5140" w:type="dxa"/>
            <w:vAlign w:val="bottom"/>
            <w:gridSpan w:val="2"/>
          </w:tcPr>
          <w:p>
            <w:pPr>
              <w:spacing w:after="0" w:line="189" w:lineRule="exact"/>
              <w:rPr>
                <w:sz w:val="20"/>
                <w:szCs w:val="20"/>
                <w:color w:val="auto"/>
              </w:rPr>
            </w:pPr>
            <w:r>
              <w:rPr>
                <w:rFonts w:ascii="Arial" w:cs="Arial" w:eastAsia="Arial" w:hAnsi="Arial"/>
                <w:sz w:val="13"/>
                <w:szCs w:val="13"/>
                <w:color w:val="auto"/>
              </w:rPr>
              <w:t>Selling, general and administrative expenses</w:t>
            </w:r>
            <w:r>
              <w:rPr>
                <w:rFonts w:ascii="Arial" w:cs="Arial" w:eastAsia="Arial" w:hAnsi="Arial"/>
                <w:sz w:val="21"/>
                <w:szCs w:val="21"/>
                <w:color w:val="auto"/>
                <w:vertAlign w:val="superscript"/>
              </w:rPr>
              <w:t>2</w:t>
            </w: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280,554</w:t>
            </w:r>
          </w:p>
        </w:tc>
        <w:tc>
          <w:tcPr>
            <w:tcW w:w="100" w:type="dxa"/>
            <w:vAlign w:val="bottom"/>
            <w:shd w:val="clear" w:color="auto" w:fill="CDDEE7"/>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262,128</w:t>
            </w:r>
          </w:p>
        </w:tc>
        <w:tc>
          <w:tcPr>
            <w:tcW w:w="16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241,606</w:t>
            </w:r>
          </w:p>
        </w:tc>
        <w:tc>
          <w:tcPr>
            <w:tcW w:w="14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880" w:type="dxa"/>
            <w:vAlign w:val="bottom"/>
            <w:shd w:val="clear" w:color="auto" w:fill="E0EBED"/>
          </w:tcPr>
          <w:p>
            <w:pPr>
              <w:jc w:val="right"/>
              <w:spacing w:after="0"/>
              <w:rPr>
                <w:sz w:val="20"/>
                <w:szCs w:val="20"/>
                <w:color w:val="auto"/>
              </w:rPr>
            </w:pPr>
            <w:r>
              <w:rPr>
                <w:rFonts w:ascii="Arial" w:cs="Arial" w:eastAsia="Arial" w:hAnsi="Arial"/>
                <w:sz w:val="16"/>
                <w:szCs w:val="16"/>
                <w:color w:val="auto"/>
              </w:rPr>
              <w:t>210,754</w:t>
            </w:r>
          </w:p>
        </w:tc>
        <w:tc>
          <w:tcPr>
            <w:tcW w:w="16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168,102</w:t>
            </w:r>
          </w:p>
        </w:tc>
        <w:tc>
          <w:tcPr>
            <w:tcW w:w="0" w:type="dxa"/>
            <w:vAlign w:val="bottom"/>
          </w:tcPr>
          <w:p>
            <w:pPr>
              <w:spacing w:after="0"/>
              <w:rPr>
                <w:sz w:val="1"/>
                <w:szCs w:val="1"/>
                <w:color w:val="auto"/>
              </w:rPr>
            </w:pPr>
          </w:p>
        </w:tc>
      </w:tr>
      <w:tr>
        <w:trPr>
          <w:trHeight w:val="189"/>
        </w:trPr>
        <w:tc>
          <w:tcPr>
            <w:tcW w:w="5140" w:type="dxa"/>
            <w:vAlign w:val="bottom"/>
            <w:gridSpan w:val="2"/>
          </w:tcPr>
          <w:p>
            <w:pPr>
              <w:spacing w:after="0" w:line="189" w:lineRule="exact"/>
              <w:rPr>
                <w:sz w:val="20"/>
                <w:szCs w:val="20"/>
                <w:color w:val="auto"/>
              </w:rPr>
            </w:pPr>
            <w:r>
              <w:rPr>
                <w:rFonts w:ascii="Arial" w:cs="Arial" w:eastAsia="Arial" w:hAnsi="Arial"/>
                <w:sz w:val="13"/>
                <w:szCs w:val="13"/>
                <w:color w:val="auto"/>
              </w:rPr>
              <w:t>Acquisition-related expenses, net</w:t>
            </w:r>
            <w:r>
              <w:rPr>
                <w:rFonts w:ascii="Arial" w:cs="Arial" w:eastAsia="Arial" w:hAnsi="Arial"/>
                <w:sz w:val="21"/>
                <w:szCs w:val="21"/>
                <w:color w:val="auto"/>
                <w:vertAlign w:val="superscript"/>
              </w:rPr>
              <w:t>2</w:t>
            </w: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13,479</w:t>
            </w:r>
          </w:p>
        </w:tc>
        <w:tc>
          <w:tcPr>
            <w:tcW w:w="100" w:type="dxa"/>
            <w:vAlign w:val="bottom"/>
            <w:shd w:val="clear" w:color="auto" w:fill="CDDEE7"/>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8,638</w:t>
            </w:r>
          </w:p>
        </w:tc>
        <w:tc>
          <w:tcPr>
            <w:tcW w:w="16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909</w:t>
            </w:r>
          </w:p>
        </w:tc>
        <w:tc>
          <w:tcPr>
            <w:tcW w:w="14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880" w:type="dxa"/>
            <w:vAlign w:val="bottom"/>
            <w:shd w:val="clear" w:color="auto" w:fill="E0EBED"/>
          </w:tcPr>
          <w:p>
            <w:pPr>
              <w:jc w:val="right"/>
              <w:spacing w:after="0"/>
              <w:rPr>
                <w:sz w:val="20"/>
                <w:szCs w:val="20"/>
                <w:color w:val="auto"/>
              </w:rPr>
            </w:pPr>
            <w:r>
              <w:rPr>
                <w:rFonts w:ascii="Arial" w:cs="Arial" w:eastAsia="Arial" w:hAnsi="Arial"/>
                <w:sz w:val="16"/>
                <w:szCs w:val="16"/>
                <w:color w:val="auto"/>
              </w:rPr>
              <w:t>6,346</w:t>
            </w:r>
          </w:p>
        </w:tc>
        <w:tc>
          <w:tcPr>
            <w:tcW w:w="16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29,239</w:t>
            </w:r>
          </w:p>
        </w:tc>
        <w:tc>
          <w:tcPr>
            <w:tcW w:w="0" w:type="dxa"/>
            <w:vAlign w:val="bottom"/>
          </w:tcPr>
          <w:p>
            <w:pPr>
              <w:spacing w:after="0"/>
              <w:rPr>
                <w:sz w:val="1"/>
                <w:szCs w:val="1"/>
                <w:color w:val="auto"/>
              </w:rPr>
            </w:pPr>
          </w:p>
        </w:tc>
      </w:tr>
      <w:tr>
        <w:trPr>
          <w:trHeight w:val="207"/>
        </w:trPr>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Other operating (income) expenses and, net</w:t>
            </w:r>
          </w:p>
        </w:tc>
        <w:tc>
          <w:tcPr>
            <w:tcW w:w="12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(18,193)</w:t>
            </w:r>
          </w:p>
        </w:tc>
        <w:tc>
          <w:tcPr>
            <w:tcW w:w="100" w:type="dxa"/>
            <w:vAlign w:val="bottom"/>
            <w:tcBorders>
              <w:bottom w:val="single" w:sz="8" w:color="auto"/>
            </w:tcBorders>
            <w:shd w:val="clear" w:color="auto" w:fill="CDDEE7"/>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793</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(8,043)</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88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6"/>
                <w:szCs w:val="16"/>
                <w:color w:val="auto"/>
              </w:rPr>
              <w:t>15,653</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(4,649)</w:t>
            </w:r>
          </w:p>
        </w:tc>
        <w:tc>
          <w:tcPr>
            <w:tcW w:w="0" w:type="dxa"/>
            <w:vAlign w:val="bottom"/>
          </w:tcPr>
          <w:p>
            <w:pPr>
              <w:spacing w:after="0"/>
              <w:rPr>
                <w:sz w:val="1"/>
                <w:szCs w:val="1"/>
                <w:color w:val="auto"/>
              </w:rPr>
            </w:pPr>
          </w:p>
        </w:tc>
      </w:tr>
      <w:tr>
        <w:trPr>
          <w:trHeight w:val="164"/>
        </w:trPr>
        <w:tc>
          <w:tcPr>
            <w:tcW w:w="5140" w:type="dxa"/>
            <w:vAlign w:val="bottom"/>
            <w:gridSpan w:val="2"/>
          </w:tcPr>
          <w:p>
            <w:pPr>
              <w:spacing w:after="0" w:line="164" w:lineRule="exact"/>
              <w:rPr>
                <w:sz w:val="20"/>
                <w:szCs w:val="20"/>
                <w:color w:val="auto"/>
              </w:rPr>
            </w:pPr>
            <w:r>
              <w:rPr>
                <w:rFonts w:ascii="Arial" w:cs="Arial" w:eastAsia="Arial" w:hAnsi="Arial"/>
                <w:sz w:val="12"/>
                <w:szCs w:val="12"/>
                <w:b w:val="1"/>
                <w:bCs w:val="1"/>
                <w:color w:val="auto"/>
              </w:rPr>
              <w:t>Earnings from Operations</w:t>
            </w:r>
            <w:r>
              <w:rPr>
                <w:rFonts w:ascii="Arial" w:cs="Arial" w:eastAsia="Arial" w:hAnsi="Arial"/>
                <w:sz w:val="19"/>
                <w:szCs w:val="19"/>
                <w:b w:val="1"/>
                <w:bCs w:val="1"/>
                <w:color w:val="auto"/>
                <w:vertAlign w:val="superscript"/>
              </w:rPr>
              <w:t>2</w:t>
            </w:r>
          </w:p>
        </w:tc>
        <w:tc>
          <w:tcPr>
            <w:tcW w:w="120" w:type="dxa"/>
            <w:vAlign w:val="bottom"/>
            <w:shd w:val="clear" w:color="auto" w:fill="CDDEE7"/>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820" w:type="dxa"/>
            <w:vAlign w:val="bottom"/>
            <w:shd w:val="clear" w:color="auto" w:fill="CDDEE7"/>
          </w:tcPr>
          <w:p>
            <w:pPr>
              <w:jc w:val="right"/>
              <w:spacing w:after="0" w:line="165" w:lineRule="exact"/>
              <w:rPr>
                <w:sz w:val="20"/>
                <w:szCs w:val="20"/>
                <w:color w:val="auto"/>
              </w:rPr>
            </w:pPr>
            <w:r>
              <w:rPr>
                <w:rFonts w:ascii="Arial" w:cs="Arial" w:eastAsia="Arial" w:hAnsi="Arial"/>
                <w:sz w:val="16"/>
                <w:szCs w:val="16"/>
                <w:b w:val="1"/>
                <w:bCs w:val="1"/>
                <w:color w:val="auto"/>
              </w:rPr>
              <w:t>690,737</w:t>
            </w:r>
          </w:p>
        </w:tc>
        <w:tc>
          <w:tcPr>
            <w:tcW w:w="100" w:type="dxa"/>
            <w:vAlign w:val="bottom"/>
            <w:shd w:val="clear" w:color="auto" w:fill="CDDEE7"/>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shd w:val="clear" w:color="auto" w:fill="E0EBED"/>
          </w:tcPr>
          <w:p>
            <w:pPr>
              <w:spacing w:after="0"/>
              <w:rPr>
                <w:sz w:val="14"/>
                <w:szCs w:val="14"/>
                <w:color w:val="auto"/>
              </w:rPr>
            </w:pPr>
          </w:p>
        </w:tc>
        <w:tc>
          <w:tcPr>
            <w:tcW w:w="920" w:type="dxa"/>
            <w:vAlign w:val="bottom"/>
            <w:shd w:val="clear" w:color="auto" w:fill="E0EBED"/>
          </w:tcPr>
          <w:p>
            <w:pPr>
              <w:jc w:val="right"/>
              <w:ind w:right="19"/>
              <w:spacing w:after="0" w:line="165" w:lineRule="exact"/>
              <w:rPr>
                <w:sz w:val="20"/>
                <w:szCs w:val="20"/>
                <w:color w:val="auto"/>
              </w:rPr>
            </w:pPr>
            <w:r>
              <w:rPr>
                <w:rFonts w:ascii="Arial" w:cs="Arial" w:eastAsia="Arial" w:hAnsi="Arial"/>
                <w:sz w:val="16"/>
                <w:szCs w:val="16"/>
                <w:color w:val="auto"/>
              </w:rPr>
              <w:t>700,381</w:t>
            </w:r>
          </w:p>
        </w:tc>
        <w:tc>
          <w:tcPr>
            <w:tcW w:w="160" w:type="dxa"/>
            <w:vAlign w:val="bottom"/>
          </w:tcPr>
          <w:p>
            <w:pPr>
              <w:spacing w:after="0"/>
              <w:rPr>
                <w:sz w:val="14"/>
                <w:szCs w:val="14"/>
                <w:color w:val="auto"/>
              </w:rPr>
            </w:pPr>
          </w:p>
        </w:tc>
        <w:tc>
          <w:tcPr>
            <w:tcW w:w="200" w:type="dxa"/>
            <w:vAlign w:val="bottom"/>
            <w:shd w:val="clear" w:color="auto" w:fill="E0EBED"/>
          </w:tcPr>
          <w:p>
            <w:pPr>
              <w:spacing w:after="0"/>
              <w:rPr>
                <w:sz w:val="14"/>
                <w:szCs w:val="14"/>
                <w:color w:val="auto"/>
              </w:rPr>
            </w:pPr>
          </w:p>
        </w:tc>
        <w:tc>
          <w:tcPr>
            <w:tcW w:w="940" w:type="dxa"/>
            <w:vAlign w:val="bottom"/>
            <w:shd w:val="clear" w:color="auto" w:fill="E0EBED"/>
          </w:tcPr>
          <w:p>
            <w:pPr>
              <w:jc w:val="right"/>
              <w:ind w:right="19"/>
              <w:spacing w:after="0" w:line="165" w:lineRule="exact"/>
              <w:rPr>
                <w:sz w:val="20"/>
                <w:szCs w:val="20"/>
                <w:color w:val="auto"/>
              </w:rPr>
            </w:pPr>
            <w:r>
              <w:rPr>
                <w:rFonts w:ascii="Arial" w:cs="Arial" w:eastAsia="Arial" w:hAnsi="Arial"/>
                <w:sz w:val="16"/>
                <w:szCs w:val="16"/>
                <w:color w:val="auto"/>
              </w:rPr>
              <w:t>677,266</w:t>
            </w:r>
          </w:p>
        </w:tc>
        <w:tc>
          <w:tcPr>
            <w:tcW w:w="140" w:type="dxa"/>
            <w:vAlign w:val="bottom"/>
          </w:tcPr>
          <w:p>
            <w:pPr>
              <w:spacing w:after="0"/>
              <w:rPr>
                <w:sz w:val="14"/>
                <w:szCs w:val="14"/>
                <w:color w:val="auto"/>
              </w:rPr>
            </w:pPr>
          </w:p>
        </w:tc>
        <w:tc>
          <w:tcPr>
            <w:tcW w:w="220" w:type="dxa"/>
            <w:vAlign w:val="bottom"/>
            <w:shd w:val="clear" w:color="auto" w:fill="E0EBED"/>
          </w:tcPr>
          <w:p>
            <w:pPr>
              <w:spacing w:after="0"/>
              <w:rPr>
                <w:sz w:val="14"/>
                <w:szCs w:val="14"/>
                <w:color w:val="auto"/>
              </w:rPr>
            </w:pPr>
          </w:p>
        </w:tc>
        <w:tc>
          <w:tcPr>
            <w:tcW w:w="880" w:type="dxa"/>
            <w:vAlign w:val="bottom"/>
            <w:shd w:val="clear" w:color="auto" w:fill="E0EBED"/>
          </w:tcPr>
          <w:p>
            <w:pPr>
              <w:jc w:val="right"/>
              <w:spacing w:after="0" w:line="165" w:lineRule="exact"/>
              <w:rPr>
                <w:sz w:val="20"/>
                <w:szCs w:val="20"/>
                <w:color w:val="auto"/>
              </w:rPr>
            </w:pPr>
            <w:r>
              <w:rPr>
                <w:rFonts w:ascii="Arial" w:cs="Arial" w:eastAsia="Arial" w:hAnsi="Arial"/>
                <w:sz w:val="16"/>
                <w:szCs w:val="16"/>
                <w:color w:val="auto"/>
              </w:rPr>
              <w:t>494,167</w:t>
            </w:r>
          </w:p>
        </w:tc>
        <w:tc>
          <w:tcPr>
            <w:tcW w:w="160" w:type="dxa"/>
            <w:vAlign w:val="bottom"/>
          </w:tcPr>
          <w:p>
            <w:pPr>
              <w:spacing w:after="0"/>
              <w:rPr>
                <w:sz w:val="14"/>
                <w:szCs w:val="14"/>
                <w:color w:val="auto"/>
              </w:rPr>
            </w:pPr>
          </w:p>
        </w:tc>
        <w:tc>
          <w:tcPr>
            <w:tcW w:w="200" w:type="dxa"/>
            <w:vAlign w:val="bottom"/>
            <w:shd w:val="clear" w:color="auto" w:fill="E0EBED"/>
          </w:tcPr>
          <w:p>
            <w:pPr>
              <w:spacing w:after="0"/>
              <w:rPr>
                <w:sz w:val="14"/>
                <w:szCs w:val="14"/>
                <w:color w:val="auto"/>
              </w:rPr>
            </w:pPr>
          </w:p>
        </w:tc>
        <w:tc>
          <w:tcPr>
            <w:tcW w:w="940" w:type="dxa"/>
            <w:vAlign w:val="bottom"/>
            <w:shd w:val="clear" w:color="auto" w:fill="E0EBED"/>
          </w:tcPr>
          <w:p>
            <w:pPr>
              <w:jc w:val="right"/>
              <w:ind w:right="19"/>
              <w:spacing w:after="0" w:line="165" w:lineRule="exact"/>
              <w:rPr>
                <w:sz w:val="20"/>
                <w:szCs w:val="20"/>
                <w:color w:val="auto"/>
              </w:rPr>
            </w:pPr>
            <w:r>
              <w:rPr>
                <w:rFonts w:ascii="Arial" w:cs="Arial" w:eastAsia="Arial" w:hAnsi="Arial"/>
                <w:sz w:val="16"/>
                <w:szCs w:val="16"/>
                <w:color w:val="auto"/>
              </w:rPr>
              <w:t>326,932</w:t>
            </w:r>
          </w:p>
        </w:tc>
        <w:tc>
          <w:tcPr>
            <w:tcW w:w="0" w:type="dxa"/>
            <w:vAlign w:val="bottom"/>
          </w:tcPr>
          <w:p>
            <w:pPr>
              <w:spacing w:after="0"/>
              <w:rPr>
                <w:sz w:val="1"/>
                <w:szCs w:val="1"/>
                <w:color w:val="auto"/>
              </w:rPr>
            </w:pPr>
          </w:p>
        </w:tc>
      </w:tr>
      <w:tr>
        <w:trPr>
          <w:trHeight w:val="189"/>
        </w:trPr>
        <w:tc>
          <w:tcPr>
            <w:tcW w:w="514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137,069</w:t>
            </w:r>
          </w:p>
        </w:tc>
        <w:tc>
          <w:tcPr>
            <w:tcW w:w="100" w:type="dxa"/>
            <w:vAlign w:val="bottom"/>
            <w:shd w:val="clear" w:color="auto" w:fill="CDDEE7"/>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91,487</w:t>
            </w:r>
          </w:p>
        </w:tc>
        <w:tc>
          <w:tcPr>
            <w:tcW w:w="16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81,677</w:t>
            </w:r>
          </w:p>
        </w:tc>
        <w:tc>
          <w:tcPr>
            <w:tcW w:w="14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880" w:type="dxa"/>
            <w:vAlign w:val="bottom"/>
            <w:shd w:val="clear" w:color="auto" w:fill="E0EBED"/>
          </w:tcPr>
          <w:p>
            <w:pPr>
              <w:jc w:val="right"/>
              <w:spacing w:after="0"/>
              <w:rPr>
                <w:sz w:val="20"/>
                <w:szCs w:val="20"/>
                <w:color w:val="auto"/>
              </w:rPr>
            </w:pPr>
            <w:r>
              <w:rPr>
                <w:rFonts w:ascii="Arial" w:cs="Arial" w:eastAsia="Arial" w:hAnsi="Arial"/>
                <w:sz w:val="16"/>
                <w:szCs w:val="16"/>
                <w:color w:val="auto"/>
              </w:rPr>
              <w:t>76,287</w:t>
            </w:r>
          </w:p>
        </w:tc>
        <w:tc>
          <w:tcPr>
            <w:tcW w:w="16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66,057</w:t>
            </w:r>
          </w:p>
        </w:tc>
        <w:tc>
          <w:tcPr>
            <w:tcW w:w="0" w:type="dxa"/>
            <w:vAlign w:val="bottom"/>
          </w:tcPr>
          <w:p>
            <w:pPr>
              <w:spacing w:after="0"/>
              <w:rPr>
                <w:sz w:val="1"/>
                <w:szCs w:val="1"/>
                <w:color w:val="auto"/>
              </w:rPr>
            </w:pPr>
          </w:p>
        </w:tc>
      </w:tr>
      <w:tr>
        <w:trPr>
          <w:trHeight w:val="207"/>
        </w:trPr>
        <w:tc>
          <w:tcPr>
            <w:tcW w:w="514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5"/>
                <w:szCs w:val="15"/>
                <w:color w:val="auto"/>
              </w:rPr>
              <w:t>Other nonoperating (income) and expenses, net</w:t>
            </w:r>
            <w:r>
              <w:rPr>
                <w:rFonts w:ascii="Arial" w:cs="Arial" w:eastAsia="Arial" w:hAnsi="Arial"/>
                <w:sz w:val="24"/>
                <w:szCs w:val="24"/>
                <w:color w:val="auto"/>
                <w:vertAlign w:val="superscript"/>
              </w:rPr>
              <w:t>2</w:t>
            </w:r>
          </w:p>
        </w:tc>
        <w:tc>
          <w:tcPr>
            <w:tcW w:w="12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(22,413)</w:t>
            </w:r>
          </w:p>
        </w:tc>
        <w:tc>
          <w:tcPr>
            <w:tcW w:w="100" w:type="dxa"/>
            <w:vAlign w:val="bottom"/>
            <w:tcBorders>
              <w:bottom w:val="single" w:sz="8" w:color="auto"/>
            </w:tcBorders>
            <w:shd w:val="clear" w:color="auto" w:fill="CDDEE7"/>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(10,034)</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(11,439)</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88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6"/>
                <w:szCs w:val="16"/>
                <w:color w:val="auto"/>
              </w:rPr>
              <w:t>4,079</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11,697</w:t>
            </w:r>
          </w:p>
        </w:tc>
        <w:tc>
          <w:tcPr>
            <w:tcW w:w="0" w:type="dxa"/>
            <w:vAlign w:val="bottom"/>
          </w:tcPr>
          <w:p>
            <w:pPr>
              <w:spacing w:after="0"/>
              <w:rPr>
                <w:sz w:val="1"/>
                <w:szCs w:val="1"/>
                <w:color w:val="auto"/>
              </w:rPr>
            </w:pPr>
          </w:p>
        </w:tc>
      </w:tr>
      <w:tr>
        <w:trPr>
          <w:trHeight w:val="184"/>
        </w:trPr>
        <w:tc>
          <w:tcPr>
            <w:tcW w:w="5140" w:type="dxa"/>
            <w:vAlign w:val="bottom"/>
            <w:gridSpan w:val="2"/>
          </w:tcPr>
          <w:p>
            <w:pPr>
              <w:spacing w:after="0"/>
              <w:rPr>
                <w:sz w:val="20"/>
                <w:szCs w:val="20"/>
                <w:color w:val="auto"/>
              </w:rPr>
            </w:pPr>
            <w:r>
              <w:rPr>
                <w:rFonts w:ascii="Arial" w:cs="Arial" w:eastAsia="Arial" w:hAnsi="Arial"/>
                <w:sz w:val="16"/>
                <w:szCs w:val="16"/>
                <w:color w:val="auto"/>
              </w:rPr>
              <w:t>Earnings from continuing operations before income tax expense</w:t>
            </w: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vMerge w:val="restart"/>
            <w:shd w:val="clear" w:color="auto" w:fill="CDDEE7"/>
          </w:tcPr>
          <w:p>
            <w:pPr>
              <w:jc w:val="right"/>
              <w:spacing w:after="0"/>
              <w:rPr>
                <w:sz w:val="20"/>
                <w:szCs w:val="20"/>
                <w:color w:val="auto"/>
              </w:rPr>
            </w:pPr>
            <w:r>
              <w:rPr>
                <w:rFonts w:ascii="Arial" w:cs="Arial" w:eastAsia="Arial" w:hAnsi="Arial"/>
                <w:sz w:val="16"/>
                <w:szCs w:val="16"/>
                <w:b w:val="1"/>
                <w:bCs w:val="1"/>
                <w:color w:val="auto"/>
              </w:rPr>
              <w:t>576,081</w:t>
            </w:r>
          </w:p>
        </w:tc>
        <w:tc>
          <w:tcPr>
            <w:tcW w:w="100" w:type="dxa"/>
            <w:vAlign w:val="bottom"/>
            <w:shd w:val="clear" w:color="auto" w:fill="CDDEE7"/>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920" w:type="dxa"/>
            <w:vAlign w:val="bottom"/>
            <w:shd w:val="clear" w:color="auto" w:fill="E0EBED"/>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880" w:type="dxa"/>
            <w:vAlign w:val="bottom"/>
            <w:shd w:val="clear" w:color="auto" w:fill="E0EBED"/>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20" w:type="dxa"/>
            <w:vAlign w:val="bottom"/>
          </w:tcPr>
          <w:p>
            <w:pPr>
              <w:ind w:left="60"/>
              <w:spacing w:after="0" w:line="169" w:lineRule="exact"/>
              <w:rPr>
                <w:sz w:val="20"/>
                <w:szCs w:val="20"/>
                <w:color w:val="auto"/>
              </w:rPr>
            </w:pPr>
            <w:r>
              <w:rPr>
                <w:rFonts w:ascii="Arial" w:cs="Arial" w:eastAsia="Arial" w:hAnsi="Arial"/>
                <w:sz w:val="16"/>
                <w:szCs w:val="16"/>
                <w:color w:val="auto"/>
              </w:rPr>
              <w:t>(benefit)</w:t>
            </w:r>
          </w:p>
        </w:tc>
        <w:tc>
          <w:tcPr>
            <w:tcW w:w="120" w:type="dxa"/>
            <w:vAlign w:val="bottom"/>
            <w:shd w:val="clear" w:color="auto" w:fill="CDDEE7"/>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820" w:type="dxa"/>
            <w:vAlign w:val="bottom"/>
            <w:vMerge w:val="continue"/>
            <w:shd w:val="clear" w:color="auto" w:fill="CDDEE7"/>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shd w:val="clear" w:color="auto" w:fill="E0EBED"/>
          </w:tcPr>
          <w:p>
            <w:pPr>
              <w:spacing w:after="0"/>
              <w:rPr>
                <w:sz w:val="14"/>
                <w:szCs w:val="14"/>
                <w:color w:val="auto"/>
              </w:rPr>
            </w:pPr>
          </w:p>
        </w:tc>
        <w:tc>
          <w:tcPr>
            <w:tcW w:w="920" w:type="dxa"/>
            <w:vAlign w:val="bottom"/>
            <w:shd w:val="clear" w:color="auto" w:fill="E0EBED"/>
          </w:tcPr>
          <w:p>
            <w:pPr>
              <w:jc w:val="right"/>
              <w:ind w:right="19"/>
              <w:spacing w:after="0" w:line="169" w:lineRule="exact"/>
              <w:rPr>
                <w:sz w:val="20"/>
                <w:szCs w:val="20"/>
                <w:color w:val="auto"/>
              </w:rPr>
            </w:pPr>
            <w:r>
              <w:rPr>
                <w:rFonts w:ascii="Arial" w:cs="Arial" w:eastAsia="Arial" w:hAnsi="Arial"/>
                <w:sz w:val="16"/>
                <w:szCs w:val="16"/>
                <w:color w:val="auto"/>
              </w:rPr>
              <w:t>618,928</w:t>
            </w:r>
          </w:p>
        </w:tc>
        <w:tc>
          <w:tcPr>
            <w:tcW w:w="160" w:type="dxa"/>
            <w:vAlign w:val="bottom"/>
          </w:tcPr>
          <w:p>
            <w:pPr>
              <w:spacing w:after="0"/>
              <w:rPr>
                <w:sz w:val="14"/>
                <w:szCs w:val="14"/>
                <w:color w:val="auto"/>
              </w:rPr>
            </w:pPr>
          </w:p>
        </w:tc>
        <w:tc>
          <w:tcPr>
            <w:tcW w:w="200" w:type="dxa"/>
            <w:vAlign w:val="bottom"/>
            <w:shd w:val="clear" w:color="auto" w:fill="E0EBED"/>
          </w:tcPr>
          <w:p>
            <w:pPr>
              <w:spacing w:after="0"/>
              <w:rPr>
                <w:sz w:val="14"/>
                <w:szCs w:val="14"/>
                <w:color w:val="auto"/>
              </w:rPr>
            </w:pPr>
          </w:p>
        </w:tc>
        <w:tc>
          <w:tcPr>
            <w:tcW w:w="940" w:type="dxa"/>
            <w:vAlign w:val="bottom"/>
            <w:shd w:val="clear" w:color="auto" w:fill="E0EBED"/>
          </w:tcPr>
          <w:p>
            <w:pPr>
              <w:jc w:val="right"/>
              <w:ind w:right="19"/>
              <w:spacing w:after="0" w:line="169" w:lineRule="exact"/>
              <w:rPr>
                <w:sz w:val="20"/>
                <w:szCs w:val="20"/>
                <w:color w:val="auto"/>
              </w:rPr>
            </w:pPr>
            <w:r>
              <w:rPr>
                <w:rFonts w:ascii="Arial" w:cs="Arial" w:eastAsia="Arial" w:hAnsi="Arial"/>
                <w:sz w:val="16"/>
                <w:szCs w:val="16"/>
                <w:color w:val="auto"/>
              </w:rPr>
              <w:t>607,028</w:t>
            </w:r>
          </w:p>
        </w:tc>
        <w:tc>
          <w:tcPr>
            <w:tcW w:w="140" w:type="dxa"/>
            <w:vAlign w:val="bottom"/>
          </w:tcPr>
          <w:p>
            <w:pPr>
              <w:spacing w:after="0"/>
              <w:rPr>
                <w:sz w:val="14"/>
                <w:szCs w:val="14"/>
                <w:color w:val="auto"/>
              </w:rPr>
            </w:pPr>
          </w:p>
        </w:tc>
        <w:tc>
          <w:tcPr>
            <w:tcW w:w="220" w:type="dxa"/>
            <w:vAlign w:val="bottom"/>
            <w:shd w:val="clear" w:color="auto" w:fill="E0EBED"/>
          </w:tcPr>
          <w:p>
            <w:pPr>
              <w:spacing w:after="0"/>
              <w:rPr>
                <w:sz w:val="14"/>
                <w:szCs w:val="14"/>
                <w:color w:val="auto"/>
              </w:rPr>
            </w:pPr>
          </w:p>
        </w:tc>
        <w:tc>
          <w:tcPr>
            <w:tcW w:w="880" w:type="dxa"/>
            <w:vAlign w:val="bottom"/>
            <w:shd w:val="clear" w:color="auto" w:fill="E0EBED"/>
          </w:tcPr>
          <w:p>
            <w:pPr>
              <w:jc w:val="right"/>
              <w:spacing w:after="0" w:line="169" w:lineRule="exact"/>
              <w:rPr>
                <w:sz w:val="20"/>
                <w:szCs w:val="20"/>
                <w:color w:val="auto"/>
              </w:rPr>
            </w:pPr>
            <w:r>
              <w:rPr>
                <w:rFonts w:ascii="Arial" w:cs="Arial" w:eastAsia="Arial" w:hAnsi="Arial"/>
                <w:sz w:val="16"/>
                <w:szCs w:val="16"/>
                <w:color w:val="auto"/>
              </w:rPr>
              <w:t>413,801</w:t>
            </w:r>
          </w:p>
        </w:tc>
        <w:tc>
          <w:tcPr>
            <w:tcW w:w="160" w:type="dxa"/>
            <w:vAlign w:val="bottom"/>
          </w:tcPr>
          <w:p>
            <w:pPr>
              <w:spacing w:after="0"/>
              <w:rPr>
                <w:sz w:val="14"/>
                <w:szCs w:val="14"/>
                <w:color w:val="auto"/>
              </w:rPr>
            </w:pPr>
          </w:p>
        </w:tc>
        <w:tc>
          <w:tcPr>
            <w:tcW w:w="200" w:type="dxa"/>
            <w:vAlign w:val="bottom"/>
            <w:shd w:val="clear" w:color="auto" w:fill="E0EBED"/>
          </w:tcPr>
          <w:p>
            <w:pPr>
              <w:spacing w:after="0"/>
              <w:rPr>
                <w:sz w:val="14"/>
                <w:szCs w:val="14"/>
                <w:color w:val="auto"/>
              </w:rPr>
            </w:pPr>
          </w:p>
        </w:tc>
        <w:tc>
          <w:tcPr>
            <w:tcW w:w="940" w:type="dxa"/>
            <w:vAlign w:val="bottom"/>
            <w:shd w:val="clear" w:color="auto" w:fill="E0EBED"/>
          </w:tcPr>
          <w:p>
            <w:pPr>
              <w:jc w:val="right"/>
              <w:ind w:right="19"/>
              <w:spacing w:after="0" w:line="169" w:lineRule="exact"/>
              <w:rPr>
                <w:sz w:val="20"/>
                <w:szCs w:val="20"/>
                <w:color w:val="auto"/>
              </w:rPr>
            </w:pPr>
            <w:r>
              <w:rPr>
                <w:rFonts w:ascii="Arial" w:cs="Arial" w:eastAsia="Arial" w:hAnsi="Arial"/>
                <w:sz w:val="16"/>
                <w:szCs w:val="16"/>
                <w:color w:val="auto"/>
              </w:rPr>
              <w:t>249,178</w:t>
            </w:r>
          </w:p>
        </w:tc>
        <w:tc>
          <w:tcPr>
            <w:tcW w:w="0" w:type="dxa"/>
            <w:vAlign w:val="bottom"/>
          </w:tcPr>
          <w:p>
            <w:pPr>
              <w:spacing w:after="0"/>
              <w:rPr>
                <w:sz w:val="1"/>
                <w:szCs w:val="1"/>
                <w:color w:val="auto"/>
              </w:rPr>
            </w:pPr>
          </w:p>
        </w:tc>
      </w:tr>
      <w:tr>
        <w:trPr>
          <w:trHeight w:val="207"/>
        </w:trPr>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Income tax expense (benefit)</w:t>
            </w:r>
          </w:p>
        </w:tc>
        <w:tc>
          <w:tcPr>
            <w:tcW w:w="12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105,705</w:t>
            </w:r>
          </w:p>
        </w:tc>
        <w:tc>
          <w:tcPr>
            <w:tcW w:w="100" w:type="dxa"/>
            <w:vAlign w:val="bottom"/>
            <w:tcBorders>
              <w:bottom w:val="single" w:sz="8" w:color="auto"/>
            </w:tcBorders>
            <w:shd w:val="clear" w:color="auto" w:fill="CDDEE7"/>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(94,457)</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181,584</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88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6"/>
                <w:szCs w:val="16"/>
                <w:color w:val="auto"/>
              </w:rPr>
              <w:t>124,863</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94,847</w:t>
            </w:r>
          </w:p>
        </w:tc>
        <w:tc>
          <w:tcPr>
            <w:tcW w:w="0" w:type="dxa"/>
            <w:vAlign w:val="bottom"/>
          </w:tcPr>
          <w:p>
            <w:pPr>
              <w:spacing w:after="0"/>
              <w:rPr>
                <w:sz w:val="1"/>
                <w:szCs w:val="1"/>
                <w:color w:val="auto"/>
              </w:rPr>
            </w:pPr>
          </w:p>
        </w:tc>
      </w:tr>
      <w:tr>
        <w:trPr>
          <w:trHeight w:val="164"/>
        </w:trPr>
        <w:tc>
          <w:tcPr>
            <w:tcW w:w="514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Earnings from Continuing Operations</w:t>
            </w:r>
          </w:p>
        </w:tc>
        <w:tc>
          <w:tcPr>
            <w:tcW w:w="120" w:type="dxa"/>
            <w:vAlign w:val="bottom"/>
            <w:shd w:val="clear" w:color="auto" w:fill="CDDEE7"/>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820" w:type="dxa"/>
            <w:vAlign w:val="bottom"/>
            <w:shd w:val="clear" w:color="auto" w:fill="CDDEE7"/>
          </w:tcPr>
          <w:p>
            <w:pPr>
              <w:jc w:val="right"/>
              <w:spacing w:after="0" w:line="165" w:lineRule="exact"/>
              <w:rPr>
                <w:sz w:val="20"/>
                <w:szCs w:val="20"/>
                <w:color w:val="auto"/>
              </w:rPr>
            </w:pPr>
            <w:r>
              <w:rPr>
                <w:rFonts w:ascii="Arial" w:cs="Arial" w:eastAsia="Arial" w:hAnsi="Arial"/>
                <w:sz w:val="16"/>
                <w:szCs w:val="16"/>
                <w:b w:val="1"/>
                <w:bCs w:val="1"/>
                <w:color w:val="auto"/>
              </w:rPr>
              <w:t>470,376</w:t>
            </w:r>
          </w:p>
        </w:tc>
        <w:tc>
          <w:tcPr>
            <w:tcW w:w="100" w:type="dxa"/>
            <w:vAlign w:val="bottom"/>
            <w:shd w:val="clear" w:color="auto" w:fill="CDDEE7"/>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shd w:val="clear" w:color="auto" w:fill="E0EBED"/>
          </w:tcPr>
          <w:p>
            <w:pPr>
              <w:spacing w:after="0"/>
              <w:rPr>
                <w:sz w:val="14"/>
                <w:szCs w:val="14"/>
                <w:color w:val="auto"/>
              </w:rPr>
            </w:pPr>
          </w:p>
        </w:tc>
        <w:tc>
          <w:tcPr>
            <w:tcW w:w="920" w:type="dxa"/>
            <w:vAlign w:val="bottom"/>
            <w:shd w:val="clear" w:color="auto" w:fill="E0EBED"/>
          </w:tcPr>
          <w:p>
            <w:pPr>
              <w:jc w:val="right"/>
              <w:ind w:right="19"/>
              <w:spacing w:after="0" w:line="165" w:lineRule="exact"/>
              <w:rPr>
                <w:sz w:val="20"/>
                <w:szCs w:val="20"/>
                <w:color w:val="auto"/>
              </w:rPr>
            </w:pPr>
            <w:r>
              <w:rPr>
                <w:rFonts w:ascii="Arial" w:cs="Arial" w:eastAsia="Arial" w:hAnsi="Arial"/>
                <w:sz w:val="16"/>
                <w:szCs w:val="16"/>
                <w:color w:val="auto"/>
              </w:rPr>
              <w:t>713,385</w:t>
            </w:r>
          </w:p>
        </w:tc>
        <w:tc>
          <w:tcPr>
            <w:tcW w:w="160" w:type="dxa"/>
            <w:vAlign w:val="bottom"/>
          </w:tcPr>
          <w:p>
            <w:pPr>
              <w:spacing w:after="0"/>
              <w:rPr>
                <w:sz w:val="14"/>
                <w:szCs w:val="14"/>
                <w:color w:val="auto"/>
              </w:rPr>
            </w:pPr>
          </w:p>
        </w:tc>
        <w:tc>
          <w:tcPr>
            <w:tcW w:w="200" w:type="dxa"/>
            <w:vAlign w:val="bottom"/>
            <w:shd w:val="clear" w:color="auto" w:fill="E0EBED"/>
          </w:tcPr>
          <w:p>
            <w:pPr>
              <w:spacing w:after="0"/>
              <w:rPr>
                <w:sz w:val="14"/>
                <w:szCs w:val="14"/>
                <w:color w:val="auto"/>
              </w:rPr>
            </w:pPr>
          </w:p>
        </w:tc>
        <w:tc>
          <w:tcPr>
            <w:tcW w:w="940" w:type="dxa"/>
            <w:vAlign w:val="bottom"/>
            <w:shd w:val="clear" w:color="auto" w:fill="E0EBED"/>
          </w:tcPr>
          <w:p>
            <w:pPr>
              <w:jc w:val="right"/>
              <w:ind w:right="19"/>
              <w:spacing w:after="0" w:line="165" w:lineRule="exact"/>
              <w:rPr>
                <w:sz w:val="20"/>
                <w:szCs w:val="20"/>
                <w:color w:val="auto"/>
              </w:rPr>
            </w:pPr>
            <w:r>
              <w:rPr>
                <w:rFonts w:ascii="Arial" w:cs="Arial" w:eastAsia="Arial" w:hAnsi="Arial"/>
                <w:sz w:val="16"/>
                <w:szCs w:val="16"/>
                <w:color w:val="auto"/>
              </w:rPr>
              <w:t>425,444</w:t>
            </w:r>
          </w:p>
        </w:tc>
        <w:tc>
          <w:tcPr>
            <w:tcW w:w="140" w:type="dxa"/>
            <w:vAlign w:val="bottom"/>
          </w:tcPr>
          <w:p>
            <w:pPr>
              <w:spacing w:after="0"/>
              <w:rPr>
                <w:sz w:val="14"/>
                <w:szCs w:val="14"/>
                <w:color w:val="auto"/>
              </w:rPr>
            </w:pPr>
          </w:p>
        </w:tc>
        <w:tc>
          <w:tcPr>
            <w:tcW w:w="220" w:type="dxa"/>
            <w:vAlign w:val="bottom"/>
            <w:shd w:val="clear" w:color="auto" w:fill="E0EBED"/>
          </w:tcPr>
          <w:p>
            <w:pPr>
              <w:spacing w:after="0"/>
              <w:rPr>
                <w:sz w:val="14"/>
                <w:szCs w:val="14"/>
                <w:color w:val="auto"/>
              </w:rPr>
            </w:pPr>
          </w:p>
        </w:tc>
        <w:tc>
          <w:tcPr>
            <w:tcW w:w="880" w:type="dxa"/>
            <w:vAlign w:val="bottom"/>
            <w:shd w:val="clear" w:color="auto" w:fill="E0EBED"/>
          </w:tcPr>
          <w:p>
            <w:pPr>
              <w:jc w:val="right"/>
              <w:spacing w:after="0" w:line="165" w:lineRule="exact"/>
              <w:rPr>
                <w:sz w:val="20"/>
                <w:szCs w:val="20"/>
                <w:color w:val="auto"/>
              </w:rPr>
            </w:pPr>
            <w:r>
              <w:rPr>
                <w:rFonts w:ascii="Arial" w:cs="Arial" w:eastAsia="Arial" w:hAnsi="Arial"/>
                <w:sz w:val="16"/>
                <w:szCs w:val="16"/>
                <w:color w:val="auto"/>
              </w:rPr>
              <w:t>288,938</w:t>
            </w:r>
          </w:p>
        </w:tc>
        <w:tc>
          <w:tcPr>
            <w:tcW w:w="160" w:type="dxa"/>
            <w:vAlign w:val="bottom"/>
          </w:tcPr>
          <w:p>
            <w:pPr>
              <w:spacing w:after="0"/>
              <w:rPr>
                <w:sz w:val="14"/>
                <w:szCs w:val="14"/>
                <w:color w:val="auto"/>
              </w:rPr>
            </w:pPr>
          </w:p>
        </w:tc>
        <w:tc>
          <w:tcPr>
            <w:tcW w:w="200" w:type="dxa"/>
            <w:vAlign w:val="bottom"/>
            <w:shd w:val="clear" w:color="auto" w:fill="E0EBED"/>
          </w:tcPr>
          <w:p>
            <w:pPr>
              <w:spacing w:after="0"/>
              <w:rPr>
                <w:sz w:val="14"/>
                <w:szCs w:val="14"/>
                <w:color w:val="auto"/>
              </w:rPr>
            </w:pPr>
          </w:p>
        </w:tc>
        <w:tc>
          <w:tcPr>
            <w:tcW w:w="940" w:type="dxa"/>
            <w:vAlign w:val="bottom"/>
            <w:shd w:val="clear" w:color="auto" w:fill="E0EBED"/>
          </w:tcPr>
          <w:p>
            <w:pPr>
              <w:jc w:val="right"/>
              <w:ind w:right="19"/>
              <w:spacing w:after="0" w:line="165" w:lineRule="exact"/>
              <w:rPr>
                <w:sz w:val="20"/>
                <w:szCs w:val="20"/>
                <w:color w:val="auto"/>
              </w:rPr>
            </w:pPr>
            <w:r>
              <w:rPr>
                <w:rFonts w:ascii="Arial" w:cs="Arial" w:eastAsia="Arial" w:hAnsi="Arial"/>
                <w:sz w:val="16"/>
                <w:szCs w:val="16"/>
                <w:color w:val="auto"/>
              </w:rPr>
              <w:t>154,331</w:t>
            </w:r>
          </w:p>
        </w:tc>
        <w:tc>
          <w:tcPr>
            <w:tcW w:w="0" w:type="dxa"/>
            <w:vAlign w:val="bottom"/>
          </w:tcPr>
          <w:p>
            <w:pPr>
              <w:spacing w:after="0"/>
              <w:rPr>
                <w:sz w:val="1"/>
                <w:szCs w:val="1"/>
                <w:color w:val="auto"/>
              </w:rPr>
            </w:pPr>
          </w:p>
        </w:tc>
      </w:tr>
      <w:tr>
        <w:trPr>
          <w:trHeight w:val="207"/>
        </w:trPr>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Discontinued operations, net of taxes</w:t>
            </w:r>
          </w:p>
        </w:tc>
        <w:tc>
          <w:tcPr>
            <w:tcW w:w="12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shd w:val="clear" w:color="auto" w:fill="CDDEE7"/>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88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64"/>
        </w:trPr>
        <w:tc>
          <w:tcPr>
            <w:tcW w:w="5140" w:type="dxa"/>
            <w:vAlign w:val="bottom"/>
            <w:gridSpan w:val="2"/>
          </w:tcPr>
          <w:p>
            <w:pPr>
              <w:spacing w:after="0" w:line="165" w:lineRule="exact"/>
              <w:rPr>
                <w:sz w:val="20"/>
                <w:szCs w:val="20"/>
                <w:color w:val="auto"/>
              </w:rPr>
            </w:pPr>
            <w:r>
              <w:rPr>
                <w:rFonts w:ascii="Arial" w:cs="Arial" w:eastAsia="Arial" w:hAnsi="Arial"/>
                <w:sz w:val="16"/>
                <w:szCs w:val="16"/>
                <w:color w:val="auto"/>
              </w:rPr>
              <w:t>Consolidated net earnings</w:t>
            </w:r>
          </w:p>
        </w:tc>
        <w:tc>
          <w:tcPr>
            <w:tcW w:w="120" w:type="dxa"/>
            <w:vAlign w:val="bottom"/>
            <w:shd w:val="clear" w:color="auto" w:fill="CDDEE7"/>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820" w:type="dxa"/>
            <w:vAlign w:val="bottom"/>
            <w:shd w:val="clear" w:color="auto" w:fill="CDDEE7"/>
          </w:tcPr>
          <w:p>
            <w:pPr>
              <w:jc w:val="right"/>
              <w:spacing w:after="0" w:line="165" w:lineRule="exact"/>
              <w:rPr>
                <w:sz w:val="20"/>
                <w:szCs w:val="20"/>
                <w:color w:val="auto"/>
              </w:rPr>
            </w:pPr>
            <w:r>
              <w:rPr>
                <w:rFonts w:ascii="Arial" w:cs="Arial" w:eastAsia="Arial" w:hAnsi="Arial"/>
                <w:sz w:val="16"/>
                <w:szCs w:val="16"/>
                <w:b w:val="1"/>
                <w:bCs w:val="1"/>
                <w:color w:val="auto"/>
              </w:rPr>
              <w:t>470,376</w:t>
            </w:r>
          </w:p>
        </w:tc>
        <w:tc>
          <w:tcPr>
            <w:tcW w:w="100" w:type="dxa"/>
            <w:vAlign w:val="bottom"/>
            <w:shd w:val="clear" w:color="auto" w:fill="CDDEE7"/>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shd w:val="clear" w:color="auto" w:fill="E0EBED"/>
          </w:tcPr>
          <w:p>
            <w:pPr>
              <w:spacing w:after="0"/>
              <w:rPr>
                <w:sz w:val="14"/>
                <w:szCs w:val="14"/>
                <w:color w:val="auto"/>
              </w:rPr>
            </w:pPr>
          </w:p>
        </w:tc>
        <w:tc>
          <w:tcPr>
            <w:tcW w:w="920" w:type="dxa"/>
            <w:vAlign w:val="bottom"/>
            <w:shd w:val="clear" w:color="auto" w:fill="E0EBED"/>
          </w:tcPr>
          <w:p>
            <w:pPr>
              <w:jc w:val="right"/>
              <w:ind w:right="19"/>
              <w:spacing w:after="0" w:line="165" w:lineRule="exact"/>
              <w:rPr>
                <w:sz w:val="20"/>
                <w:szCs w:val="20"/>
                <w:color w:val="auto"/>
              </w:rPr>
            </w:pPr>
            <w:r>
              <w:rPr>
                <w:rFonts w:ascii="Arial" w:cs="Arial" w:eastAsia="Arial" w:hAnsi="Arial"/>
                <w:sz w:val="16"/>
                <w:szCs w:val="16"/>
                <w:color w:val="auto"/>
              </w:rPr>
              <w:t>713,385</w:t>
            </w:r>
          </w:p>
        </w:tc>
        <w:tc>
          <w:tcPr>
            <w:tcW w:w="160" w:type="dxa"/>
            <w:vAlign w:val="bottom"/>
          </w:tcPr>
          <w:p>
            <w:pPr>
              <w:spacing w:after="0"/>
              <w:rPr>
                <w:sz w:val="14"/>
                <w:szCs w:val="14"/>
                <w:color w:val="auto"/>
              </w:rPr>
            </w:pPr>
          </w:p>
        </w:tc>
        <w:tc>
          <w:tcPr>
            <w:tcW w:w="200" w:type="dxa"/>
            <w:vAlign w:val="bottom"/>
            <w:shd w:val="clear" w:color="auto" w:fill="E0EBED"/>
          </w:tcPr>
          <w:p>
            <w:pPr>
              <w:spacing w:after="0"/>
              <w:rPr>
                <w:sz w:val="14"/>
                <w:szCs w:val="14"/>
                <w:color w:val="auto"/>
              </w:rPr>
            </w:pPr>
          </w:p>
        </w:tc>
        <w:tc>
          <w:tcPr>
            <w:tcW w:w="940" w:type="dxa"/>
            <w:vAlign w:val="bottom"/>
            <w:shd w:val="clear" w:color="auto" w:fill="E0EBED"/>
          </w:tcPr>
          <w:p>
            <w:pPr>
              <w:jc w:val="right"/>
              <w:ind w:right="19"/>
              <w:spacing w:after="0" w:line="165" w:lineRule="exact"/>
              <w:rPr>
                <w:sz w:val="20"/>
                <w:szCs w:val="20"/>
                <w:color w:val="auto"/>
              </w:rPr>
            </w:pPr>
            <w:r>
              <w:rPr>
                <w:rFonts w:ascii="Arial" w:cs="Arial" w:eastAsia="Arial" w:hAnsi="Arial"/>
                <w:sz w:val="16"/>
                <w:szCs w:val="16"/>
                <w:color w:val="auto"/>
              </w:rPr>
              <w:t>425,444</w:t>
            </w:r>
          </w:p>
        </w:tc>
        <w:tc>
          <w:tcPr>
            <w:tcW w:w="140" w:type="dxa"/>
            <w:vAlign w:val="bottom"/>
          </w:tcPr>
          <w:p>
            <w:pPr>
              <w:spacing w:after="0"/>
              <w:rPr>
                <w:sz w:val="14"/>
                <w:szCs w:val="14"/>
                <w:color w:val="auto"/>
              </w:rPr>
            </w:pPr>
          </w:p>
        </w:tc>
        <w:tc>
          <w:tcPr>
            <w:tcW w:w="220" w:type="dxa"/>
            <w:vAlign w:val="bottom"/>
            <w:shd w:val="clear" w:color="auto" w:fill="E0EBED"/>
          </w:tcPr>
          <w:p>
            <w:pPr>
              <w:spacing w:after="0"/>
              <w:rPr>
                <w:sz w:val="14"/>
                <w:szCs w:val="14"/>
                <w:color w:val="auto"/>
              </w:rPr>
            </w:pPr>
          </w:p>
        </w:tc>
        <w:tc>
          <w:tcPr>
            <w:tcW w:w="880" w:type="dxa"/>
            <w:vAlign w:val="bottom"/>
            <w:shd w:val="clear" w:color="auto" w:fill="E0EBED"/>
          </w:tcPr>
          <w:p>
            <w:pPr>
              <w:jc w:val="right"/>
              <w:spacing w:after="0" w:line="165" w:lineRule="exact"/>
              <w:rPr>
                <w:sz w:val="20"/>
                <w:szCs w:val="20"/>
                <w:color w:val="auto"/>
              </w:rPr>
            </w:pPr>
            <w:r>
              <w:rPr>
                <w:rFonts w:ascii="Arial" w:cs="Arial" w:eastAsia="Arial" w:hAnsi="Arial"/>
                <w:sz w:val="16"/>
                <w:szCs w:val="16"/>
                <w:color w:val="auto"/>
              </w:rPr>
              <w:t>288,938</w:t>
            </w:r>
          </w:p>
        </w:tc>
        <w:tc>
          <w:tcPr>
            <w:tcW w:w="160" w:type="dxa"/>
            <w:vAlign w:val="bottom"/>
          </w:tcPr>
          <w:p>
            <w:pPr>
              <w:spacing w:after="0"/>
              <w:rPr>
                <w:sz w:val="14"/>
                <w:szCs w:val="14"/>
                <w:color w:val="auto"/>
              </w:rPr>
            </w:pPr>
          </w:p>
        </w:tc>
        <w:tc>
          <w:tcPr>
            <w:tcW w:w="200" w:type="dxa"/>
            <w:vAlign w:val="bottom"/>
            <w:shd w:val="clear" w:color="auto" w:fill="E0EBED"/>
          </w:tcPr>
          <w:p>
            <w:pPr>
              <w:spacing w:after="0"/>
              <w:rPr>
                <w:sz w:val="14"/>
                <w:szCs w:val="14"/>
                <w:color w:val="auto"/>
              </w:rPr>
            </w:pPr>
          </w:p>
        </w:tc>
        <w:tc>
          <w:tcPr>
            <w:tcW w:w="940" w:type="dxa"/>
            <w:vAlign w:val="bottom"/>
            <w:shd w:val="clear" w:color="auto" w:fill="E0EBED"/>
          </w:tcPr>
          <w:p>
            <w:pPr>
              <w:jc w:val="right"/>
              <w:ind w:right="19"/>
              <w:spacing w:after="0" w:line="165" w:lineRule="exact"/>
              <w:rPr>
                <w:sz w:val="20"/>
                <w:szCs w:val="20"/>
                <w:color w:val="auto"/>
              </w:rPr>
            </w:pPr>
            <w:r>
              <w:rPr>
                <w:rFonts w:ascii="Arial" w:cs="Arial" w:eastAsia="Arial" w:hAnsi="Arial"/>
                <w:sz w:val="16"/>
                <w:szCs w:val="16"/>
                <w:color w:val="auto"/>
              </w:rPr>
              <w:t>154,294</w:t>
            </w:r>
          </w:p>
        </w:tc>
        <w:tc>
          <w:tcPr>
            <w:tcW w:w="0" w:type="dxa"/>
            <w:vAlign w:val="bottom"/>
          </w:tcPr>
          <w:p>
            <w:pPr>
              <w:spacing w:after="0"/>
              <w:rPr>
                <w:sz w:val="1"/>
                <w:szCs w:val="1"/>
                <w:color w:val="auto"/>
              </w:rPr>
            </w:pPr>
          </w:p>
        </w:tc>
      </w:tr>
      <w:tr>
        <w:trPr>
          <w:trHeight w:val="207"/>
        </w:trPr>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Less: Net earnings (loss) attributable to noncontrolling interests</w:t>
            </w:r>
          </w:p>
        </w:tc>
        <w:tc>
          <w:tcPr>
            <w:tcW w:w="12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378</w:t>
            </w:r>
          </w:p>
        </w:tc>
        <w:tc>
          <w:tcPr>
            <w:tcW w:w="100" w:type="dxa"/>
            <w:vAlign w:val="bottom"/>
            <w:tcBorders>
              <w:bottom w:val="single" w:sz="8" w:color="auto"/>
            </w:tcBorders>
            <w:shd w:val="clear" w:color="auto" w:fill="CDDEE7"/>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43</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58</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88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6"/>
                <w:szCs w:val="16"/>
                <w:color w:val="auto"/>
              </w:rPr>
              <w:t>146</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(1,307)</w:t>
            </w:r>
          </w:p>
        </w:tc>
        <w:tc>
          <w:tcPr>
            <w:tcW w:w="0" w:type="dxa"/>
            <w:vAlign w:val="bottom"/>
          </w:tcPr>
          <w:p>
            <w:pPr>
              <w:spacing w:after="0"/>
              <w:rPr>
                <w:sz w:val="1"/>
                <w:szCs w:val="1"/>
                <w:color w:val="auto"/>
              </w:rPr>
            </w:pPr>
          </w:p>
        </w:tc>
      </w:tr>
      <w:tr>
        <w:trPr>
          <w:trHeight w:val="183"/>
        </w:trPr>
        <w:tc>
          <w:tcPr>
            <w:tcW w:w="514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Net Earnings Attributable to Martin Marietta</w:t>
            </w:r>
          </w:p>
        </w:tc>
        <w:tc>
          <w:tcPr>
            <w:tcW w:w="120" w:type="dxa"/>
            <w:vAlign w:val="bottom"/>
            <w:shd w:val="clear" w:color="auto" w:fill="CDDEE7"/>
          </w:tcPr>
          <w:p>
            <w:pPr>
              <w:spacing w:after="0"/>
              <w:rPr>
                <w:sz w:val="15"/>
                <w:szCs w:val="15"/>
                <w:color w:val="auto"/>
              </w:rPr>
            </w:pPr>
          </w:p>
        </w:tc>
        <w:tc>
          <w:tcPr>
            <w:tcW w:w="100" w:type="dxa"/>
            <w:vAlign w:val="bottom"/>
            <w:shd w:val="clear" w:color="auto" w:fill="CDDEE7"/>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DDEE7"/>
          </w:tcPr>
          <w:p>
            <w:pPr>
              <w:jc w:val="right"/>
              <w:spacing w:after="0" w:line="183" w:lineRule="exact"/>
              <w:rPr>
                <w:sz w:val="20"/>
                <w:szCs w:val="20"/>
                <w:color w:val="auto"/>
              </w:rPr>
            </w:pPr>
            <w:r>
              <w:rPr>
                <w:rFonts w:ascii="Arial" w:cs="Arial" w:eastAsia="Arial" w:hAnsi="Arial"/>
                <w:sz w:val="16"/>
                <w:szCs w:val="16"/>
                <w:b w:val="1"/>
                <w:bCs w:val="1"/>
                <w:color w:val="auto"/>
              </w:rPr>
              <w:t>469,998</w:t>
            </w:r>
          </w:p>
        </w:tc>
        <w:tc>
          <w:tcPr>
            <w:tcW w:w="100" w:type="dxa"/>
            <w:vAlign w:val="bottom"/>
            <w:shd w:val="clear" w:color="auto" w:fill="CDDEE7"/>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shd w:val="clear" w:color="auto" w:fill="E0EBED"/>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E0EBED"/>
          </w:tcPr>
          <w:p>
            <w:pPr>
              <w:jc w:val="right"/>
              <w:ind w:right="19"/>
              <w:spacing w:after="0" w:line="183" w:lineRule="exact"/>
              <w:rPr>
                <w:sz w:val="20"/>
                <w:szCs w:val="20"/>
                <w:color w:val="auto"/>
              </w:rPr>
            </w:pPr>
            <w:r>
              <w:rPr>
                <w:rFonts w:ascii="Arial" w:cs="Arial" w:eastAsia="Arial" w:hAnsi="Arial"/>
                <w:sz w:val="16"/>
                <w:szCs w:val="16"/>
                <w:color w:val="auto"/>
              </w:rPr>
              <w:t>713,342</w:t>
            </w:r>
          </w:p>
        </w:tc>
        <w:tc>
          <w:tcPr>
            <w:tcW w:w="160" w:type="dxa"/>
            <w:vAlign w:val="bottom"/>
          </w:tcPr>
          <w:p>
            <w:pPr>
              <w:spacing w:after="0"/>
              <w:rPr>
                <w:sz w:val="15"/>
                <w:szCs w:val="15"/>
                <w:color w:val="auto"/>
              </w:rPr>
            </w:pPr>
          </w:p>
        </w:tc>
        <w:tc>
          <w:tcPr>
            <w:tcW w:w="200" w:type="dxa"/>
            <w:vAlign w:val="bottom"/>
            <w:shd w:val="clear" w:color="auto" w:fill="E0EBED"/>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E0EBED"/>
          </w:tcPr>
          <w:p>
            <w:pPr>
              <w:jc w:val="right"/>
              <w:ind w:right="19"/>
              <w:spacing w:after="0" w:line="183" w:lineRule="exact"/>
              <w:rPr>
                <w:sz w:val="20"/>
                <w:szCs w:val="20"/>
                <w:color w:val="auto"/>
              </w:rPr>
            </w:pPr>
            <w:r>
              <w:rPr>
                <w:rFonts w:ascii="Arial" w:cs="Arial" w:eastAsia="Arial" w:hAnsi="Arial"/>
                <w:sz w:val="16"/>
                <w:szCs w:val="16"/>
                <w:color w:val="auto"/>
              </w:rPr>
              <w:t>425,386</w:t>
            </w:r>
          </w:p>
        </w:tc>
        <w:tc>
          <w:tcPr>
            <w:tcW w:w="140" w:type="dxa"/>
            <w:vAlign w:val="bottom"/>
          </w:tcPr>
          <w:p>
            <w:pPr>
              <w:spacing w:after="0"/>
              <w:rPr>
                <w:sz w:val="15"/>
                <w:szCs w:val="15"/>
                <w:color w:val="auto"/>
              </w:rPr>
            </w:pPr>
          </w:p>
        </w:tc>
        <w:tc>
          <w:tcPr>
            <w:tcW w:w="220" w:type="dxa"/>
            <w:vAlign w:val="bottom"/>
            <w:shd w:val="clear" w:color="auto" w:fill="E0EBED"/>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E0EBED"/>
          </w:tcPr>
          <w:p>
            <w:pPr>
              <w:jc w:val="right"/>
              <w:spacing w:after="0" w:line="183" w:lineRule="exact"/>
              <w:rPr>
                <w:sz w:val="20"/>
                <w:szCs w:val="20"/>
                <w:color w:val="auto"/>
              </w:rPr>
            </w:pPr>
            <w:r>
              <w:rPr>
                <w:rFonts w:ascii="Arial" w:cs="Arial" w:eastAsia="Arial" w:hAnsi="Arial"/>
                <w:sz w:val="16"/>
                <w:szCs w:val="16"/>
                <w:color w:val="auto"/>
              </w:rPr>
              <w:t>288,792</w:t>
            </w:r>
          </w:p>
        </w:tc>
        <w:tc>
          <w:tcPr>
            <w:tcW w:w="160" w:type="dxa"/>
            <w:vAlign w:val="bottom"/>
          </w:tcPr>
          <w:p>
            <w:pPr>
              <w:spacing w:after="0"/>
              <w:rPr>
                <w:sz w:val="15"/>
                <w:szCs w:val="15"/>
                <w:color w:val="auto"/>
              </w:rPr>
            </w:pPr>
          </w:p>
        </w:tc>
        <w:tc>
          <w:tcPr>
            <w:tcW w:w="200" w:type="dxa"/>
            <w:vAlign w:val="bottom"/>
            <w:shd w:val="clear" w:color="auto" w:fill="E0EBED"/>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E0EBED"/>
          </w:tcPr>
          <w:p>
            <w:pPr>
              <w:jc w:val="right"/>
              <w:ind w:right="19"/>
              <w:spacing w:after="0" w:line="183" w:lineRule="exact"/>
              <w:rPr>
                <w:sz w:val="20"/>
                <w:szCs w:val="20"/>
                <w:color w:val="auto"/>
              </w:rPr>
            </w:pPr>
            <w:r>
              <w:rPr>
                <w:rFonts w:ascii="Arial" w:cs="Arial" w:eastAsia="Arial" w:hAnsi="Arial"/>
                <w:sz w:val="16"/>
                <w:szCs w:val="16"/>
                <w:color w:val="auto"/>
              </w:rPr>
              <w:t>155,601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1"/>
        </w:trPr>
        <w:tc>
          <w:tcPr>
            <w:tcW w:w="5140" w:type="dxa"/>
            <w:vAlign w:val="bottom"/>
            <w:gridSpan w:val="2"/>
          </w:tcPr>
          <w:p>
            <w:pPr>
              <w:spacing w:after="0"/>
              <w:rPr>
                <w:sz w:val="20"/>
                <w:szCs w:val="20"/>
                <w:color w:val="auto"/>
              </w:rPr>
            </w:pPr>
            <w:r>
              <w:rPr>
                <w:rFonts w:ascii="Arial" w:cs="Arial" w:eastAsia="Arial" w:hAnsi="Arial"/>
                <w:sz w:val="16"/>
                <w:szCs w:val="16"/>
                <w:b w:val="1"/>
                <w:bCs w:val="1"/>
                <w:color w:val="auto"/>
              </w:rPr>
              <w:t>Net Earnings Attributable to Martin Marietta Per Common Share</w:t>
            </w:r>
          </w:p>
        </w:tc>
        <w:tc>
          <w:tcPr>
            <w:tcW w:w="120" w:type="dxa"/>
            <w:vAlign w:val="bottom"/>
            <w:shd w:val="clear" w:color="auto" w:fill="CDDEE7"/>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820" w:type="dxa"/>
            <w:vAlign w:val="bottom"/>
            <w:shd w:val="clear" w:color="auto" w:fill="CDDEE7"/>
          </w:tcPr>
          <w:p>
            <w:pPr>
              <w:spacing w:after="0"/>
              <w:rPr>
                <w:sz w:val="24"/>
                <w:szCs w:val="24"/>
                <w:color w:val="auto"/>
              </w:rPr>
            </w:pPr>
          </w:p>
        </w:tc>
        <w:tc>
          <w:tcPr>
            <w:tcW w:w="100" w:type="dxa"/>
            <w:vAlign w:val="bottom"/>
            <w:shd w:val="clear" w:color="auto" w:fill="CDDEE7"/>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shd w:val="clear" w:color="auto" w:fill="E0EBED"/>
          </w:tcPr>
          <w:p>
            <w:pPr>
              <w:spacing w:after="0"/>
              <w:rPr>
                <w:sz w:val="24"/>
                <w:szCs w:val="24"/>
                <w:color w:val="auto"/>
              </w:rPr>
            </w:pPr>
          </w:p>
        </w:tc>
        <w:tc>
          <w:tcPr>
            <w:tcW w:w="920" w:type="dxa"/>
            <w:vAlign w:val="bottom"/>
            <w:shd w:val="clear" w:color="auto" w:fill="E0EBED"/>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40" w:type="dxa"/>
            <w:vAlign w:val="bottom"/>
            <w:shd w:val="clear" w:color="auto" w:fill="E0EBED"/>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shd w:val="clear" w:color="auto" w:fill="E0EBED"/>
          </w:tcPr>
          <w:p>
            <w:pPr>
              <w:spacing w:after="0"/>
              <w:rPr>
                <w:sz w:val="24"/>
                <w:szCs w:val="24"/>
                <w:color w:val="auto"/>
              </w:rPr>
            </w:pPr>
          </w:p>
        </w:tc>
        <w:tc>
          <w:tcPr>
            <w:tcW w:w="880" w:type="dxa"/>
            <w:vAlign w:val="bottom"/>
            <w:shd w:val="clear" w:color="auto" w:fill="E0EBED"/>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shd w:val="clear" w:color="auto" w:fill="E0EBED"/>
          </w:tcPr>
          <w:p>
            <w:pPr>
              <w:spacing w:after="0"/>
              <w:rPr>
                <w:sz w:val="24"/>
                <w:szCs w:val="24"/>
                <w:color w:val="auto"/>
              </w:rPr>
            </w:pPr>
          </w:p>
        </w:tc>
        <w:tc>
          <w:tcPr>
            <w:tcW w:w="940" w:type="dxa"/>
            <w:vAlign w:val="bottom"/>
            <w:shd w:val="clear" w:color="auto" w:fill="E0EBED"/>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20" w:type="dxa"/>
            <w:vAlign w:val="bottom"/>
          </w:tcPr>
          <w:p>
            <w:pPr>
              <w:ind w:left="60"/>
              <w:spacing w:after="0"/>
              <w:rPr>
                <w:sz w:val="20"/>
                <w:szCs w:val="20"/>
                <w:color w:val="auto"/>
              </w:rPr>
            </w:pPr>
            <w:r>
              <w:rPr>
                <w:rFonts w:ascii="Arial" w:cs="Arial" w:eastAsia="Arial" w:hAnsi="Arial"/>
                <w:sz w:val="16"/>
                <w:szCs w:val="16"/>
                <w:b w:val="1"/>
                <w:bCs w:val="1"/>
                <w:color w:val="auto"/>
              </w:rPr>
              <w:t>(see Note A):</w:t>
            </w:r>
          </w:p>
        </w:tc>
        <w:tc>
          <w:tcPr>
            <w:tcW w:w="120" w:type="dxa"/>
            <w:vAlign w:val="bottom"/>
            <w:shd w:val="clear" w:color="auto" w:fill="CDDEE7"/>
          </w:tcPr>
          <w:p>
            <w:pPr>
              <w:spacing w:after="0"/>
              <w:rPr>
                <w:sz w:val="18"/>
                <w:szCs w:val="18"/>
                <w:color w:val="auto"/>
              </w:rPr>
            </w:pPr>
          </w:p>
        </w:tc>
        <w:tc>
          <w:tcPr>
            <w:tcW w:w="100" w:type="dxa"/>
            <w:vAlign w:val="bottom"/>
            <w:shd w:val="clear" w:color="auto" w:fill="CDDEE7"/>
          </w:tcPr>
          <w:p>
            <w:pPr>
              <w:spacing w:after="0"/>
              <w:rPr>
                <w:sz w:val="18"/>
                <w:szCs w:val="18"/>
                <w:color w:val="auto"/>
              </w:rPr>
            </w:pPr>
          </w:p>
        </w:tc>
        <w:tc>
          <w:tcPr>
            <w:tcW w:w="820" w:type="dxa"/>
            <w:vAlign w:val="bottom"/>
            <w:shd w:val="clear" w:color="auto" w:fill="CDDEE7"/>
          </w:tcPr>
          <w:p>
            <w:pPr>
              <w:spacing w:after="0"/>
              <w:rPr>
                <w:sz w:val="18"/>
                <w:szCs w:val="18"/>
                <w:color w:val="auto"/>
              </w:rPr>
            </w:pPr>
          </w:p>
        </w:tc>
        <w:tc>
          <w:tcPr>
            <w:tcW w:w="100" w:type="dxa"/>
            <w:vAlign w:val="bottom"/>
            <w:shd w:val="clear" w:color="auto" w:fill="CDDEE7"/>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shd w:val="clear" w:color="auto" w:fill="E0EBED"/>
          </w:tcPr>
          <w:p>
            <w:pPr>
              <w:spacing w:after="0"/>
              <w:rPr>
                <w:sz w:val="18"/>
                <w:szCs w:val="18"/>
                <w:color w:val="auto"/>
              </w:rPr>
            </w:pPr>
          </w:p>
        </w:tc>
        <w:tc>
          <w:tcPr>
            <w:tcW w:w="920" w:type="dxa"/>
            <w:vAlign w:val="bottom"/>
            <w:shd w:val="clear" w:color="auto" w:fill="E0EBED"/>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shd w:val="clear" w:color="auto" w:fill="E0EBED"/>
          </w:tcPr>
          <w:p>
            <w:pPr>
              <w:spacing w:after="0"/>
              <w:rPr>
                <w:sz w:val="18"/>
                <w:szCs w:val="18"/>
                <w:color w:val="auto"/>
              </w:rPr>
            </w:pPr>
          </w:p>
        </w:tc>
        <w:tc>
          <w:tcPr>
            <w:tcW w:w="940" w:type="dxa"/>
            <w:vAlign w:val="bottom"/>
            <w:shd w:val="clear" w:color="auto" w:fill="E0EBED"/>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shd w:val="clear" w:color="auto" w:fill="E0EBED"/>
          </w:tcPr>
          <w:p>
            <w:pPr>
              <w:spacing w:after="0"/>
              <w:rPr>
                <w:sz w:val="18"/>
                <w:szCs w:val="18"/>
                <w:color w:val="auto"/>
              </w:rPr>
            </w:pPr>
          </w:p>
        </w:tc>
        <w:tc>
          <w:tcPr>
            <w:tcW w:w="880" w:type="dxa"/>
            <w:vAlign w:val="bottom"/>
            <w:shd w:val="clear" w:color="auto" w:fill="E0EBED"/>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shd w:val="clear" w:color="auto" w:fill="E0EBED"/>
          </w:tcPr>
          <w:p>
            <w:pPr>
              <w:spacing w:after="0"/>
              <w:rPr>
                <w:sz w:val="18"/>
                <w:szCs w:val="18"/>
                <w:color w:val="auto"/>
              </w:rPr>
            </w:pPr>
          </w:p>
        </w:tc>
        <w:tc>
          <w:tcPr>
            <w:tcW w:w="940" w:type="dxa"/>
            <w:vAlign w:val="bottom"/>
            <w:shd w:val="clear" w:color="auto" w:fill="E0EBED"/>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40" w:type="dxa"/>
            <w:vAlign w:val="bottom"/>
            <w:gridSpan w:val="2"/>
          </w:tcPr>
          <w:p>
            <w:pPr>
              <w:spacing w:after="0"/>
              <w:rPr>
                <w:sz w:val="20"/>
                <w:szCs w:val="20"/>
                <w:color w:val="auto"/>
              </w:rPr>
            </w:pPr>
            <w:r>
              <w:rPr>
                <w:rFonts w:ascii="Arial" w:cs="Arial" w:eastAsia="Arial" w:hAnsi="Arial"/>
                <w:sz w:val="16"/>
                <w:szCs w:val="16"/>
                <w:color w:val="auto"/>
              </w:rPr>
              <w:t>Basic attributable to common shareholders</w:t>
            </w:r>
          </w:p>
        </w:tc>
        <w:tc>
          <w:tcPr>
            <w:tcW w:w="120" w:type="dxa"/>
            <w:vAlign w:val="bottom"/>
            <w:shd w:val="clear" w:color="auto" w:fill="CDDEE7"/>
          </w:tcPr>
          <w:p>
            <w:pPr>
              <w:spacing w:after="0"/>
              <w:rPr>
                <w:sz w:val="21"/>
                <w:szCs w:val="21"/>
                <w:color w:val="auto"/>
              </w:rPr>
            </w:pPr>
          </w:p>
        </w:tc>
        <w:tc>
          <w:tcPr>
            <w:tcW w:w="10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gridSpan w:val="2"/>
            <w:shd w:val="clear" w:color="auto" w:fill="CDDEE7"/>
          </w:tcPr>
          <w:p>
            <w:pPr>
              <w:jc w:val="right"/>
              <w:ind w:right="100"/>
              <w:spacing w:after="0"/>
              <w:rPr>
                <w:sz w:val="20"/>
                <w:szCs w:val="20"/>
                <w:color w:val="auto"/>
              </w:rPr>
            </w:pPr>
            <w:r>
              <w:rPr>
                <w:rFonts w:ascii="Arial" w:cs="Arial" w:eastAsia="Arial" w:hAnsi="Arial"/>
                <w:sz w:val="16"/>
                <w:szCs w:val="16"/>
                <w:b w:val="1"/>
                <w:bCs w:val="1"/>
                <w:color w:val="auto"/>
              </w:rPr>
              <w:t>7.46</w:t>
            </w:r>
          </w:p>
        </w:tc>
        <w:tc>
          <w:tcPr>
            <w:tcW w:w="160" w:type="dxa"/>
            <w:vAlign w:val="bottom"/>
          </w:tcPr>
          <w:p>
            <w:pPr>
              <w:spacing w:after="0"/>
              <w:rPr>
                <w:sz w:val="21"/>
                <w:szCs w:val="21"/>
                <w:color w:val="auto"/>
              </w:rPr>
            </w:pPr>
          </w:p>
        </w:tc>
        <w:tc>
          <w:tcPr>
            <w:tcW w:w="220" w:type="dxa"/>
            <w:vAlign w:val="bottom"/>
            <w:shd w:val="clear" w:color="auto" w:fill="E0EBED"/>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11.30</w:t>
            </w:r>
          </w:p>
        </w:tc>
        <w:tc>
          <w:tcPr>
            <w:tcW w:w="160" w:type="dxa"/>
            <w:vAlign w:val="bottom"/>
          </w:tcPr>
          <w:p>
            <w:pPr>
              <w:spacing w:after="0"/>
              <w:rPr>
                <w:sz w:val="21"/>
                <w:szCs w:val="21"/>
                <w:color w:val="auto"/>
              </w:rPr>
            </w:pPr>
          </w:p>
        </w:tc>
        <w:tc>
          <w:tcPr>
            <w:tcW w:w="200" w:type="dxa"/>
            <w:vAlign w:val="bottom"/>
            <w:shd w:val="clear" w:color="auto" w:fill="E0EBED"/>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6.66</w:t>
            </w:r>
          </w:p>
        </w:tc>
        <w:tc>
          <w:tcPr>
            <w:tcW w:w="140" w:type="dxa"/>
            <w:vAlign w:val="bottom"/>
          </w:tcPr>
          <w:p>
            <w:pPr>
              <w:spacing w:after="0"/>
              <w:rPr>
                <w:sz w:val="21"/>
                <w:szCs w:val="21"/>
                <w:color w:val="auto"/>
              </w:rPr>
            </w:pPr>
          </w:p>
        </w:tc>
        <w:tc>
          <w:tcPr>
            <w:tcW w:w="220" w:type="dxa"/>
            <w:vAlign w:val="bottom"/>
            <w:shd w:val="clear" w:color="auto" w:fill="E0EBED"/>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0EBED"/>
          </w:tcPr>
          <w:p>
            <w:pPr>
              <w:jc w:val="right"/>
              <w:spacing w:after="0"/>
              <w:rPr>
                <w:sz w:val="20"/>
                <w:szCs w:val="20"/>
                <w:color w:val="auto"/>
              </w:rPr>
            </w:pPr>
            <w:r>
              <w:rPr>
                <w:rFonts w:ascii="Arial" w:cs="Arial" w:eastAsia="Arial" w:hAnsi="Arial"/>
                <w:sz w:val="16"/>
                <w:szCs w:val="16"/>
                <w:color w:val="auto"/>
              </w:rPr>
              <w:t>4.31</w:t>
            </w:r>
          </w:p>
        </w:tc>
        <w:tc>
          <w:tcPr>
            <w:tcW w:w="160" w:type="dxa"/>
            <w:vAlign w:val="bottom"/>
          </w:tcPr>
          <w:p>
            <w:pPr>
              <w:spacing w:after="0"/>
              <w:rPr>
                <w:sz w:val="21"/>
                <w:szCs w:val="21"/>
                <w:color w:val="auto"/>
              </w:rPr>
            </w:pPr>
          </w:p>
        </w:tc>
        <w:tc>
          <w:tcPr>
            <w:tcW w:w="200" w:type="dxa"/>
            <w:vAlign w:val="bottom"/>
            <w:shd w:val="clear" w:color="auto" w:fill="E0EBED"/>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40" w:type="dxa"/>
            <w:vAlign w:val="bottom"/>
            <w:gridSpan w:val="2"/>
          </w:tcPr>
          <w:p>
            <w:pPr>
              <w:spacing w:after="0" w:line="183" w:lineRule="exact"/>
              <w:rPr>
                <w:sz w:val="20"/>
                <w:szCs w:val="20"/>
                <w:color w:val="auto"/>
              </w:rPr>
            </w:pPr>
            <w:r>
              <w:rPr>
                <w:rFonts w:ascii="Arial" w:cs="Arial" w:eastAsia="Arial" w:hAnsi="Arial"/>
                <w:sz w:val="16"/>
                <w:szCs w:val="16"/>
                <w:color w:val="auto"/>
              </w:rPr>
              <w:t>Diluted attributable to common shareholders</w:t>
            </w:r>
          </w:p>
        </w:tc>
        <w:tc>
          <w:tcPr>
            <w:tcW w:w="120" w:type="dxa"/>
            <w:vAlign w:val="bottom"/>
            <w:shd w:val="clear" w:color="auto" w:fill="CDDEE7"/>
          </w:tcPr>
          <w:p>
            <w:pPr>
              <w:spacing w:after="0"/>
              <w:rPr>
                <w:sz w:val="15"/>
                <w:szCs w:val="15"/>
                <w:color w:val="auto"/>
              </w:rPr>
            </w:pPr>
          </w:p>
        </w:tc>
        <w:tc>
          <w:tcPr>
            <w:tcW w:w="100" w:type="dxa"/>
            <w:vAlign w:val="bottom"/>
            <w:shd w:val="clear" w:color="auto" w:fill="CDDEE7"/>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20" w:type="dxa"/>
            <w:vAlign w:val="bottom"/>
            <w:gridSpan w:val="2"/>
            <w:shd w:val="clear" w:color="auto" w:fill="CDDEE7"/>
          </w:tcPr>
          <w:p>
            <w:pPr>
              <w:jc w:val="right"/>
              <w:ind w:right="100"/>
              <w:spacing w:after="0" w:line="183" w:lineRule="exact"/>
              <w:rPr>
                <w:sz w:val="20"/>
                <w:szCs w:val="20"/>
                <w:color w:val="auto"/>
              </w:rPr>
            </w:pPr>
            <w:r>
              <w:rPr>
                <w:rFonts w:ascii="Arial" w:cs="Arial" w:eastAsia="Arial" w:hAnsi="Arial"/>
                <w:sz w:val="16"/>
                <w:szCs w:val="16"/>
                <w:b w:val="1"/>
                <w:bCs w:val="1"/>
                <w:color w:val="auto"/>
              </w:rPr>
              <w:t>7.43</w:t>
            </w:r>
          </w:p>
        </w:tc>
        <w:tc>
          <w:tcPr>
            <w:tcW w:w="160" w:type="dxa"/>
            <w:vAlign w:val="bottom"/>
          </w:tcPr>
          <w:p>
            <w:pPr>
              <w:spacing w:after="0"/>
              <w:rPr>
                <w:sz w:val="15"/>
                <w:szCs w:val="15"/>
                <w:color w:val="auto"/>
              </w:rPr>
            </w:pPr>
          </w:p>
        </w:tc>
        <w:tc>
          <w:tcPr>
            <w:tcW w:w="220" w:type="dxa"/>
            <w:vAlign w:val="bottom"/>
            <w:shd w:val="clear" w:color="auto" w:fill="E0EBED"/>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E0EBED"/>
          </w:tcPr>
          <w:p>
            <w:pPr>
              <w:jc w:val="right"/>
              <w:ind w:right="19"/>
              <w:spacing w:after="0" w:line="183" w:lineRule="exact"/>
              <w:rPr>
                <w:sz w:val="20"/>
                <w:szCs w:val="20"/>
                <w:color w:val="auto"/>
              </w:rPr>
            </w:pPr>
            <w:r>
              <w:rPr>
                <w:rFonts w:ascii="Arial" w:cs="Arial" w:eastAsia="Arial" w:hAnsi="Arial"/>
                <w:sz w:val="16"/>
                <w:szCs w:val="16"/>
                <w:color w:val="auto"/>
              </w:rPr>
              <w:t>11.25</w:t>
            </w:r>
          </w:p>
        </w:tc>
        <w:tc>
          <w:tcPr>
            <w:tcW w:w="160" w:type="dxa"/>
            <w:vAlign w:val="bottom"/>
          </w:tcPr>
          <w:p>
            <w:pPr>
              <w:spacing w:after="0"/>
              <w:rPr>
                <w:sz w:val="15"/>
                <w:szCs w:val="15"/>
                <w:color w:val="auto"/>
              </w:rPr>
            </w:pPr>
          </w:p>
        </w:tc>
        <w:tc>
          <w:tcPr>
            <w:tcW w:w="200" w:type="dxa"/>
            <w:vAlign w:val="bottom"/>
            <w:shd w:val="clear" w:color="auto" w:fill="E0EBED"/>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E0EBED"/>
          </w:tcPr>
          <w:p>
            <w:pPr>
              <w:jc w:val="right"/>
              <w:ind w:right="19"/>
              <w:spacing w:after="0" w:line="183" w:lineRule="exact"/>
              <w:rPr>
                <w:sz w:val="20"/>
                <w:szCs w:val="20"/>
                <w:color w:val="auto"/>
              </w:rPr>
            </w:pPr>
            <w:r>
              <w:rPr>
                <w:rFonts w:ascii="Arial" w:cs="Arial" w:eastAsia="Arial" w:hAnsi="Arial"/>
                <w:sz w:val="16"/>
                <w:szCs w:val="16"/>
                <w:color w:val="auto"/>
              </w:rPr>
              <w:t>6.63</w:t>
            </w:r>
          </w:p>
        </w:tc>
        <w:tc>
          <w:tcPr>
            <w:tcW w:w="140" w:type="dxa"/>
            <w:vAlign w:val="bottom"/>
          </w:tcPr>
          <w:p>
            <w:pPr>
              <w:spacing w:after="0"/>
              <w:rPr>
                <w:sz w:val="15"/>
                <w:szCs w:val="15"/>
                <w:color w:val="auto"/>
              </w:rPr>
            </w:pPr>
          </w:p>
        </w:tc>
        <w:tc>
          <w:tcPr>
            <w:tcW w:w="220" w:type="dxa"/>
            <w:vAlign w:val="bottom"/>
            <w:shd w:val="clear" w:color="auto" w:fill="E0EBED"/>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E0EBED"/>
          </w:tcPr>
          <w:p>
            <w:pPr>
              <w:jc w:val="right"/>
              <w:spacing w:after="0" w:line="183" w:lineRule="exact"/>
              <w:rPr>
                <w:sz w:val="20"/>
                <w:szCs w:val="20"/>
                <w:color w:val="auto"/>
              </w:rPr>
            </w:pPr>
            <w:r>
              <w:rPr>
                <w:rFonts w:ascii="Arial" w:cs="Arial" w:eastAsia="Arial" w:hAnsi="Arial"/>
                <w:sz w:val="16"/>
                <w:szCs w:val="16"/>
                <w:color w:val="auto"/>
              </w:rPr>
              <w:t>4.29</w:t>
            </w:r>
          </w:p>
        </w:tc>
        <w:tc>
          <w:tcPr>
            <w:tcW w:w="160" w:type="dxa"/>
            <w:vAlign w:val="bottom"/>
          </w:tcPr>
          <w:p>
            <w:pPr>
              <w:spacing w:after="0"/>
              <w:rPr>
                <w:sz w:val="15"/>
                <w:szCs w:val="15"/>
                <w:color w:val="auto"/>
              </w:rPr>
            </w:pPr>
          </w:p>
        </w:tc>
        <w:tc>
          <w:tcPr>
            <w:tcW w:w="200" w:type="dxa"/>
            <w:vAlign w:val="bottom"/>
            <w:shd w:val="clear" w:color="auto" w:fill="E0EBED"/>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E0EBED"/>
          </w:tcPr>
          <w:p>
            <w:pPr>
              <w:jc w:val="right"/>
              <w:ind w:right="19"/>
              <w:spacing w:after="0" w:line="183" w:lineRule="exact"/>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140" w:type="dxa"/>
            <w:vAlign w:val="bottom"/>
            <w:gridSpan w:val="2"/>
          </w:tcPr>
          <w:p>
            <w:pPr>
              <w:spacing w:after="0"/>
              <w:rPr>
                <w:sz w:val="20"/>
                <w:szCs w:val="20"/>
                <w:color w:val="auto"/>
              </w:rPr>
            </w:pPr>
            <w:r>
              <w:rPr>
                <w:rFonts w:ascii="Arial" w:cs="Arial" w:eastAsia="Arial" w:hAnsi="Arial"/>
                <w:sz w:val="16"/>
                <w:szCs w:val="16"/>
                <w:b w:val="1"/>
                <w:bCs w:val="1"/>
                <w:color w:val="auto"/>
              </w:rPr>
              <w:t>Cash Dividends Per Common Share</w:t>
            </w:r>
          </w:p>
        </w:tc>
        <w:tc>
          <w:tcPr>
            <w:tcW w:w="220" w:type="dxa"/>
            <w:vAlign w:val="bottom"/>
            <w:gridSpan w:val="2"/>
            <w:shd w:val="clear" w:color="auto" w:fill="CDDEE7"/>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shd w:val="clear" w:color="auto" w:fill="CDDEE7"/>
          </w:tcPr>
          <w:p>
            <w:pPr>
              <w:jc w:val="right"/>
              <w:ind w:right="100"/>
              <w:spacing w:after="0"/>
              <w:rPr>
                <w:sz w:val="20"/>
                <w:szCs w:val="20"/>
                <w:color w:val="auto"/>
              </w:rPr>
            </w:pPr>
            <w:r>
              <w:rPr>
                <w:rFonts w:ascii="Arial" w:cs="Arial" w:eastAsia="Arial" w:hAnsi="Arial"/>
                <w:sz w:val="16"/>
                <w:szCs w:val="16"/>
                <w:b w:val="1"/>
                <w:bCs w:val="1"/>
                <w:color w:val="auto"/>
              </w:rPr>
              <w:t>1.84</w:t>
            </w:r>
          </w:p>
        </w:tc>
        <w:tc>
          <w:tcPr>
            <w:tcW w:w="160" w:type="dxa"/>
            <w:vAlign w:val="bottom"/>
          </w:tcPr>
          <w:p>
            <w:pPr>
              <w:spacing w:after="0"/>
              <w:rPr>
                <w:sz w:val="24"/>
                <w:szCs w:val="24"/>
                <w:color w:val="auto"/>
              </w:rPr>
            </w:pPr>
          </w:p>
        </w:tc>
        <w:tc>
          <w:tcPr>
            <w:tcW w:w="220" w:type="dxa"/>
            <w:vAlign w:val="bottom"/>
            <w:shd w:val="clear" w:color="auto" w:fill="E0EBED"/>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1.72</w:t>
            </w:r>
          </w:p>
        </w:tc>
        <w:tc>
          <w:tcPr>
            <w:tcW w:w="160" w:type="dxa"/>
            <w:vAlign w:val="bottom"/>
          </w:tcPr>
          <w:p>
            <w:pPr>
              <w:spacing w:after="0"/>
              <w:rPr>
                <w:sz w:val="24"/>
                <w:szCs w:val="24"/>
                <w:color w:val="auto"/>
              </w:rPr>
            </w:pPr>
          </w:p>
        </w:tc>
        <w:tc>
          <w:tcPr>
            <w:tcW w:w="200" w:type="dxa"/>
            <w:vAlign w:val="bottom"/>
            <w:shd w:val="clear" w:color="auto" w:fill="E0EBED"/>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1.64</w:t>
            </w:r>
          </w:p>
        </w:tc>
        <w:tc>
          <w:tcPr>
            <w:tcW w:w="140" w:type="dxa"/>
            <w:vAlign w:val="bottom"/>
          </w:tcPr>
          <w:p>
            <w:pPr>
              <w:spacing w:after="0"/>
              <w:rPr>
                <w:sz w:val="24"/>
                <w:szCs w:val="24"/>
                <w:color w:val="auto"/>
              </w:rPr>
            </w:pPr>
          </w:p>
        </w:tc>
        <w:tc>
          <w:tcPr>
            <w:tcW w:w="220" w:type="dxa"/>
            <w:vAlign w:val="bottom"/>
            <w:shd w:val="clear" w:color="auto" w:fill="E0EBED"/>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0EBED"/>
          </w:tcPr>
          <w:p>
            <w:pPr>
              <w:jc w:val="right"/>
              <w:spacing w:after="0"/>
              <w:rPr>
                <w:sz w:val="20"/>
                <w:szCs w:val="20"/>
                <w:color w:val="auto"/>
              </w:rPr>
            </w:pPr>
            <w:r>
              <w:rPr>
                <w:rFonts w:ascii="Arial" w:cs="Arial" w:eastAsia="Arial" w:hAnsi="Arial"/>
                <w:sz w:val="16"/>
                <w:szCs w:val="16"/>
                <w:color w:val="auto"/>
              </w:rPr>
              <w:t>1.60</w:t>
            </w:r>
          </w:p>
        </w:tc>
        <w:tc>
          <w:tcPr>
            <w:tcW w:w="160" w:type="dxa"/>
            <w:vAlign w:val="bottom"/>
          </w:tcPr>
          <w:p>
            <w:pPr>
              <w:spacing w:after="0"/>
              <w:rPr>
                <w:sz w:val="24"/>
                <w:szCs w:val="24"/>
                <w:color w:val="auto"/>
              </w:rPr>
            </w:pPr>
          </w:p>
        </w:tc>
        <w:tc>
          <w:tcPr>
            <w:tcW w:w="200" w:type="dxa"/>
            <w:vAlign w:val="bottom"/>
            <w:shd w:val="clear" w:color="auto" w:fill="E0EBED"/>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shd w:val="clear" w:color="auto" w:fill="0085CD"/>
          </w:tcPr>
          <w:p>
            <w:pPr>
              <w:spacing w:after="0"/>
              <w:rPr>
                <w:sz w:val="18"/>
                <w:szCs w:val="18"/>
                <w:color w:val="auto"/>
              </w:rPr>
            </w:pPr>
          </w:p>
        </w:tc>
        <w:tc>
          <w:tcPr>
            <w:tcW w:w="100" w:type="dxa"/>
            <w:vAlign w:val="bottom"/>
            <w:tcBorders>
              <w:bottom w:val="single" w:sz="8" w:color="auto"/>
            </w:tcBorders>
            <w:shd w:val="clear" w:color="auto" w:fill="0085CD"/>
          </w:tcPr>
          <w:p>
            <w:pPr>
              <w:spacing w:after="0"/>
              <w:rPr>
                <w:sz w:val="18"/>
                <w:szCs w:val="18"/>
                <w:color w:val="auto"/>
              </w:rPr>
            </w:pPr>
          </w:p>
        </w:tc>
        <w:tc>
          <w:tcPr>
            <w:tcW w:w="820" w:type="dxa"/>
            <w:vAlign w:val="bottom"/>
            <w:tcBorders>
              <w:bottom w:val="single" w:sz="8" w:color="auto"/>
            </w:tcBorders>
            <w:shd w:val="clear" w:color="auto" w:fill="0085CD"/>
          </w:tcPr>
          <w:p>
            <w:pPr>
              <w:jc w:val="center"/>
              <w:ind w:right="159"/>
              <w:spacing w:after="0" w:line="216" w:lineRule="exact"/>
              <w:rPr>
                <w:sz w:val="20"/>
                <w:szCs w:val="20"/>
                <w:color w:val="auto"/>
              </w:rPr>
            </w:pPr>
            <w:r>
              <w:rPr>
                <w:rFonts w:ascii="Arial" w:cs="Arial" w:eastAsia="Arial" w:hAnsi="Arial"/>
                <w:sz w:val="14"/>
                <w:szCs w:val="14"/>
                <w:b w:val="1"/>
                <w:bCs w:val="1"/>
                <w:color w:val="FFFFFF"/>
              </w:rPr>
              <w:t>2018</w:t>
            </w:r>
            <w:r>
              <w:rPr>
                <w:rFonts w:ascii="Arial" w:cs="Arial" w:eastAsia="Arial" w:hAnsi="Arial"/>
                <w:sz w:val="24"/>
                <w:szCs w:val="24"/>
                <w:b w:val="1"/>
                <w:bCs w:val="1"/>
                <w:color w:val="FFFFFF"/>
                <w:vertAlign w:val="superscript"/>
              </w:rPr>
              <w:t>3</w:t>
            </w:r>
          </w:p>
        </w:tc>
        <w:tc>
          <w:tcPr>
            <w:tcW w:w="100" w:type="dxa"/>
            <w:vAlign w:val="bottom"/>
            <w:tcBorders>
              <w:bottom w:val="single" w:sz="8" w:color="auto"/>
            </w:tcBorders>
            <w:shd w:val="clear" w:color="auto" w:fill="0085CD"/>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center"/>
              <w:ind w:right="259"/>
              <w:spacing w:after="0" w:line="216" w:lineRule="exact"/>
              <w:rPr>
                <w:sz w:val="20"/>
                <w:szCs w:val="20"/>
                <w:color w:val="auto"/>
              </w:rPr>
            </w:pPr>
            <w:r>
              <w:rPr>
                <w:rFonts w:ascii="Arial" w:cs="Arial" w:eastAsia="Arial" w:hAnsi="Arial"/>
                <w:sz w:val="14"/>
                <w:szCs w:val="14"/>
                <w:color w:val="auto"/>
              </w:rPr>
              <w:t>2017</w:t>
            </w:r>
            <w:r>
              <w:rPr>
                <w:rFonts w:ascii="Arial" w:cs="Arial" w:eastAsia="Arial" w:hAnsi="Arial"/>
                <w:sz w:val="24"/>
                <w:szCs w:val="24"/>
                <w:color w:val="auto"/>
                <w:vertAlign w:val="superscript"/>
              </w:rPr>
              <w:t>3</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319"/>
              <w:spacing w:after="0"/>
              <w:rPr>
                <w:sz w:val="20"/>
                <w:szCs w:val="20"/>
                <w:color w:val="auto"/>
              </w:rPr>
            </w:pPr>
            <w:r>
              <w:rPr>
                <w:rFonts w:ascii="Arial" w:cs="Arial" w:eastAsia="Arial" w:hAnsi="Arial"/>
                <w:sz w:val="14"/>
                <w:szCs w:val="14"/>
                <w:color w:val="auto"/>
              </w:rPr>
              <w:t>2016</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880" w:type="dxa"/>
            <w:vAlign w:val="bottom"/>
            <w:tcBorders>
              <w:bottom w:val="single" w:sz="8" w:color="auto"/>
            </w:tcBorders>
            <w:shd w:val="clear" w:color="auto" w:fill="E0EBED"/>
          </w:tcPr>
          <w:p>
            <w:pPr>
              <w:jc w:val="right"/>
              <w:ind w:right="259"/>
              <w:spacing w:after="0"/>
              <w:rPr>
                <w:sz w:val="20"/>
                <w:szCs w:val="20"/>
                <w:color w:val="auto"/>
              </w:rPr>
            </w:pPr>
            <w:r>
              <w:rPr>
                <w:rFonts w:ascii="Arial" w:cs="Arial" w:eastAsia="Arial" w:hAnsi="Arial"/>
                <w:sz w:val="14"/>
                <w:szCs w:val="14"/>
                <w:color w:val="auto"/>
              </w:rPr>
              <w:t>2015</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319"/>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120" w:type="dxa"/>
            <w:vAlign w:val="bottom"/>
          </w:tcPr>
          <w:p>
            <w:pPr>
              <w:spacing w:after="0" w:line="180" w:lineRule="exact"/>
              <w:rPr>
                <w:sz w:val="20"/>
                <w:szCs w:val="20"/>
                <w:color w:val="auto"/>
              </w:rPr>
            </w:pPr>
            <w:r>
              <w:rPr>
                <w:rFonts w:ascii="Arial" w:cs="Arial" w:eastAsia="Arial" w:hAnsi="Arial"/>
                <w:sz w:val="16"/>
                <w:szCs w:val="16"/>
                <w:b w:val="1"/>
                <w:bCs w:val="1"/>
                <w:color w:val="auto"/>
              </w:rPr>
              <w:t>Condensed Consolidated Balance Sheet Data</w:t>
            </w:r>
          </w:p>
        </w:tc>
        <w:tc>
          <w:tcPr>
            <w:tcW w:w="120" w:type="dxa"/>
            <w:vAlign w:val="bottom"/>
            <w:shd w:val="clear" w:color="auto" w:fill="CDDEE7"/>
          </w:tcPr>
          <w:p>
            <w:pPr>
              <w:spacing w:after="0"/>
              <w:rPr>
                <w:sz w:val="15"/>
                <w:szCs w:val="15"/>
                <w:color w:val="auto"/>
              </w:rPr>
            </w:pPr>
          </w:p>
        </w:tc>
        <w:tc>
          <w:tcPr>
            <w:tcW w:w="100" w:type="dxa"/>
            <w:vAlign w:val="bottom"/>
            <w:vMerge w:val="restart"/>
            <w:shd w:val="clear" w:color="auto" w:fill="CDDEE7"/>
          </w:tcPr>
          <w:p>
            <w:pPr>
              <w:jc w:val="right"/>
              <w:spacing w:after="0"/>
              <w:rPr>
                <w:sz w:val="20"/>
                <w:szCs w:val="20"/>
                <w:color w:val="auto"/>
              </w:rPr>
            </w:pPr>
            <w:r>
              <w:rPr>
                <w:rFonts w:ascii="Arial" w:cs="Arial" w:eastAsia="Arial" w:hAnsi="Arial"/>
                <w:sz w:val="16"/>
                <w:szCs w:val="16"/>
                <w:b w:val="1"/>
                <w:bCs w:val="1"/>
                <w:color w:val="auto"/>
                <w:w w:val="89"/>
                <w:shd w:val="clear" w:color="auto" w:fill="CDDEE7"/>
              </w:rPr>
              <w:t>$</w:t>
            </w:r>
          </w:p>
        </w:tc>
        <w:tc>
          <w:tcPr>
            <w:tcW w:w="920" w:type="dxa"/>
            <w:vAlign w:val="bottom"/>
            <w:gridSpan w:val="2"/>
            <w:vMerge w:val="restart"/>
            <w:shd w:val="clear" w:color="auto" w:fill="CDDEE7"/>
          </w:tcPr>
          <w:p>
            <w:pPr>
              <w:jc w:val="right"/>
              <w:ind w:right="100"/>
              <w:spacing w:after="0"/>
              <w:rPr>
                <w:sz w:val="20"/>
                <w:szCs w:val="20"/>
                <w:color w:val="auto"/>
              </w:rPr>
            </w:pPr>
            <w:r>
              <w:rPr>
                <w:rFonts w:ascii="Arial" w:cs="Arial" w:eastAsia="Arial" w:hAnsi="Arial"/>
                <w:sz w:val="16"/>
                <w:szCs w:val="16"/>
                <w:b w:val="1"/>
                <w:bCs w:val="1"/>
                <w:color w:val="auto"/>
                <w:shd w:val="clear" w:color="auto" w:fill="CDDEE7"/>
              </w:rPr>
              <w:t>1,365,816</w:t>
            </w:r>
          </w:p>
        </w:tc>
        <w:tc>
          <w:tcPr>
            <w:tcW w:w="160" w:type="dxa"/>
            <w:vAlign w:val="bottom"/>
          </w:tcPr>
          <w:p>
            <w:pPr>
              <w:spacing w:after="0"/>
              <w:rPr>
                <w:sz w:val="15"/>
                <w:szCs w:val="15"/>
                <w:color w:val="auto"/>
              </w:rPr>
            </w:pPr>
          </w:p>
        </w:tc>
        <w:tc>
          <w:tcPr>
            <w:tcW w:w="220" w:type="dxa"/>
            <w:vAlign w:val="bottom"/>
            <w:shd w:val="clear" w:color="auto" w:fill="E0EBED"/>
          </w:tcPr>
          <w:p>
            <w:pPr>
              <w:spacing w:after="0"/>
              <w:rPr>
                <w:sz w:val="15"/>
                <w:szCs w:val="15"/>
                <w:color w:val="auto"/>
              </w:rPr>
            </w:pPr>
          </w:p>
        </w:tc>
        <w:tc>
          <w:tcPr>
            <w:tcW w:w="920" w:type="dxa"/>
            <w:vAlign w:val="bottom"/>
            <w:shd w:val="clear" w:color="auto" w:fill="E0EBED"/>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940" w:type="dxa"/>
            <w:vAlign w:val="bottom"/>
            <w:shd w:val="clear" w:color="auto" w:fill="E0EBED"/>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shd w:val="clear" w:color="auto" w:fill="E0EBED"/>
          </w:tcPr>
          <w:p>
            <w:pPr>
              <w:spacing w:after="0"/>
              <w:rPr>
                <w:sz w:val="15"/>
                <w:szCs w:val="15"/>
                <w:color w:val="auto"/>
              </w:rPr>
            </w:pPr>
          </w:p>
        </w:tc>
        <w:tc>
          <w:tcPr>
            <w:tcW w:w="880" w:type="dxa"/>
            <w:vAlign w:val="bottom"/>
            <w:shd w:val="clear" w:color="auto" w:fill="E0EBED"/>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shd w:val="clear" w:color="auto" w:fill="E0EBED"/>
          </w:tcPr>
          <w:p>
            <w:pPr>
              <w:spacing w:after="0"/>
              <w:rPr>
                <w:sz w:val="15"/>
                <w:szCs w:val="15"/>
                <w:color w:val="auto"/>
              </w:rPr>
            </w:pPr>
          </w:p>
        </w:tc>
        <w:tc>
          <w:tcPr>
            <w:tcW w:w="940" w:type="dxa"/>
            <w:vAlign w:val="bottom"/>
            <w:shd w:val="clear" w:color="auto" w:fill="E0EBED"/>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140" w:type="dxa"/>
            <w:vAlign w:val="bottom"/>
            <w:gridSpan w:val="2"/>
          </w:tcPr>
          <w:p>
            <w:pPr>
              <w:spacing w:after="0" w:line="192" w:lineRule="exact"/>
              <w:rPr>
                <w:sz w:val="20"/>
                <w:szCs w:val="20"/>
                <w:color w:val="auto"/>
              </w:rPr>
            </w:pPr>
            <w:r>
              <w:rPr>
                <w:rFonts w:ascii="Arial" w:cs="Arial" w:eastAsia="Arial" w:hAnsi="Arial"/>
                <w:sz w:val="14"/>
                <w:szCs w:val="14"/>
                <w:color w:val="auto"/>
              </w:rPr>
              <w:t>Total current assets</w:t>
            </w:r>
            <w:r>
              <w:rPr>
                <w:rFonts w:ascii="Arial" w:cs="Arial" w:eastAsia="Arial" w:hAnsi="Arial"/>
                <w:sz w:val="22"/>
                <w:szCs w:val="22"/>
                <w:color w:val="auto"/>
                <w:vertAlign w:val="superscript"/>
              </w:rPr>
              <w:t>4</w:t>
            </w:r>
          </w:p>
        </w:tc>
        <w:tc>
          <w:tcPr>
            <w:tcW w:w="120" w:type="dxa"/>
            <w:vAlign w:val="bottom"/>
            <w:shd w:val="clear" w:color="auto" w:fill="CDDEE7"/>
          </w:tcPr>
          <w:p>
            <w:pPr>
              <w:spacing w:after="0"/>
              <w:rPr>
                <w:sz w:val="16"/>
                <w:szCs w:val="16"/>
                <w:color w:val="auto"/>
              </w:rPr>
            </w:pPr>
          </w:p>
        </w:tc>
        <w:tc>
          <w:tcPr>
            <w:tcW w:w="100" w:type="dxa"/>
            <w:vAlign w:val="bottom"/>
            <w:vMerge w:val="continue"/>
            <w:shd w:val="clear" w:color="auto" w:fill="CDDEE7"/>
          </w:tcPr>
          <w:p>
            <w:pPr>
              <w:spacing w:after="0"/>
              <w:rPr>
                <w:sz w:val="16"/>
                <w:szCs w:val="16"/>
                <w:color w:val="auto"/>
              </w:rPr>
            </w:pPr>
          </w:p>
        </w:tc>
        <w:tc>
          <w:tcPr>
            <w:tcW w:w="920" w:type="dxa"/>
            <w:vAlign w:val="bottom"/>
            <w:gridSpan w:val="2"/>
            <w:vMerge w:val="continue"/>
            <w:shd w:val="clear" w:color="auto" w:fill="CDDEE7"/>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shd w:val="clear" w:color="auto" w:fill="E0EBED"/>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shd w:val="clear" w:color="auto" w:fill="E0EBED"/>
              </w:rPr>
              <w:t>2,631,160</w:t>
            </w:r>
          </w:p>
        </w:tc>
        <w:tc>
          <w:tcPr>
            <w:tcW w:w="160" w:type="dxa"/>
            <w:vAlign w:val="bottom"/>
          </w:tcPr>
          <w:p>
            <w:pPr>
              <w:spacing w:after="0"/>
              <w:rPr>
                <w:sz w:val="16"/>
                <w:szCs w:val="16"/>
                <w:color w:val="auto"/>
              </w:rPr>
            </w:pPr>
          </w:p>
        </w:tc>
        <w:tc>
          <w:tcPr>
            <w:tcW w:w="200" w:type="dxa"/>
            <w:vAlign w:val="bottom"/>
            <w:shd w:val="clear" w:color="auto" w:fill="E0EBED"/>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shd w:val="clear" w:color="auto" w:fill="E0EBED"/>
              </w:rPr>
              <w:t>1,086,385</w:t>
            </w:r>
          </w:p>
        </w:tc>
        <w:tc>
          <w:tcPr>
            <w:tcW w:w="140" w:type="dxa"/>
            <w:vAlign w:val="bottom"/>
          </w:tcPr>
          <w:p>
            <w:pPr>
              <w:spacing w:after="0"/>
              <w:rPr>
                <w:sz w:val="16"/>
                <w:szCs w:val="16"/>
                <w:color w:val="auto"/>
              </w:rPr>
            </w:pPr>
          </w:p>
        </w:tc>
        <w:tc>
          <w:tcPr>
            <w:tcW w:w="220" w:type="dxa"/>
            <w:vAlign w:val="bottom"/>
            <w:shd w:val="clear" w:color="auto" w:fill="E0EBED"/>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0EBED"/>
          </w:tcPr>
          <w:p>
            <w:pPr>
              <w:jc w:val="right"/>
              <w:spacing w:after="0"/>
              <w:rPr>
                <w:sz w:val="20"/>
                <w:szCs w:val="20"/>
                <w:color w:val="auto"/>
              </w:rPr>
            </w:pPr>
            <w:r>
              <w:rPr>
                <w:rFonts w:ascii="Arial" w:cs="Arial" w:eastAsia="Arial" w:hAnsi="Arial"/>
                <w:sz w:val="16"/>
                <w:szCs w:val="16"/>
                <w:color w:val="auto"/>
                <w:shd w:val="clear" w:color="auto" w:fill="E0EBED"/>
              </w:rPr>
              <w:t>1,081,635</w:t>
            </w:r>
          </w:p>
        </w:tc>
        <w:tc>
          <w:tcPr>
            <w:tcW w:w="160" w:type="dxa"/>
            <w:vAlign w:val="bottom"/>
          </w:tcPr>
          <w:p>
            <w:pPr>
              <w:spacing w:after="0"/>
              <w:rPr>
                <w:sz w:val="16"/>
                <w:szCs w:val="16"/>
                <w:color w:val="auto"/>
              </w:rPr>
            </w:pPr>
          </w:p>
        </w:tc>
        <w:tc>
          <w:tcPr>
            <w:tcW w:w="200" w:type="dxa"/>
            <w:vAlign w:val="bottom"/>
            <w:shd w:val="clear" w:color="auto" w:fill="E0EBED"/>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1,043,646</w:t>
            </w:r>
          </w:p>
        </w:tc>
        <w:tc>
          <w:tcPr>
            <w:tcW w:w="0" w:type="dxa"/>
            <w:vAlign w:val="bottom"/>
          </w:tcPr>
          <w:p>
            <w:pPr>
              <w:spacing w:after="0"/>
              <w:rPr>
                <w:sz w:val="1"/>
                <w:szCs w:val="1"/>
                <w:color w:val="auto"/>
              </w:rPr>
            </w:pPr>
          </w:p>
        </w:tc>
      </w:tr>
      <w:tr>
        <w:trPr>
          <w:trHeight w:val="189"/>
        </w:trPr>
        <w:tc>
          <w:tcPr>
            <w:tcW w:w="5140" w:type="dxa"/>
            <w:vAlign w:val="bottom"/>
            <w:gridSpan w:val="2"/>
          </w:tcPr>
          <w:p>
            <w:pPr>
              <w:spacing w:after="0"/>
              <w:rPr>
                <w:sz w:val="20"/>
                <w:szCs w:val="20"/>
                <w:color w:val="auto"/>
              </w:rPr>
            </w:pPr>
            <w:r>
              <w:rPr>
                <w:rFonts w:ascii="Arial" w:cs="Arial" w:eastAsia="Arial" w:hAnsi="Arial"/>
                <w:sz w:val="16"/>
                <w:szCs w:val="16"/>
                <w:color w:val="auto"/>
              </w:rPr>
              <w:t>Property, plant and equipment, net</w:t>
            </w: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shd w:val="clear" w:color="auto" w:fill="CDDEE7"/>
              </w:rPr>
              <w:t>5,157,229</w:t>
            </w:r>
          </w:p>
        </w:tc>
        <w:tc>
          <w:tcPr>
            <w:tcW w:w="100" w:type="dxa"/>
            <w:vAlign w:val="bottom"/>
            <w:shd w:val="clear" w:color="auto" w:fill="CDDEE7"/>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3,592,813</w:t>
            </w:r>
          </w:p>
        </w:tc>
        <w:tc>
          <w:tcPr>
            <w:tcW w:w="16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3,423,395</w:t>
            </w:r>
          </w:p>
        </w:tc>
        <w:tc>
          <w:tcPr>
            <w:tcW w:w="14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880" w:type="dxa"/>
            <w:vAlign w:val="bottom"/>
            <w:shd w:val="clear" w:color="auto" w:fill="E0EBED"/>
          </w:tcPr>
          <w:p>
            <w:pPr>
              <w:jc w:val="right"/>
              <w:spacing w:after="0"/>
              <w:rPr>
                <w:sz w:val="20"/>
                <w:szCs w:val="20"/>
                <w:color w:val="auto"/>
              </w:rPr>
            </w:pPr>
            <w:r>
              <w:rPr>
                <w:rFonts w:ascii="Arial" w:cs="Arial" w:eastAsia="Arial" w:hAnsi="Arial"/>
                <w:sz w:val="16"/>
                <w:szCs w:val="16"/>
                <w:color w:val="auto"/>
              </w:rPr>
              <w:t>3,156,000</w:t>
            </w:r>
          </w:p>
        </w:tc>
        <w:tc>
          <w:tcPr>
            <w:tcW w:w="16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3,402,770</w:t>
            </w:r>
          </w:p>
        </w:tc>
        <w:tc>
          <w:tcPr>
            <w:tcW w:w="0" w:type="dxa"/>
            <w:vAlign w:val="bottom"/>
          </w:tcPr>
          <w:p>
            <w:pPr>
              <w:spacing w:after="0"/>
              <w:rPr>
                <w:sz w:val="1"/>
                <w:szCs w:val="1"/>
                <w:color w:val="auto"/>
              </w:rPr>
            </w:pPr>
          </w:p>
        </w:tc>
      </w:tr>
      <w:tr>
        <w:trPr>
          <w:trHeight w:val="171"/>
        </w:trPr>
        <w:tc>
          <w:tcPr>
            <w:tcW w:w="5140" w:type="dxa"/>
            <w:vAlign w:val="bottom"/>
            <w:gridSpan w:val="2"/>
          </w:tcPr>
          <w:p>
            <w:pPr>
              <w:spacing w:after="0" w:line="171" w:lineRule="exact"/>
              <w:rPr>
                <w:sz w:val="20"/>
                <w:szCs w:val="20"/>
                <w:color w:val="auto"/>
              </w:rPr>
            </w:pPr>
            <w:r>
              <w:rPr>
                <w:rFonts w:ascii="Arial" w:cs="Arial" w:eastAsia="Arial" w:hAnsi="Arial"/>
                <w:sz w:val="16"/>
                <w:szCs w:val="16"/>
                <w:color w:val="auto"/>
              </w:rPr>
              <w:t>Goodwill</w:t>
            </w:r>
          </w:p>
        </w:tc>
        <w:tc>
          <w:tcPr>
            <w:tcW w:w="120" w:type="dxa"/>
            <w:vAlign w:val="bottom"/>
            <w:shd w:val="clear" w:color="auto" w:fill="CDDEE7"/>
          </w:tcPr>
          <w:p>
            <w:pPr>
              <w:spacing w:after="0"/>
              <w:rPr>
                <w:sz w:val="14"/>
                <w:szCs w:val="14"/>
                <w:color w:val="auto"/>
              </w:rPr>
            </w:pPr>
          </w:p>
        </w:tc>
        <w:tc>
          <w:tcPr>
            <w:tcW w:w="100" w:type="dxa"/>
            <w:vAlign w:val="bottom"/>
            <w:shd w:val="clear" w:color="auto" w:fill="CDDEE7"/>
          </w:tcPr>
          <w:p>
            <w:pPr>
              <w:spacing w:after="0"/>
              <w:rPr>
                <w:sz w:val="14"/>
                <w:szCs w:val="14"/>
                <w:color w:val="auto"/>
              </w:rPr>
            </w:pPr>
          </w:p>
        </w:tc>
        <w:tc>
          <w:tcPr>
            <w:tcW w:w="820" w:type="dxa"/>
            <w:vAlign w:val="bottom"/>
            <w:shd w:val="clear" w:color="auto" w:fill="CDDEE7"/>
          </w:tcPr>
          <w:p>
            <w:pPr>
              <w:jc w:val="right"/>
              <w:spacing w:after="0" w:line="171" w:lineRule="exact"/>
              <w:rPr>
                <w:sz w:val="20"/>
                <w:szCs w:val="20"/>
                <w:color w:val="auto"/>
              </w:rPr>
            </w:pPr>
            <w:r>
              <w:rPr>
                <w:rFonts w:ascii="Arial" w:cs="Arial" w:eastAsia="Arial" w:hAnsi="Arial"/>
                <w:sz w:val="16"/>
                <w:szCs w:val="16"/>
                <w:b w:val="1"/>
                <w:bCs w:val="1"/>
                <w:color w:val="auto"/>
              </w:rPr>
              <w:t>2,399,118</w:t>
            </w:r>
          </w:p>
        </w:tc>
        <w:tc>
          <w:tcPr>
            <w:tcW w:w="100" w:type="dxa"/>
            <w:vAlign w:val="bottom"/>
            <w:shd w:val="clear" w:color="auto" w:fill="CDDEE7"/>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shd w:val="clear" w:color="auto" w:fill="E0EBED"/>
          </w:tcPr>
          <w:p>
            <w:pPr>
              <w:spacing w:after="0"/>
              <w:rPr>
                <w:sz w:val="14"/>
                <w:szCs w:val="14"/>
                <w:color w:val="auto"/>
              </w:rPr>
            </w:pPr>
          </w:p>
        </w:tc>
        <w:tc>
          <w:tcPr>
            <w:tcW w:w="920" w:type="dxa"/>
            <w:vAlign w:val="bottom"/>
            <w:shd w:val="clear" w:color="auto" w:fill="E0EBED"/>
          </w:tcPr>
          <w:p>
            <w:pPr>
              <w:jc w:val="right"/>
              <w:ind w:right="19"/>
              <w:spacing w:after="0" w:line="171" w:lineRule="exact"/>
              <w:rPr>
                <w:sz w:val="20"/>
                <w:szCs w:val="20"/>
                <w:color w:val="auto"/>
              </w:rPr>
            </w:pPr>
            <w:r>
              <w:rPr>
                <w:rFonts w:ascii="Arial" w:cs="Arial" w:eastAsia="Arial" w:hAnsi="Arial"/>
                <w:sz w:val="16"/>
                <w:szCs w:val="16"/>
                <w:color w:val="auto"/>
              </w:rPr>
              <w:t>2,160,290</w:t>
            </w:r>
          </w:p>
        </w:tc>
        <w:tc>
          <w:tcPr>
            <w:tcW w:w="160" w:type="dxa"/>
            <w:vAlign w:val="bottom"/>
          </w:tcPr>
          <w:p>
            <w:pPr>
              <w:spacing w:after="0"/>
              <w:rPr>
                <w:sz w:val="14"/>
                <w:szCs w:val="14"/>
                <w:color w:val="auto"/>
              </w:rPr>
            </w:pPr>
          </w:p>
        </w:tc>
        <w:tc>
          <w:tcPr>
            <w:tcW w:w="200" w:type="dxa"/>
            <w:vAlign w:val="bottom"/>
            <w:shd w:val="clear" w:color="auto" w:fill="E0EBED"/>
          </w:tcPr>
          <w:p>
            <w:pPr>
              <w:spacing w:after="0"/>
              <w:rPr>
                <w:sz w:val="14"/>
                <w:szCs w:val="14"/>
                <w:color w:val="auto"/>
              </w:rPr>
            </w:pPr>
          </w:p>
        </w:tc>
        <w:tc>
          <w:tcPr>
            <w:tcW w:w="940" w:type="dxa"/>
            <w:vAlign w:val="bottom"/>
            <w:shd w:val="clear" w:color="auto" w:fill="E0EBED"/>
          </w:tcPr>
          <w:p>
            <w:pPr>
              <w:jc w:val="right"/>
              <w:ind w:right="19"/>
              <w:spacing w:after="0" w:line="171" w:lineRule="exact"/>
              <w:rPr>
                <w:sz w:val="20"/>
                <w:szCs w:val="20"/>
                <w:color w:val="auto"/>
              </w:rPr>
            </w:pPr>
            <w:r>
              <w:rPr>
                <w:rFonts w:ascii="Arial" w:cs="Arial" w:eastAsia="Arial" w:hAnsi="Arial"/>
                <w:sz w:val="16"/>
                <w:szCs w:val="16"/>
                <w:color w:val="auto"/>
              </w:rPr>
              <w:t>2,159,337</w:t>
            </w:r>
          </w:p>
        </w:tc>
        <w:tc>
          <w:tcPr>
            <w:tcW w:w="140" w:type="dxa"/>
            <w:vAlign w:val="bottom"/>
          </w:tcPr>
          <w:p>
            <w:pPr>
              <w:spacing w:after="0"/>
              <w:rPr>
                <w:sz w:val="14"/>
                <w:szCs w:val="14"/>
                <w:color w:val="auto"/>
              </w:rPr>
            </w:pPr>
          </w:p>
        </w:tc>
        <w:tc>
          <w:tcPr>
            <w:tcW w:w="220" w:type="dxa"/>
            <w:vAlign w:val="bottom"/>
            <w:shd w:val="clear" w:color="auto" w:fill="E0EBED"/>
          </w:tcPr>
          <w:p>
            <w:pPr>
              <w:spacing w:after="0"/>
              <w:rPr>
                <w:sz w:val="14"/>
                <w:szCs w:val="14"/>
                <w:color w:val="auto"/>
              </w:rPr>
            </w:pPr>
          </w:p>
        </w:tc>
        <w:tc>
          <w:tcPr>
            <w:tcW w:w="880" w:type="dxa"/>
            <w:vAlign w:val="bottom"/>
            <w:shd w:val="clear" w:color="auto" w:fill="E0EBED"/>
          </w:tcPr>
          <w:p>
            <w:pPr>
              <w:jc w:val="right"/>
              <w:spacing w:after="0" w:line="171" w:lineRule="exact"/>
              <w:rPr>
                <w:sz w:val="20"/>
                <w:szCs w:val="20"/>
                <w:color w:val="auto"/>
              </w:rPr>
            </w:pPr>
            <w:r>
              <w:rPr>
                <w:rFonts w:ascii="Arial" w:cs="Arial" w:eastAsia="Arial" w:hAnsi="Arial"/>
                <w:sz w:val="16"/>
                <w:szCs w:val="16"/>
                <w:color w:val="auto"/>
              </w:rPr>
              <w:t>2,068,235</w:t>
            </w:r>
          </w:p>
        </w:tc>
        <w:tc>
          <w:tcPr>
            <w:tcW w:w="160" w:type="dxa"/>
            <w:vAlign w:val="bottom"/>
          </w:tcPr>
          <w:p>
            <w:pPr>
              <w:spacing w:after="0"/>
              <w:rPr>
                <w:sz w:val="14"/>
                <w:szCs w:val="14"/>
                <w:color w:val="auto"/>
              </w:rPr>
            </w:pPr>
          </w:p>
        </w:tc>
        <w:tc>
          <w:tcPr>
            <w:tcW w:w="200" w:type="dxa"/>
            <w:vAlign w:val="bottom"/>
            <w:shd w:val="clear" w:color="auto" w:fill="E0EBED"/>
          </w:tcPr>
          <w:p>
            <w:pPr>
              <w:spacing w:after="0"/>
              <w:rPr>
                <w:sz w:val="14"/>
                <w:szCs w:val="14"/>
                <w:color w:val="auto"/>
              </w:rPr>
            </w:pPr>
          </w:p>
        </w:tc>
        <w:tc>
          <w:tcPr>
            <w:tcW w:w="940" w:type="dxa"/>
            <w:vAlign w:val="bottom"/>
            <w:shd w:val="clear" w:color="auto" w:fill="E0EBED"/>
          </w:tcPr>
          <w:p>
            <w:pPr>
              <w:jc w:val="right"/>
              <w:ind w:right="19"/>
              <w:spacing w:after="0" w:line="171" w:lineRule="exact"/>
              <w:rPr>
                <w:sz w:val="20"/>
                <w:szCs w:val="20"/>
                <w:color w:val="auto"/>
              </w:rPr>
            </w:pPr>
            <w:r>
              <w:rPr>
                <w:rFonts w:ascii="Arial" w:cs="Arial" w:eastAsia="Arial" w:hAnsi="Arial"/>
                <w:sz w:val="16"/>
                <w:szCs w:val="16"/>
                <w:color w:val="auto"/>
              </w:rPr>
              <w:t>2,068,799</w:t>
            </w:r>
          </w:p>
        </w:tc>
        <w:tc>
          <w:tcPr>
            <w:tcW w:w="0" w:type="dxa"/>
            <w:vAlign w:val="bottom"/>
          </w:tcPr>
          <w:p>
            <w:pPr>
              <w:spacing w:after="0"/>
              <w:rPr>
                <w:sz w:val="1"/>
                <w:szCs w:val="1"/>
                <w:color w:val="auto"/>
              </w:rPr>
            </w:pPr>
          </w:p>
        </w:tc>
      </w:tr>
      <w:tr>
        <w:trPr>
          <w:trHeight w:val="189"/>
        </w:trPr>
        <w:tc>
          <w:tcPr>
            <w:tcW w:w="5140" w:type="dxa"/>
            <w:vAlign w:val="bottom"/>
            <w:gridSpan w:val="2"/>
          </w:tcPr>
          <w:p>
            <w:pPr>
              <w:spacing w:after="0"/>
              <w:rPr>
                <w:sz w:val="20"/>
                <w:szCs w:val="20"/>
                <w:color w:val="auto"/>
              </w:rPr>
            </w:pPr>
            <w:r>
              <w:rPr>
                <w:rFonts w:ascii="Arial" w:cs="Arial" w:eastAsia="Arial" w:hAnsi="Arial"/>
                <w:sz w:val="16"/>
                <w:szCs w:val="16"/>
                <w:color w:val="auto"/>
              </w:rPr>
              <w:t>Other intangibles, net</w:t>
            </w: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501,282</w:t>
            </w:r>
          </w:p>
        </w:tc>
        <w:tc>
          <w:tcPr>
            <w:tcW w:w="100" w:type="dxa"/>
            <w:vAlign w:val="bottom"/>
            <w:shd w:val="clear" w:color="auto" w:fill="CDDEE7"/>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506,349</w:t>
            </w:r>
          </w:p>
        </w:tc>
        <w:tc>
          <w:tcPr>
            <w:tcW w:w="16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511,312</w:t>
            </w:r>
          </w:p>
        </w:tc>
        <w:tc>
          <w:tcPr>
            <w:tcW w:w="14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880" w:type="dxa"/>
            <w:vAlign w:val="bottom"/>
            <w:shd w:val="clear" w:color="auto" w:fill="E0EBED"/>
          </w:tcPr>
          <w:p>
            <w:pPr>
              <w:jc w:val="right"/>
              <w:spacing w:after="0"/>
              <w:rPr>
                <w:sz w:val="20"/>
                <w:szCs w:val="20"/>
                <w:color w:val="auto"/>
              </w:rPr>
            </w:pPr>
            <w:r>
              <w:rPr>
                <w:rFonts w:ascii="Arial" w:cs="Arial" w:eastAsia="Arial" w:hAnsi="Arial"/>
                <w:sz w:val="16"/>
                <w:szCs w:val="16"/>
                <w:color w:val="auto"/>
              </w:rPr>
              <w:t>510,552</w:t>
            </w:r>
          </w:p>
        </w:tc>
        <w:tc>
          <w:tcPr>
            <w:tcW w:w="16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595,205</w:t>
            </w:r>
          </w:p>
        </w:tc>
        <w:tc>
          <w:tcPr>
            <w:tcW w:w="0" w:type="dxa"/>
            <w:vAlign w:val="bottom"/>
          </w:tcPr>
          <w:p>
            <w:pPr>
              <w:spacing w:after="0"/>
              <w:rPr>
                <w:sz w:val="1"/>
                <w:szCs w:val="1"/>
                <w:color w:val="auto"/>
              </w:rPr>
            </w:pPr>
          </w:p>
        </w:tc>
      </w:tr>
      <w:tr>
        <w:trPr>
          <w:trHeight w:val="207"/>
        </w:trPr>
        <w:tc>
          <w:tcPr>
            <w:tcW w:w="514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5"/>
                <w:szCs w:val="15"/>
                <w:color w:val="auto"/>
              </w:rPr>
              <w:t>Other noncurrent assets</w:t>
            </w:r>
            <w:r>
              <w:rPr>
                <w:rFonts w:ascii="Arial" w:cs="Arial" w:eastAsia="Arial" w:hAnsi="Arial"/>
                <w:sz w:val="24"/>
                <w:szCs w:val="24"/>
                <w:color w:val="auto"/>
                <w:vertAlign w:val="superscript"/>
              </w:rPr>
              <w:t>4</w:t>
            </w:r>
          </w:p>
        </w:tc>
        <w:tc>
          <w:tcPr>
            <w:tcW w:w="12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127,974</w:t>
            </w:r>
          </w:p>
        </w:tc>
        <w:tc>
          <w:tcPr>
            <w:tcW w:w="100" w:type="dxa"/>
            <w:vAlign w:val="bottom"/>
            <w:tcBorders>
              <w:bottom w:val="single" w:sz="8" w:color="auto"/>
            </w:tcBorders>
            <w:shd w:val="clear" w:color="auto" w:fill="CDDEE7"/>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101,899</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120,476</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88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6"/>
                <w:szCs w:val="16"/>
                <w:color w:val="auto"/>
              </w:rPr>
              <w:t>141,189</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104,097</w:t>
            </w:r>
          </w:p>
        </w:tc>
        <w:tc>
          <w:tcPr>
            <w:tcW w:w="0" w:type="dxa"/>
            <w:vAlign w:val="bottom"/>
          </w:tcPr>
          <w:p>
            <w:pPr>
              <w:spacing w:after="0"/>
              <w:rPr>
                <w:sz w:val="1"/>
                <w:szCs w:val="1"/>
                <w:color w:val="auto"/>
              </w:rPr>
            </w:pPr>
          </w:p>
        </w:tc>
      </w:tr>
      <w:tr>
        <w:trPr>
          <w:trHeight w:val="190"/>
        </w:trPr>
        <w:tc>
          <w:tcPr>
            <w:tcW w:w="514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b w:val="1"/>
                <w:bCs w:val="1"/>
                <w:color w:val="auto"/>
              </w:rPr>
              <w:t>Total Assets</w:t>
            </w:r>
          </w:p>
        </w:tc>
        <w:tc>
          <w:tcPr>
            <w:tcW w:w="120" w:type="dxa"/>
            <w:vAlign w:val="bottom"/>
            <w:tcBorders>
              <w:bottom w:val="single" w:sz="8" w:color="auto"/>
            </w:tcBorders>
            <w:shd w:val="clear" w:color="auto" w:fill="CDDEE7"/>
          </w:tcPr>
          <w:p>
            <w:pPr>
              <w:spacing w:after="0"/>
              <w:rPr>
                <w:sz w:val="16"/>
                <w:szCs w:val="16"/>
                <w:color w:val="auto"/>
              </w:rPr>
            </w:pPr>
          </w:p>
        </w:tc>
        <w:tc>
          <w:tcPr>
            <w:tcW w:w="100" w:type="dxa"/>
            <w:vAlign w:val="bottom"/>
            <w:tcBorders>
              <w:bottom w:val="single" w:sz="8" w:color="auto"/>
            </w:tcBorders>
            <w:shd w:val="clear" w:color="auto" w:fill="CDDEE7"/>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DDEE7"/>
          </w:tcPr>
          <w:p>
            <w:pPr>
              <w:jc w:val="right"/>
              <w:spacing w:after="0" w:line="183" w:lineRule="exact"/>
              <w:rPr>
                <w:sz w:val="20"/>
                <w:szCs w:val="20"/>
                <w:color w:val="auto"/>
              </w:rPr>
            </w:pPr>
            <w:r>
              <w:rPr>
                <w:rFonts w:ascii="Arial" w:cs="Arial" w:eastAsia="Arial" w:hAnsi="Arial"/>
                <w:sz w:val="16"/>
                <w:szCs w:val="16"/>
                <w:b w:val="1"/>
                <w:bCs w:val="1"/>
                <w:color w:val="auto"/>
              </w:rPr>
              <w:t>9,551,419</w:t>
            </w:r>
          </w:p>
        </w:tc>
        <w:tc>
          <w:tcPr>
            <w:tcW w:w="100" w:type="dxa"/>
            <w:vAlign w:val="bottom"/>
            <w:tcBorders>
              <w:bottom w:val="single" w:sz="8" w:color="auto"/>
            </w:tcBorders>
            <w:shd w:val="clear" w:color="auto" w:fill="CDDEE7"/>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shd w:val="clear" w:color="auto" w:fill="E0EBED"/>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0EBED"/>
          </w:tcPr>
          <w:p>
            <w:pPr>
              <w:jc w:val="right"/>
              <w:ind w:right="19"/>
              <w:spacing w:after="0" w:line="183" w:lineRule="exact"/>
              <w:rPr>
                <w:sz w:val="20"/>
                <w:szCs w:val="20"/>
                <w:color w:val="auto"/>
              </w:rPr>
            </w:pPr>
            <w:r>
              <w:rPr>
                <w:rFonts w:ascii="Arial" w:cs="Arial" w:eastAsia="Arial" w:hAnsi="Arial"/>
                <w:sz w:val="16"/>
                <w:szCs w:val="16"/>
                <w:color w:val="auto"/>
              </w:rPr>
              <w:t>8,992,511</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0EBED"/>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E0EBED"/>
          </w:tcPr>
          <w:p>
            <w:pPr>
              <w:jc w:val="right"/>
              <w:ind w:right="19"/>
              <w:spacing w:after="0" w:line="183" w:lineRule="exact"/>
              <w:rPr>
                <w:sz w:val="20"/>
                <w:szCs w:val="20"/>
                <w:color w:val="auto"/>
              </w:rPr>
            </w:pPr>
            <w:r>
              <w:rPr>
                <w:rFonts w:ascii="Arial" w:cs="Arial" w:eastAsia="Arial" w:hAnsi="Arial"/>
                <w:sz w:val="16"/>
                <w:szCs w:val="16"/>
                <w:color w:val="auto"/>
              </w:rPr>
              <w:t>7,300,905</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shd w:val="clear" w:color="auto" w:fill="E0EBED"/>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E0EBED"/>
          </w:tcPr>
          <w:p>
            <w:pPr>
              <w:jc w:val="right"/>
              <w:spacing w:after="0" w:line="183" w:lineRule="exact"/>
              <w:rPr>
                <w:sz w:val="20"/>
                <w:szCs w:val="20"/>
                <w:color w:val="auto"/>
              </w:rPr>
            </w:pPr>
            <w:r>
              <w:rPr>
                <w:rFonts w:ascii="Arial" w:cs="Arial" w:eastAsia="Arial" w:hAnsi="Arial"/>
                <w:sz w:val="16"/>
                <w:szCs w:val="16"/>
                <w:color w:val="auto"/>
              </w:rPr>
              <w:t>6,957,611</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shd w:val="clear" w:color="auto" w:fill="E0EBED"/>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E0EBED"/>
          </w:tcPr>
          <w:p>
            <w:pPr>
              <w:jc w:val="right"/>
              <w:ind w:right="19"/>
              <w:spacing w:after="0" w:line="183" w:lineRule="exact"/>
              <w:rPr>
                <w:sz w:val="20"/>
                <w:szCs w:val="20"/>
                <w:color w:val="auto"/>
              </w:rPr>
            </w:pPr>
            <w:r>
              <w:rPr>
                <w:rFonts w:ascii="Arial" w:cs="Arial" w:eastAsia="Arial" w:hAnsi="Arial"/>
                <w:sz w:val="16"/>
                <w:szCs w:val="16"/>
                <w:color w:val="auto"/>
              </w:rPr>
              <w:t>7,214,517</w:t>
            </w:r>
          </w:p>
        </w:tc>
        <w:tc>
          <w:tcPr>
            <w:tcW w:w="0" w:type="dxa"/>
            <w:vAlign w:val="bottom"/>
          </w:tcPr>
          <w:p>
            <w:pPr>
              <w:spacing w:after="0"/>
              <w:rPr>
                <w:sz w:val="1"/>
                <w:szCs w:val="1"/>
                <w:color w:val="auto"/>
              </w:rPr>
            </w:pPr>
          </w:p>
        </w:tc>
      </w:tr>
      <w:tr>
        <w:trPr>
          <w:trHeight w:val="171"/>
        </w:trPr>
        <w:tc>
          <w:tcPr>
            <w:tcW w:w="5140" w:type="dxa"/>
            <w:vAlign w:val="bottom"/>
            <w:gridSpan w:val="2"/>
          </w:tcPr>
          <w:p>
            <w:pPr>
              <w:spacing w:after="0" w:line="171" w:lineRule="exact"/>
              <w:rPr>
                <w:sz w:val="20"/>
                <w:szCs w:val="20"/>
                <w:color w:val="auto"/>
              </w:rPr>
            </w:pPr>
            <w:r>
              <w:rPr>
                <w:rFonts w:ascii="Arial" w:cs="Arial" w:eastAsia="Arial" w:hAnsi="Arial"/>
                <w:sz w:val="16"/>
                <w:szCs w:val="16"/>
                <w:color w:val="auto"/>
              </w:rPr>
              <w:t>Current liabilities – other</w:t>
            </w:r>
          </w:p>
        </w:tc>
        <w:tc>
          <w:tcPr>
            <w:tcW w:w="120" w:type="dxa"/>
            <w:vAlign w:val="bottom"/>
            <w:shd w:val="clear" w:color="auto" w:fill="CDDEE7"/>
          </w:tcPr>
          <w:p>
            <w:pPr>
              <w:spacing w:after="0"/>
              <w:rPr>
                <w:sz w:val="14"/>
                <w:szCs w:val="14"/>
                <w:color w:val="auto"/>
              </w:rPr>
            </w:pPr>
          </w:p>
        </w:tc>
        <w:tc>
          <w:tcPr>
            <w:tcW w:w="100" w:type="dxa"/>
            <w:vAlign w:val="bottom"/>
            <w:shd w:val="clear" w:color="auto" w:fill="CDDEE7"/>
          </w:tcPr>
          <w:p>
            <w:pPr>
              <w:jc w:val="right"/>
              <w:spacing w:after="0" w:line="171" w:lineRule="exact"/>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DDEE7"/>
          </w:tcPr>
          <w:p>
            <w:pPr>
              <w:jc w:val="right"/>
              <w:spacing w:after="0" w:line="171" w:lineRule="exact"/>
              <w:rPr>
                <w:sz w:val="20"/>
                <w:szCs w:val="20"/>
                <w:color w:val="auto"/>
              </w:rPr>
            </w:pPr>
            <w:r>
              <w:rPr>
                <w:rFonts w:ascii="Arial" w:cs="Arial" w:eastAsia="Arial" w:hAnsi="Arial"/>
                <w:sz w:val="16"/>
                <w:szCs w:val="16"/>
                <w:b w:val="1"/>
                <w:bCs w:val="1"/>
                <w:color w:val="auto"/>
              </w:rPr>
              <w:t>396,708</w:t>
            </w:r>
          </w:p>
        </w:tc>
        <w:tc>
          <w:tcPr>
            <w:tcW w:w="100" w:type="dxa"/>
            <w:vAlign w:val="bottom"/>
            <w:shd w:val="clear" w:color="auto" w:fill="CDDEE7"/>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shd w:val="clear" w:color="auto" w:fill="E0EBED"/>
          </w:tcPr>
          <w:p>
            <w:pPr>
              <w:jc w:val="right"/>
              <w:spacing w:after="0" w:line="171" w:lineRule="exact"/>
              <w:rPr>
                <w:sz w:val="20"/>
                <w:szCs w:val="20"/>
                <w:color w:val="auto"/>
              </w:rPr>
            </w:pPr>
            <w:r>
              <w:rPr>
                <w:rFonts w:ascii="Arial" w:cs="Arial" w:eastAsia="Arial" w:hAnsi="Arial"/>
                <w:sz w:val="16"/>
                <w:szCs w:val="16"/>
                <w:color w:val="auto"/>
              </w:rPr>
              <w:t>$</w:t>
            </w:r>
          </w:p>
        </w:tc>
        <w:tc>
          <w:tcPr>
            <w:tcW w:w="920" w:type="dxa"/>
            <w:vAlign w:val="bottom"/>
            <w:shd w:val="clear" w:color="auto" w:fill="E0EBED"/>
          </w:tcPr>
          <w:p>
            <w:pPr>
              <w:jc w:val="right"/>
              <w:ind w:right="19"/>
              <w:spacing w:after="0" w:line="171" w:lineRule="exact"/>
              <w:rPr>
                <w:sz w:val="20"/>
                <w:szCs w:val="20"/>
                <w:color w:val="auto"/>
              </w:rPr>
            </w:pPr>
            <w:r>
              <w:rPr>
                <w:rFonts w:ascii="Arial" w:cs="Arial" w:eastAsia="Arial" w:hAnsi="Arial"/>
                <w:sz w:val="16"/>
                <w:szCs w:val="16"/>
                <w:color w:val="auto"/>
              </w:rPr>
              <w:t>394,307</w:t>
            </w:r>
          </w:p>
        </w:tc>
        <w:tc>
          <w:tcPr>
            <w:tcW w:w="160" w:type="dxa"/>
            <w:vAlign w:val="bottom"/>
          </w:tcPr>
          <w:p>
            <w:pPr>
              <w:spacing w:after="0"/>
              <w:rPr>
                <w:sz w:val="14"/>
                <w:szCs w:val="14"/>
                <w:color w:val="auto"/>
              </w:rPr>
            </w:pPr>
          </w:p>
        </w:tc>
        <w:tc>
          <w:tcPr>
            <w:tcW w:w="200" w:type="dxa"/>
            <w:vAlign w:val="bottom"/>
            <w:shd w:val="clear" w:color="auto" w:fill="E0EBED"/>
          </w:tcPr>
          <w:p>
            <w:pPr>
              <w:jc w:val="right"/>
              <w:spacing w:after="0" w:line="171" w:lineRule="exact"/>
              <w:rPr>
                <w:sz w:val="20"/>
                <w:szCs w:val="20"/>
                <w:color w:val="auto"/>
              </w:rPr>
            </w:pPr>
            <w:r>
              <w:rPr>
                <w:rFonts w:ascii="Arial" w:cs="Arial" w:eastAsia="Arial" w:hAnsi="Arial"/>
                <w:sz w:val="16"/>
                <w:szCs w:val="16"/>
                <w:color w:val="auto"/>
              </w:rPr>
              <w:t>$</w:t>
            </w:r>
          </w:p>
        </w:tc>
        <w:tc>
          <w:tcPr>
            <w:tcW w:w="940" w:type="dxa"/>
            <w:vAlign w:val="bottom"/>
            <w:shd w:val="clear" w:color="auto" w:fill="E0EBED"/>
          </w:tcPr>
          <w:p>
            <w:pPr>
              <w:jc w:val="right"/>
              <w:ind w:right="19"/>
              <w:spacing w:after="0" w:line="171" w:lineRule="exact"/>
              <w:rPr>
                <w:sz w:val="20"/>
                <w:szCs w:val="20"/>
                <w:color w:val="auto"/>
              </w:rPr>
            </w:pPr>
            <w:r>
              <w:rPr>
                <w:rFonts w:ascii="Arial" w:cs="Arial" w:eastAsia="Arial" w:hAnsi="Arial"/>
                <w:sz w:val="16"/>
                <w:szCs w:val="16"/>
                <w:color w:val="auto"/>
              </w:rPr>
              <w:t>366,552</w:t>
            </w:r>
          </w:p>
        </w:tc>
        <w:tc>
          <w:tcPr>
            <w:tcW w:w="140" w:type="dxa"/>
            <w:vAlign w:val="bottom"/>
          </w:tcPr>
          <w:p>
            <w:pPr>
              <w:spacing w:after="0"/>
              <w:rPr>
                <w:sz w:val="14"/>
                <w:szCs w:val="14"/>
                <w:color w:val="auto"/>
              </w:rPr>
            </w:pPr>
          </w:p>
        </w:tc>
        <w:tc>
          <w:tcPr>
            <w:tcW w:w="220" w:type="dxa"/>
            <w:vAlign w:val="bottom"/>
            <w:shd w:val="clear" w:color="auto" w:fill="E0EBED"/>
          </w:tcPr>
          <w:p>
            <w:pPr>
              <w:jc w:val="right"/>
              <w:spacing w:after="0" w:line="171" w:lineRule="exact"/>
              <w:rPr>
                <w:sz w:val="20"/>
                <w:szCs w:val="20"/>
                <w:color w:val="auto"/>
              </w:rPr>
            </w:pPr>
            <w:r>
              <w:rPr>
                <w:rFonts w:ascii="Arial" w:cs="Arial" w:eastAsia="Arial" w:hAnsi="Arial"/>
                <w:sz w:val="16"/>
                <w:szCs w:val="16"/>
                <w:color w:val="auto"/>
              </w:rPr>
              <w:t>$</w:t>
            </w:r>
          </w:p>
        </w:tc>
        <w:tc>
          <w:tcPr>
            <w:tcW w:w="880" w:type="dxa"/>
            <w:vAlign w:val="bottom"/>
            <w:shd w:val="clear" w:color="auto" w:fill="E0EBED"/>
          </w:tcPr>
          <w:p>
            <w:pPr>
              <w:jc w:val="right"/>
              <w:spacing w:after="0" w:line="171" w:lineRule="exact"/>
              <w:rPr>
                <w:sz w:val="20"/>
                <w:szCs w:val="20"/>
                <w:color w:val="auto"/>
              </w:rPr>
            </w:pPr>
            <w:r>
              <w:rPr>
                <w:rFonts w:ascii="Arial" w:cs="Arial" w:eastAsia="Arial" w:hAnsi="Arial"/>
                <w:sz w:val="16"/>
                <w:szCs w:val="16"/>
                <w:color w:val="auto"/>
              </w:rPr>
              <w:t>347,945</w:t>
            </w:r>
          </w:p>
        </w:tc>
        <w:tc>
          <w:tcPr>
            <w:tcW w:w="160" w:type="dxa"/>
            <w:vAlign w:val="bottom"/>
          </w:tcPr>
          <w:p>
            <w:pPr>
              <w:spacing w:after="0"/>
              <w:rPr>
                <w:sz w:val="14"/>
                <w:szCs w:val="14"/>
                <w:color w:val="auto"/>
              </w:rPr>
            </w:pPr>
          </w:p>
        </w:tc>
        <w:tc>
          <w:tcPr>
            <w:tcW w:w="200" w:type="dxa"/>
            <w:vAlign w:val="bottom"/>
            <w:shd w:val="clear" w:color="auto" w:fill="E0EBED"/>
          </w:tcPr>
          <w:p>
            <w:pPr>
              <w:jc w:val="right"/>
              <w:spacing w:after="0" w:line="171" w:lineRule="exact"/>
              <w:rPr>
                <w:sz w:val="20"/>
                <w:szCs w:val="20"/>
                <w:color w:val="auto"/>
              </w:rPr>
            </w:pPr>
            <w:r>
              <w:rPr>
                <w:rFonts w:ascii="Arial" w:cs="Arial" w:eastAsia="Arial" w:hAnsi="Arial"/>
                <w:sz w:val="16"/>
                <w:szCs w:val="16"/>
                <w:color w:val="auto"/>
              </w:rPr>
              <w:t>$</w:t>
            </w:r>
          </w:p>
        </w:tc>
        <w:tc>
          <w:tcPr>
            <w:tcW w:w="940" w:type="dxa"/>
            <w:vAlign w:val="bottom"/>
            <w:shd w:val="clear" w:color="auto" w:fill="E0EBED"/>
          </w:tcPr>
          <w:p>
            <w:pPr>
              <w:jc w:val="right"/>
              <w:ind w:right="19"/>
              <w:spacing w:after="0" w:line="171" w:lineRule="exact"/>
              <w:rPr>
                <w:sz w:val="20"/>
                <w:szCs w:val="20"/>
                <w:color w:val="auto"/>
              </w:rPr>
            </w:pPr>
            <w:r>
              <w:rPr>
                <w:rFonts w:ascii="Arial" w:cs="Arial" w:eastAsia="Arial" w:hAnsi="Arial"/>
                <w:sz w:val="16"/>
                <w:szCs w:val="16"/>
                <w:color w:val="auto"/>
              </w:rPr>
              <w:t>382,312</w:t>
            </w:r>
          </w:p>
        </w:tc>
        <w:tc>
          <w:tcPr>
            <w:tcW w:w="0" w:type="dxa"/>
            <w:vAlign w:val="bottom"/>
          </w:tcPr>
          <w:p>
            <w:pPr>
              <w:spacing w:after="0"/>
              <w:rPr>
                <w:sz w:val="1"/>
                <w:szCs w:val="1"/>
                <w:color w:val="auto"/>
              </w:rPr>
            </w:pPr>
          </w:p>
        </w:tc>
      </w:tr>
      <w:tr>
        <w:trPr>
          <w:trHeight w:val="189"/>
        </w:trPr>
        <w:tc>
          <w:tcPr>
            <w:tcW w:w="5140" w:type="dxa"/>
            <w:vAlign w:val="bottom"/>
            <w:gridSpan w:val="2"/>
          </w:tcPr>
          <w:p>
            <w:pPr>
              <w:spacing w:after="0" w:line="189" w:lineRule="exact"/>
              <w:rPr>
                <w:sz w:val="20"/>
                <w:szCs w:val="20"/>
                <w:color w:val="auto"/>
              </w:rPr>
            </w:pPr>
            <w:r>
              <w:rPr>
                <w:rFonts w:ascii="Arial" w:cs="Arial" w:eastAsia="Arial" w:hAnsi="Arial"/>
                <w:sz w:val="13"/>
                <w:szCs w:val="13"/>
                <w:color w:val="auto"/>
              </w:rPr>
              <w:t>Current maturities of long-term debt</w:t>
            </w:r>
            <w:r>
              <w:rPr>
                <w:rFonts w:ascii="Arial" w:cs="Arial" w:eastAsia="Arial" w:hAnsi="Arial"/>
                <w:sz w:val="21"/>
                <w:szCs w:val="21"/>
                <w:color w:val="auto"/>
                <w:vertAlign w:val="superscript"/>
              </w:rPr>
              <w:t>4</w:t>
            </w: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390,042</w:t>
            </w:r>
          </w:p>
        </w:tc>
        <w:tc>
          <w:tcPr>
            <w:tcW w:w="100" w:type="dxa"/>
            <w:vAlign w:val="bottom"/>
            <w:shd w:val="clear" w:color="auto" w:fill="CDDEE7"/>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299,909</w:t>
            </w:r>
          </w:p>
        </w:tc>
        <w:tc>
          <w:tcPr>
            <w:tcW w:w="16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180,036</w:t>
            </w:r>
          </w:p>
        </w:tc>
        <w:tc>
          <w:tcPr>
            <w:tcW w:w="14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880" w:type="dxa"/>
            <w:vAlign w:val="bottom"/>
            <w:shd w:val="clear" w:color="auto" w:fill="E0EBED"/>
          </w:tcPr>
          <w:p>
            <w:pPr>
              <w:jc w:val="right"/>
              <w:spacing w:after="0"/>
              <w:rPr>
                <w:sz w:val="20"/>
                <w:szCs w:val="20"/>
                <w:color w:val="auto"/>
              </w:rPr>
            </w:pPr>
            <w:r>
              <w:rPr>
                <w:rFonts w:ascii="Arial" w:cs="Arial" w:eastAsia="Arial" w:hAnsi="Arial"/>
                <w:sz w:val="16"/>
                <w:szCs w:val="16"/>
                <w:color w:val="auto"/>
              </w:rPr>
              <w:t>18,713</w:t>
            </w:r>
          </w:p>
        </w:tc>
        <w:tc>
          <w:tcPr>
            <w:tcW w:w="16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13,803</w:t>
            </w:r>
          </w:p>
        </w:tc>
        <w:tc>
          <w:tcPr>
            <w:tcW w:w="0" w:type="dxa"/>
            <w:vAlign w:val="bottom"/>
          </w:tcPr>
          <w:p>
            <w:pPr>
              <w:spacing w:after="0"/>
              <w:rPr>
                <w:sz w:val="1"/>
                <w:szCs w:val="1"/>
                <w:color w:val="auto"/>
              </w:rPr>
            </w:pPr>
          </w:p>
        </w:tc>
      </w:tr>
      <w:tr>
        <w:trPr>
          <w:trHeight w:val="189"/>
        </w:trPr>
        <w:tc>
          <w:tcPr>
            <w:tcW w:w="5140" w:type="dxa"/>
            <w:vAlign w:val="bottom"/>
            <w:gridSpan w:val="2"/>
          </w:tcPr>
          <w:p>
            <w:pPr>
              <w:spacing w:after="0" w:line="189" w:lineRule="exact"/>
              <w:rPr>
                <w:sz w:val="20"/>
                <w:szCs w:val="20"/>
                <w:color w:val="auto"/>
              </w:rPr>
            </w:pPr>
            <w:r>
              <w:rPr>
                <w:rFonts w:ascii="Arial" w:cs="Arial" w:eastAsia="Arial" w:hAnsi="Arial"/>
                <w:sz w:val="13"/>
                <w:szCs w:val="13"/>
                <w:color w:val="auto"/>
              </w:rPr>
              <w:t>Long-term debt</w:t>
            </w:r>
            <w:r>
              <w:rPr>
                <w:rFonts w:ascii="Arial" w:cs="Arial" w:eastAsia="Arial" w:hAnsi="Arial"/>
                <w:sz w:val="21"/>
                <w:szCs w:val="21"/>
                <w:color w:val="auto"/>
                <w:vertAlign w:val="superscript"/>
              </w:rPr>
              <w:t>4</w:t>
            </w: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2,730,439</w:t>
            </w:r>
          </w:p>
        </w:tc>
        <w:tc>
          <w:tcPr>
            <w:tcW w:w="100" w:type="dxa"/>
            <w:vAlign w:val="bottom"/>
            <w:shd w:val="clear" w:color="auto" w:fill="CDDEE7"/>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2,727,294</w:t>
            </w:r>
          </w:p>
        </w:tc>
        <w:tc>
          <w:tcPr>
            <w:tcW w:w="16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1,506,153</w:t>
            </w:r>
          </w:p>
        </w:tc>
        <w:tc>
          <w:tcPr>
            <w:tcW w:w="14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880" w:type="dxa"/>
            <w:vAlign w:val="bottom"/>
            <w:shd w:val="clear" w:color="auto" w:fill="E0EBED"/>
          </w:tcPr>
          <w:p>
            <w:pPr>
              <w:jc w:val="right"/>
              <w:spacing w:after="0"/>
              <w:rPr>
                <w:sz w:val="20"/>
                <w:szCs w:val="20"/>
                <w:color w:val="auto"/>
              </w:rPr>
            </w:pPr>
            <w:r>
              <w:rPr>
                <w:rFonts w:ascii="Arial" w:cs="Arial" w:eastAsia="Arial" w:hAnsi="Arial"/>
                <w:sz w:val="16"/>
                <w:szCs w:val="16"/>
                <w:color w:val="auto"/>
              </w:rPr>
              <w:t>1,550,061</w:t>
            </w:r>
          </w:p>
        </w:tc>
        <w:tc>
          <w:tcPr>
            <w:tcW w:w="16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1,566,355</w:t>
            </w:r>
          </w:p>
        </w:tc>
        <w:tc>
          <w:tcPr>
            <w:tcW w:w="0" w:type="dxa"/>
            <w:vAlign w:val="bottom"/>
          </w:tcPr>
          <w:p>
            <w:pPr>
              <w:spacing w:after="0"/>
              <w:rPr>
                <w:sz w:val="1"/>
                <w:szCs w:val="1"/>
                <w:color w:val="auto"/>
              </w:rPr>
            </w:pPr>
          </w:p>
        </w:tc>
      </w:tr>
      <w:tr>
        <w:trPr>
          <w:trHeight w:val="189"/>
        </w:trPr>
        <w:tc>
          <w:tcPr>
            <w:tcW w:w="5140" w:type="dxa"/>
            <w:vAlign w:val="bottom"/>
            <w:gridSpan w:val="2"/>
          </w:tcPr>
          <w:p>
            <w:pPr>
              <w:spacing w:after="0"/>
              <w:rPr>
                <w:sz w:val="20"/>
                <w:szCs w:val="20"/>
                <w:color w:val="auto"/>
              </w:rPr>
            </w:pPr>
            <w:r>
              <w:rPr>
                <w:rFonts w:ascii="Arial" w:cs="Arial" w:eastAsia="Arial" w:hAnsi="Arial"/>
                <w:sz w:val="16"/>
                <w:szCs w:val="16"/>
                <w:color w:val="auto"/>
              </w:rPr>
              <w:t>Pension, postretirement and postemployment benefits, noncurrent</w:t>
            </w: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134,469</w:t>
            </w:r>
          </w:p>
        </w:tc>
        <w:tc>
          <w:tcPr>
            <w:tcW w:w="100" w:type="dxa"/>
            <w:vAlign w:val="bottom"/>
            <w:shd w:val="clear" w:color="auto" w:fill="CDDEE7"/>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244,043</w:t>
            </w:r>
          </w:p>
        </w:tc>
        <w:tc>
          <w:tcPr>
            <w:tcW w:w="16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248,086</w:t>
            </w:r>
          </w:p>
        </w:tc>
        <w:tc>
          <w:tcPr>
            <w:tcW w:w="14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880" w:type="dxa"/>
            <w:vAlign w:val="bottom"/>
            <w:shd w:val="clear" w:color="auto" w:fill="E0EBED"/>
          </w:tcPr>
          <w:p>
            <w:pPr>
              <w:jc w:val="right"/>
              <w:spacing w:after="0"/>
              <w:rPr>
                <w:sz w:val="20"/>
                <w:szCs w:val="20"/>
                <w:color w:val="auto"/>
              </w:rPr>
            </w:pPr>
            <w:r>
              <w:rPr>
                <w:rFonts w:ascii="Arial" w:cs="Arial" w:eastAsia="Arial" w:hAnsi="Arial"/>
                <w:sz w:val="16"/>
                <w:szCs w:val="16"/>
                <w:color w:val="auto"/>
              </w:rPr>
              <w:t>224,538</w:t>
            </w:r>
          </w:p>
        </w:tc>
        <w:tc>
          <w:tcPr>
            <w:tcW w:w="16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249,333</w:t>
            </w:r>
          </w:p>
        </w:tc>
        <w:tc>
          <w:tcPr>
            <w:tcW w:w="0" w:type="dxa"/>
            <w:vAlign w:val="bottom"/>
          </w:tcPr>
          <w:p>
            <w:pPr>
              <w:spacing w:after="0"/>
              <w:rPr>
                <w:sz w:val="1"/>
                <w:szCs w:val="1"/>
                <w:color w:val="auto"/>
              </w:rPr>
            </w:pPr>
          </w:p>
        </w:tc>
      </w:tr>
      <w:tr>
        <w:trPr>
          <w:trHeight w:val="189"/>
        </w:trPr>
        <w:tc>
          <w:tcPr>
            <w:tcW w:w="5140" w:type="dxa"/>
            <w:vAlign w:val="bottom"/>
            <w:gridSpan w:val="2"/>
          </w:tcPr>
          <w:p>
            <w:pPr>
              <w:spacing w:after="0"/>
              <w:rPr>
                <w:sz w:val="20"/>
                <w:szCs w:val="20"/>
                <w:color w:val="auto"/>
              </w:rPr>
            </w:pPr>
            <w:r>
              <w:rPr>
                <w:rFonts w:ascii="Arial" w:cs="Arial" w:eastAsia="Arial" w:hAnsi="Arial"/>
                <w:sz w:val="16"/>
                <w:szCs w:val="16"/>
                <w:color w:val="auto"/>
              </w:rPr>
              <w:t>Deferred income taxes, net</w:t>
            </w: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705,564</w:t>
            </w:r>
          </w:p>
        </w:tc>
        <w:tc>
          <w:tcPr>
            <w:tcW w:w="100" w:type="dxa"/>
            <w:vAlign w:val="bottom"/>
            <w:shd w:val="clear" w:color="auto" w:fill="CDDEE7"/>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410,723</w:t>
            </w:r>
          </w:p>
        </w:tc>
        <w:tc>
          <w:tcPr>
            <w:tcW w:w="16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663,019</w:t>
            </w:r>
          </w:p>
        </w:tc>
        <w:tc>
          <w:tcPr>
            <w:tcW w:w="14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880" w:type="dxa"/>
            <w:vAlign w:val="bottom"/>
            <w:shd w:val="clear" w:color="auto" w:fill="E0EBED"/>
          </w:tcPr>
          <w:p>
            <w:pPr>
              <w:jc w:val="right"/>
              <w:spacing w:after="0"/>
              <w:rPr>
                <w:sz w:val="20"/>
                <w:szCs w:val="20"/>
                <w:color w:val="auto"/>
              </w:rPr>
            </w:pPr>
            <w:r>
              <w:rPr>
                <w:rFonts w:ascii="Arial" w:cs="Arial" w:eastAsia="Arial" w:hAnsi="Arial"/>
                <w:sz w:val="16"/>
                <w:szCs w:val="16"/>
                <w:color w:val="auto"/>
              </w:rPr>
              <w:t>583,459</w:t>
            </w:r>
          </w:p>
        </w:tc>
        <w:tc>
          <w:tcPr>
            <w:tcW w:w="16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489,945</w:t>
            </w:r>
          </w:p>
        </w:tc>
        <w:tc>
          <w:tcPr>
            <w:tcW w:w="0" w:type="dxa"/>
            <w:vAlign w:val="bottom"/>
          </w:tcPr>
          <w:p>
            <w:pPr>
              <w:spacing w:after="0"/>
              <w:rPr>
                <w:sz w:val="1"/>
                <w:szCs w:val="1"/>
                <w:color w:val="auto"/>
              </w:rPr>
            </w:pPr>
          </w:p>
        </w:tc>
      </w:tr>
      <w:tr>
        <w:trPr>
          <w:trHeight w:val="189"/>
        </w:trPr>
        <w:tc>
          <w:tcPr>
            <w:tcW w:w="5140" w:type="dxa"/>
            <w:vAlign w:val="bottom"/>
            <w:gridSpan w:val="2"/>
          </w:tcPr>
          <w:p>
            <w:pPr>
              <w:spacing w:after="0"/>
              <w:rPr>
                <w:sz w:val="20"/>
                <w:szCs w:val="20"/>
                <w:color w:val="auto"/>
              </w:rPr>
            </w:pPr>
            <w:r>
              <w:rPr>
                <w:rFonts w:ascii="Arial" w:cs="Arial" w:eastAsia="Arial" w:hAnsi="Arial"/>
                <w:sz w:val="16"/>
                <w:szCs w:val="16"/>
                <w:color w:val="auto"/>
              </w:rPr>
              <w:t>Other noncurrent liabilities</w:t>
            </w: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244,785</w:t>
            </w:r>
          </w:p>
        </w:tc>
        <w:tc>
          <w:tcPr>
            <w:tcW w:w="100" w:type="dxa"/>
            <w:vAlign w:val="bottom"/>
            <w:shd w:val="clear" w:color="auto" w:fill="CDDEE7"/>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233,758</w:t>
            </w:r>
          </w:p>
        </w:tc>
        <w:tc>
          <w:tcPr>
            <w:tcW w:w="16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194,469</w:t>
            </w:r>
          </w:p>
        </w:tc>
        <w:tc>
          <w:tcPr>
            <w:tcW w:w="14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880" w:type="dxa"/>
            <w:vAlign w:val="bottom"/>
            <w:shd w:val="clear" w:color="auto" w:fill="E0EBED"/>
          </w:tcPr>
          <w:p>
            <w:pPr>
              <w:jc w:val="right"/>
              <w:spacing w:after="0"/>
              <w:rPr>
                <w:sz w:val="20"/>
                <w:szCs w:val="20"/>
                <w:color w:val="auto"/>
              </w:rPr>
            </w:pPr>
            <w:r>
              <w:rPr>
                <w:rFonts w:ascii="Arial" w:cs="Arial" w:eastAsia="Arial" w:hAnsi="Arial"/>
                <w:sz w:val="16"/>
                <w:szCs w:val="16"/>
                <w:color w:val="auto"/>
              </w:rPr>
              <w:t>172,718</w:t>
            </w:r>
          </w:p>
        </w:tc>
        <w:tc>
          <w:tcPr>
            <w:tcW w:w="16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160,021</w:t>
            </w:r>
          </w:p>
        </w:tc>
        <w:tc>
          <w:tcPr>
            <w:tcW w:w="0" w:type="dxa"/>
            <w:vAlign w:val="bottom"/>
          </w:tcPr>
          <w:p>
            <w:pPr>
              <w:spacing w:after="0"/>
              <w:rPr>
                <w:sz w:val="1"/>
                <w:szCs w:val="1"/>
                <w:color w:val="auto"/>
              </w:rPr>
            </w:pPr>
          </w:p>
        </w:tc>
      </w:tr>
      <w:tr>
        <w:trPr>
          <w:trHeight w:val="189"/>
        </w:trPr>
        <w:tc>
          <w:tcPr>
            <w:tcW w:w="5140" w:type="dxa"/>
            <w:vAlign w:val="bottom"/>
            <w:gridSpan w:val="2"/>
          </w:tcPr>
          <w:p>
            <w:pPr>
              <w:spacing w:after="0"/>
              <w:rPr>
                <w:sz w:val="20"/>
                <w:szCs w:val="20"/>
                <w:color w:val="auto"/>
              </w:rPr>
            </w:pPr>
            <w:r>
              <w:rPr>
                <w:rFonts w:ascii="Arial" w:cs="Arial" w:eastAsia="Arial" w:hAnsi="Arial"/>
                <w:sz w:val="16"/>
                <w:szCs w:val="16"/>
                <w:color w:val="auto"/>
              </w:rPr>
              <w:t>Shareholders’ equity</w:t>
            </w:r>
          </w:p>
        </w:tc>
        <w:tc>
          <w:tcPr>
            <w:tcW w:w="120" w:type="dxa"/>
            <w:vAlign w:val="bottom"/>
            <w:shd w:val="clear" w:color="auto" w:fill="CDDEE7"/>
          </w:tcPr>
          <w:p>
            <w:pPr>
              <w:spacing w:after="0"/>
              <w:rPr>
                <w:sz w:val="16"/>
                <w:szCs w:val="16"/>
                <w:color w:val="auto"/>
              </w:rPr>
            </w:pPr>
          </w:p>
        </w:tc>
        <w:tc>
          <w:tcPr>
            <w:tcW w:w="100" w:type="dxa"/>
            <w:vAlign w:val="bottom"/>
            <w:shd w:val="clear" w:color="auto" w:fill="CDDEE7"/>
          </w:tcPr>
          <w:p>
            <w:pPr>
              <w:spacing w:after="0"/>
              <w:rPr>
                <w:sz w:val="16"/>
                <w:szCs w:val="16"/>
                <w:color w:val="auto"/>
              </w:rPr>
            </w:pPr>
          </w:p>
        </w:tc>
        <w:tc>
          <w:tcPr>
            <w:tcW w:w="820" w:type="dxa"/>
            <w:vAlign w:val="bottom"/>
            <w:shd w:val="clear" w:color="auto" w:fill="CDDEE7"/>
          </w:tcPr>
          <w:p>
            <w:pPr>
              <w:jc w:val="right"/>
              <w:spacing w:after="0"/>
              <w:rPr>
                <w:sz w:val="20"/>
                <w:szCs w:val="20"/>
                <w:color w:val="auto"/>
              </w:rPr>
            </w:pPr>
            <w:r>
              <w:rPr>
                <w:rFonts w:ascii="Arial" w:cs="Arial" w:eastAsia="Arial" w:hAnsi="Arial"/>
                <w:sz w:val="16"/>
                <w:szCs w:val="16"/>
                <w:b w:val="1"/>
                <w:bCs w:val="1"/>
                <w:color w:val="auto"/>
              </w:rPr>
              <w:t>4,946,363</w:t>
            </w:r>
          </w:p>
        </w:tc>
        <w:tc>
          <w:tcPr>
            <w:tcW w:w="100" w:type="dxa"/>
            <w:vAlign w:val="bottom"/>
            <w:shd w:val="clear" w:color="auto" w:fill="CDDEE7"/>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92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4,679,600</w:t>
            </w:r>
          </w:p>
        </w:tc>
        <w:tc>
          <w:tcPr>
            <w:tcW w:w="16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4,139,978</w:t>
            </w:r>
          </w:p>
        </w:tc>
        <w:tc>
          <w:tcPr>
            <w:tcW w:w="140" w:type="dxa"/>
            <w:vAlign w:val="bottom"/>
          </w:tcPr>
          <w:p>
            <w:pPr>
              <w:spacing w:after="0"/>
              <w:rPr>
                <w:sz w:val="16"/>
                <w:szCs w:val="16"/>
                <w:color w:val="auto"/>
              </w:rPr>
            </w:pPr>
          </w:p>
        </w:tc>
        <w:tc>
          <w:tcPr>
            <w:tcW w:w="220" w:type="dxa"/>
            <w:vAlign w:val="bottom"/>
            <w:shd w:val="clear" w:color="auto" w:fill="E0EBED"/>
          </w:tcPr>
          <w:p>
            <w:pPr>
              <w:spacing w:after="0"/>
              <w:rPr>
                <w:sz w:val="16"/>
                <w:szCs w:val="16"/>
                <w:color w:val="auto"/>
              </w:rPr>
            </w:pPr>
          </w:p>
        </w:tc>
        <w:tc>
          <w:tcPr>
            <w:tcW w:w="880" w:type="dxa"/>
            <w:vAlign w:val="bottom"/>
            <w:shd w:val="clear" w:color="auto" w:fill="E0EBED"/>
          </w:tcPr>
          <w:p>
            <w:pPr>
              <w:jc w:val="right"/>
              <w:spacing w:after="0"/>
              <w:rPr>
                <w:sz w:val="20"/>
                <w:szCs w:val="20"/>
                <w:color w:val="auto"/>
              </w:rPr>
            </w:pPr>
            <w:r>
              <w:rPr>
                <w:rFonts w:ascii="Arial" w:cs="Arial" w:eastAsia="Arial" w:hAnsi="Arial"/>
                <w:sz w:val="16"/>
                <w:szCs w:val="16"/>
                <w:color w:val="auto"/>
              </w:rPr>
              <w:t>4,057,284</w:t>
            </w:r>
          </w:p>
        </w:tc>
        <w:tc>
          <w:tcPr>
            <w:tcW w:w="160" w:type="dxa"/>
            <w:vAlign w:val="bottom"/>
          </w:tcPr>
          <w:p>
            <w:pPr>
              <w:spacing w:after="0"/>
              <w:rPr>
                <w:sz w:val="16"/>
                <w:szCs w:val="16"/>
                <w:color w:val="auto"/>
              </w:rPr>
            </w:pPr>
          </w:p>
        </w:tc>
        <w:tc>
          <w:tcPr>
            <w:tcW w:w="200" w:type="dxa"/>
            <w:vAlign w:val="bottom"/>
            <w:shd w:val="clear" w:color="auto" w:fill="E0EBED"/>
          </w:tcPr>
          <w:p>
            <w:pPr>
              <w:spacing w:after="0"/>
              <w:rPr>
                <w:sz w:val="16"/>
                <w:szCs w:val="16"/>
                <w:color w:val="auto"/>
              </w:rPr>
            </w:pPr>
          </w:p>
        </w:tc>
        <w:tc>
          <w:tcPr>
            <w:tcW w:w="940" w:type="dxa"/>
            <w:vAlign w:val="bottom"/>
            <w:shd w:val="clear" w:color="auto" w:fill="E0EBED"/>
          </w:tcPr>
          <w:p>
            <w:pPr>
              <w:jc w:val="right"/>
              <w:ind w:right="19"/>
              <w:spacing w:after="0"/>
              <w:rPr>
                <w:sz w:val="20"/>
                <w:szCs w:val="20"/>
                <w:color w:val="auto"/>
              </w:rPr>
            </w:pPr>
            <w:r>
              <w:rPr>
                <w:rFonts w:ascii="Arial" w:cs="Arial" w:eastAsia="Arial" w:hAnsi="Arial"/>
                <w:sz w:val="16"/>
                <w:szCs w:val="16"/>
                <w:color w:val="auto"/>
              </w:rPr>
              <w:t>4,351,166</w:t>
            </w:r>
          </w:p>
        </w:tc>
        <w:tc>
          <w:tcPr>
            <w:tcW w:w="0" w:type="dxa"/>
            <w:vAlign w:val="bottom"/>
          </w:tcPr>
          <w:p>
            <w:pPr>
              <w:spacing w:after="0"/>
              <w:rPr>
                <w:sz w:val="1"/>
                <w:szCs w:val="1"/>
                <w:color w:val="auto"/>
              </w:rPr>
            </w:pPr>
          </w:p>
        </w:tc>
      </w:tr>
      <w:tr>
        <w:trPr>
          <w:trHeight w:val="207"/>
        </w:trPr>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Noncontrolling interests</w:t>
            </w:r>
          </w:p>
        </w:tc>
        <w:tc>
          <w:tcPr>
            <w:tcW w:w="120" w:type="dxa"/>
            <w:vAlign w:val="bottom"/>
            <w:tcBorders>
              <w:bottom w:val="single" w:sz="8" w:color="auto"/>
            </w:tcBorders>
            <w:shd w:val="clear" w:color="auto" w:fill="CDDEE7"/>
          </w:tcPr>
          <w:p>
            <w:pPr>
              <w:spacing w:after="0"/>
              <w:rPr>
                <w:sz w:val="18"/>
                <w:szCs w:val="18"/>
                <w:color w:val="auto"/>
              </w:rPr>
            </w:pPr>
          </w:p>
        </w:tc>
        <w:tc>
          <w:tcPr>
            <w:tcW w:w="100" w:type="dxa"/>
            <w:vAlign w:val="bottom"/>
            <w:tcBorders>
              <w:bottom w:val="single" w:sz="8" w:color="auto"/>
            </w:tcBorders>
            <w:shd w:val="clear" w:color="auto" w:fill="CDDEE7"/>
          </w:tcPr>
          <w:p>
            <w:pPr>
              <w:spacing w:after="0"/>
              <w:rPr>
                <w:sz w:val="18"/>
                <w:szCs w:val="18"/>
                <w:color w:val="auto"/>
              </w:rPr>
            </w:pPr>
          </w:p>
        </w:tc>
        <w:tc>
          <w:tcPr>
            <w:tcW w:w="820" w:type="dxa"/>
            <w:vAlign w:val="bottom"/>
            <w:tcBorders>
              <w:bottom w:val="single" w:sz="8" w:color="auto"/>
            </w:tcBorders>
            <w:shd w:val="clear" w:color="auto" w:fill="CDDEE7"/>
          </w:tcPr>
          <w:p>
            <w:pPr>
              <w:jc w:val="right"/>
              <w:spacing w:after="0"/>
              <w:rPr>
                <w:sz w:val="20"/>
                <w:szCs w:val="20"/>
                <w:color w:val="auto"/>
              </w:rPr>
            </w:pPr>
            <w:r>
              <w:rPr>
                <w:rFonts w:ascii="Arial" w:cs="Arial" w:eastAsia="Arial" w:hAnsi="Arial"/>
                <w:sz w:val="16"/>
                <w:szCs w:val="16"/>
                <w:b w:val="1"/>
                <w:bCs w:val="1"/>
                <w:color w:val="auto"/>
              </w:rPr>
              <w:t>3,049</w:t>
            </w:r>
          </w:p>
        </w:tc>
        <w:tc>
          <w:tcPr>
            <w:tcW w:w="100" w:type="dxa"/>
            <w:vAlign w:val="bottom"/>
            <w:tcBorders>
              <w:bottom w:val="single" w:sz="8" w:color="auto"/>
            </w:tcBorders>
            <w:shd w:val="clear" w:color="auto" w:fill="CDDEE7"/>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92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2,877</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2,612</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shd w:val="clear" w:color="auto" w:fill="E0EBED"/>
          </w:tcPr>
          <w:p>
            <w:pPr>
              <w:spacing w:after="0"/>
              <w:rPr>
                <w:sz w:val="18"/>
                <w:szCs w:val="18"/>
                <w:color w:val="auto"/>
              </w:rPr>
            </w:pPr>
          </w:p>
        </w:tc>
        <w:tc>
          <w:tcPr>
            <w:tcW w:w="880" w:type="dxa"/>
            <w:vAlign w:val="bottom"/>
            <w:tcBorders>
              <w:bottom w:val="single" w:sz="8" w:color="auto"/>
            </w:tcBorders>
            <w:shd w:val="clear" w:color="auto" w:fill="E0EBED"/>
          </w:tcPr>
          <w:p>
            <w:pPr>
              <w:jc w:val="right"/>
              <w:spacing w:after="0"/>
              <w:rPr>
                <w:sz w:val="20"/>
                <w:szCs w:val="20"/>
                <w:color w:val="auto"/>
              </w:rPr>
            </w:pPr>
            <w:r>
              <w:rPr>
                <w:rFonts w:ascii="Arial" w:cs="Arial" w:eastAsia="Arial" w:hAnsi="Arial"/>
                <w:sz w:val="16"/>
                <w:szCs w:val="16"/>
                <w:color w:val="auto"/>
              </w:rPr>
              <w:t>2,893</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E0EBED"/>
          </w:tcPr>
          <w:p>
            <w:pPr>
              <w:spacing w:after="0"/>
              <w:rPr>
                <w:sz w:val="18"/>
                <w:szCs w:val="18"/>
                <w:color w:val="auto"/>
              </w:rPr>
            </w:pPr>
          </w:p>
        </w:tc>
        <w:tc>
          <w:tcPr>
            <w:tcW w:w="940" w:type="dxa"/>
            <w:vAlign w:val="bottom"/>
            <w:tcBorders>
              <w:bottom w:val="single" w:sz="8" w:color="auto"/>
            </w:tcBorders>
            <w:shd w:val="clear" w:color="auto" w:fill="E0EBED"/>
          </w:tcPr>
          <w:p>
            <w:pPr>
              <w:jc w:val="right"/>
              <w:ind w:right="19"/>
              <w:spacing w:after="0"/>
              <w:rPr>
                <w:sz w:val="20"/>
                <w:szCs w:val="20"/>
                <w:color w:val="auto"/>
              </w:rPr>
            </w:pPr>
            <w:r>
              <w:rPr>
                <w:rFonts w:ascii="Arial" w:cs="Arial" w:eastAsia="Arial" w:hAnsi="Arial"/>
                <w:sz w:val="16"/>
                <w:szCs w:val="16"/>
                <w:color w:val="auto"/>
              </w:rPr>
              <w:t>1,582</w:t>
            </w:r>
          </w:p>
        </w:tc>
        <w:tc>
          <w:tcPr>
            <w:tcW w:w="0" w:type="dxa"/>
            <w:vAlign w:val="bottom"/>
          </w:tcPr>
          <w:p>
            <w:pPr>
              <w:spacing w:after="0"/>
              <w:rPr>
                <w:sz w:val="1"/>
                <w:szCs w:val="1"/>
                <w:color w:val="auto"/>
              </w:rPr>
            </w:pPr>
          </w:p>
        </w:tc>
      </w:tr>
      <w:tr>
        <w:trPr>
          <w:trHeight w:val="183"/>
        </w:trPr>
        <w:tc>
          <w:tcPr>
            <w:tcW w:w="514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Total Liabilities and Equity</w:t>
            </w:r>
          </w:p>
        </w:tc>
        <w:tc>
          <w:tcPr>
            <w:tcW w:w="120" w:type="dxa"/>
            <w:vAlign w:val="bottom"/>
            <w:shd w:val="clear" w:color="auto" w:fill="CDDEE7"/>
          </w:tcPr>
          <w:p>
            <w:pPr>
              <w:spacing w:after="0"/>
              <w:rPr>
                <w:sz w:val="15"/>
                <w:szCs w:val="15"/>
                <w:color w:val="auto"/>
              </w:rPr>
            </w:pPr>
          </w:p>
        </w:tc>
        <w:tc>
          <w:tcPr>
            <w:tcW w:w="100" w:type="dxa"/>
            <w:vAlign w:val="bottom"/>
            <w:shd w:val="clear" w:color="auto" w:fill="CDDEE7"/>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DDEE7"/>
          </w:tcPr>
          <w:p>
            <w:pPr>
              <w:jc w:val="right"/>
              <w:spacing w:after="0" w:line="183" w:lineRule="exact"/>
              <w:rPr>
                <w:sz w:val="20"/>
                <w:szCs w:val="20"/>
                <w:color w:val="auto"/>
              </w:rPr>
            </w:pPr>
            <w:r>
              <w:rPr>
                <w:rFonts w:ascii="Arial" w:cs="Arial" w:eastAsia="Arial" w:hAnsi="Arial"/>
                <w:sz w:val="16"/>
                <w:szCs w:val="16"/>
                <w:b w:val="1"/>
                <w:bCs w:val="1"/>
                <w:color w:val="auto"/>
              </w:rPr>
              <w:t>9,551,419</w:t>
            </w:r>
          </w:p>
        </w:tc>
        <w:tc>
          <w:tcPr>
            <w:tcW w:w="100" w:type="dxa"/>
            <w:vAlign w:val="bottom"/>
            <w:shd w:val="clear" w:color="auto" w:fill="CDDEE7"/>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shd w:val="clear" w:color="auto" w:fill="E0EBED"/>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E0EBED"/>
          </w:tcPr>
          <w:p>
            <w:pPr>
              <w:jc w:val="right"/>
              <w:ind w:right="19"/>
              <w:spacing w:after="0" w:line="183" w:lineRule="exact"/>
              <w:rPr>
                <w:sz w:val="20"/>
                <w:szCs w:val="20"/>
                <w:color w:val="auto"/>
              </w:rPr>
            </w:pPr>
            <w:r>
              <w:rPr>
                <w:rFonts w:ascii="Arial" w:cs="Arial" w:eastAsia="Arial" w:hAnsi="Arial"/>
                <w:sz w:val="16"/>
                <w:szCs w:val="16"/>
                <w:color w:val="auto"/>
              </w:rPr>
              <w:t>8,992,511</w:t>
            </w:r>
          </w:p>
        </w:tc>
        <w:tc>
          <w:tcPr>
            <w:tcW w:w="160" w:type="dxa"/>
            <w:vAlign w:val="bottom"/>
          </w:tcPr>
          <w:p>
            <w:pPr>
              <w:spacing w:after="0"/>
              <w:rPr>
                <w:sz w:val="15"/>
                <w:szCs w:val="15"/>
                <w:color w:val="auto"/>
              </w:rPr>
            </w:pPr>
          </w:p>
        </w:tc>
        <w:tc>
          <w:tcPr>
            <w:tcW w:w="200" w:type="dxa"/>
            <w:vAlign w:val="bottom"/>
            <w:shd w:val="clear" w:color="auto" w:fill="E0EBED"/>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E0EBED"/>
          </w:tcPr>
          <w:p>
            <w:pPr>
              <w:jc w:val="right"/>
              <w:ind w:right="19"/>
              <w:spacing w:after="0" w:line="183" w:lineRule="exact"/>
              <w:rPr>
                <w:sz w:val="20"/>
                <w:szCs w:val="20"/>
                <w:color w:val="auto"/>
              </w:rPr>
            </w:pPr>
            <w:r>
              <w:rPr>
                <w:rFonts w:ascii="Arial" w:cs="Arial" w:eastAsia="Arial" w:hAnsi="Arial"/>
                <w:sz w:val="16"/>
                <w:szCs w:val="16"/>
                <w:color w:val="auto"/>
              </w:rPr>
              <w:t>7,300,905</w:t>
            </w:r>
          </w:p>
        </w:tc>
        <w:tc>
          <w:tcPr>
            <w:tcW w:w="140" w:type="dxa"/>
            <w:vAlign w:val="bottom"/>
          </w:tcPr>
          <w:p>
            <w:pPr>
              <w:spacing w:after="0"/>
              <w:rPr>
                <w:sz w:val="15"/>
                <w:szCs w:val="15"/>
                <w:color w:val="auto"/>
              </w:rPr>
            </w:pPr>
          </w:p>
        </w:tc>
        <w:tc>
          <w:tcPr>
            <w:tcW w:w="220" w:type="dxa"/>
            <w:vAlign w:val="bottom"/>
            <w:shd w:val="clear" w:color="auto" w:fill="E0EBED"/>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E0EBED"/>
          </w:tcPr>
          <w:p>
            <w:pPr>
              <w:jc w:val="right"/>
              <w:spacing w:after="0" w:line="183" w:lineRule="exact"/>
              <w:rPr>
                <w:sz w:val="20"/>
                <w:szCs w:val="20"/>
                <w:color w:val="auto"/>
              </w:rPr>
            </w:pPr>
            <w:r>
              <w:rPr>
                <w:rFonts w:ascii="Arial" w:cs="Arial" w:eastAsia="Arial" w:hAnsi="Arial"/>
                <w:sz w:val="16"/>
                <w:szCs w:val="16"/>
                <w:color w:val="auto"/>
              </w:rPr>
              <w:t>6,957,611</w:t>
            </w:r>
          </w:p>
        </w:tc>
        <w:tc>
          <w:tcPr>
            <w:tcW w:w="160" w:type="dxa"/>
            <w:vAlign w:val="bottom"/>
          </w:tcPr>
          <w:p>
            <w:pPr>
              <w:spacing w:after="0"/>
              <w:rPr>
                <w:sz w:val="15"/>
                <w:szCs w:val="15"/>
                <w:color w:val="auto"/>
              </w:rPr>
            </w:pPr>
          </w:p>
        </w:tc>
        <w:tc>
          <w:tcPr>
            <w:tcW w:w="200" w:type="dxa"/>
            <w:vAlign w:val="bottom"/>
            <w:shd w:val="clear" w:color="auto" w:fill="E0EBED"/>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E0EBED"/>
          </w:tcPr>
          <w:p>
            <w:pPr>
              <w:jc w:val="right"/>
              <w:ind w:right="19"/>
              <w:spacing w:after="0" w:line="183" w:lineRule="exact"/>
              <w:rPr>
                <w:sz w:val="20"/>
                <w:szCs w:val="20"/>
                <w:color w:val="auto"/>
              </w:rPr>
            </w:pPr>
            <w:r>
              <w:rPr>
                <w:rFonts w:ascii="Arial" w:cs="Arial" w:eastAsia="Arial" w:hAnsi="Arial"/>
                <w:sz w:val="16"/>
                <w:szCs w:val="16"/>
                <w:color w:val="auto"/>
              </w:rPr>
              <w:t>7,214,517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120" w:hanging="112"/>
        <w:spacing w:after="0"/>
        <w:tabs>
          <w:tab w:leader="none" w:pos="120" w:val="left"/>
        </w:tabs>
        <w:numPr>
          <w:ilvl w:val="0"/>
          <w:numId w:val="89"/>
        </w:numPr>
        <w:rPr>
          <w:rFonts w:ascii="Arial" w:cs="Arial" w:eastAsia="Arial" w:hAnsi="Arial"/>
          <w:sz w:val="11"/>
          <w:szCs w:val="11"/>
          <w:color w:val="auto"/>
        </w:rPr>
      </w:pPr>
      <w:r>
        <w:rPr>
          <w:rFonts w:ascii="Arial" w:cs="Arial" w:eastAsia="Arial" w:hAnsi="Arial"/>
          <w:sz w:val="13"/>
          <w:szCs w:val="13"/>
          <w:color w:val="auto"/>
        </w:rPr>
        <w:t>Amounts for 2014-2017 may not equal amounts reported in the Company’s prior years’ Forms 10-K as amounts have been reclassified to conform to current year revenue presentation.</w:t>
      </w:r>
    </w:p>
    <w:p>
      <w:pPr>
        <w:ind w:left="120" w:hanging="112"/>
        <w:spacing w:after="0" w:line="216" w:lineRule="auto"/>
        <w:tabs>
          <w:tab w:leader="none" w:pos="120" w:val="left"/>
        </w:tabs>
        <w:numPr>
          <w:ilvl w:val="0"/>
          <w:numId w:val="90"/>
        </w:numPr>
        <w:rPr>
          <w:rFonts w:ascii="Arial" w:cs="Arial" w:eastAsia="Arial" w:hAnsi="Arial"/>
          <w:sz w:val="11"/>
          <w:szCs w:val="11"/>
          <w:color w:val="auto"/>
        </w:rPr>
      </w:pPr>
      <w:r>
        <w:rPr>
          <w:rFonts w:ascii="Arial" w:cs="Arial" w:eastAsia="Arial" w:hAnsi="Arial"/>
          <w:sz w:val="13"/>
          <w:szCs w:val="13"/>
          <w:color w:val="auto"/>
        </w:rPr>
        <w:t xml:space="preserve">Amounts for 2014-2016 may not equal amounts reported in the Company’s prior years’ Forms 10-K as amounts have been reclassified to reflect the adoption of the Accounting Standards Update 2017-07, </w:t>
      </w:r>
      <w:r>
        <w:rPr>
          <w:rFonts w:ascii="Arial" w:cs="Arial" w:eastAsia="Arial" w:hAnsi="Arial"/>
          <w:sz w:val="13"/>
          <w:szCs w:val="13"/>
          <w:i w:val="1"/>
          <w:iCs w:val="1"/>
          <w:color w:val="auto"/>
        </w:rPr>
        <w:t>Improving the Presentation of Net Periodic Pension Cost and Net Periodic Postretirement Benefit Cost</w:t>
      </w:r>
      <w:r>
        <w:rPr>
          <w:rFonts w:ascii="Arial" w:cs="Arial" w:eastAsia="Arial" w:hAnsi="Arial"/>
          <w:sz w:val="13"/>
          <w:szCs w:val="13"/>
          <w:color w:val="auto"/>
        </w:rPr>
        <w:t>.</w:t>
      </w:r>
    </w:p>
    <w:p>
      <w:pPr>
        <w:spacing w:after="0" w:line="1" w:lineRule="exact"/>
        <w:rPr>
          <w:sz w:val="20"/>
          <w:szCs w:val="20"/>
          <w:color w:val="auto"/>
        </w:rPr>
      </w:pPr>
    </w:p>
    <w:p>
      <w:pPr>
        <w:ind w:left="120" w:hanging="112"/>
        <w:spacing w:after="0" w:line="216" w:lineRule="auto"/>
        <w:tabs>
          <w:tab w:leader="none" w:pos="120" w:val="left"/>
        </w:tabs>
        <w:numPr>
          <w:ilvl w:val="0"/>
          <w:numId w:val="91"/>
        </w:numPr>
        <w:rPr>
          <w:rFonts w:ascii="Arial" w:cs="Arial" w:eastAsia="Arial" w:hAnsi="Arial"/>
          <w:sz w:val="11"/>
          <w:szCs w:val="11"/>
          <w:color w:val="auto"/>
        </w:rPr>
      </w:pPr>
      <w:r>
        <w:rPr>
          <w:rFonts w:ascii="Arial" w:cs="Arial" w:eastAsia="Arial" w:hAnsi="Arial"/>
          <w:sz w:val="13"/>
          <w:szCs w:val="13"/>
          <w:color w:val="auto"/>
        </w:rPr>
        <w:t>The 2018 balance sheet reflects the acquisition of Bluegrass Materials Company (Bluegrass) completed on April 27, 2018. The 2017 balance sheet reflects $1.1 billion of cash and long-term debt issued in anticipation of closing the Bluegrass acquisition.</w:t>
      </w:r>
    </w:p>
    <w:p>
      <w:pPr>
        <w:spacing w:after="0" w:line="1" w:lineRule="exact"/>
        <w:rPr>
          <w:sz w:val="20"/>
          <w:szCs w:val="20"/>
          <w:color w:val="auto"/>
        </w:rPr>
      </w:pPr>
    </w:p>
    <w:p>
      <w:pPr>
        <w:ind w:left="120" w:hanging="112"/>
        <w:spacing w:after="0"/>
        <w:tabs>
          <w:tab w:leader="none" w:pos="120" w:val="left"/>
        </w:tabs>
        <w:numPr>
          <w:ilvl w:val="0"/>
          <w:numId w:val="92"/>
        </w:numPr>
        <w:rPr>
          <w:rFonts w:ascii="Arial" w:cs="Arial" w:eastAsia="Arial" w:hAnsi="Arial"/>
          <w:sz w:val="11"/>
          <w:szCs w:val="11"/>
          <w:color w:val="auto"/>
        </w:rPr>
      </w:pPr>
      <w:r>
        <w:rPr>
          <w:rFonts w:ascii="Arial" w:cs="Arial" w:eastAsia="Arial" w:hAnsi="Arial"/>
          <w:sz w:val="13"/>
          <w:szCs w:val="13"/>
          <w:color w:val="auto"/>
        </w:rPr>
        <w:t xml:space="preserve">Balance sheets reflect the adoption of Accounting Standards Update 2015-03, </w:t>
      </w:r>
      <w:r>
        <w:rPr>
          <w:rFonts w:ascii="Arial" w:cs="Arial" w:eastAsia="Arial" w:hAnsi="Arial"/>
          <w:sz w:val="13"/>
          <w:szCs w:val="13"/>
          <w:i w:val="1"/>
          <w:iCs w:val="1"/>
          <w:color w:val="auto"/>
        </w:rPr>
        <w:t>Simplifying the Presentation of Debt Issuance Costs</w:t>
      </w:r>
      <w:r>
        <w:rPr>
          <w:rFonts w:ascii="Arial" w:cs="Arial" w:eastAsia="Arial" w:hAnsi="Arial"/>
          <w:sz w:val="13"/>
          <w:szCs w:val="13"/>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86</w:t>
      </w:r>
    </w:p>
    <w:p>
      <w:pPr>
        <w:sectPr>
          <w:pgSz w:w="11900" w:h="16838" w:orient="portrait"/>
          <w:cols w:equalWidth="0" w:num="1">
            <w:col w:w="11420"/>
          </w:cols>
          <w:pgMar w:left="240" w:top="387" w:right="239" w:bottom="1440" w:gutter="0" w:footer="0" w:header="0"/>
        </w:sectPr>
      </w:pPr>
    </w:p>
    <w:bookmarkStart w:id="125" w:name="page126"/>
    <w:bookmarkEnd w:id="125"/>
    <w:p>
      <w:pPr>
        <w:jc w:val="center"/>
        <w:ind w:right="20"/>
        <w:spacing w:after="0"/>
        <w:rPr>
          <w:sz w:val="20"/>
          <w:szCs w:val="20"/>
          <w:color w:val="auto"/>
        </w:rPr>
      </w:pPr>
      <w:r>
        <w:rPr>
          <w:rFonts w:ascii="Arial" w:cs="Arial" w:eastAsia="Arial" w:hAnsi="Arial"/>
          <w:sz w:val="18"/>
          <w:szCs w:val="18"/>
          <w:b w:val="1"/>
          <w:bCs w:val="1"/>
          <w:color w:val="49B28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 PERFORMANCE GRAPH</w:t>
      </w:r>
    </w:p>
    <w:p>
      <w:pPr>
        <w:spacing w:after="0" w:line="200" w:lineRule="exact"/>
        <w:rPr>
          <w:sz w:val="20"/>
          <w:szCs w:val="20"/>
          <w:color w:val="auto"/>
        </w:rPr>
      </w:pPr>
    </w:p>
    <w:p>
      <w:pPr>
        <w:spacing w:after="0" w:line="24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following graph compares the performance of the Company’s common stock to that of the Standard and Poor’s (S&amp;P) 500 Index and the S&amp;P 500 Materials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147320</wp:posOffset>
            </wp:positionV>
            <wp:extent cx="5591175" cy="47593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7">
                      <a:extLst>
                        <a:ext uri="{28A0092B-C50C-407E-A947-70E740481C1C}"/>
                      </a:extLst>
                    </a:blip>
                    <a:srcRect/>
                    <a:stretch>
                      <a:fillRect/>
                    </a:stretch>
                  </pic:blipFill>
                  <pic:spPr bwMode="auto">
                    <a:xfrm>
                      <a:off x="0" y="0"/>
                      <a:ext cx="5591175" cy="475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000" w:type="dxa"/>
            <w:vAlign w:val="bottom"/>
            <w:tcBorders>
              <w:top w:val="single" w:sz="8" w:color="AAA2A7"/>
              <w:left w:val="single" w:sz="8" w:color="AAA2A7"/>
              <w:right w:val="single" w:sz="8" w:color="AAA2A7"/>
            </w:tcBorders>
          </w:tcPr>
          <w:p>
            <w:pPr>
              <w:spacing w:after="0"/>
              <w:rPr>
                <w:sz w:val="21"/>
                <w:szCs w:val="21"/>
                <w:color w:val="auto"/>
              </w:rPr>
            </w:pPr>
          </w:p>
        </w:tc>
        <w:tc>
          <w:tcPr>
            <w:tcW w:w="940" w:type="dxa"/>
            <w:vAlign w:val="bottom"/>
            <w:tcBorders>
              <w:top w:val="single" w:sz="8" w:color="AAA2A7"/>
              <w:right w:val="single" w:sz="8" w:color="AAA2A7"/>
            </w:tcBorders>
            <w:vMerge w:val="restart"/>
            <w:shd w:val="clear" w:color="auto" w:fill="0085CD"/>
          </w:tcPr>
          <w:p>
            <w:pPr>
              <w:jc w:val="center"/>
              <w:spacing w:after="0"/>
              <w:rPr>
                <w:sz w:val="20"/>
                <w:szCs w:val="20"/>
                <w:color w:val="auto"/>
              </w:rPr>
            </w:pPr>
            <w:r>
              <w:rPr>
                <w:rFonts w:ascii="Arial" w:cs="Arial" w:eastAsia="Arial" w:hAnsi="Arial"/>
                <w:sz w:val="18"/>
                <w:szCs w:val="18"/>
                <w:b w:val="1"/>
                <w:bCs w:val="1"/>
                <w:color w:val="FFFFFF"/>
                <w:w w:val="99"/>
              </w:rPr>
              <w:t>2011</w:t>
            </w:r>
          </w:p>
        </w:tc>
        <w:tc>
          <w:tcPr>
            <w:tcW w:w="920" w:type="dxa"/>
            <w:vAlign w:val="bottom"/>
            <w:tcBorders>
              <w:top w:val="single" w:sz="8" w:color="AAA2A7"/>
              <w:right w:val="single" w:sz="8" w:color="AAA2A7"/>
            </w:tcBorders>
            <w:vMerge w:val="restart"/>
            <w:shd w:val="clear" w:color="auto" w:fill="0085CD"/>
          </w:tcPr>
          <w:p>
            <w:pPr>
              <w:jc w:val="center"/>
              <w:spacing w:after="0"/>
              <w:rPr>
                <w:sz w:val="20"/>
                <w:szCs w:val="20"/>
                <w:color w:val="auto"/>
              </w:rPr>
            </w:pPr>
            <w:r>
              <w:rPr>
                <w:rFonts w:ascii="Arial" w:cs="Arial" w:eastAsia="Arial" w:hAnsi="Arial"/>
                <w:sz w:val="18"/>
                <w:szCs w:val="18"/>
                <w:b w:val="1"/>
                <w:bCs w:val="1"/>
                <w:color w:val="FFFFFF"/>
                <w:w w:val="99"/>
              </w:rPr>
              <w:t>2012</w:t>
            </w:r>
          </w:p>
        </w:tc>
        <w:tc>
          <w:tcPr>
            <w:tcW w:w="940" w:type="dxa"/>
            <w:vAlign w:val="bottom"/>
            <w:tcBorders>
              <w:top w:val="single" w:sz="8" w:color="AAA2A7"/>
              <w:right w:val="single" w:sz="8" w:color="AAA2A7"/>
            </w:tcBorders>
            <w:vMerge w:val="restart"/>
            <w:shd w:val="clear" w:color="auto" w:fill="0085CD"/>
          </w:tcPr>
          <w:p>
            <w:pPr>
              <w:jc w:val="right"/>
              <w:ind w:right="157"/>
              <w:spacing w:after="0"/>
              <w:rPr>
                <w:sz w:val="20"/>
                <w:szCs w:val="20"/>
                <w:color w:val="auto"/>
              </w:rPr>
            </w:pPr>
            <w:r>
              <w:rPr>
                <w:rFonts w:ascii="Arial" w:cs="Arial" w:eastAsia="Arial" w:hAnsi="Arial"/>
                <w:sz w:val="18"/>
                <w:szCs w:val="18"/>
                <w:b w:val="1"/>
                <w:bCs w:val="1"/>
                <w:color w:val="FFFFFF"/>
              </w:rPr>
              <w:t>2013</w:t>
            </w:r>
          </w:p>
        </w:tc>
        <w:tc>
          <w:tcPr>
            <w:tcW w:w="920" w:type="dxa"/>
            <w:vAlign w:val="bottom"/>
            <w:tcBorders>
              <w:top w:val="single" w:sz="8" w:color="AAA2A7"/>
              <w:right w:val="single" w:sz="8" w:color="AAA2A7"/>
            </w:tcBorders>
            <w:vMerge w:val="restart"/>
            <w:shd w:val="clear" w:color="auto" w:fill="0085CD"/>
          </w:tcPr>
          <w:p>
            <w:pPr>
              <w:jc w:val="center"/>
              <w:spacing w:after="0"/>
              <w:rPr>
                <w:sz w:val="20"/>
                <w:szCs w:val="20"/>
                <w:color w:val="auto"/>
              </w:rPr>
            </w:pPr>
            <w:r>
              <w:rPr>
                <w:rFonts w:ascii="Arial" w:cs="Arial" w:eastAsia="Arial" w:hAnsi="Arial"/>
                <w:sz w:val="18"/>
                <w:szCs w:val="18"/>
                <w:b w:val="1"/>
                <w:bCs w:val="1"/>
                <w:color w:val="FFFFFF"/>
                <w:w w:val="99"/>
              </w:rPr>
              <w:t>2014</w:t>
            </w:r>
          </w:p>
        </w:tc>
        <w:tc>
          <w:tcPr>
            <w:tcW w:w="940" w:type="dxa"/>
            <w:vAlign w:val="bottom"/>
            <w:tcBorders>
              <w:top w:val="single" w:sz="8" w:color="AAA2A7"/>
              <w:right w:val="single" w:sz="8" w:color="AAA2A7"/>
            </w:tcBorders>
            <w:vMerge w:val="restart"/>
            <w:shd w:val="clear" w:color="auto" w:fill="0085CD"/>
          </w:tcPr>
          <w:p>
            <w:pPr>
              <w:jc w:val="center"/>
              <w:ind w:left="17"/>
              <w:spacing w:after="0"/>
              <w:rPr>
                <w:sz w:val="20"/>
                <w:szCs w:val="20"/>
                <w:color w:val="auto"/>
              </w:rPr>
            </w:pPr>
            <w:r>
              <w:rPr>
                <w:rFonts w:ascii="Arial" w:cs="Arial" w:eastAsia="Arial" w:hAnsi="Arial"/>
                <w:sz w:val="18"/>
                <w:szCs w:val="18"/>
                <w:b w:val="1"/>
                <w:bCs w:val="1"/>
                <w:color w:val="FFFFFF"/>
                <w:w w:val="99"/>
              </w:rPr>
              <w:t>2015</w:t>
            </w:r>
          </w:p>
        </w:tc>
        <w:tc>
          <w:tcPr>
            <w:tcW w:w="920" w:type="dxa"/>
            <w:vAlign w:val="bottom"/>
            <w:tcBorders>
              <w:top w:val="single" w:sz="8" w:color="AAA2A7"/>
              <w:right w:val="single" w:sz="8" w:color="AAA2A7"/>
            </w:tcBorders>
            <w:vMerge w:val="restart"/>
            <w:shd w:val="clear" w:color="auto" w:fill="0085CD"/>
          </w:tcPr>
          <w:p>
            <w:pPr>
              <w:jc w:val="center"/>
              <w:spacing w:after="0"/>
              <w:rPr>
                <w:sz w:val="20"/>
                <w:szCs w:val="20"/>
                <w:color w:val="auto"/>
              </w:rPr>
            </w:pPr>
            <w:r>
              <w:rPr>
                <w:rFonts w:ascii="Arial" w:cs="Arial" w:eastAsia="Arial" w:hAnsi="Arial"/>
                <w:sz w:val="18"/>
                <w:szCs w:val="18"/>
                <w:b w:val="1"/>
                <w:bCs w:val="1"/>
                <w:color w:val="FFFFFF"/>
                <w:w w:val="99"/>
              </w:rPr>
              <w:t>2016</w:t>
            </w:r>
          </w:p>
        </w:tc>
        <w:tc>
          <w:tcPr>
            <w:tcW w:w="940" w:type="dxa"/>
            <w:vAlign w:val="bottom"/>
            <w:tcBorders>
              <w:top w:val="single" w:sz="8" w:color="AAA2A7"/>
              <w:right w:val="single" w:sz="8" w:color="AAA2A7"/>
            </w:tcBorders>
            <w:vMerge w:val="restart"/>
            <w:shd w:val="clear" w:color="auto" w:fill="0085CD"/>
          </w:tcPr>
          <w:p>
            <w:pPr>
              <w:jc w:val="center"/>
              <w:ind w:left="17"/>
              <w:spacing w:after="0"/>
              <w:rPr>
                <w:sz w:val="20"/>
                <w:szCs w:val="20"/>
                <w:color w:val="auto"/>
              </w:rPr>
            </w:pPr>
            <w:r>
              <w:rPr>
                <w:rFonts w:ascii="Arial" w:cs="Arial" w:eastAsia="Arial" w:hAnsi="Arial"/>
                <w:sz w:val="18"/>
                <w:szCs w:val="18"/>
                <w:b w:val="1"/>
                <w:bCs w:val="1"/>
                <w:color w:val="FFFFFF"/>
                <w:w w:val="99"/>
              </w:rPr>
              <w:t>2017</w:t>
            </w:r>
          </w:p>
        </w:tc>
        <w:tc>
          <w:tcPr>
            <w:tcW w:w="920" w:type="dxa"/>
            <w:vAlign w:val="bottom"/>
            <w:tcBorders>
              <w:top w:val="single" w:sz="8" w:color="AAA2A7"/>
              <w:right w:val="single" w:sz="8" w:color="AAA2A7"/>
            </w:tcBorders>
            <w:shd w:val="clear" w:color="auto" w:fill="0085CD"/>
          </w:tcPr>
          <w:p>
            <w:pPr>
              <w:jc w:val="center"/>
              <w:spacing w:after="0"/>
              <w:rPr>
                <w:sz w:val="20"/>
                <w:szCs w:val="20"/>
                <w:color w:val="auto"/>
              </w:rPr>
            </w:pPr>
            <w:r>
              <w:rPr>
                <w:rFonts w:ascii="Arial" w:cs="Arial" w:eastAsia="Arial" w:hAnsi="Arial"/>
                <w:sz w:val="18"/>
                <w:szCs w:val="18"/>
                <w:b w:val="1"/>
                <w:bCs w:val="1"/>
                <w:color w:val="FFFFFF"/>
                <w:w w:val="99"/>
              </w:rPr>
              <w:t>2018</w:t>
            </w:r>
          </w:p>
        </w:tc>
        <w:tc>
          <w:tcPr>
            <w:tcW w:w="0" w:type="dxa"/>
            <w:vAlign w:val="bottom"/>
          </w:tcPr>
          <w:p>
            <w:pPr>
              <w:spacing w:after="0"/>
              <w:rPr>
                <w:sz w:val="1"/>
                <w:szCs w:val="1"/>
                <w:color w:val="auto"/>
              </w:rPr>
            </w:pPr>
          </w:p>
        </w:tc>
      </w:tr>
      <w:tr>
        <w:trPr>
          <w:trHeight w:val="166"/>
        </w:trPr>
        <w:tc>
          <w:tcPr>
            <w:tcW w:w="4000" w:type="dxa"/>
            <w:vAlign w:val="bottom"/>
            <w:tcBorders>
              <w:left w:val="single" w:sz="8" w:color="AAA2A7"/>
              <w:bottom w:val="single" w:sz="8" w:color="AAA2A7"/>
              <w:right w:val="single" w:sz="8" w:color="AAA2A7"/>
            </w:tcBorders>
          </w:tcPr>
          <w:p>
            <w:pPr>
              <w:spacing w:after="0"/>
              <w:rPr>
                <w:sz w:val="14"/>
                <w:szCs w:val="14"/>
                <w:color w:val="auto"/>
              </w:rPr>
            </w:pPr>
          </w:p>
        </w:tc>
        <w:tc>
          <w:tcPr>
            <w:tcW w:w="940" w:type="dxa"/>
            <w:vAlign w:val="bottom"/>
            <w:tcBorders>
              <w:bottom w:val="single" w:sz="8" w:color="AAA2A7"/>
              <w:right w:val="single" w:sz="8" w:color="AAA2A7"/>
            </w:tcBorders>
            <w:vMerge w:val="continue"/>
            <w:shd w:val="clear" w:color="auto" w:fill="0085CD"/>
          </w:tcPr>
          <w:p>
            <w:pPr>
              <w:spacing w:after="0"/>
              <w:rPr>
                <w:sz w:val="14"/>
                <w:szCs w:val="14"/>
                <w:color w:val="auto"/>
              </w:rPr>
            </w:pPr>
          </w:p>
        </w:tc>
        <w:tc>
          <w:tcPr>
            <w:tcW w:w="920" w:type="dxa"/>
            <w:vAlign w:val="bottom"/>
            <w:tcBorders>
              <w:bottom w:val="single" w:sz="8" w:color="AAA2A7"/>
              <w:right w:val="single" w:sz="8" w:color="AAA2A7"/>
            </w:tcBorders>
            <w:vMerge w:val="continue"/>
            <w:shd w:val="clear" w:color="auto" w:fill="0085CD"/>
          </w:tcPr>
          <w:p>
            <w:pPr>
              <w:spacing w:after="0"/>
              <w:rPr>
                <w:sz w:val="14"/>
                <w:szCs w:val="14"/>
                <w:color w:val="auto"/>
              </w:rPr>
            </w:pPr>
          </w:p>
        </w:tc>
        <w:tc>
          <w:tcPr>
            <w:tcW w:w="940" w:type="dxa"/>
            <w:vAlign w:val="bottom"/>
            <w:tcBorders>
              <w:bottom w:val="single" w:sz="8" w:color="AAA2A7"/>
              <w:right w:val="single" w:sz="8" w:color="AAA2A7"/>
            </w:tcBorders>
            <w:vMerge w:val="continue"/>
            <w:shd w:val="clear" w:color="auto" w:fill="0085CD"/>
          </w:tcPr>
          <w:p>
            <w:pPr>
              <w:spacing w:after="0"/>
              <w:rPr>
                <w:sz w:val="14"/>
                <w:szCs w:val="14"/>
                <w:color w:val="auto"/>
              </w:rPr>
            </w:pPr>
          </w:p>
        </w:tc>
        <w:tc>
          <w:tcPr>
            <w:tcW w:w="920" w:type="dxa"/>
            <w:vAlign w:val="bottom"/>
            <w:tcBorders>
              <w:bottom w:val="single" w:sz="8" w:color="AAA2A7"/>
              <w:right w:val="single" w:sz="8" w:color="AAA2A7"/>
            </w:tcBorders>
            <w:vMerge w:val="continue"/>
            <w:shd w:val="clear" w:color="auto" w:fill="0085CD"/>
          </w:tcPr>
          <w:p>
            <w:pPr>
              <w:spacing w:after="0"/>
              <w:rPr>
                <w:sz w:val="14"/>
                <w:szCs w:val="14"/>
                <w:color w:val="auto"/>
              </w:rPr>
            </w:pPr>
          </w:p>
        </w:tc>
        <w:tc>
          <w:tcPr>
            <w:tcW w:w="940" w:type="dxa"/>
            <w:vAlign w:val="bottom"/>
            <w:tcBorders>
              <w:bottom w:val="single" w:sz="8" w:color="AAA2A7"/>
              <w:right w:val="single" w:sz="8" w:color="AAA2A7"/>
            </w:tcBorders>
            <w:vMerge w:val="continue"/>
            <w:shd w:val="clear" w:color="auto" w:fill="0085CD"/>
          </w:tcPr>
          <w:p>
            <w:pPr>
              <w:spacing w:after="0"/>
              <w:rPr>
                <w:sz w:val="14"/>
                <w:szCs w:val="14"/>
                <w:color w:val="auto"/>
              </w:rPr>
            </w:pPr>
          </w:p>
        </w:tc>
        <w:tc>
          <w:tcPr>
            <w:tcW w:w="920" w:type="dxa"/>
            <w:vAlign w:val="bottom"/>
            <w:tcBorders>
              <w:bottom w:val="single" w:sz="8" w:color="AAA2A7"/>
              <w:right w:val="single" w:sz="8" w:color="AAA2A7"/>
            </w:tcBorders>
            <w:vMerge w:val="continue"/>
            <w:shd w:val="clear" w:color="auto" w:fill="0085CD"/>
          </w:tcPr>
          <w:p>
            <w:pPr>
              <w:spacing w:after="0"/>
              <w:rPr>
                <w:sz w:val="14"/>
                <w:szCs w:val="14"/>
                <w:color w:val="auto"/>
              </w:rPr>
            </w:pPr>
          </w:p>
        </w:tc>
        <w:tc>
          <w:tcPr>
            <w:tcW w:w="940" w:type="dxa"/>
            <w:vAlign w:val="bottom"/>
            <w:tcBorders>
              <w:bottom w:val="single" w:sz="8" w:color="AAA2A7"/>
              <w:right w:val="single" w:sz="8" w:color="AAA2A7"/>
            </w:tcBorders>
            <w:vMerge w:val="continue"/>
            <w:shd w:val="clear" w:color="auto" w:fill="0085CD"/>
          </w:tcPr>
          <w:p>
            <w:pPr>
              <w:spacing w:after="0"/>
              <w:rPr>
                <w:sz w:val="14"/>
                <w:szCs w:val="14"/>
                <w:color w:val="auto"/>
              </w:rPr>
            </w:pPr>
          </w:p>
        </w:tc>
        <w:tc>
          <w:tcPr>
            <w:tcW w:w="920" w:type="dxa"/>
            <w:vAlign w:val="bottom"/>
            <w:tcBorders>
              <w:bottom w:val="single" w:sz="8" w:color="AAA2A7"/>
              <w:right w:val="single" w:sz="8" w:color="AAA2A7"/>
            </w:tcBorders>
            <w:shd w:val="clear" w:color="auto" w:fill="0085CD"/>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00" w:type="dxa"/>
            <w:vAlign w:val="bottom"/>
            <w:tcBorders>
              <w:left w:val="single" w:sz="8" w:color="AAA2A7"/>
              <w:bottom w:val="single" w:sz="8" w:color="AAA2A7"/>
              <w:right w:val="single" w:sz="8" w:color="AAA2A7"/>
            </w:tcBorders>
          </w:tcPr>
          <w:p>
            <w:pPr>
              <w:jc w:val="center"/>
              <w:ind w:left="59"/>
              <w:spacing w:after="0" w:line="183" w:lineRule="exact"/>
              <w:rPr>
                <w:sz w:val="20"/>
                <w:szCs w:val="20"/>
                <w:color w:val="auto"/>
              </w:rPr>
            </w:pPr>
            <w:r>
              <w:rPr>
                <w:rFonts w:ascii="Arial" w:cs="Arial" w:eastAsia="Arial" w:hAnsi="Arial"/>
                <w:sz w:val="16"/>
                <w:szCs w:val="16"/>
                <w:b w:val="1"/>
                <w:bCs w:val="1"/>
                <w:color w:val="6E646C"/>
              </w:rPr>
              <w:t>Martin Marietta</w:t>
            </w:r>
          </w:p>
        </w:tc>
        <w:tc>
          <w:tcPr>
            <w:tcW w:w="940" w:type="dxa"/>
            <w:vAlign w:val="bottom"/>
            <w:tcBorders>
              <w:bottom w:val="single" w:sz="8" w:color="AAA2A7"/>
              <w:right w:val="single" w:sz="8" w:color="AAA2A7"/>
            </w:tcBorders>
          </w:tcPr>
          <w:p>
            <w:pPr>
              <w:jc w:val="center"/>
              <w:spacing w:after="0" w:line="183" w:lineRule="exact"/>
              <w:rPr>
                <w:sz w:val="20"/>
                <w:szCs w:val="20"/>
                <w:color w:val="auto"/>
              </w:rPr>
            </w:pPr>
            <w:r>
              <w:rPr>
                <w:rFonts w:ascii="Arial" w:cs="Arial" w:eastAsia="Arial" w:hAnsi="Arial"/>
                <w:sz w:val="16"/>
                <w:szCs w:val="16"/>
                <w:b w:val="1"/>
                <w:bCs w:val="1"/>
                <w:color w:val="6E646C"/>
              </w:rPr>
              <w:t>$100.00</w:t>
            </w:r>
          </w:p>
        </w:tc>
        <w:tc>
          <w:tcPr>
            <w:tcW w:w="920" w:type="dxa"/>
            <w:vAlign w:val="bottom"/>
            <w:tcBorders>
              <w:bottom w:val="single" w:sz="8" w:color="AAA2A7"/>
              <w:right w:val="single" w:sz="8" w:color="AAA2A7"/>
            </w:tcBorders>
          </w:tcPr>
          <w:p>
            <w:pPr>
              <w:jc w:val="center"/>
              <w:spacing w:after="0" w:line="183" w:lineRule="exact"/>
              <w:rPr>
                <w:sz w:val="20"/>
                <w:szCs w:val="20"/>
                <w:color w:val="auto"/>
              </w:rPr>
            </w:pPr>
            <w:r>
              <w:rPr>
                <w:rFonts w:ascii="Arial" w:cs="Arial" w:eastAsia="Arial" w:hAnsi="Arial"/>
                <w:sz w:val="16"/>
                <w:szCs w:val="16"/>
                <w:b w:val="1"/>
                <w:bCs w:val="1"/>
                <w:color w:val="6E646C"/>
              </w:rPr>
              <w:t>$127.60</w:t>
            </w:r>
          </w:p>
        </w:tc>
        <w:tc>
          <w:tcPr>
            <w:tcW w:w="940" w:type="dxa"/>
            <w:vAlign w:val="bottom"/>
            <w:tcBorders>
              <w:bottom w:val="single" w:sz="8" w:color="AAA2A7"/>
              <w:right w:val="single" w:sz="8" w:color="AAA2A7"/>
            </w:tcBorders>
          </w:tcPr>
          <w:p>
            <w:pPr>
              <w:jc w:val="right"/>
              <w:ind w:right="137"/>
              <w:spacing w:after="0" w:line="183" w:lineRule="exact"/>
              <w:rPr>
                <w:sz w:val="20"/>
                <w:szCs w:val="20"/>
                <w:color w:val="auto"/>
              </w:rPr>
            </w:pPr>
            <w:r>
              <w:rPr>
                <w:rFonts w:ascii="Arial" w:cs="Arial" w:eastAsia="Arial" w:hAnsi="Arial"/>
                <w:sz w:val="16"/>
                <w:szCs w:val="16"/>
                <w:b w:val="1"/>
                <w:bCs w:val="1"/>
                <w:color w:val="6E646C"/>
              </w:rPr>
              <w:t>$137.45</w:t>
            </w:r>
          </w:p>
        </w:tc>
        <w:tc>
          <w:tcPr>
            <w:tcW w:w="920" w:type="dxa"/>
            <w:vAlign w:val="bottom"/>
            <w:tcBorders>
              <w:bottom w:val="single" w:sz="8" w:color="AAA2A7"/>
              <w:right w:val="single" w:sz="8" w:color="AAA2A7"/>
            </w:tcBorders>
          </w:tcPr>
          <w:p>
            <w:pPr>
              <w:jc w:val="center"/>
              <w:spacing w:after="0" w:line="183" w:lineRule="exact"/>
              <w:rPr>
                <w:sz w:val="20"/>
                <w:szCs w:val="20"/>
                <w:color w:val="auto"/>
              </w:rPr>
            </w:pPr>
            <w:r>
              <w:rPr>
                <w:rFonts w:ascii="Arial" w:cs="Arial" w:eastAsia="Arial" w:hAnsi="Arial"/>
                <w:sz w:val="16"/>
                <w:szCs w:val="16"/>
                <w:b w:val="1"/>
                <w:bCs w:val="1"/>
                <w:color w:val="6E646C"/>
              </w:rPr>
              <w:t>$153.67</w:t>
            </w:r>
          </w:p>
        </w:tc>
        <w:tc>
          <w:tcPr>
            <w:tcW w:w="940" w:type="dxa"/>
            <w:vAlign w:val="bottom"/>
            <w:tcBorders>
              <w:bottom w:val="single" w:sz="8" w:color="AAA2A7"/>
              <w:right w:val="single" w:sz="8" w:color="AAA2A7"/>
            </w:tcBorders>
          </w:tcPr>
          <w:p>
            <w:pPr>
              <w:jc w:val="center"/>
              <w:spacing w:after="0" w:line="183" w:lineRule="exact"/>
              <w:rPr>
                <w:sz w:val="20"/>
                <w:szCs w:val="20"/>
                <w:color w:val="auto"/>
              </w:rPr>
            </w:pPr>
            <w:r>
              <w:rPr>
                <w:rFonts w:ascii="Arial" w:cs="Arial" w:eastAsia="Arial" w:hAnsi="Arial"/>
                <w:sz w:val="16"/>
                <w:szCs w:val="16"/>
                <w:b w:val="1"/>
                <w:bCs w:val="1"/>
                <w:color w:val="6E646C"/>
              </w:rPr>
              <w:t>$192.23</w:t>
            </w:r>
          </w:p>
        </w:tc>
        <w:tc>
          <w:tcPr>
            <w:tcW w:w="920" w:type="dxa"/>
            <w:vAlign w:val="bottom"/>
            <w:tcBorders>
              <w:bottom w:val="single" w:sz="8" w:color="AAA2A7"/>
              <w:right w:val="single" w:sz="8" w:color="AAA2A7"/>
            </w:tcBorders>
          </w:tcPr>
          <w:p>
            <w:pPr>
              <w:jc w:val="center"/>
              <w:ind w:left="17"/>
              <w:spacing w:after="0" w:line="183" w:lineRule="exact"/>
              <w:rPr>
                <w:sz w:val="20"/>
                <w:szCs w:val="20"/>
                <w:color w:val="auto"/>
              </w:rPr>
            </w:pPr>
            <w:r>
              <w:rPr>
                <w:rFonts w:ascii="Arial" w:cs="Arial" w:eastAsia="Arial" w:hAnsi="Arial"/>
                <w:sz w:val="16"/>
                <w:szCs w:val="16"/>
                <w:b w:val="1"/>
                <w:bCs w:val="1"/>
                <w:color w:val="6E646C"/>
              </w:rPr>
              <w:t>$314.62</w:t>
            </w:r>
          </w:p>
        </w:tc>
        <w:tc>
          <w:tcPr>
            <w:tcW w:w="940" w:type="dxa"/>
            <w:vAlign w:val="bottom"/>
            <w:tcBorders>
              <w:bottom w:val="single" w:sz="8" w:color="AAA2A7"/>
              <w:right w:val="single" w:sz="8" w:color="AAA2A7"/>
            </w:tcBorders>
          </w:tcPr>
          <w:p>
            <w:pPr>
              <w:jc w:val="center"/>
              <w:spacing w:after="0" w:line="183" w:lineRule="exact"/>
              <w:rPr>
                <w:sz w:val="20"/>
                <w:szCs w:val="20"/>
                <w:color w:val="auto"/>
              </w:rPr>
            </w:pPr>
            <w:r>
              <w:rPr>
                <w:rFonts w:ascii="Arial" w:cs="Arial" w:eastAsia="Arial" w:hAnsi="Arial"/>
                <w:sz w:val="16"/>
                <w:szCs w:val="16"/>
                <w:b w:val="1"/>
                <w:bCs w:val="1"/>
                <w:color w:val="6E646C"/>
              </w:rPr>
              <w:t>$316.43</w:t>
            </w:r>
          </w:p>
        </w:tc>
        <w:tc>
          <w:tcPr>
            <w:tcW w:w="920" w:type="dxa"/>
            <w:vAlign w:val="bottom"/>
            <w:tcBorders>
              <w:bottom w:val="single" w:sz="8" w:color="AAA2A7"/>
              <w:right w:val="single" w:sz="8" w:color="AAA2A7"/>
            </w:tcBorders>
          </w:tcPr>
          <w:p>
            <w:pPr>
              <w:jc w:val="center"/>
              <w:spacing w:after="0" w:line="183" w:lineRule="exact"/>
              <w:rPr>
                <w:sz w:val="20"/>
                <w:szCs w:val="20"/>
                <w:color w:val="auto"/>
              </w:rPr>
            </w:pPr>
            <w:r>
              <w:rPr>
                <w:rFonts w:ascii="Arial" w:cs="Arial" w:eastAsia="Arial" w:hAnsi="Arial"/>
                <w:sz w:val="16"/>
                <w:szCs w:val="16"/>
                <w:b w:val="1"/>
                <w:bCs w:val="1"/>
                <w:color w:val="6E646C"/>
              </w:rPr>
              <w:t>$248.28</w:t>
            </w:r>
          </w:p>
        </w:tc>
        <w:tc>
          <w:tcPr>
            <w:tcW w:w="0" w:type="dxa"/>
            <w:vAlign w:val="bottom"/>
          </w:tcPr>
          <w:p>
            <w:pPr>
              <w:spacing w:after="0"/>
              <w:rPr>
                <w:sz w:val="1"/>
                <w:szCs w:val="1"/>
                <w:color w:val="auto"/>
              </w:rPr>
            </w:pPr>
          </w:p>
        </w:tc>
      </w:tr>
      <w:tr>
        <w:trPr>
          <w:trHeight w:val="183"/>
        </w:trPr>
        <w:tc>
          <w:tcPr>
            <w:tcW w:w="4000" w:type="dxa"/>
            <w:vAlign w:val="bottom"/>
            <w:tcBorders>
              <w:left w:val="single" w:sz="8" w:color="AAA2A7"/>
              <w:bottom w:val="single" w:sz="8" w:color="AAA2A7"/>
              <w:right w:val="single" w:sz="8" w:color="AAA2A7"/>
            </w:tcBorders>
            <w:shd w:val="clear" w:color="auto" w:fill="E2E4E6"/>
          </w:tcPr>
          <w:p>
            <w:pPr>
              <w:jc w:val="center"/>
              <w:ind w:left="79"/>
              <w:spacing w:after="0" w:line="183" w:lineRule="exact"/>
              <w:rPr>
                <w:sz w:val="20"/>
                <w:szCs w:val="20"/>
                <w:color w:val="auto"/>
              </w:rPr>
            </w:pPr>
            <w:r>
              <w:rPr>
                <w:rFonts w:ascii="Arial" w:cs="Arial" w:eastAsia="Arial" w:hAnsi="Arial"/>
                <w:sz w:val="16"/>
                <w:szCs w:val="16"/>
                <w:b w:val="1"/>
                <w:bCs w:val="1"/>
                <w:color w:val="6E646C"/>
              </w:rPr>
              <w:t>S&amp;P 500 Index</w:t>
            </w:r>
          </w:p>
        </w:tc>
        <w:tc>
          <w:tcPr>
            <w:tcW w:w="940" w:type="dxa"/>
            <w:vAlign w:val="bottom"/>
            <w:tcBorders>
              <w:bottom w:val="single" w:sz="8" w:color="AAA2A7"/>
              <w:right w:val="single" w:sz="8" w:color="AAA2A7"/>
            </w:tcBorders>
            <w:shd w:val="clear" w:color="auto" w:fill="E2E4E6"/>
          </w:tcPr>
          <w:p>
            <w:pPr>
              <w:jc w:val="center"/>
              <w:spacing w:after="0" w:line="183" w:lineRule="exact"/>
              <w:rPr>
                <w:sz w:val="20"/>
                <w:szCs w:val="20"/>
                <w:color w:val="auto"/>
              </w:rPr>
            </w:pPr>
            <w:r>
              <w:rPr>
                <w:rFonts w:ascii="Arial" w:cs="Arial" w:eastAsia="Arial" w:hAnsi="Arial"/>
                <w:sz w:val="16"/>
                <w:szCs w:val="16"/>
                <w:b w:val="1"/>
                <w:bCs w:val="1"/>
                <w:color w:val="6E646C"/>
              </w:rPr>
              <w:t>$100.00</w:t>
            </w:r>
          </w:p>
        </w:tc>
        <w:tc>
          <w:tcPr>
            <w:tcW w:w="920" w:type="dxa"/>
            <w:vAlign w:val="bottom"/>
            <w:tcBorders>
              <w:bottom w:val="single" w:sz="8" w:color="AAA2A7"/>
              <w:right w:val="single" w:sz="8" w:color="AAA2A7"/>
            </w:tcBorders>
            <w:shd w:val="clear" w:color="auto" w:fill="E2E4E6"/>
          </w:tcPr>
          <w:p>
            <w:pPr>
              <w:jc w:val="center"/>
              <w:spacing w:after="0" w:line="183" w:lineRule="exact"/>
              <w:rPr>
                <w:sz w:val="20"/>
                <w:szCs w:val="20"/>
                <w:color w:val="auto"/>
              </w:rPr>
            </w:pPr>
            <w:r>
              <w:rPr>
                <w:rFonts w:ascii="Arial" w:cs="Arial" w:eastAsia="Arial" w:hAnsi="Arial"/>
                <w:sz w:val="16"/>
                <w:szCs w:val="16"/>
                <w:b w:val="1"/>
                <w:bCs w:val="1"/>
                <w:color w:val="6E646C"/>
              </w:rPr>
              <w:t>$116.00</w:t>
            </w:r>
          </w:p>
        </w:tc>
        <w:tc>
          <w:tcPr>
            <w:tcW w:w="940" w:type="dxa"/>
            <w:vAlign w:val="bottom"/>
            <w:tcBorders>
              <w:bottom w:val="single" w:sz="8" w:color="AAA2A7"/>
              <w:right w:val="single" w:sz="8" w:color="AAA2A7"/>
            </w:tcBorders>
            <w:shd w:val="clear" w:color="auto" w:fill="E2E4E6"/>
          </w:tcPr>
          <w:p>
            <w:pPr>
              <w:jc w:val="right"/>
              <w:ind w:right="137"/>
              <w:spacing w:after="0" w:line="183" w:lineRule="exact"/>
              <w:rPr>
                <w:sz w:val="20"/>
                <w:szCs w:val="20"/>
                <w:color w:val="auto"/>
              </w:rPr>
            </w:pPr>
            <w:r>
              <w:rPr>
                <w:rFonts w:ascii="Arial" w:cs="Arial" w:eastAsia="Arial" w:hAnsi="Arial"/>
                <w:sz w:val="16"/>
                <w:szCs w:val="16"/>
                <w:b w:val="1"/>
                <w:bCs w:val="1"/>
                <w:color w:val="6E646C"/>
              </w:rPr>
              <w:t>$153.57</w:t>
            </w:r>
          </w:p>
        </w:tc>
        <w:tc>
          <w:tcPr>
            <w:tcW w:w="920" w:type="dxa"/>
            <w:vAlign w:val="bottom"/>
            <w:tcBorders>
              <w:bottom w:val="single" w:sz="8" w:color="AAA2A7"/>
              <w:right w:val="single" w:sz="8" w:color="AAA2A7"/>
            </w:tcBorders>
            <w:shd w:val="clear" w:color="auto" w:fill="E2E4E6"/>
          </w:tcPr>
          <w:p>
            <w:pPr>
              <w:jc w:val="center"/>
              <w:spacing w:after="0" w:line="183" w:lineRule="exact"/>
              <w:rPr>
                <w:sz w:val="20"/>
                <w:szCs w:val="20"/>
                <w:color w:val="auto"/>
              </w:rPr>
            </w:pPr>
            <w:r>
              <w:rPr>
                <w:rFonts w:ascii="Arial" w:cs="Arial" w:eastAsia="Arial" w:hAnsi="Arial"/>
                <w:sz w:val="16"/>
                <w:szCs w:val="16"/>
                <w:b w:val="1"/>
                <w:bCs w:val="1"/>
                <w:color w:val="6E646C"/>
              </w:rPr>
              <w:t>$174.60</w:t>
            </w:r>
          </w:p>
        </w:tc>
        <w:tc>
          <w:tcPr>
            <w:tcW w:w="940" w:type="dxa"/>
            <w:vAlign w:val="bottom"/>
            <w:tcBorders>
              <w:bottom w:val="single" w:sz="8" w:color="AAA2A7"/>
              <w:right w:val="single" w:sz="8" w:color="AAA2A7"/>
            </w:tcBorders>
            <w:shd w:val="clear" w:color="auto" w:fill="E2E4E6"/>
          </w:tcPr>
          <w:p>
            <w:pPr>
              <w:jc w:val="center"/>
              <w:spacing w:after="0" w:line="183" w:lineRule="exact"/>
              <w:rPr>
                <w:sz w:val="20"/>
                <w:szCs w:val="20"/>
                <w:color w:val="auto"/>
              </w:rPr>
            </w:pPr>
            <w:r>
              <w:rPr>
                <w:rFonts w:ascii="Arial" w:cs="Arial" w:eastAsia="Arial" w:hAnsi="Arial"/>
                <w:sz w:val="16"/>
                <w:szCs w:val="16"/>
                <w:b w:val="1"/>
                <w:bCs w:val="1"/>
                <w:color w:val="6E646C"/>
              </w:rPr>
              <w:t>$177.01</w:t>
            </w:r>
          </w:p>
        </w:tc>
        <w:tc>
          <w:tcPr>
            <w:tcW w:w="920" w:type="dxa"/>
            <w:vAlign w:val="bottom"/>
            <w:tcBorders>
              <w:bottom w:val="single" w:sz="8" w:color="AAA2A7"/>
              <w:right w:val="single" w:sz="8" w:color="AAA2A7"/>
            </w:tcBorders>
            <w:shd w:val="clear" w:color="auto" w:fill="E2E4E6"/>
          </w:tcPr>
          <w:p>
            <w:pPr>
              <w:jc w:val="center"/>
              <w:ind w:left="17"/>
              <w:spacing w:after="0" w:line="183" w:lineRule="exact"/>
              <w:rPr>
                <w:sz w:val="20"/>
                <w:szCs w:val="20"/>
                <w:color w:val="auto"/>
              </w:rPr>
            </w:pPr>
            <w:r>
              <w:rPr>
                <w:rFonts w:ascii="Arial" w:cs="Arial" w:eastAsia="Arial" w:hAnsi="Arial"/>
                <w:sz w:val="16"/>
                <w:szCs w:val="16"/>
                <w:b w:val="1"/>
                <w:bCs w:val="1"/>
                <w:color w:val="6E646C"/>
              </w:rPr>
              <w:t>$198.18</w:t>
            </w:r>
          </w:p>
        </w:tc>
        <w:tc>
          <w:tcPr>
            <w:tcW w:w="940" w:type="dxa"/>
            <w:vAlign w:val="bottom"/>
            <w:tcBorders>
              <w:bottom w:val="single" w:sz="8" w:color="AAA2A7"/>
              <w:right w:val="single" w:sz="8" w:color="AAA2A7"/>
            </w:tcBorders>
            <w:shd w:val="clear" w:color="auto" w:fill="E2E4E6"/>
          </w:tcPr>
          <w:p>
            <w:pPr>
              <w:jc w:val="center"/>
              <w:spacing w:after="0" w:line="183" w:lineRule="exact"/>
              <w:rPr>
                <w:sz w:val="20"/>
                <w:szCs w:val="20"/>
                <w:color w:val="auto"/>
              </w:rPr>
            </w:pPr>
            <w:r>
              <w:rPr>
                <w:rFonts w:ascii="Arial" w:cs="Arial" w:eastAsia="Arial" w:hAnsi="Arial"/>
                <w:sz w:val="16"/>
                <w:szCs w:val="16"/>
                <w:b w:val="1"/>
                <w:bCs w:val="1"/>
                <w:color w:val="6E646C"/>
              </w:rPr>
              <w:t>$241.45</w:t>
            </w:r>
          </w:p>
        </w:tc>
        <w:tc>
          <w:tcPr>
            <w:tcW w:w="920" w:type="dxa"/>
            <w:vAlign w:val="bottom"/>
            <w:tcBorders>
              <w:bottom w:val="single" w:sz="8" w:color="AAA2A7"/>
              <w:right w:val="single" w:sz="8" w:color="AAA2A7"/>
            </w:tcBorders>
            <w:shd w:val="clear" w:color="auto" w:fill="E2E4E6"/>
          </w:tcPr>
          <w:p>
            <w:pPr>
              <w:jc w:val="center"/>
              <w:spacing w:after="0" w:line="183" w:lineRule="exact"/>
              <w:rPr>
                <w:sz w:val="20"/>
                <w:szCs w:val="20"/>
                <w:color w:val="auto"/>
              </w:rPr>
            </w:pPr>
            <w:r>
              <w:rPr>
                <w:rFonts w:ascii="Arial" w:cs="Arial" w:eastAsia="Arial" w:hAnsi="Arial"/>
                <w:sz w:val="16"/>
                <w:szCs w:val="16"/>
                <w:b w:val="1"/>
                <w:bCs w:val="1"/>
                <w:color w:val="6E646C"/>
              </w:rPr>
              <w:t>$230.86</w:t>
            </w:r>
          </w:p>
        </w:tc>
        <w:tc>
          <w:tcPr>
            <w:tcW w:w="0" w:type="dxa"/>
            <w:vAlign w:val="bottom"/>
          </w:tcPr>
          <w:p>
            <w:pPr>
              <w:spacing w:after="0"/>
              <w:rPr>
                <w:sz w:val="1"/>
                <w:szCs w:val="1"/>
                <w:color w:val="auto"/>
              </w:rPr>
            </w:pPr>
          </w:p>
        </w:tc>
      </w:tr>
      <w:tr>
        <w:trPr>
          <w:trHeight w:val="183"/>
        </w:trPr>
        <w:tc>
          <w:tcPr>
            <w:tcW w:w="4000" w:type="dxa"/>
            <w:vAlign w:val="bottom"/>
            <w:tcBorders>
              <w:left w:val="single" w:sz="8" w:color="AAA2A7"/>
              <w:bottom w:val="single" w:sz="8" w:color="AAA2A7"/>
              <w:right w:val="single" w:sz="8" w:color="AAA2A7"/>
            </w:tcBorders>
          </w:tcPr>
          <w:p>
            <w:pPr>
              <w:jc w:val="center"/>
              <w:ind w:left="59"/>
              <w:spacing w:after="0" w:line="183" w:lineRule="exact"/>
              <w:rPr>
                <w:sz w:val="20"/>
                <w:szCs w:val="20"/>
                <w:color w:val="auto"/>
              </w:rPr>
            </w:pPr>
            <w:r>
              <w:rPr>
                <w:rFonts w:ascii="Arial" w:cs="Arial" w:eastAsia="Arial" w:hAnsi="Arial"/>
                <w:sz w:val="16"/>
                <w:szCs w:val="16"/>
                <w:b w:val="1"/>
                <w:bCs w:val="1"/>
                <w:color w:val="6E646C"/>
              </w:rPr>
              <w:t>S&amp;P 500 Materials Index</w:t>
            </w:r>
          </w:p>
        </w:tc>
        <w:tc>
          <w:tcPr>
            <w:tcW w:w="940" w:type="dxa"/>
            <w:vAlign w:val="bottom"/>
            <w:tcBorders>
              <w:bottom w:val="single" w:sz="8" w:color="AAA2A7"/>
              <w:right w:val="single" w:sz="8" w:color="AAA2A7"/>
            </w:tcBorders>
          </w:tcPr>
          <w:p>
            <w:pPr>
              <w:jc w:val="center"/>
              <w:spacing w:after="0" w:line="183" w:lineRule="exact"/>
              <w:rPr>
                <w:sz w:val="20"/>
                <w:szCs w:val="20"/>
                <w:color w:val="auto"/>
              </w:rPr>
            </w:pPr>
            <w:r>
              <w:rPr>
                <w:rFonts w:ascii="Arial" w:cs="Arial" w:eastAsia="Arial" w:hAnsi="Arial"/>
                <w:sz w:val="16"/>
                <w:szCs w:val="16"/>
                <w:b w:val="1"/>
                <w:bCs w:val="1"/>
                <w:color w:val="6E646C"/>
              </w:rPr>
              <w:t>$100.00</w:t>
            </w:r>
          </w:p>
        </w:tc>
        <w:tc>
          <w:tcPr>
            <w:tcW w:w="920" w:type="dxa"/>
            <w:vAlign w:val="bottom"/>
            <w:tcBorders>
              <w:bottom w:val="single" w:sz="8" w:color="AAA2A7"/>
              <w:right w:val="single" w:sz="8" w:color="AAA2A7"/>
            </w:tcBorders>
          </w:tcPr>
          <w:p>
            <w:pPr>
              <w:jc w:val="center"/>
              <w:spacing w:after="0" w:line="183" w:lineRule="exact"/>
              <w:rPr>
                <w:sz w:val="20"/>
                <w:szCs w:val="20"/>
                <w:color w:val="auto"/>
              </w:rPr>
            </w:pPr>
            <w:r>
              <w:rPr>
                <w:rFonts w:ascii="Arial" w:cs="Arial" w:eastAsia="Arial" w:hAnsi="Arial"/>
                <w:sz w:val="16"/>
                <w:szCs w:val="16"/>
                <w:b w:val="1"/>
                <w:bCs w:val="1"/>
                <w:color w:val="6E646C"/>
              </w:rPr>
              <w:t>$114.97</w:t>
            </w:r>
          </w:p>
        </w:tc>
        <w:tc>
          <w:tcPr>
            <w:tcW w:w="940" w:type="dxa"/>
            <w:vAlign w:val="bottom"/>
            <w:tcBorders>
              <w:bottom w:val="single" w:sz="8" w:color="AAA2A7"/>
              <w:right w:val="single" w:sz="8" w:color="AAA2A7"/>
            </w:tcBorders>
          </w:tcPr>
          <w:p>
            <w:pPr>
              <w:jc w:val="right"/>
              <w:ind w:right="137"/>
              <w:spacing w:after="0" w:line="183" w:lineRule="exact"/>
              <w:rPr>
                <w:sz w:val="20"/>
                <w:szCs w:val="20"/>
                <w:color w:val="auto"/>
              </w:rPr>
            </w:pPr>
            <w:r>
              <w:rPr>
                <w:rFonts w:ascii="Arial" w:cs="Arial" w:eastAsia="Arial" w:hAnsi="Arial"/>
                <w:sz w:val="16"/>
                <w:szCs w:val="16"/>
                <w:b w:val="1"/>
                <w:bCs w:val="1"/>
                <w:color w:val="6E646C"/>
              </w:rPr>
              <w:t>$144.40</w:t>
            </w:r>
          </w:p>
        </w:tc>
        <w:tc>
          <w:tcPr>
            <w:tcW w:w="920" w:type="dxa"/>
            <w:vAlign w:val="bottom"/>
            <w:tcBorders>
              <w:bottom w:val="single" w:sz="8" w:color="AAA2A7"/>
              <w:right w:val="single" w:sz="8" w:color="AAA2A7"/>
            </w:tcBorders>
          </w:tcPr>
          <w:p>
            <w:pPr>
              <w:jc w:val="center"/>
              <w:spacing w:after="0" w:line="183" w:lineRule="exact"/>
              <w:rPr>
                <w:sz w:val="20"/>
                <w:szCs w:val="20"/>
                <w:color w:val="auto"/>
              </w:rPr>
            </w:pPr>
            <w:r>
              <w:rPr>
                <w:rFonts w:ascii="Arial" w:cs="Arial" w:eastAsia="Arial" w:hAnsi="Arial"/>
                <w:sz w:val="16"/>
                <w:szCs w:val="16"/>
                <w:b w:val="1"/>
                <w:bCs w:val="1"/>
                <w:color w:val="6E646C"/>
              </w:rPr>
              <w:t>$154.38</w:t>
            </w:r>
          </w:p>
        </w:tc>
        <w:tc>
          <w:tcPr>
            <w:tcW w:w="940" w:type="dxa"/>
            <w:vAlign w:val="bottom"/>
            <w:tcBorders>
              <w:bottom w:val="single" w:sz="8" w:color="AAA2A7"/>
              <w:right w:val="single" w:sz="8" w:color="AAA2A7"/>
            </w:tcBorders>
          </w:tcPr>
          <w:p>
            <w:pPr>
              <w:jc w:val="center"/>
              <w:spacing w:after="0" w:line="183" w:lineRule="exact"/>
              <w:rPr>
                <w:sz w:val="20"/>
                <w:szCs w:val="20"/>
                <w:color w:val="auto"/>
              </w:rPr>
            </w:pPr>
            <w:r>
              <w:rPr>
                <w:rFonts w:ascii="Arial" w:cs="Arial" w:eastAsia="Arial" w:hAnsi="Arial"/>
                <w:sz w:val="16"/>
                <w:szCs w:val="16"/>
                <w:b w:val="1"/>
                <w:bCs w:val="1"/>
                <w:color w:val="6E646C"/>
              </w:rPr>
              <w:t>$141.44</w:t>
            </w:r>
          </w:p>
        </w:tc>
        <w:tc>
          <w:tcPr>
            <w:tcW w:w="920" w:type="dxa"/>
            <w:vAlign w:val="bottom"/>
            <w:tcBorders>
              <w:bottom w:val="single" w:sz="8" w:color="AAA2A7"/>
              <w:right w:val="single" w:sz="8" w:color="AAA2A7"/>
            </w:tcBorders>
          </w:tcPr>
          <w:p>
            <w:pPr>
              <w:jc w:val="center"/>
              <w:ind w:left="17"/>
              <w:spacing w:after="0" w:line="183" w:lineRule="exact"/>
              <w:rPr>
                <w:sz w:val="20"/>
                <w:szCs w:val="20"/>
                <w:color w:val="auto"/>
              </w:rPr>
            </w:pPr>
            <w:r>
              <w:rPr>
                <w:rFonts w:ascii="Arial" w:cs="Arial" w:eastAsia="Arial" w:hAnsi="Arial"/>
                <w:sz w:val="16"/>
                <w:szCs w:val="16"/>
                <w:b w:val="1"/>
                <w:bCs w:val="1"/>
                <w:color w:val="6E646C"/>
              </w:rPr>
              <w:t>$165.05</w:t>
            </w:r>
          </w:p>
        </w:tc>
        <w:tc>
          <w:tcPr>
            <w:tcW w:w="940" w:type="dxa"/>
            <w:vAlign w:val="bottom"/>
            <w:tcBorders>
              <w:bottom w:val="single" w:sz="8" w:color="AAA2A7"/>
              <w:right w:val="single" w:sz="8" w:color="AAA2A7"/>
            </w:tcBorders>
          </w:tcPr>
          <w:p>
            <w:pPr>
              <w:jc w:val="center"/>
              <w:spacing w:after="0" w:line="183" w:lineRule="exact"/>
              <w:rPr>
                <w:sz w:val="20"/>
                <w:szCs w:val="20"/>
                <w:color w:val="auto"/>
              </w:rPr>
            </w:pPr>
            <w:r>
              <w:rPr>
                <w:rFonts w:ascii="Arial" w:cs="Arial" w:eastAsia="Arial" w:hAnsi="Arial"/>
                <w:sz w:val="16"/>
                <w:szCs w:val="16"/>
                <w:b w:val="1"/>
                <w:bCs w:val="1"/>
                <w:color w:val="6E646C"/>
              </w:rPr>
              <w:t>$204.40</w:t>
            </w:r>
          </w:p>
        </w:tc>
        <w:tc>
          <w:tcPr>
            <w:tcW w:w="920" w:type="dxa"/>
            <w:vAlign w:val="bottom"/>
            <w:tcBorders>
              <w:bottom w:val="single" w:sz="8" w:color="AAA2A7"/>
              <w:right w:val="single" w:sz="8" w:color="AAA2A7"/>
            </w:tcBorders>
          </w:tcPr>
          <w:p>
            <w:pPr>
              <w:jc w:val="center"/>
              <w:spacing w:after="0" w:line="183" w:lineRule="exact"/>
              <w:rPr>
                <w:sz w:val="20"/>
                <w:szCs w:val="20"/>
                <w:color w:val="auto"/>
              </w:rPr>
            </w:pPr>
            <w:r>
              <w:rPr>
                <w:rFonts w:ascii="Arial" w:cs="Arial" w:eastAsia="Arial" w:hAnsi="Arial"/>
                <w:sz w:val="16"/>
                <w:szCs w:val="16"/>
                <w:b w:val="1"/>
                <w:bCs w:val="1"/>
                <w:color w:val="6E646C"/>
              </w:rPr>
              <w:t>$174.35</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00" w:hanging="92"/>
        <w:spacing w:after="0"/>
        <w:tabs>
          <w:tab w:leader="none" w:pos="100" w:val="left"/>
        </w:tabs>
        <w:numPr>
          <w:ilvl w:val="0"/>
          <w:numId w:val="93"/>
        </w:numPr>
        <w:rPr>
          <w:rFonts w:ascii="Arial" w:cs="Arial" w:eastAsia="Arial" w:hAnsi="Arial"/>
          <w:sz w:val="11"/>
          <w:szCs w:val="11"/>
          <w:color w:val="auto"/>
        </w:rPr>
      </w:pPr>
      <w:r>
        <w:rPr>
          <w:rFonts w:ascii="Arial" w:cs="Arial" w:eastAsia="Arial" w:hAnsi="Arial"/>
          <w:sz w:val="13"/>
          <w:szCs w:val="13"/>
          <w:color w:val="auto"/>
        </w:rPr>
        <w:t>Assumes that the investment in the Company’s common stock and each index was $100, with quarterly reinvestment of dividends.</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4D5358"/>
        </w:rPr>
        <w:t xml:space="preserve">Martin Marietta | </w:t>
      </w:r>
      <w:r>
        <w:rPr>
          <w:rFonts w:ascii="Arial" w:cs="Arial" w:eastAsia="Arial" w:hAnsi="Arial"/>
          <w:sz w:val="15"/>
          <w:szCs w:val="15"/>
          <w:color w:val="0085CD"/>
        </w:rPr>
        <w:t>Page 87</w:t>
      </w:r>
    </w:p>
    <w:p>
      <w:pPr>
        <w:sectPr>
          <w:pgSz w:w="11900" w:h="16838" w:orient="portrait"/>
          <w:cols w:equalWidth="0" w:num="1">
            <w:col w:w="11440"/>
          </w:cols>
          <w:pgMar w:left="240" w:top="265" w:right="2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7"/>
          <w:szCs w:val="17"/>
          <w:b w:val="1"/>
          <w:bCs w:val="1"/>
          <w:color w:val="auto"/>
        </w:rPr>
        <w:t>EXHIBIT 21.01</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SUBSIDIARIES OF MARTIN MARIETTA MATERIALS, INC.</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AS OF JANUARY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2832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Name of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3788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9">
                      <a:extLst>
                        <a:ext uri="{28A0092B-C50C-407E-A947-70E740481C1C}"/>
                      </a:extLst>
                    </a:blip>
                    <a:srcRect/>
                    <a:stretch>
                      <a:fillRect/>
                    </a:stretch>
                  </pic:blipFill>
                  <pic:spPr bwMode="auto">
                    <a:xfrm>
                      <a:off x="0" y="0"/>
                      <a:ext cx="7246620" cy="3378835"/>
                    </a:xfrm>
                    <a:prstGeom prst="rect">
                      <a:avLst/>
                    </a:prstGeom>
                    <a:noFill/>
                  </pic:spPr>
                </pic:pic>
              </a:graphicData>
            </a:graphic>
          </wp:anchor>
        </w:drawing>
      </w:r>
    </w:p>
    <w:p>
      <w:pPr>
        <w:spacing w:after="0" w:line="59" w:lineRule="exact"/>
        <w:rPr>
          <w:sz w:val="20"/>
          <w:szCs w:val="20"/>
          <w:color w:val="auto"/>
        </w:rPr>
      </w:pPr>
    </w:p>
    <w:p>
      <w:pPr>
        <w:ind w:left="80"/>
        <w:spacing w:after="0"/>
        <w:rPr>
          <w:sz w:val="20"/>
          <w:szCs w:val="20"/>
          <w:color w:val="auto"/>
        </w:rPr>
      </w:pPr>
      <w:r>
        <w:rPr>
          <w:rFonts w:ascii="Arial" w:cs="Arial" w:eastAsia="Arial" w:hAnsi="Arial"/>
          <w:sz w:val="16"/>
          <w:szCs w:val="16"/>
          <w:color w:val="auto"/>
        </w:rPr>
        <w:t>Alamo Gulf Coast Railroad Company, a Texas corporation</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Alamo North Texas Railroad Company, a Texas corporation</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American Aggregates Corporation, a North Carolina corporation</w:t>
      </w:r>
    </w:p>
    <w:p>
      <w:pPr>
        <w:spacing w:after="0" w:line="59" w:lineRule="exact"/>
        <w:rPr>
          <w:sz w:val="20"/>
          <w:szCs w:val="20"/>
          <w:color w:val="auto"/>
        </w:rPr>
      </w:pPr>
    </w:p>
    <w:p>
      <w:pPr>
        <w:ind w:left="80"/>
        <w:spacing w:after="0"/>
        <w:rPr>
          <w:sz w:val="20"/>
          <w:szCs w:val="20"/>
          <w:color w:val="auto"/>
        </w:rPr>
      </w:pPr>
      <w:r>
        <w:rPr>
          <w:rFonts w:ascii="Arial" w:cs="Arial" w:eastAsia="Arial" w:hAnsi="Arial"/>
          <w:sz w:val="16"/>
          <w:szCs w:val="16"/>
          <w:color w:val="auto"/>
        </w:rPr>
        <w:t>American Materials Technologies, LLC, a Tennessee limited liability company</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American Stone Company, a North Carolina corporation</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Bahama Rock Limited, a Bahamas corporation</w:t>
      </w:r>
    </w:p>
    <w:p>
      <w:pPr>
        <w:spacing w:after="0" w:line="59" w:lineRule="exact"/>
        <w:rPr>
          <w:sz w:val="20"/>
          <w:szCs w:val="20"/>
          <w:color w:val="auto"/>
        </w:rPr>
      </w:pPr>
    </w:p>
    <w:p>
      <w:pPr>
        <w:ind w:left="80"/>
        <w:spacing w:after="0"/>
        <w:rPr>
          <w:sz w:val="20"/>
          <w:szCs w:val="20"/>
          <w:color w:val="auto"/>
        </w:rPr>
      </w:pPr>
      <w:r>
        <w:rPr>
          <w:rFonts w:ascii="Arial" w:cs="Arial" w:eastAsia="Arial" w:hAnsi="Arial"/>
          <w:sz w:val="16"/>
          <w:szCs w:val="16"/>
          <w:color w:val="auto"/>
        </w:rPr>
        <w:t>Bluegrass – Blue Mount, LLC, a Delaware limited liability company</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Bluegrass Materials Company, LLC, a Delaware limited liability company</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Bluegrass-St. Marys, LLC, a Delaware limited liability company</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Brookhollow of Alexandria, Inc., a Louisiana corporation</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Brookhollow Corporation, a Delaware corporation</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Brook Hollow Properties, Inc., a Texas corporation</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California Natural Aggregates, Inc., a California corporation</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Campbell’s C-Ment Contracting, Inc., a Colorado corporation</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CIG MC LLC, a Colorado limited liability company</w:t>
      </w:r>
    </w:p>
    <w:p>
      <w:pPr>
        <w:spacing w:after="0" w:line="59" w:lineRule="exact"/>
        <w:rPr>
          <w:sz w:val="20"/>
          <w:szCs w:val="20"/>
          <w:color w:val="auto"/>
        </w:rPr>
      </w:pPr>
    </w:p>
    <w:p>
      <w:pPr>
        <w:ind w:left="80"/>
        <w:spacing w:after="0"/>
        <w:rPr>
          <w:sz w:val="20"/>
          <w:szCs w:val="20"/>
          <w:color w:val="auto"/>
        </w:rPr>
      </w:pPr>
      <w:r>
        <w:rPr>
          <w:rFonts w:ascii="Arial" w:cs="Arial" w:eastAsia="Arial" w:hAnsi="Arial"/>
          <w:sz w:val="16"/>
          <w:szCs w:val="16"/>
          <w:color w:val="auto"/>
        </w:rPr>
        <w:t>Creole Corporation, a Delaware corporation</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FRI Ready Mix of Tennessee, LLC, a Florida limited liability company</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Front Range Aggregates LLC, a Delaware limited liability company</w:t>
      </w:r>
    </w:p>
    <w:p>
      <w:pPr>
        <w:spacing w:after="0" w:line="59" w:lineRule="exact"/>
        <w:rPr>
          <w:sz w:val="20"/>
          <w:szCs w:val="20"/>
          <w:color w:val="auto"/>
        </w:rPr>
      </w:pPr>
    </w:p>
    <w:p>
      <w:pPr>
        <w:ind w:left="80"/>
        <w:spacing w:after="0"/>
        <w:rPr>
          <w:sz w:val="20"/>
          <w:szCs w:val="20"/>
          <w:color w:val="auto"/>
        </w:rPr>
      </w:pPr>
      <w:r>
        <w:rPr>
          <w:rFonts w:ascii="Arial" w:cs="Arial" w:eastAsia="Arial" w:hAnsi="Arial"/>
          <w:sz w:val="16"/>
          <w:szCs w:val="16"/>
          <w:color w:val="auto"/>
        </w:rPr>
        <w:t>Granite Canyon Quarry, a Wyoming joint venture</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Harding Street Corporation, a North Carolina corporation</w:t>
      </w:r>
    </w:p>
    <w:p>
      <w:pPr>
        <w:spacing w:after="0" w:line="59" w:lineRule="exact"/>
        <w:rPr>
          <w:sz w:val="20"/>
          <w:szCs w:val="20"/>
          <w:color w:val="auto"/>
        </w:rPr>
      </w:pPr>
    </w:p>
    <w:p>
      <w:pPr>
        <w:ind w:left="80"/>
        <w:spacing w:after="0"/>
        <w:rPr>
          <w:sz w:val="20"/>
          <w:szCs w:val="20"/>
          <w:color w:val="auto"/>
        </w:rPr>
      </w:pPr>
      <w:r>
        <w:rPr>
          <w:rFonts w:ascii="Arial" w:cs="Arial" w:eastAsia="Arial" w:hAnsi="Arial"/>
          <w:sz w:val="16"/>
          <w:szCs w:val="16"/>
          <w:color w:val="auto"/>
        </w:rPr>
        <w:t>HSMM LLC, a North Carolina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89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120" w:hanging="112"/>
        <w:spacing w:after="0"/>
        <w:tabs>
          <w:tab w:leader="none" w:pos="12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Alamo Gulf Coast Railroad Company is owned by Martin Marietta Materials Southwest, LLC, (99.5%) and certain individuals (0.5%).</w:t>
      </w:r>
    </w:p>
    <w:p>
      <w:pPr>
        <w:spacing w:after="0" w:line="70" w:lineRule="exact"/>
        <w:rPr>
          <w:rFonts w:ascii="Arial" w:cs="Arial" w:eastAsia="Arial" w:hAnsi="Arial"/>
          <w:sz w:val="24"/>
          <w:szCs w:val="24"/>
          <w:color w:val="auto"/>
          <w:vertAlign w:val="superscript"/>
        </w:rPr>
      </w:pPr>
    </w:p>
    <w:p>
      <w:pPr>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2</w:t>
      </w:r>
      <w:r>
        <w:rPr>
          <w:rFonts w:ascii="Arial" w:cs="Arial" w:eastAsia="Arial" w:hAnsi="Arial"/>
          <w:sz w:val="14"/>
          <w:szCs w:val="14"/>
          <w:color w:val="auto"/>
        </w:rPr>
        <w:t xml:space="preserve"> Alamo North Texas Railroad Company is owned by Martin Marietta Materials Southwest, LLC, (99.5%) and certain individuals (0.5%).</w:t>
      </w:r>
    </w:p>
    <w:p>
      <w:pPr>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3</w:t>
      </w:r>
      <w:r>
        <w:rPr>
          <w:rFonts w:ascii="Arial" w:cs="Arial" w:eastAsia="Arial" w:hAnsi="Arial"/>
          <w:sz w:val="14"/>
          <w:szCs w:val="14"/>
          <w:color w:val="auto"/>
        </w:rPr>
        <w:t xml:space="preserve"> American Materials Technologies, LLC is a wholly owned subsidiary of Meridian Aggregates Company, a Limited Partnership.</w:t>
      </w:r>
    </w:p>
    <w:p>
      <w:pPr>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4</w:t>
      </w:r>
      <w:r>
        <w:rPr>
          <w:rFonts w:ascii="Arial" w:cs="Arial" w:eastAsia="Arial" w:hAnsi="Arial"/>
          <w:sz w:val="14"/>
          <w:szCs w:val="14"/>
          <w:color w:val="auto"/>
        </w:rPr>
        <w:t xml:space="preserve"> Martin Marietta Materials, Inc. owns a 50% interest in American Stone Company.</w:t>
      </w:r>
    </w:p>
    <w:p>
      <w:pPr>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5</w:t>
      </w:r>
      <w:r>
        <w:rPr>
          <w:rFonts w:ascii="Arial" w:cs="Arial" w:eastAsia="Arial" w:hAnsi="Arial"/>
          <w:sz w:val="14"/>
          <w:szCs w:val="14"/>
          <w:color w:val="auto"/>
        </w:rPr>
        <w:t xml:space="preserve"> Bluegrass – Blue Mount, LLC is a wholly owned subsidiary of Bluegrass Materials Company, LLC.</w:t>
      </w:r>
    </w:p>
    <w:p>
      <w:pPr>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6</w:t>
      </w:r>
      <w:r>
        <w:rPr>
          <w:rFonts w:ascii="Arial" w:cs="Arial" w:eastAsia="Arial" w:hAnsi="Arial"/>
          <w:sz w:val="14"/>
          <w:szCs w:val="14"/>
          <w:color w:val="auto"/>
        </w:rPr>
        <w:t xml:space="preserve"> Bluegrass Materials Company, LLC is a wholly owned subsidiary of Panadero Midco, LLC.</w:t>
      </w:r>
    </w:p>
    <w:p>
      <w:pPr>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7</w:t>
      </w:r>
      <w:r>
        <w:rPr>
          <w:rFonts w:ascii="Arial" w:cs="Arial" w:eastAsia="Arial" w:hAnsi="Arial"/>
          <w:sz w:val="14"/>
          <w:szCs w:val="14"/>
          <w:color w:val="auto"/>
        </w:rPr>
        <w:t xml:space="preserve"> Bluegrass-St. Marys, LLC is a wholly owned subsidiary of Bluegrass Materials Company, LLC.</w:t>
      </w:r>
    </w:p>
    <w:p>
      <w:pPr>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8</w:t>
      </w:r>
      <w:r>
        <w:rPr>
          <w:rFonts w:ascii="Arial" w:cs="Arial" w:eastAsia="Arial" w:hAnsi="Arial"/>
          <w:sz w:val="14"/>
          <w:szCs w:val="14"/>
          <w:color w:val="auto"/>
        </w:rPr>
        <w:t xml:space="preserve"> Brookhollow of Alexandria, Inc. is a wholly owned subsidiary of Brookhollow Corporation.</w:t>
      </w:r>
    </w:p>
    <w:p>
      <w:pPr>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9</w:t>
      </w:r>
      <w:r>
        <w:rPr>
          <w:rFonts w:ascii="Arial" w:cs="Arial" w:eastAsia="Arial" w:hAnsi="Arial"/>
          <w:sz w:val="14"/>
          <w:szCs w:val="14"/>
          <w:color w:val="auto"/>
        </w:rPr>
        <w:t xml:space="preserve"> Brookhollow Corporation is a wholly owned subsidiary of Texas Industries, Inc.</w:t>
      </w:r>
    </w:p>
    <w:p>
      <w:pPr>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10</w:t>
      </w:r>
      <w:r>
        <w:rPr>
          <w:rFonts w:ascii="Arial" w:cs="Arial" w:eastAsia="Arial" w:hAnsi="Arial"/>
          <w:sz w:val="14"/>
          <w:szCs w:val="14"/>
          <w:color w:val="auto"/>
        </w:rPr>
        <w:t xml:space="preserve"> Brook Hollow Properties, Inc. is a wholly owned subsidiary of Brookhollow Corporation.</w:t>
      </w:r>
    </w:p>
    <w:p>
      <w:pPr>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11</w:t>
      </w:r>
      <w:r>
        <w:rPr>
          <w:rFonts w:ascii="Arial" w:cs="Arial" w:eastAsia="Arial" w:hAnsi="Arial"/>
          <w:sz w:val="14"/>
          <w:szCs w:val="14"/>
          <w:color w:val="auto"/>
        </w:rPr>
        <w:t xml:space="preserve"> California Natural Aggregates, Inc. is a wholly owned subsidiary of Texas Industries, Inc.</w:t>
      </w:r>
    </w:p>
    <w:p>
      <w:pPr>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12</w:t>
      </w:r>
      <w:r>
        <w:rPr>
          <w:rFonts w:ascii="Arial" w:cs="Arial" w:eastAsia="Arial" w:hAnsi="Arial"/>
          <w:sz w:val="14"/>
          <w:szCs w:val="14"/>
          <w:color w:val="auto"/>
        </w:rPr>
        <w:t xml:space="preserve"> Campbell’s C-Ment Contracting, Inc. is a wholly-owned subsidiary of Suburban Acquisition Company.</w:t>
      </w:r>
    </w:p>
    <w:p>
      <w:pPr>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13</w:t>
      </w:r>
      <w:r>
        <w:rPr>
          <w:rFonts w:ascii="Arial" w:cs="Arial" w:eastAsia="Arial" w:hAnsi="Arial"/>
          <w:sz w:val="14"/>
          <w:szCs w:val="14"/>
          <w:color w:val="auto"/>
        </w:rPr>
        <w:t xml:space="preserve"> Creole Corporation is a wholly owned subsidiary of Texas Industries, Inc.</w:t>
      </w:r>
    </w:p>
    <w:p>
      <w:pPr>
        <w:spacing w:after="0" w:line="211"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14</w:t>
      </w:r>
      <w:r>
        <w:rPr>
          <w:rFonts w:ascii="Arial" w:cs="Arial" w:eastAsia="Arial" w:hAnsi="Arial"/>
          <w:sz w:val="14"/>
          <w:szCs w:val="14"/>
          <w:color w:val="auto"/>
        </w:rPr>
        <w:t xml:space="preserve"> FRI Ready Mix of Tennessee, LLC is a wholly owned subsidiary of American Materials Technologies, LLC.</w:t>
      </w:r>
    </w:p>
    <w:p>
      <w:pPr>
        <w:spacing w:after="0"/>
        <w:rPr>
          <w:rFonts w:ascii="Arial" w:cs="Arial" w:eastAsia="Arial" w:hAnsi="Arial"/>
          <w:sz w:val="24"/>
          <w:szCs w:val="24"/>
          <w:color w:val="auto"/>
          <w:vertAlign w:val="superscript"/>
        </w:rPr>
      </w:pPr>
      <w:r>
        <w:rPr>
          <w:rFonts w:ascii="Arial" w:cs="Arial" w:eastAsia="Arial" w:hAnsi="Arial"/>
          <w:sz w:val="24"/>
          <w:szCs w:val="24"/>
          <w:color w:val="auto"/>
          <w:vertAlign w:val="superscript"/>
        </w:rPr>
        <w:t>15</w:t>
      </w:r>
      <w:r>
        <w:rPr>
          <w:rFonts w:ascii="Arial" w:cs="Arial" w:eastAsia="Arial" w:hAnsi="Arial"/>
          <w:sz w:val="14"/>
          <w:szCs w:val="14"/>
          <w:color w:val="auto"/>
        </w:rPr>
        <w:t xml:space="preserve"> Granite Canyon Quarry is owned 51% by Meridian Granite Company and 49% by Martin Marietta Materials Real Estate Investments, Inc.</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-113030</wp:posOffset>
            </wp:positionV>
            <wp:extent cx="660400" cy="2660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1">
                      <a:extLst>
                        <a:ext uri="{28A0092B-C50C-407E-A947-70E740481C1C}"/>
                      </a:extLst>
                    </a:blip>
                    <a:srcRect/>
                    <a:stretch>
                      <a:fillRect/>
                    </a:stretch>
                  </pic:blipFill>
                  <pic:spPr bwMode="auto">
                    <a:xfrm>
                      <a:off x="0" y="0"/>
                      <a:ext cx="660400" cy="26606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Owned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6"/>
          <w:szCs w:val="16"/>
          <w:color w:val="auto"/>
        </w:rPr>
        <w:t>99.5%</w:t>
      </w:r>
      <w:r>
        <w:rPr>
          <w:rFonts w:ascii="Arial" w:cs="Arial" w:eastAsia="Arial" w:hAnsi="Arial"/>
          <w:sz w:val="27"/>
          <w:szCs w:val="27"/>
          <w:color w:val="auto"/>
          <w:vertAlign w:val="superscript"/>
        </w:rPr>
        <w:t>1</w:t>
      </w:r>
    </w:p>
    <w:p>
      <w:pPr>
        <w:ind w:left="60"/>
        <w:spacing w:after="0" w:line="191" w:lineRule="auto"/>
        <w:rPr>
          <w:sz w:val="20"/>
          <w:szCs w:val="20"/>
          <w:color w:val="auto"/>
        </w:rPr>
      </w:pPr>
      <w:r>
        <w:rPr>
          <w:rFonts w:ascii="Arial" w:cs="Arial" w:eastAsia="Arial" w:hAnsi="Arial"/>
          <w:sz w:val="16"/>
          <w:szCs w:val="16"/>
          <w:color w:val="auto"/>
        </w:rPr>
        <w:t>99.5%</w:t>
      </w:r>
      <w:r>
        <w:rPr>
          <w:rFonts w:ascii="Arial" w:cs="Arial" w:eastAsia="Arial" w:hAnsi="Arial"/>
          <w:sz w:val="27"/>
          <w:szCs w:val="27"/>
          <w:color w:val="auto"/>
          <w:vertAlign w:val="superscript"/>
        </w:rPr>
        <w:t>2</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100%</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3</w:t>
      </w:r>
    </w:p>
    <w:p>
      <w:pPr>
        <w:ind w:left="180"/>
        <w:spacing w:after="0" w:line="191" w:lineRule="auto"/>
        <w:rPr>
          <w:sz w:val="20"/>
          <w:szCs w:val="20"/>
          <w:color w:val="auto"/>
        </w:rPr>
      </w:pPr>
      <w:r>
        <w:rPr>
          <w:rFonts w:ascii="Arial" w:cs="Arial" w:eastAsia="Arial" w:hAnsi="Arial"/>
          <w:sz w:val="16"/>
          <w:szCs w:val="16"/>
          <w:color w:val="auto"/>
        </w:rPr>
        <w:t>50%</w:t>
      </w:r>
      <w:r>
        <w:rPr>
          <w:rFonts w:ascii="Arial" w:cs="Arial" w:eastAsia="Arial" w:hAnsi="Arial"/>
          <w:sz w:val="27"/>
          <w:szCs w:val="27"/>
          <w:color w:val="auto"/>
          <w:vertAlign w:val="superscript"/>
        </w:rPr>
        <w:t>4</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100%</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5</w:t>
      </w:r>
    </w:p>
    <w:p>
      <w:pPr>
        <w:ind w:left="100"/>
        <w:spacing w:after="0" w:line="198"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6</w:t>
      </w:r>
    </w:p>
    <w:p>
      <w:pPr>
        <w:ind w:left="100"/>
        <w:spacing w:after="0" w:line="198"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7</w:t>
      </w:r>
    </w:p>
    <w:p>
      <w:pPr>
        <w:ind w:left="100"/>
        <w:spacing w:after="0" w:line="199"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8</w:t>
      </w:r>
    </w:p>
    <w:p>
      <w:pPr>
        <w:ind w:left="100"/>
        <w:spacing w:after="0" w:line="198"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9</w:t>
      </w:r>
    </w:p>
    <w:p>
      <w:pPr>
        <w:jc w:val="right"/>
        <w:ind w:right="100"/>
        <w:spacing w:after="0" w:line="198"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10</w:t>
      </w:r>
    </w:p>
    <w:p>
      <w:pPr>
        <w:jc w:val="right"/>
        <w:ind w:right="100"/>
        <w:spacing w:after="0" w:line="199"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11</w:t>
      </w:r>
    </w:p>
    <w:p>
      <w:pPr>
        <w:jc w:val="right"/>
        <w:ind w:right="100"/>
        <w:spacing w:after="0" w:line="191"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12</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100%</w:t>
      </w:r>
    </w:p>
    <w:p>
      <w:pPr>
        <w:spacing w:after="0" w:line="14"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13</w:t>
      </w:r>
    </w:p>
    <w:p>
      <w:pPr>
        <w:jc w:val="right"/>
        <w:ind w:right="100"/>
        <w:spacing w:after="0" w:line="191"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14</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100%</w:t>
      </w:r>
    </w:p>
    <w:p>
      <w:pPr>
        <w:spacing w:after="0" w:line="5"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15</w:t>
      </w:r>
    </w:p>
    <w:p>
      <w:pPr>
        <w:ind w:left="100"/>
        <w:spacing w:after="0"/>
        <w:rPr>
          <w:sz w:val="20"/>
          <w:szCs w:val="20"/>
          <w:color w:val="auto"/>
        </w:rPr>
      </w:pPr>
      <w:r>
        <w:rPr>
          <w:rFonts w:ascii="Arial" w:cs="Arial" w:eastAsia="Arial" w:hAnsi="Arial"/>
          <w:sz w:val="16"/>
          <w:szCs w:val="16"/>
          <w:color w:val="auto"/>
        </w:rPr>
        <w:t>100%</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100%</w:t>
      </w:r>
    </w:p>
    <w:p>
      <w:pPr>
        <w:sectPr>
          <w:pgSz w:w="11900" w:h="16838" w:orient="portrait"/>
          <w:cols w:equalWidth="0" w:num="2">
            <w:col w:w="9940" w:space="720"/>
            <w:col w:w="760"/>
          </w:cols>
          <w:pgMar w:left="240" w:top="262" w:right="239" w:bottom="1440" w:gutter="0" w:footer="0" w:header="0"/>
          <w:type w:val="continuous"/>
        </w:sectPr>
      </w:pPr>
    </w:p>
    <w:bookmarkStart w:id="127" w:name="page128"/>
    <w:bookmarkEnd w:id="127"/>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373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2">
                      <a:extLst>
                        <a:ext uri="{28A0092B-C50C-407E-A947-70E740481C1C}"/>
                      </a:extLst>
                    </a:blip>
                    <a:srcRect/>
                    <a:stretch>
                      <a:fillRect/>
                    </a:stretch>
                  </pic:blipFill>
                  <pic:spPr bwMode="auto">
                    <a:xfrm>
                      <a:off x="0" y="0"/>
                      <a:ext cx="7289165" cy="4373880"/>
                    </a:xfrm>
                    <a:prstGeom prst="rect">
                      <a:avLst/>
                    </a:prstGeom>
                    <a:noFill/>
                  </pic:spPr>
                </pic:pic>
              </a:graphicData>
            </a:graphic>
          </wp:anchor>
        </w:drawing>
      </w:r>
    </w:p>
    <w:p>
      <w:pPr>
        <w:ind w:left="92"/>
        <w:spacing w:after="0"/>
        <w:rPr>
          <w:sz w:val="20"/>
          <w:szCs w:val="20"/>
          <w:color w:val="auto"/>
        </w:rPr>
      </w:pPr>
      <w:r>
        <w:rPr>
          <w:rFonts w:ascii="Arial" w:cs="Arial" w:eastAsia="Arial" w:hAnsi="Arial"/>
          <w:sz w:val="16"/>
          <w:szCs w:val="16"/>
          <w:b w:val="1"/>
          <w:bCs w:val="1"/>
          <w:color w:val="FFFFFF"/>
        </w:rPr>
        <w:t>Name of Subsidiary</w:t>
      </w:r>
    </w:p>
    <w:p>
      <w:pPr>
        <w:spacing w:after="0" w:line="79" w:lineRule="exact"/>
        <w:rPr>
          <w:sz w:val="20"/>
          <w:szCs w:val="20"/>
          <w:color w:val="auto"/>
        </w:rPr>
      </w:pPr>
    </w:p>
    <w:p>
      <w:pPr>
        <w:ind w:left="72"/>
        <w:spacing w:after="0"/>
        <w:rPr>
          <w:sz w:val="20"/>
          <w:szCs w:val="20"/>
          <w:color w:val="auto"/>
        </w:rPr>
      </w:pPr>
      <w:r>
        <w:rPr>
          <w:rFonts w:ascii="Arial" w:cs="Arial" w:eastAsia="Arial" w:hAnsi="Arial"/>
          <w:sz w:val="16"/>
          <w:szCs w:val="16"/>
          <w:color w:val="auto"/>
        </w:rPr>
        <w:t>Kent Sand &amp; Gravel Company, LLC, a Delaware limited liability company</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Mardell Trucking Company, Inc., a Delaware corporation</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Martin Marietta Bluegrass, LLC, a Delaware corporation</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Martin Marietta Composites, Inc., a Delaware corporation</w:t>
      </w:r>
    </w:p>
    <w:p>
      <w:pPr>
        <w:spacing w:after="0" w:line="59" w:lineRule="exact"/>
        <w:rPr>
          <w:sz w:val="20"/>
          <w:szCs w:val="20"/>
          <w:color w:val="auto"/>
        </w:rPr>
      </w:pPr>
    </w:p>
    <w:p>
      <w:pPr>
        <w:ind w:left="72" w:right="3980"/>
        <w:spacing w:after="0" w:line="325" w:lineRule="auto"/>
        <w:rPr>
          <w:sz w:val="20"/>
          <w:szCs w:val="20"/>
          <w:color w:val="auto"/>
        </w:rPr>
      </w:pPr>
      <w:r>
        <w:rPr>
          <w:rFonts w:ascii="Arial" w:cs="Arial" w:eastAsia="Arial" w:hAnsi="Arial"/>
          <w:sz w:val="16"/>
          <w:szCs w:val="16"/>
          <w:color w:val="auto"/>
        </w:rPr>
        <w:t>Martin Marietta Fleet Management LLC, a North Carolina limited liability company Martin Marietta Funding LLC, a Delaware limited liability company</w:t>
      </w:r>
    </w:p>
    <w:p>
      <w:pPr>
        <w:spacing w:after="0" w:line="1" w:lineRule="exact"/>
        <w:rPr>
          <w:sz w:val="20"/>
          <w:szCs w:val="20"/>
          <w:color w:val="auto"/>
        </w:rPr>
      </w:pPr>
    </w:p>
    <w:p>
      <w:pPr>
        <w:ind w:left="72"/>
        <w:spacing w:after="0"/>
        <w:rPr>
          <w:sz w:val="20"/>
          <w:szCs w:val="20"/>
          <w:color w:val="auto"/>
        </w:rPr>
      </w:pPr>
      <w:r>
        <w:rPr>
          <w:rFonts w:ascii="Arial" w:cs="Arial" w:eastAsia="Arial" w:hAnsi="Arial"/>
          <w:sz w:val="16"/>
          <w:szCs w:val="16"/>
          <w:color w:val="auto"/>
        </w:rPr>
        <w:t>Martin Marietta Inc., a North Carolina corporation</w:t>
      </w:r>
    </w:p>
    <w:p>
      <w:pPr>
        <w:spacing w:after="0" w:line="59" w:lineRule="exact"/>
        <w:rPr>
          <w:sz w:val="20"/>
          <w:szCs w:val="20"/>
          <w:color w:val="auto"/>
        </w:rPr>
      </w:pPr>
    </w:p>
    <w:p>
      <w:pPr>
        <w:ind w:left="72"/>
        <w:spacing w:after="0"/>
        <w:rPr>
          <w:sz w:val="20"/>
          <w:szCs w:val="20"/>
          <w:color w:val="auto"/>
        </w:rPr>
      </w:pPr>
      <w:r>
        <w:rPr>
          <w:rFonts w:ascii="Arial" w:cs="Arial" w:eastAsia="Arial" w:hAnsi="Arial"/>
          <w:sz w:val="16"/>
          <w:szCs w:val="16"/>
          <w:color w:val="auto"/>
        </w:rPr>
        <w:t>Martin Marietta Kansas City, LLC, a Delaware limited liability company</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Martin Marietta Magnesia Specialties, LLC, a Delaware limited liability company</w:t>
      </w:r>
    </w:p>
    <w:p>
      <w:pPr>
        <w:spacing w:after="0" w:line="59" w:lineRule="exact"/>
        <w:rPr>
          <w:sz w:val="20"/>
          <w:szCs w:val="20"/>
          <w:color w:val="auto"/>
        </w:rPr>
      </w:pPr>
    </w:p>
    <w:p>
      <w:pPr>
        <w:ind w:left="72"/>
        <w:spacing w:after="0"/>
        <w:rPr>
          <w:sz w:val="20"/>
          <w:szCs w:val="20"/>
          <w:color w:val="auto"/>
        </w:rPr>
      </w:pPr>
      <w:r>
        <w:rPr>
          <w:rFonts w:ascii="Arial" w:cs="Arial" w:eastAsia="Arial" w:hAnsi="Arial"/>
          <w:sz w:val="16"/>
          <w:szCs w:val="16"/>
          <w:color w:val="auto"/>
        </w:rPr>
        <w:t>Martin Marietta Materials Canada Limited, a Nova Scotia, Canada corporation</w:t>
      </w:r>
    </w:p>
    <w:p>
      <w:pPr>
        <w:spacing w:after="0" w:line="59" w:lineRule="exact"/>
        <w:rPr>
          <w:sz w:val="20"/>
          <w:szCs w:val="20"/>
          <w:color w:val="auto"/>
        </w:rPr>
      </w:pPr>
    </w:p>
    <w:p>
      <w:pPr>
        <w:ind w:left="72"/>
        <w:spacing w:after="0"/>
        <w:rPr>
          <w:sz w:val="20"/>
          <w:szCs w:val="20"/>
          <w:color w:val="auto"/>
        </w:rPr>
      </w:pPr>
      <w:r>
        <w:rPr>
          <w:rFonts w:ascii="Arial" w:cs="Arial" w:eastAsia="Arial" w:hAnsi="Arial"/>
          <w:sz w:val="16"/>
          <w:szCs w:val="16"/>
          <w:color w:val="auto"/>
        </w:rPr>
        <w:t>Martin Marietta Materials of Missouri, Inc., a Delaware corporation</w:t>
      </w:r>
    </w:p>
    <w:p>
      <w:pPr>
        <w:spacing w:after="0" w:line="59" w:lineRule="exact"/>
        <w:rPr>
          <w:sz w:val="20"/>
          <w:szCs w:val="20"/>
          <w:color w:val="auto"/>
        </w:rPr>
      </w:pPr>
    </w:p>
    <w:p>
      <w:pPr>
        <w:ind w:left="72" w:right="3760"/>
        <w:spacing w:after="0" w:line="325" w:lineRule="auto"/>
        <w:rPr>
          <w:sz w:val="20"/>
          <w:szCs w:val="20"/>
          <w:color w:val="auto"/>
        </w:rPr>
      </w:pPr>
      <w:r>
        <w:rPr>
          <w:rFonts w:ascii="Arial" w:cs="Arial" w:eastAsia="Arial" w:hAnsi="Arial"/>
          <w:sz w:val="16"/>
          <w:szCs w:val="16"/>
          <w:color w:val="auto"/>
        </w:rPr>
        <w:t>Martin Marietta Materials Real Estate Investments, Inc., a North Carolina corporation Martin Marietta Materials Southwest, LLC, a Texas limited liability company</w:t>
      </w:r>
    </w:p>
    <w:p>
      <w:pPr>
        <w:spacing w:after="0" w:line="1" w:lineRule="exact"/>
        <w:rPr>
          <w:sz w:val="20"/>
          <w:szCs w:val="20"/>
          <w:color w:val="auto"/>
        </w:rPr>
      </w:pPr>
    </w:p>
    <w:p>
      <w:pPr>
        <w:ind w:left="72"/>
        <w:spacing w:after="0"/>
        <w:rPr>
          <w:sz w:val="20"/>
          <w:szCs w:val="20"/>
          <w:color w:val="auto"/>
        </w:rPr>
      </w:pPr>
      <w:r>
        <w:rPr>
          <w:rFonts w:ascii="Arial" w:cs="Arial" w:eastAsia="Arial" w:hAnsi="Arial"/>
          <w:sz w:val="16"/>
          <w:szCs w:val="16"/>
          <w:color w:val="auto"/>
        </w:rPr>
        <w:t>Material Producers, Inc., an Oklahoma corporation</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Maryland Materials, Inc., a Delaware corporation</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Meridian Aggregates Company, a Limited Partnership, a North Carolina limited partnership</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Meridian Aggregates Company Northwest, LLC, a North Carolina limited liability company</w:t>
      </w:r>
    </w:p>
    <w:p>
      <w:pPr>
        <w:spacing w:after="0" w:line="59" w:lineRule="exact"/>
        <w:rPr>
          <w:sz w:val="20"/>
          <w:szCs w:val="20"/>
          <w:color w:val="auto"/>
        </w:rPr>
      </w:pPr>
    </w:p>
    <w:p>
      <w:pPr>
        <w:ind w:left="72"/>
        <w:spacing w:after="0"/>
        <w:rPr>
          <w:sz w:val="20"/>
          <w:szCs w:val="20"/>
          <w:color w:val="auto"/>
        </w:rPr>
      </w:pPr>
      <w:r>
        <w:rPr>
          <w:rFonts w:ascii="Arial" w:cs="Arial" w:eastAsia="Arial" w:hAnsi="Arial"/>
          <w:sz w:val="16"/>
          <w:szCs w:val="16"/>
          <w:color w:val="auto"/>
        </w:rPr>
        <w:t>Meridian Aggregates Company Southwest, LLC, a North Carolina limited liability company</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Meridian Aggregates Investments, LLC, a North Carolina limited liability company</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Meridian Granite Company, a North Carolina corporation</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Mid-State Construction &amp; Materials, Inc., an Arkansas corporation</w:t>
      </w:r>
    </w:p>
    <w:p>
      <w:pPr>
        <w:spacing w:after="0" w:line="59" w:lineRule="exact"/>
        <w:rPr>
          <w:sz w:val="20"/>
          <w:szCs w:val="20"/>
          <w:color w:val="auto"/>
        </w:rPr>
      </w:pPr>
    </w:p>
    <w:p>
      <w:pPr>
        <w:ind w:left="72"/>
        <w:spacing w:after="0"/>
        <w:rPr>
          <w:sz w:val="20"/>
          <w:szCs w:val="20"/>
          <w:color w:val="auto"/>
        </w:rPr>
      </w:pPr>
      <w:r>
        <w:rPr>
          <w:rFonts w:ascii="Arial" w:cs="Arial" w:eastAsia="Arial" w:hAnsi="Arial"/>
          <w:sz w:val="16"/>
          <w:szCs w:val="16"/>
          <w:color w:val="auto"/>
        </w:rPr>
        <w:t>MTD Pipeline LLC, a Delaware limited liability company</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North East Land and Material Company, Inc., a Maryland corporation</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Panadero Corp., a Delaware corporation</w:t>
      </w:r>
    </w:p>
    <w:p>
      <w:pPr>
        <w:spacing w:after="0" w:line="59" w:lineRule="exact"/>
        <w:rPr>
          <w:sz w:val="20"/>
          <w:szCs w:val="20"/>
          <w:color w:val="auto"/>
        </w:rPr>
      </w:pPr>
    </w:p>
    <w:p>
      <w:pPr>
        <w:ind w:left="72"/>
        <w:spacing w:after="0"/>
        <w:rPr>
          <w:sz w:val="20"/>
          <w:szCs w:val="20"/>
          <w:color w:val="auto"/>
        </w:rPr>
      </w:pPr>
      <w:r>
        <w:rPr>
          <w:rFonts w:ascii="Arial" w:cs="Arial" w:eastAsia="Arial" w:hAnsi="Arial"/>
          <w:sz w:val="16"/>
          <w:szCs w:val="16"/>
          <w:color w:val="auto"/>
        </w:rPr>
        <w:t>Panadero Midco,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289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FFFFFF"/>
        </w:rPr>
        <w:t>Percent</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Owned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16</w:t>
      </w:r>
    </w:p>
    <w:p>
      <w:pPr>
        <w:jc w:val="right"/>
        <w:spacing w:after="0" w:line="198"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17</w:t>
      </w:r>
    </w:p>
    <w:p>
      <w:pPr>
        <w:jc w:val="right"/>
        <w:spacing w:after="0" w:line="192"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18</w:t>
      </w:r>
    </w:p>
    <w:p>
      <w:pPr>
        <w:ind w:left="140"/>
        <w:spacing w:after="0"/>
        <w:rPr>
          <w:sz w:val="20"/>
          <w:szCs w:val="20"/>
          <w:color w:val="auto"/>
        </w:rPr>
      </w:pPr>
      <w:r>
        <w:rPr>
          <w:rFonts w:ascii="Arial" w:cs="Arial" w:eastAsia="Arial" w:hAnsi="Arial"/>
          <w:sz w:val="16"/>
          <w:szCs w:val="16"/>
          <w:color w:val="auto"/>
        </w:rPr>
        <w:t>100%</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19</w:t>
      </w:r>
    </w:p>
    <w:p>
      <w:pPr>
        <w:ind w:left="140"/>
        <w:spacing w:after="0"/>
        <w:rPr>
          <w:sz w:val="20"/>
          <w:szCs w:val="20"/>
          <w:color w:val="auto"/>
        </w:rPr>
      </w:pPr>
      <w:r>
        <w:rPr>
          <w:rFonts w:ascii="Arial" w:cs="Arial" w:eastAsia="Arial" w:hAnsi="Arial"/>
          <w:sz w:val="16"/>
          <w:szCs w:val="16"/>
          <w:color w:val="auto"/>
        </w:rPr>
        <w:t>100%</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100%</w:t>
      </w:r>
      <w:r>
        <w:rPr>
          <w:rFonts w:ascii="Arial" w:cs="Arial" w:eastAsia="Arial" w:hAnsi="Arial"/>
          <w:sz w:val="23"/>
          <w:szCs w:val="23"/>
          <w:color w:val="auto"/>
          <w:vertAlign w:val="superscript"/>
        </w:rPr>
        <w:t>20</w:t>
      </w:r>
    </w:p>
    <w:p>
      <w:pPr>
        <w:ind w:left="140"/>
        <w:spacing w:after="0"/>
        <w:rPr>
          <w:sz w:val="20"/>
          <w:szCs w:val="20"/>
          <w:color w:val="auto"/>
        </w:rPr>
      </w:pPr>
      <w:r>
        <w:rPr>
          <w:rFonts w:ascii="Arial" w:cs="Arial" w:eastAsia="Arial" w:hAnsi="Arial"/>
          <w:sz w:val="16"/>
          <w:szCs w:val="16"/>
          <w:color w:val="auto"/>
        </w:rPr>
        <w:t>100%</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21</w:t>
      </w:r>
    </w:p>
    <w:p>
      <w:pPr>
        <w:jc w:val="right"/>
        <w:spacing w:after="0" w:line="198"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22</w:t>
      </w:r>
    </w:p>
    <w:p>
      <w:pPr>
        <w:jc w:val="right"/>
        <w:spacing w:after="0" w:line="198"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23</w:t>
      </w:r>
    </w:p>
    <w:p>
      <w:pPr>
        <w:jc w:val="right"/>
        <w:spacing w:after="0" w:line="192"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24</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25</w:t>
      </w:r>
    </w:p>
    <w:p>
      <w:pPr>
        <w:jc w:val="right"/>
        <w:spacing w:after="0" w:line="198"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26</w:t>
      </w:r>
    </w:p>
    <w:p>
      <w:pPr>
        <w:jc w:val="right"/>
        <w:spacing w:after="0" w:line="192"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27</w:t>
      </w:r>
    </w:p>
    <w:p>
      <w:pPr>
        <w:ind w:left="140"/>
        <w:spacing w:after="0"/>
        <w:rPr>
          <w:sz w:val="20"/>
          <w:szCs w:val="20"/>
          <w:color w:val="auto"/>
        </w:rPr>
      </w:pPr>
      <w:r>
        <w:rPr>
          <w:rFonts w:ascii="Arial" w:cs="Arial" w:eastAsia="Arial" w:hAnsi="Arial"/>
          <w:sz w:val="16"/>
          <w:szCs w:val="16"/>
          <w:color w:val="auto"/>
        </w:rPr>
        <w:t>100%</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50%</w:t>
      </w:r>
      <w:r>
        <w:rPr>
          <w:rFonts w:ascii="Arial" w:cs="Arial" w:eastAsia="Arial" w:hAnsi="Arial"/>
          <w:sz w:val="27"/>
          <w:szCs w:val="27"/>
          <w:color w:val="auto"/>
          <w:vertAlign w:val="superscript"/>
        </w:rPr>
        <w:t>28</w:t>
      </w:r>
    </w:p>
    <w:p>
      <w:pPr>
        <w:jc w:val="right"/>
        <w:spacing w:after="0" w:line="191"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29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100%</w:t>
      </w:r>
    </w:p>
    <w:p>
      <w:pPr>
        <w:spacing w:after="0" w:line="6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100%</w:t>
      </w:r>
      <w:r>
        <w:rPr>
          <w:rFonts w:ascii="Arial" w:cs="Arial" w:eastAsia="Arial" w:hAnsi="Arial"/>
          <w:sz w:val="23"/>
          <w:szCs w:val="23"/>
          <w:color w:val="auto"/>
          <w:vertAlign w:val="superscript"/>
        </w:rPr>
        <w:t>30</w:t>
      </w:r>
    </w:p>
    <w:p>
      <w:pPr>
        <w:spacing w:after="0" w:line="58" w:lineRule="exact"/>
        <w:rPr>
          <w:sz w:val="20"/>
          <w:szCs w:val="20"/>
          <w:color w:val="auto"/>
        </w:rPr>
      </w:pPr>
    </w:p>
    <w:p>
      <w:pPr>
        <w:sectPr>
          <w:pgSz w:w="11900" w:h="16838" w:orient="portrait"/>
          <w:cols w:equalWidth="0" w:num="2">
            <w:col w:w="9892" w:space="720"/>
            <w:col w:w="700"/>
          </w:cols>
          <w:pgMar w:left="248" w:top="310" w:right="339" w:bottom="1440" w:gutter="0" w:footer="0" w:header="0"/>
        </w:sectPr>
      </w:pPr>
    </w:p>
    <w:p>
      <w:pPr>
        <w:ind w:left="192" w:hanging="192"/>
        <w:spacing w:after="0"/>
        <w:tabs>
          <w:tab w:leader="none" w:pos="192"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Kent Sand &amp; Gravel Company, LLC is a wholly owned subsidiary of Bluegrass Materials Company, LLC.</w:t>
      </w:r>
    </w:p>
    <w:p>
      <w:pPr>
        <w:spacing w:after="0" w:line="70" w:lineRule="exact"/>
        <w:rPr>
          <w:rFonts w:ascii="Arial" w:cs="Arial" w:eastAsia="Arial" w:hAnsi="Arial"/>
          <w:sz w:val="24"/>
          <w:szCs w:val="24"/>
          <w:color w:val="auto"/>
          <w:vertAlign w:val="superscript"/>
        </w:rPr>
      </w:pPr>
    </w:p>
    <w:p>
      <w:pPr>
        <w:ind w:left="192" w:hanging="192"/>
        <w:spacing w:after="0" w:line="189" w:lineRule="auto"/>
        <w:tabs>
          <w:tab w:leader="none" w:pos="192"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Mardell Trucking Company, Inc. is owned 50% by Bluegrass Materials Company, LLC and 50% by Petrillo Brothers, Inc.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Martin Marietta Bluegrass, LLC is owned 61.61% by Panadero Corp. and f38.39% by Martin Marietta Materials, Inc.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Martin Marietta Fleet Management LLC, is a wholly owned subsidiary of Martin Marietta Materials Southwest, LLC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Martin Marietta Kansas City, LLC is owned 95% by Martin Marietta Materials, Inc. and 5% by Martin Marietta Materials of Missouri, Inc.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Martin Marietta Materials Southwest, LLC is a wholly owned subsidiary of Texas Industries, Inc.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Material Producers, Inc. is a wholly owned subsidiary of Martin Marietta Materials Southwest, LLC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Maryland Materials, Inc. is owned 50% by Bluegrass Materials Company, LLC and 50% by Petrillo Brothers, Inc.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Meridian Aggregates Company, a Limited Partnership, is owned 98% by Meridian Aggregates Investments, LLC. The remaining 2% is owned by Martin Marietta Materials, Inc.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Martin Marietta Materials Southwest, LLC is the sole member of Meridian Aggregates Company Southwest, LLC.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Meridian Aggregates Investments, LLC is owned 99% by Martin Marietta Materials, Inc. and 1% by Martin Marietta Materials Real Estate Investments, Inc.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Meridian Granite Company is a wholly owned subsidiary of Meridian Aggregates Company, a Limited Partnership.</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Martin Marietta Magnesia Specialties, LLC, a wholly owned subsidiary of Martin Marietta Materials, Inc., owns a 50% interest in MTD Pipeline LLC.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North East Land and Material Company, Inc. is a wholly owned subsidiary of Maryland Materials, Inc.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Panadero Midco, LLC is a wholly owned subsidiary of Martin Marietta Bluegrass, LLC.</w:t>
      </w:r>
    </w:p>
    <w:p>
      <w:pPr>
        <w:sectPr>
          <w:pgSz w:w="11900" w:h="16838" w:orient="portrait"/>
          <w:cols w:equalWidth="0" w:num="1">
            <w:col w:w="11312"/>
          </w:cols>
          <w:pgMar w:left="248" w:top="310" w:right="339" w:bottom="1440" w:gutter="0" w:footer="0" w:header="0"/>
          <w:type w:val="continuous"/>
        </w:sectPr>
      </w:pPr>
    </w:p>
    <w:bookmarkStart w:id="128" w:name="page129"/>
    <w:bookmarkEnd w:id="128"/>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6586220" cy="2832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5">
                      <a:extLst>
                        <a:ext uri="{28A0092B-C50C-407E-A947-70E740481C1C}"/>
                      </a:extLst>
                    </a:blip>
                    <a:srcRect/>
                    <a:stretch>
                      <a:fillRect/>
                    </a:stretch>
                  </pic:blipFill>
                  <pic:spPr bwMode="auto">
                    <a:xfrm>
                      <a:off x="0" y="0"/>
                      <a:ext cx="6586220" cy="283210"/>
                    </a:xfrm>
                    <a:prstGeom prst="rect">
                      <a:avLst/>
                    </a:prstGeom>
                    <a:noFill/>
                  </pic:spPr>
                </pic:pic>
              </a:graphicData>
            </a:graphic>
          </wp:anchor>
        </w:drawing>
      </w:r>
    </w:p>
    <w:p>
      <w:pPr>
        <w:ind w:left="92"/>
        <w:spacing w:after="0"/>
        <w:rPr>
          <w:sz w:val="20"/>
          <w:szCs w:val="20"/>
          <w:color w:val="auto"/>
        </w:rPr>
      </w:pPr>
      <w:r>
        <w:rPr>
          <w:rFonts w:ascii="Arial" w:cs="Arial" w:eastAsia="Arial" w:hAnsi="Arial"/>
          <w:sz w:val="16"/>
          <w:szCs w:val="16"/>
          <w:b w:val="1"/>
          <w:bCs w:val="1"/>
          <w:color w:val="FFFFFF"/>
        </w:rPr>
        <w:t>Name of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246620" cy="37134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6">
                      <a:extLst>
                        <a:ext uri="{28A0092B-C50C-407E-A947-70E740481C1C}"/>
                      </a:extLst>
                    </a:blip>
                    <a:srcRect/>
                    <a:stretch>
                      <a:fillRect/>
                    </a:stretch>
                  </pic:blipFill>
                  <pic:spPr bwMode="auto">
                    <a:xfrm>
                      <a:off x="0" y="0"/>
                      <a:ext cx="7246620" cy="3713480"/>
                    </a:xfrm>
                    <a:prstGeom prst="rect">
                      <a:avLst/>
                    </a:prstGeom>
                    <a:noFill/>
                  </pic:spPr>
                </pic:pic>
              </a:graphicData>
            </a:graphic>
          </wp:anchor>
        </w:drawing>
      </w:r>
    </w:p>
    <w:p>
      <w:pPr>
        <w:spacing w:after="0" w:line="59" w:lineRule="exact"/>
        <w:rPr>
          <w:sz w:val="20"/>
          <w:szCs w:val="20"/>
          <w:color w:val="auto"/>
        </w:rPr>
      </w:pPr>
    </w:p>
    <w:p>
      <w:pPr>
        <w:ind w:left="72"/>
        <w:spacing w:after="0"/>
        <w:rPr>
          <w:sz w:val="20"/>
          <w:szCs w:val="20"/>
          <w:color w:val="auto"/>
        </w:rPr>
      </w:pPr>
      <w:r>
        <w:rPr>
          <w:rFonts w:ascii="Arial" w:cs="Arial" w:eastAsia="Arial" w:hAnsi="Arial"/>
          <w:sz w:val="16"/>
          <w:szCs w:val="16"/>
          <w:color w:val="auto"/>
        </w:rPr>
        <w:t>Partin Limestone Products, Inc., a California corporation</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Petrillo Brothers, Inc., a Delaware corporation</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Powderly Transportation, Inc., a North Carolina corporation</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R&amp;S Sand &amp; Gravel, LLC, a North Carolina limited liability company</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Ratliff Mix Management, LLC, a Texas limited liability company</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Ratliff Ready-Mix, LP, a Texas limited partnership</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Riverside Cement Company, a California partnership</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Riverside Cement Holdings Company, a Delaware corporation</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Rock &amp; Rail LLC, a Colorado limited liability company</w:t>
      </w:r>
    </w:p>
    <w:p>
      <w:pPr>
        <w:spacing w:after="0" w:line="59" w:lineRule="exact"/>
        <w:rPr>
          <w:sz w:val="20"/>
          <w:szCs w:val="20"/>
          <w:color w:val="auto"/>
        </w:rPr>
      </w:pPr>
    </w:p>
    <w:p>
      <w:pPr>
        <w:ind w:left="72"/>
        <w:spacing w:after="0"/>
        <w:rPr>
          <w:sz w:val="20"/>
          <w:szCs w:val="20"/>
          <w:color w:val="auto"/>
        </w:rPr>
      </w:pPr>
      <w:r>
        <w:rPr>
          <w:rFonts w:ascii="Arial" w:cs="Arial" w:eastAsia="Arial" w:hAnsi="Arial"/>
          <w:sz w:val="16"/>
          <w:szCs w:val="16"/>
          <w:color w:val="auto"/>
        </w:rPr>
        <w:t>Rocky Mountain Materials and Asphalt, Inc., a Colorado corporation</w:t>
      </w:r>
    </w:p>
    <w:p>
      <w:pPr>
        <w:spacing w:after="0" w:line="59" w:lineRule="exact"/>
        <w:rPr>
          <w:sz w:val="20"/>
          <w:szCs w:val="20"/>
          <w:color w:val="auto"/>
        </w:rPr>
      </w:pPr>
    </w:p>
    <w:p>
      <w:pPr>
        <w:ind w:left="72"/>
        <w:spacing w:after="0"/>
        <w:rPr>
          <w:sz w:val="20"/>
          <w:szCs w:val="20"/>
          <w:color w:val="auto"/>
        </w:rPr>
      </w:pPr>
      <w:r>
        <w:rPr>
          <w:rFonts w:ascii="Arial" w:cs="Arial" w:eastAsia="Arial" w:hAnsi="Arial"/>
          <w:sz w:val="16"/>
          <w:szCs w:val="16"/>
          <w:color w:val="auto"/>
        </w:rPr>
        <w:t>Rocky Mountain Premix, Inc., a Colorado corporation</w:t>
      </w:r>
    </w:p>
    <w:p>
      <w:pPr>
        <w:spacing w:after="0" w:line="59" w:lineRule="exact"/>
        <w:rPr>
          <w:sz w:val="20"/>
          <w:szCs w:val="20"/>
          <w:color w:val="auto"/>
        </w:rPr>
      </w:pPr>
    </w:p>
    <w:p>
      <w:pPr>
        <w:ind w:left="72"/>
        <w:spacing w:after="0"/>
        <w:rPr>
          <w:sz w:val="20"/>
          <w:szCs w:val="20"/>
          <w:color w:val="auto"/>
        </w:rPr>
      </w:pPr>
      <w:r>
        <w:rPr>
          <w:rFonts w:ascii="Arial" w:cs="Arial" w:eastAsia="Arial" w:hAnsi="Arial"/>
          <w:sz w:val="16"/>
          <w:szCs w:val="16"/>
          <w:color w:val="auto"/>
        </w:rPr>
        <w:t>Rocky Mountain Ready Mix Concrete, Inc., a Colorado corporation</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Royal Gorge Express, LLC, a Colorado Limited Liability Company</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Southwestern Financial Corporation, a Texas Corporation</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St. Marys Sand Company, LLC, a Delaware limited liability company</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Suburban Acquisition Company, a Colorado corporation</w:t>
      </w:r>
    </w:p>
    <w:p>
      <w:pPr>
        <w:spacing w:after="0" w:line="59" w:lineRule="exact"/>
        <w:rPr>
          <w:sz w:val="20"/>
          <w:szCs w:val="20"/>
          <w:color w:val="auto"/>
        </w:rPr>
      </w:pPr>
    </w:p>
    <w:p>
      <w:pPr>
        <w:ind w:left="72"/>
        <w:spacing w:after="0"/>
        <w:rPr>
          <w:sz w:val="20"/>
          <w:szCs w:val="20"/>
          <w:color w:val="auto"/>
        </w:rPr>
      </w:pPr>
      <w:r>
        <w:rPr>
          <w:rFonts w:ascii="Arial" w:cs="Arial" w:eastAsia="Arial" w:hAnsi="Arial"/>
          <w:sz w:val="16"/>
          <w:szCs w:val="16"/>
          <w:color w:val="auto"/>
        </w:rPr>
        <w:t>Texas Industries Holdings, LLC, a Delaware limited liability company</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Texas Industries, Inc., a Delaware corporation</w:t>
      </w:r>
    </w:p>
    <w:p>
      <w:pPr>
        <w:spacing w:after="0" w:line="59" w:lineRule="exact"/>
        <w:rPr>
          <w:sz w:val="20"/>
          <w:szCs w:val="20"/>
          <w:color w:val="auto"/>
        </w:rPr>
      </w:pPr>
    </w:p>
    <w:p>
      <w:pPr>
        <w:ind w:left="72"/>
        <w:spacing w:after="0"/>
        <w:rPr>
          <w:sz w:val="20"/>
          <w:szCs w:val="20"/>
          <w:color w:val="auto"/>
        </w:rPr>
      </w:pPr>
      <w:r>
        <w:rPr>
          <w:rFonts w:ascii="Arial" w:cs="Arial" w:eastAsia="Arial" w:hAnsi="Arial"/>
          <w:sz w:val="16"/>
          <w:szCs w:val="16"/>
          <w:color w:val="auto"/>
        </w:rPr>
        <w:t>Texas Industries Trust, a Delaware trust</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Theodore Holding, LLC, a Delaware limited liability company</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TXI Aviation, Inc. dba TXI Retail, a Texas corporation</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TXI California Inc., a Delaware corporation</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TXI Cement Company,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289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FFFFFF"/>
        </w:rPr>
        <w:t>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-130175</wp:posOffset>
            </wp:positionV>
            <wp:extent cx="660400" cy="2832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8">
                      <a:extLst>
                        <a:ext uri="{28A0092B-C50C-407E-A947-70E740481C1C}"/>
                      </a:extLst>
                    </a:blip>
                    <a:srcRect/>
                    <a:stretch>
                      <a:fillRect/>
                    </a:stretch>
                  </pic:blipFill>
                  <pic:spPr bwMode="auto">
                    <a:xfrm>
                      <a:off x="0" y="0"/>
                      <a:ext cx="660400" cy="28321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Owned</w:t>
      </w:r>
    </w:p>
    <w:p>
      <w:pPr>
        <w:spacing w:after="0" w:line="14"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31</w:t>
      </w:r>
    </w:p>
    <w:p>
      <w:pPr>
        <w:jc w:val="right"/>
        <w:ind w:right="100"/>
        <w:spacing w:after="0" w:line="198"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32</w:t>
      </w:r>
    </w:p>
    <w:p>
      <w:pPr>
        <w:jc w:val="right"/>
        <w:ind w:right="100"/>
        <w:spacing w:after="0" w:line="198"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33</w:t>
      </w:r>
    </w:p>
    <w:p>
      <w:pPr>
        <w:jc w:val="right"/>
        <w:ind w:right="100"/>
        <w:spacing w:after="0" w:line="199"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34</w:t>
      </w:r>
    </w:p>
    <w:p>
      <w:pPr>
        <w:jc w:val="right"/>
        <w:ind w:right="100"/>
        <w:spacing w:after="0" w:line="198"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35</w:t>
      </w:r>
    </w:p>
    <w:p>
      <w:pPr>
        <w:jc w:val="right"/>
        <w:ind w:right="100"/>
        <w:spacing w:after="0" w:line="198"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36</w:t>
      </w:r>
    </w:p>
    <w:p>
      <w:pPr>
        <w:jc w:val="right"/>
        <w:ind w:right="100"/>
        <w:spacing w:after="0" w:line="199"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37</w:t>
      </w:r>
    </w:p>
    <w:p>
      <w:pPr>
        <w:jc w:val="right"/>
        <w:ind w:right="100"/>
        <w:spacing w:after="0" w:line="191"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38</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100%</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100%</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100%</w:t>
      </w:r>
    </w:p>
    <w:p>
      <w:pPr>
        <w:spacing w:after="0" w:line="14"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39</w:t>
      </w:r>
    </w:p>
    <w:p>
      <w:pPr>
        <w:jc w:val="right"/>
        <w:ind w:right="100"/>
        <w:spacing w:after="0" w:line="198" w:lineRule="auto"/>
        <w:rPr>
          <w:sz w:val="20"/>
          <w:szCs w:val="20"/>
          <w:color w:val="auto"/>
        </w:rPr>
      </w:pPr>
      <w:r>
        <w:rPr>
          <w:rFonts w:ascii="Arial" w:cs="Arial" w:eastAsia="Arial" w:hAnsi="Arial"/>
          <w:sz w:val="16"/>
          <w:szCs w:val="16"/>
          <w:color w:val="auto"/>
        </w:rPr>
        <w:t>50%</w:t>
      </w:r>
      <w:r>
        <w:rPr>
          <w:rFonts w:ascii="Arial" w:cs="Arial" w:eastAsia="Arial" w:hAnsi="Arial"/>
          <w:sz w:val="27"/>
          <w:szCs w:val="27"/>
          <w:color w:val="auto"/>
          <w:vertAlign w:val="superscript"/>
        </w:rPr>
        <w:t>40</w:t>
      </w:r>
    </w:p>
    <w:p>
      <w:pPr>
        <w:jc w:val="right"/>
        <w:ind w:right="100"/>
        <w:spacing w:after="0" w:line="198"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41</w:t>
      </w:r>
    </w:p>
    <w:p>
      <w:pPr>
        <w:jc w:val="right"/>
        <w:ind w:right="100"/>
        <w:spacing w:after="0" w:line="192" w:lineRule="auto"/>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42</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100%</w:t>
      </w:r>
    </w:p>
    <w:p>
      <w:pPr>
        <w:spacing w:after="0" w:line="5"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100%</w:t>
      </w:r>
      <w:r>
        <w:rPr>
          <w:rFonts w:ascii="Arial" w:cs="Arial" w:eastAsia="Arial" w:hAnsi="Arial"/>
          <w:sz w:val="27"/>
          <w:szCs w:val="27"/>
          <w:color w:val="auto"/>
          <w:vertAlign w:val="superscript"/>
        </w:rPr>
        <w:t>43</w:t>
      </w:r>
    </w:p>
    <w:p>
      <w:pPr>
        <w:ind w:left="100"/>
        <w:spacing w:after="0"/>
        <w:rPr>
          <w:sz w:val="20"/>
          <w:szCs w:val="20"/>
          <w:color w:val="auto"/>
        </w:rPr>
      </w:pPr>
      <w:r>
        <w:rPr>
          <w:rFonts w:ascii="Arial" w:cs="Arial" w:eastAsia="Arial" w:hAnsi="Arial"/>
          <w:sz w:val="16"/>
          <w:szCs w:val="16"/>
          <w:color w:val="auto"/>
        </w:rPr>
        <w:t>100%</w:t>
      </w:r>
    </w:p>
    <w:p>
      <w:pPr>
        <w:spacing w:after="0" w:line="6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100%</w:t>
      </w:r>
      <w:r>
        <w:rPr>
          <w:rFonts w:ascii="Arial" w:cs="Arial" w:eastAsia="Arial" w:hAnsi="Arial"/>
          <w:sz w:val="23"/>
          <w:szCs w:val="23"/>
          <w:color w:val="auto"/>
          <w:vertAlign w:val="superscript"/>
        </w:rPr>
        <w:t>44</w:t>
      </w:r>
    </w:p>
    <w:p>
      <w:pPr>
        <w:ind w:left="60"/>
        <w:spacing w:after="0" w:line="232" w:lineRule="auto"/>
        <w:rPr>
          <w:sz w:val="20"/>
          <w:szCs w:val="20"/>
          <w:color w:val="auto"/>
        </w:rPr>
      </w:pPr>
      <w:r>
        <w:rPr>
          <w:rFonts w:ascii="Arial" w:cs="Arial" w:eastAsia="Arial" w:hAnsi="Arial"/>
          <w:sz w:val="14"/>
          <w:szCs w:val="14"/>
          <w:color w:val="auto"/>
        </w:rPr>
        <w:t>60.7%</w:t>
      </w:r>
      <w:r>
        <w:rPr>
          <w:rFonts w:ascii="Arial" w:cs="Arial" w:eastAsia="Arial" w:hAnsi="Arial"/>
          <w:sz w:val="23"/>
          <w:szCs w:val="23"/>
          <w:color w:val="auto"/>
          <w:vertAlign w:val="superscript"/>
        </w:rPr>
        <w:t>45</w:t>
      </w:r>
    </w:p>
    <w:p>
      <w:pPr>
        <w:ind w:left="100"/>
        <w:spacing w:after="0" w:line="233" w:lineRule="auto"/>
        <w:rPr>
          <w:sz w:val="20"/>
          <w:szCs w:val="20"/>
          <w:color w:val="auto"/>
        </w:rPr>
      </w:pPr>
      <w:r>
        <w:rPr>
          <w:rFonts w:ascii="Arial" w:cs="Arial" w:eastAsia="Arial" w:hAnsi="Arial"/>
          <w:sz w:val="14"/>
          <w:szCs w:val="14"/>
          <w:color w:val="auto"/>
        </w:rPr>
        <w:t>100%</w:t>
      </w:r>
      <w:r>
        <w:rPr>
          <w:rFonts w:ascii="Arial" w:cs="Arial" w:eastAsia="Arial" w:hAnsi="Arial"/>
          <w:sz w:val="23"/>
          <w:szCs w:val="23"/>
          <w:color w:val="auto"/>
          <w:vertAlign w:val="superscript"/>
        </w:rPr>
        <w:t>46</w:t>
      </w:r>
    </w:p>
    <w:p>
      <w:pPr>
        <w:ind w:left="100"/>
        <w:spacing w:after="0" w:line="233" w:lineRule="auto"/>
        <w:rPr>
          <w:sz w:val="20"/>
          <w:szCs w:val="20"/>
          <w:color w:val="auto"/>
        </w:rPr>
      </w:pPr>
      <w:r>
        <w:rPr>
          <w:rFonts w:ascii="Arial" w:cs="Arial" w:eastAsia="Arial" w:hAnsi="Arial"/>
          <w:sz w:val="14"/>
          <w:szCs w:val="14"/>
          <w:color w:val="auto"/>
        </w:rPr>
        <w:t>100%</w:t>
      </w:r>
      <w:r>
        <w:rPr>
          <w:rFonts w:ascii="Arial" w:cs="Arial" w:eastAsia="Arial" w:hAnsi="Arial"/>
          <w:sz w:val="23"/>
          <w:szCs w:val="23"/>
          <w:color w:val="auto"/>
          <w:vertAlign w:val="superscript"/>
        </w:rPr>
        <w:t>47</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100%</w:t>
      </w:r>
      <w:r>
        <w:rPr>
          <w:rFonts w:ascii="Arial" w:cs="Arial" w:eastAsia="Arial" w:hAnsi="Arial"/>
          <w:sz w:val="23"/>
          <w:szCs w:val="23"/>
          <w:color w:val="auto"/>
          <w:vertAlign w:val="superscript"/>
        </w:rPr>
        <w:t>48</w:t>
      </w:r>
    </w:p>
    <w:p>
      <w:pPr>
        <w:spacing w:after="0" w:line="58" w:lineRule="exact"/>
        <w:rPr>
          <w:sz w:val="20"/>
          <w:szCs w:val="20"/>
          <w:color w:val="auto"/>
        </w:rPr>
      </w:pPr>
    </w:p>
    <w:p>
      <w:pPr>
        <w:sectPr>
          <w:pgSz w:w="11900" w:h="16838" w:orient="portrait"/>
          <w:cols w:equalWidth="0" w:num="2">
            <w:col w:w="9932" w:space="720"/>
            <w:col w:w="760"/>
          </w:cols>
          <w:pgMar w:left="248" w:top="310" w:right="239" w:bottom="1440" w:gutter="0" w:footer="0" w:header="0"/>
        </w:sectPr>
      </w:pPr>
    </w:p>
    <w:p>
      <w:pPr>
        <w:ind w:left="192" w:hanging="192"/>
        <w:spacing w:after="0"/>
        <w:tabs>
          <w:tab w:leader="none" w:pos="192" w:val="left"/>
        </w:tabs>
        <w:numPr>
          <w:ilvl w:val="0"/>
          <w:numId w:val="96"/>
        </w:numPr>
        <w:rPr>
          <w:rFonts w:ascii="Arial" w:cs="Arial" w:eastAsia="Arial" w:hAnsi="Arial"/>
          <w:sz w:val="24"/>
          <w:szCs w:val="24"/>
          <w:color w:val="auto"/>
          <w:vertAlign w:val="superscript"/>
        </w:rPr>
      </w:pPr>
      <w:r>
        <w:rPr>
          <w:rFonts w:ascii="Arial" w:cs="Arial" w:eastAsia="Arial" w:hAnsi="Arial"/>
          <w:sz w:val="14"/>
          <w:szCs w:val="14"/>
          <w:color w:val="auto"/>
        </w:rPr>
        <w:t>Partin Limestone Products, Inc. is a wholly owned subsidiary of Riverside Cement Company.</w:t>
      </w:r>
    </w:p>
    <w:p>
      <w:pPr>
        <w:spacing w:after="0" w:line="70" w:lineRule="exact"/>
        <w:rPr>
          <w:rFonts w:ascii="Arial" w:cs="Arial" w:eastAsia="Arial" w:hAnsi="Arial"/>
          <w:sz w:val="24"/>
          <w:szCs w:val="24"/>
          <w:color w:val="auto"/>
          <w:vertAlign w:val="superscript"/>
        </w:rPr>
      </w:pPr>
    </w:p>
    <w:p>
      <w:pPr>
        <w:ind w:left="192" w:hanging="192"/>
        <w:spacing w:after="0" w:line="189" w:lineRule="auto"/>
        <w:tabs>
          <w:tab w:leader="none" w:pos="192" w:val="left"/>
        </w:tabs>
        <w:numPr>
          <w:ilvl w:val="0"/>
          <w:numId w:val="96"/>
        </w:numPr>
        <w:rPr>
          <w:rFonts w:ascii="Arial" w:cs="Arial" w:eastAsia="Arial" w:hAnsi="Arial"/>
          <w:sz w:val="19"/>
          <w:szCs w:val="19"/>
          <w:color w:val="auto"/>
          <w:vertAlign w:val="superscript"/>
        </w:rPr>
      </w:pPr>
      <w:r>
        <w:rPr>
          <w:rFonts w:ascii="Arial" w:cs="Arial" w:eastAsia="Arial" w:hAnsi="Arial"/>
          <w:sz w:val="12"/>
          <w:szCs w:val="12"/>
          <w:color w:val="auto"/>
        </w:rPr>
        <w:t>Petrillo Brothers, Inc. is a wholly owned subsidiary of Bluegrass Materials Company, LLC.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6"/>
        </w:numPr>
        <w:rPr>
          <w:rFonts w:ascii="Arial" w:cs="Arial" w:eastAsia="Arial" w:hAnsi="Arial"/>
          <w:sz w:val="19"/>
          <w:szCs w:val="19"/>
          <w:color w:val="auto"/>
          <w:vertAlign w:val="superscript"/>
        </w:rPr>
      </w:pPr>
      <w:r>
        <w:rPr>
          <w:rFonts w:ascii="Arial" w:cs="Arial" w:eastAsia="Arial" w:hAnsi="Arial"/>
          <w:sz w:val="12"/>
          <w:szCs w:val="12"/>
          <w:color w:val="auto"/>
        </w:rPr>
        <w:t>Powderly Transportation, Inc. is a wholly owned subsidiary of Meridian Aggregates Company, a Limited Partnership.</w:t>
      </w:r>
    </w:p>
    <w:p>
      <w:pPr>
        <w:spacing w:after="0" w:line="71" w:lineRule="exact"/>
        <w:rPr>
          <w:rFonts w:ascii="Arial" w:cs="Arial" w:eastAsia="Arial" w:hAnsi="Arial"/>
          <w:sz w:val="19"/>
          <w:szCs w:val="19"/>
          <w:color w:val="auto"/>
          <w:vertAlign w:val="superscript"/>
        </w:rPr>
      </w:pPr>
    </w:p>
    <w:p>
      <w:pPr>
        <w:ind w:left="192" w:hanging="192"/>
        <w:spacing w:after="0" w:line="183" w:lineRule="auto"/>
        <w:tabs>
          <w:tab w:leader="none" w:pos="192" w:val="left"/>
        </w:tabs>
        <w:numPr>
          <w:ilvl w:val="0"/>
          <w:numId w:val="96"/>
        </w:numPr>
        <w:rPr>
          <w:rFonts w:ascii="Arial" w:cs="Arial" w:eastAsia="Arial" w:hAnsi="Arial"/>
          <w:sz w:val="24"/>
          <w:szCs w:val="24"/>
          <w:color w:val="auto"/>
          <w:vertAlign w:val="superscript"/>
        </w:rPr>
      </w:pPr>
      <w:r>
        <w:rPr>
          <w:rFonts w:ascii="Arial" w:cs="Arial" w:eastAsia="Arial" w:hAnsi="Arial"/>
          <w:sz w:val="14"/>
          <w:szCs w:val="14"/>
          <w:color w:val="auto"/>
        </w:rPr>
        <w:t>Martin Marietta Materials, Inc. is the manager of and owns a 90% interest in R&amp;S Sand &amp; Gravel, LLC. The other 10% is owned by Harding Street Corporation, a wholly owned subsidiary of Martin Marietta Materials, Inc.</w:t>
      </w:r>
    </w:p>
    <w:p>
      <w:pPr>
        <w:spacing w:after="0" w:line="1" w:lineRule="exact"/>
        <w:rPr>
          <w:rFonts w:ascii="Arial" w:cs="Arial" w:eastAsia="Arial" w:hAnsi="Arial"/>
          <w:sz w:val="24"/>
          <w:szCs w:val="24"/>
          <w:color w:val="auto"/>
          <w:vertAlign w:val="superscript"/>
        </w:rPr>
      </w:pPr>
    </w:p>
    <w:p>
      <w:pPr>
        <w:ind w:left="192" w:hanging="192"/>
        <w:spacing w:after="0" w:line="211" w:lineRule="auto"/>
        <w:tabs>
          <w:tab w:leader="none" w:pos="192" w:val="left"/>
        </w:tabs>
        <w:numPr>
          <w:ilvl w:val="0"/>
          <w:numId w:val="96"/>
        </w:numPr>
        <w:rPr>
          <w:rFonts w:ascii="Arial" w:cs="Arial" w:eastAsia="Arial" w:hAnsi="Arial"/>
          <w:sz w:val="24"/>
          <w:szCs w:val="24"/>
          <w:color w:val="auto"/>
          <w:vertAlign w:val="superscript"/>
        </w:rPr>
      </w:pPr>
      <w:r>
        <w:rPr>
          <w:rFonts w:ascii="Arial" w:cs="Arial" w:eastAsia="Arial" w:hAnsi="Arial"/>
          <w:sz w:val="14"/>
          <w:szCs w:val="14"/>
          <w:color w:val="auto"/>
        </w:rPr>
        <w:t>Ratliff Mix Management, LLC is a wholly owned subsidiary of TXI Operations, LP.</w:t>
      </w:r>
    </w:p>
    <w:p>
      <w:pPr>
        <w:spacing w:after="0" w:line="71" w:lineRule="exact"/>
        <w:rPr>
          <w:rFonts w:ascii="Arial" w:cs="Arial" w:eastAsia="Arial" w:hAnsi="Arial"/>
          <w:sz w:val="24"/>
          <w:szCs w:val="24"/>
          <w:color w:val="auto"/>
          <w:vertAlign w:val="superscript"/>
        </w:rPr>
      </w:pPr>
    </w:p>
    <w:p>
      <w:pPr>
        <w:ind w:left="192" w:hanging="192"/>
        <w:spacing w:after="0" w:line="189" w:lineRule="auto"/>
        <w:tabs>
          <w:tab w:leader="none" w:pos="192" w:val="left"/>
        </w:tabs>
        <w:numPr>
          <w:ilvl w:val="0"/>
          <w:numId w:val="96"/>
        </w:numPr>
        <w:rPr>
          <w:rFonts w:ascii="Arial" w:cs="Arial" w:eastAsia="Arial" w:hAnsi="Arial"/>
          <w:sz w:val="19"/>
          <w:szCs w:val="19"/>
          <w:color w:val="auto"/>
          <w:vertAlign w:val="superscript"/>
        </w:rPr>
      </w:pPr>
      <w:r>
        <w:rPr>
          <w:rFonts w:ascii="Arial" w:cs="Arial" w:eastAsia="Arial" w:hAnsi="Arial"/>
          <w:sz w:val="12"/>
          <w:szCs w:val="12"/>
          <w:color w:val="auto"/>
        </w:rPr>
        <w:t>Ratliff Ready-Mix, LP is owned 99% by TXI Operations, LP and 1% by Ratliff Mix Management, LLC.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6"/>
        </w:numPr>
        <w:rPr>
          <w:rFonts w:ascii="Arial" w:cs="Arial" w:eastAsia="Arial" w:hAnsi="Arial"/>
          <w:sz w:val="19"/>
          <w:szCs w:val="19"/>
          <w:color w:val="auto"/>
          <w:vertAlign w:val="superscript"/>
        </w:rPr>
      </w:pPr>
      <w:r>
        <w:rPr>
          <w:rFonts w:ascii="Arial" w:cs="Arial" w:eastAsia="Arial" w:hAnsi="Arial"/>
          <w:sz w:val="12"/>
          <w:szCs w:val="12"/>
          <w:color w:val="auto"/>
        </w:rPr>
        <w:t>Riverside Cement Company is owned 49% by TXI California, Inc. and 51% by TXI Riverside Inc.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6"/>
        </w:numPr>
        <w:rPr>
          <w:rFonts w:ascii="Arial" w:cs="Arial" w:eastAsia="Arial" w:hAnsi="Arial"/>
          <w:sz w:val="19"/>
          <w:szCs w:val="19"/>
          <w:color w:val="auto"/>
          <w:vertAlign w:val="superscript"/>
        </w:rPr>
      </w:pPr>
      <w:r>
        <w:rPr>
          <w:rFonts w:ascii="Arial" w:cs="Arial" w:eastAsia="Arial" w:hAnsi="Arial"/>
          <w:sz w:val="12"/>
          <w:szCs w:val="12"/>
          <w:color w:val="auto"/>
        </w:rPr>
        <w:t>Riverside Cement Holdings Company is a wholly owned subsidiary of Riverside Cement Company.</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6"/>
        </w:numPr>
        <w:rPr>
          <w:rFonts w:ascii="Arial" w:cs="Arial" w:eastAsia="Arial" w:hAnsi="Arial"/>
          <w:sz w:val="19"/>
          <w:szCs w:val="19"/>
          <w:color w:val="auto"/>
          <w:vertAlign w:val="superscript"/>
        </w:rPr>
      </w:pPr>
      <w:r>
        <w:rPr>
          <w:rFonts w:ascii="Arial" w:cs="Arial" w:eastAsia="Arial" w:hAnsi="Arial"/>
          <w:sz w:val="12"/>
          <w:szCs w:val="12"/>
          <w:color w:val="auto"/>
        </w:rPr>
        <w:t>Rocky Mountain Ready Mix Concrete, Inc. is a wholly owned subsidiary of Campbell’s C-Ment Contracting, Inc.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6"/>
        </w:numPr>
        <w:rPr>
          <w:rFonts w:ascii="Arial" w:cs="Arial" w:eastAsia="Arial" w:hAnsi="Arial"/>
          <w:sz w:val="19"/>
          <w:szCs w:val="19"/>
          <w:color w:val="auto"/>
          <w:vertAlign w:val="superscript"/>
        </w:rPr>
      </w:pPr>
      <w:r>
        <w:rPr>
          <w:rFonts w:ascii="Arial" w:cs="Arial" w:eastAsia="Arial" w:hAnsi="Arial"/>
          <w:sz w:val="12"/>
          <w:szCs w:val="12"/>
          <w:color w:val="auto"/>
        </w:rPr>
        <w:t>Rock &amp; Rail LLC, a wholly owned subsidiary of Martin Marietta Materials, Inc., owns a 50% interest in Royal Gorge Express, LLC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6"/>
        </w:numPr>
        <w:rPr>
          <w:rFonts w:ascii="Arial" w:cs="Arial" w:eastAsia="Arial" w:hAnsi="Arial"/>
          <w:sz w:val="19"/>
          <w:szCs w:val="19"/>
          <w:color w:val="auto"/>
          <w:vertAlign w:val="superscript"/>
        </w:rPr>
      </w:pPr>
      <w:r>
        <w:rPr>
          <w:rFonts w:ascii="Arial" w:cs="Arial" w:eastAsia="Arial" w:hAnsi="Arial"/>
          <w:sz w:val="12"/>
          <w:szCs w:val="12"/>
          <w:color w:val="auto"/>
        </w:rPr>
        <w:t>Southwestern Financial Corporation is a wholly owned subsidiary of TXI Operations, LP.</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6"/>
        </w:numPr>
        <w:rPr>
          <w:rFonts w:ascii="Arial" w:cs="Arial" w:eastAsia="Arial" w:hAnsi="Arial"/>
          <w:sz w:val="19"/>
          <w:szCs w:val="19"/>
          <w:color w:val="auto"/>
          <w:vertAlign w:val="superscript"/>
        </w:rPr>
      </w:pPr>
      <w:r>
        <w:rPr>
          <w:rFonts w:ascii="Arial" w:cs="Arial" w:eastAsia="Arial" w:hAnsi="Arial"/>
          <w:sz w:val="12"/>
          <w:szCs w:val="12"/>
          <w:color w:val="auto"/>
        </w:rPr>
        <w:t>St. Marys Sand Company, LLC is a wholly owned subsidiary of Bluegrass-St. Marys, LLC.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6"/>
        </w:numPr>
        <w:rPr>
          <w:rFonts w:ascii="Arial" w:cs="Arial" w:eastAsia="Arial" w:hAnsi="Arial"/>
          <w:sz w:val="19"/>
          <w:szCs w:val="19"/>
          <w:color w:val="auto"/>
          <w:vertAlign w:val="superscript"/>
        </w:rPr>
      </w:pPr>
      <w:r>
        <w:rPr>
          <w:rFonts w:ascii="Arial" w:cs="Arial" w:eastAsia="Arial" w:hAnsi="Arial"/>
          <w:sz w:val="12"/>
          <w:szCs w:val="12"/>
          <w:color w:val="auto"/>
        </w:rPr>
        <w:t>Texas Industries Holdings, LLC is a wholly owned subsidiary of Texas Industries, Inc.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6"/>
        </w:numPr>
        <w:rPr>
          <w:rFonts w:ascii="Arial" w:cs="Arial" w:eastAsia="Arial" w:hAnsi="Arial"/>
          <w:sz w:val="19"/>
          <w:szCs w:val="19"/>
          <w:color w:val="auto"/>
          <w:vertAlign w:val="superscript"/>
        </w:rPr>
      </w:pPr>
      <w:r>
        <w:rPr>
          <w:rFonts w:ascii="Arial" w:cs="Arial" w:eastAsia="Arial" w:hAnsi="Arial"/>
          <w:sz w:val="12"/>
          <w:szCs w:val="12"/>
          <w:color w:val="auto"/>
        </w:rPr>
        <w:t>Texas Industries Trust is owned 100% by Texas Industries Holdings, LLC.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6"/>
        </w:numPr>
        <w:rPr>
          <w:rFonts w:ascii="Arial" w:cs="Arial" w:eastAsia="Arial" w:hAnsi="Arial"/>
          <w:sz w:val="19"/>
          <w:szCs w:val="19"/>
          <w:color w:val="auto"/>
          <w:vertAlign w:val="superscript"/>
        </w:rPr>
      </w:pPr>
      <w:r>
        <w:rPr>
          <w:rFonts w:ascii="Arial" w:cs="Arial" w:eastAsia="Arial" w:hAnsi="Arial"/>
          <w:sz w:val="12"/>
          <w:szCs w:val="12"/>
          <w:color w:val="auto"/>
        </w:rPr>
        <w:t>Martin Marietta Materials, Inc. is the manager of and owns a 60.7% interest in Theodore Holdings, LLC.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6"/>
        </w:numPr>
        <w:rPr>
          <w:rFonts w:ascii="Arial" w:cs="Arial" w:eastAsia="Arial" w:hAnsi="Arial"/>
          <w:sz w:val="19"/>
          <w:szCs w:val="19"/>
          <w:color w:val="auto"/>
          <w:vertAlign w:val="superscript"/>
        </w:rPr>
      </w:pPr>
      <w:r>
        <w:rPr>
          <w:rFonts w:ascii="Arial" w:cs="Arial" w:eastAsia="Arial" w:hAnsi="Arial"/>
          <w:sz w:val="12"/>
          <w:szCs w:val="12"/>
          <w:color w:val="auto"/>
        </w:rPr>
        <w:t>TXI Aviation, Inc. is a wholly owned subsidiary of Texas Industries, Inc.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6"/>
        </w:numPr>
        <w:rPr>
          <w:rFonts w:ascii="Arial" w:cs="Arial" w:eastAsia="Arial" w:hAnsi="Arial"/>
          <w:sz w:val="19"/>
          <w:szCs w:val="19"/>
          <w:color w:val="auto"/>
          <w:vertAlign w:val="superscript"/>
        </w:rPr>
      </w:pPr>
      <w:r>
        <w:rPr>
          <w:rFonts w:ascii="Arial" w:cs="Arial" w:eastAsia="Arial" w:hAnsi="Arial"/>
          <w:sz w:val="12"/>
          <w:szCs w:val="12"/>
          <w:color w:val="auto"/>
        </w:rPr>
        <w:t>TXI California Inc. is a wholly owned subsidiary of Texas Industries, Inc.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6"/>
        </w:numPr>
        <w:rPr>
          <w:rFonts w:ascii="Arial" w:cs="Arial" w:eastAsia="Arial" w:hAnsi="Arial"/>
          <w:sz w:val="19"/>
          <w:szCs w:val="19"/>
          <w:color w:val="auto"/>
          <w:vertAlign w:val="superscript"/>
        </w:rPr>
      </w:pPr>
      <w:r>
        <w:rPr>
          <w:rFonts w:ascii="Arial" w:cs="Arial" w:eastAsia="Arial" w:hAnsi="Arial"/>
          <w:sz w:val="12"/>
          <w:szCs w:val="12"/>
          <w:color w:val="auto"/>
        </w:rPr>
        <w:t>TXI Cement Company is a wholly owned subsidiary of Texas Industries, Inc.</w:t>
      </w:r>
    </w:p>
    <w:p>
      <w:pPr>
        <w:sectPr>
          <w:pgSz w:w="11900" w:h="16838" w:orient="portrait"/>
          <w:cols w:equalWidth="0" w:num="1">
            <w:col w:w="11412"/>
          </w:cols>
          <w:pgMar w:left="248" w:top="310" w:right="239" w:bottom="1440" w:gutter="0" w:footer="0" w:header="0"/>
          <w:type w:val="continuous"/>
        </w:sectPr>
      </w:pPr>
    </w:p>
    <w:bookmarkStart w:id="129" w:name="page130"/>
    <w:bookmarkEnd w:id="129"/>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6612255" cy="2832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0">
                      <a:extLst>
                        <a:ext uri="{28A0092B-C50C-407E-A947-70E740481C1C}"/>
                      </a:extLst>
                    </a:blip>
                    <a:srcRect/>
                    <a:stretch>
                      <a:fillRect/>
                    </a:stretch>
                  </pic:blipFill>
                  <pic:spPr bwMode="auto">
                    <a:xfrm>
                      <a:off x="0" y="0"/>
                      <a:ext cx="6612255" cy="283210"/>
                    </a:xfrm>
                    <a:prstGeom prst="rect">
                      <a:avLst/>
                    </a:prstGeom>
                    <a:noFill/>
                  </pic:spPr>
                </pic:pic>
              </a:graphicData>
            </a:graphic>
          </wp:anchor>
        </w:drawing>
      </w:r>
    </w:p>
    <w:p>
      <w:pPr>
        <w:ind w:left="92"/>
        <w:spacing w:after="0"/>
        <w:rPr>
          <w:sz w:val="20"/>
          <w:szCs w:val="20"/>
          <w:color w:val="auto"/>
        </w:rPr>
      </w:pPr>
      <w:r>
        <w:rPr>
          <w:rFonts w:ascii="Arial" w:cs="Arial" w:eastAsia="Arial" w:hAnsi="Arial"/>
          <w:sz w:val="16"/>
          <w:szCs w:val="16"/>
          <w:b w:val="1"/>
          <w:bCs w:val="1"/>
          <w:color w:val="FFFFFF"/>
        </w:rPr>
        <w:t>Name of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246620" cy="1149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1">
                      <a:extLst>
                        <a:ext uri="{28A0092B-C50C-407E-A947-70E740481C1C}"/>
                      </a:extLst>
                    </a:blip>
                    <a:srcRect/>
                    <a:stretch>
                      <a:fillRect/>
                    </a:stretch>
                  </pic:blipFill>
                  <pic:spPr bwMode="auto">
                    <a:xfrm>
                      <a:off x="0" y="0"/>
                      <a:ext cx="7246620" cy="1149350"/>
                    </a:xfrm>
                    <a:prstGeom prst="rect">
                      <a:avLst/>
                    </a:prstGeom>
                    <a:noFill/>
                  </pic:spPr>
                </pic:pic>
              </a:graphicData>
            </a:graphic>
          </wp:anchor>
        </w:drawing>
      </w:r>
    </w:p>
    <w:p>
      <w:pPr>
        <w:spacing w:after="0" w:line="59" w:lineRule="exact"/>
        <w:rPr>
          <w:sz w:val="20"/>
          <w:szCs w:val="20"/>
          <w:color w:val="auto"/>
        </w:rPr>
      </w:pPr>
    </w:p>
    <w:p>
      <w:pPr>
        <w:ind w:left="72"/>
        <w:spacing w:after="0"/>
        <w:rPr>
          <w:sz w:val="20"/>
          <w:szCs w:val="20"/>
          <w:color w:val="auto"/>
        </w:rPr>
      </w:pPr>
      <w:r>
        <w:rPr>
          <w:rFonts w:ascii="Arial" w:cs="Arial" w:eastAsia="Arial" w:hAnsi="Arial"/>
          <w:sz w:val="16"/>
          <w:szCs w:val="16"/>
          <w:color w:val="auto"/>
        </w:rPr>
        <w:t>TXI LLC, a Delaware limited liability company</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TXI Operating Trust, a Delaware trust</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TXI Operations, LP, a Delaware limited partnership</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TXI Power Company, a Texas corporation</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TXI Riverside Inc., a Delaware corporation</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TXI Transportation Company, a Texas corporation</w:t>
      </w:r>
    </w:p>
    <w:p>
      <w:pPr>
        <w:spacing w:after="0" w:line="73" w:lineRule="exact"/>
        <w:rPr>
          <w:sz w:val="20"/>
          <w:szCs w:val="20"/>
          <w:color w:val="auto"/>
        </w:rPr>
      </w:pPr>
    </w:p>
    <w:p>
      <w:pPr>
        <w:ind w:left="72"/>
        <w:spacing w:after="0"/>
        <w:rPr>
          <w:sz w:val="20"/>
          <w:szCs w:val="20"/>
          <w:color w:val="auto"/>
        </w:rPr>
      </w:pPr>
      <w:r>
        <w:rPr>
          <w:rFonts w:ascii="Arial" w:cs="Arial" w:eastAsia="Arial" w:hAnsi="Arial"/>
          <w:sz w:val="16"/>
          <w:szCs w:val="16"/>
          <w:color w:val="auto"/>
        </w:rPr>
        <w:t>Valley Stone LLC, a Virginia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250825</wp:posOffset>
            </wp:positionV>
            <wp:extent cx="7289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0" w:lineRule="exact"/>
        <w:rPr>
          <w:sz w:val="20"/>
          <w:szCs w:val="20"/>
          <w:color w:val="auto"/>
        </w:rPr>
      </w:pPr>
    </w:p>
    <w:p>
      <w:pPr>
        <w:ind w:left="192" w:hanging="192"/>
        <w:spacing w:after="0"/>
        <w:tabs>
          <w:tab w:leader="none" w:pos="192"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TXI, LLC is a wholly owned subsidiary of Texas Industries, Inc.</w:t>
      </w:r>
    </w:p>
    <w:p>
      <w:pPr>
        <w:spacing w:after="0" w:line="70" w:lineRule="exact"/>
        <w:rPr>
          <w:rFonts w:ascii="Arial" w:cs="Arial" w:eastAsia="Arial" w:hAnsi="Arial"/>
          <w:sz w:val="24"/>
          <w:szCs w:val="24"/>
          <w:color w:val="auto"/>
          <w:vertAlign w:val="superscript"/>
        </w:rPr>
      </w:pPr>
    </w:p>
    <w:p>
      <w:pPr>
        <w:ind w:left="192" w:hanging="192"/>
        <w:spacing w:after="0" w:line="189" w:lineRule="auto"/>
        <w:tabs>
          <w:tab w:leader="none" w:pos="192" w:val="left"/>
        </w:tabs>
        <w:numPr>
          <w:ilvl w:val="0"/>
          <w:numId w:val="97"/>
        </w:numPr>
        <w:rPr>
          <w:rFonts w:ascii="Arial" w:cs="Arial" w:eastAsia="Arial" w:hAnsi="Arial"/>
          <w:sz w:val="19"/>
          <w:szCs w:val="19"/>
          <w:color w:val="auto"/>
          <w:vertAlign w:val="superscript"/>
        </w:rPr>
      </w:pPr>
      <w:r>
        <w:rPr>
          <w:rFonts w:ascii="Arial" w:cs="Arial" w:eastAsia="Arial" w:hAnsi="Arial"/>
          <w:sz w:val="12"/>
          <w:szCs w:val="12"/>
          <w:color w:val="auto"/>
        </w:rPr>
        <w:t>TXI Operating Trust is owned 100% by TXI LLC.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7"/>
        </w:numPr>
        <w:rPr>
          <w:rFonts w:ascii="Arial" w:cs="Arial" w:eastAsia="Arial" w:hAnsi="Arial"/>
          <w:sz w:val="19"/>
          <w:szCs w:val="19"/>
          <w:color w:val="auto"/>
          <w:vertAlign w:val="superscript"/>
        </w:rPr>
      </w:pPr>
      <w:r>
        <w:rPr>
          <w:rFonts w:ascii="Arial" w:cs="Arial" w:eastAsia="Arial" w:hAnsi="Arial"/>
          <w:sz w:val="12"/>
          <w:szCs w:val="12"/>
          <w:color w:val="auto"/>
        </w:rPr>
        <w:t>TXI Operations, LP is owned 99% by Texas Industries Trust and owned 1% by TXI Operating Trust.</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7"/>
        </w:numPr>
        <w:rPr>
          <w:rFonts w:ascii="Arial" w:cs="Arial" w:eastAsia="Arial" w:hAnsi="Arial"/>
          <w:sz w:val="19"/>
          <w:szCs w:val="19"/>
          <w:color w:val="auto"/>
          <w:vertAlign w:val="superscript"/>
        </w:rPr>
      </w:pPr>
      <w:r>
        <w:rPr>
          <w:rFonts w:ascii="Arial" w:cs="Arial" w:eastAsia="Arial" w:hAnsi="Arial"/>
          <w:sz w:val="12"/>
          <w:szCs w:val="12"/>
          <w:color w:val="auto"/>
        </w:rPr>
        <w:t>TXI Power Company is a wholly owned subsidiary of Texas Industries, Inc.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7"/>
        </w:numPr>
        <w:rPr>
          <w:rFonts w:ascii="Arial" w:cs="Arial" w:eastAsia="Arial" w:hAnsi="Arial"/>
          <w:sz w:val="19"/>
          <w:szCs w:val="19"/>
          <w:color w:val="auto"/>
          <w:vertAlign w:val="superscript"/>
        </w:rPr>
      </w:pPr>
      <w:r>
        <w:rPr>
          <w:rFonts w:ascii="Arial" w:cs="Arial" w:eastAsia="Arial" w:hAnsi="Arial"/>
          <w:sz w:val="12"/>
          <w:szCs w:val="12"/>
          <w:color w:val="auto"/>
        </w:rPr>
        <w:t>TXI Riverside Inc. is a wholly owned subsidiary of Texas Industries, Inc.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7"/>
        </w:numPr>
        <w:rPr>
          <w:rFonts w:ascii="Arial" w:cs="Arial" w:eastAsia="Arial" w:hAnsi="Arial"/>
          <w:sz w:val="19"/>
          <w:szCs w:val="19"/>
          <w:color w:val="auto"/>
          <w:vertAlign w:val="superscript"/>
        </w:rPr>
      </w:pPr>
      <w:r>
        <w:rPr>
          <w:rFonts w:ascii="Arial" w:cs="Arial" w:eastAsia="Arial" w:hAnsi="Arial"/>
          <w:sz w:val="12"/>
          <w:szCs w:val="12"/>
          <w:color w:val="auto"/>
        </w:rPr>
        <w:t>TXI Transportation Company is a wholly owned subsidiary of Texas Industries, Inc.</w:t>
      </w:r>
    </w:p>
    <w:p>
      <w:pPr>
        <w:spacing w:after="0" w:line="71" w:lineRule="exact"/>
        <w:rPr>
          <w:rFonts w:ascii="Arial" w:cs="Arial" w:eastAsia="Arial" w:hAnsi="Arial"/>
          <w:sz w:val="19"/>
          <w:szCs w:val="19"/>
          <w:color w:val="auto"/>
          <w:vertAlign w:val="superscript"/>
        </w:rPr>
      </w:pPr>
    </w:p>
    <w:p>
      <w:pPr>
        <w:ind w:left="192" w:hanging="192"/>
        <w:spacing w:after="0" w:line="189" w:lineRule="auto"/>
        <w:tabs>
          <w:tab w:leader="none" w:pos="192" w:val="left"/>
        </w:tabs>
        <w:numPr>
          <w:ilvl w:val="0"/>
          <w:numId w:val="97"/>
        </w:numPr>
        <w:rPr>
          <w:rFonts w:ascii="Arial" w:cs="Arial" w:eastAsia="Arial" w:hAnsi="Arial"/>
          <w:sz w:val="19"/>
          <w:szCs w:val="19"/>
          <w:color w:val="auto"/>
          <w:vertAlign w:val="superscript"/>
        </w:rPr>
      </w:pPr>
      <w:r>
        <w:rPr>
          <w:rFonts w:ascii="Arial" w:cs="Arial" w:eastAsia="Arial" w:hAnsi="Arial"/>
          <w:sz w:val="12"/>
          <w:szCs w:val="12"/>
          <w:color w:val="auto"/>
        </w:rPr>
        <w:t>Martin Marietta Materials, Inc. is the manager of and owns a 50% interest in Valley Stone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FFFFFF"/>
        </w:rPr>
        <w:t>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-130175</wp:posOffset>
            </wp:positionV>
            <wp:extent cx="634365" cy="2832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3">
                      <a:extLst>
                        <a:ext uri="{28A0092B-C50C-407E-A947-70E740481C1C}"/>
                      </a:extLst>
                    </a:blip>
                    <a:srcRect/>
                    <a:stretch>
                      <a:fillRect/>
                    </a:stretch>
                  </pic:blipFill>
                  <pic:spPr bwMode="auto">
                    <a:xfrm>
                      <a:off x="0" y="0"/>
                      <a:ext cx="634365" cy="28321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Owned</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100%</w:t>
      </w:r>
      <w:r>
        <w:rPr>
          <w:rFonts w:ascii="Arial" w:cs="Arial" w:eastAsia="Arial" w:hAnsi="Arial"/>
          <w:sz w:val="25"/>
          <w:szCs w:val="25"/>
          <w:color w:val="auto"/>
          <w:vertAlign w:val="superscript"/>
        </w:rPr>
        <w:t>49</w:t>
      </w:r>
    </w:p>
    <w:p>
      <w:pPr>
        <w:jc w:val="right"/>
        <w:spacing w:after="0" w:line="214" w:lineRule="auto"/>
        <w:rPr>
          <w:sz w:val="20"/>
          <w:szCs w:val="20"/>
          <w:color w:val="auto"/>
        </w:rPr>
      </w:pPr>
      <w:r>
        <w:rPr>
          <w:rFonts w:ascii="Arial" w:cs="Arial" w:eastAsia="Arial" w:hAnsi="Arial"/>
          <w:sz w:val="15"/>
          <w:szCs w:val="15"/>
          <w:color w:val="auto"/>
        </w:rPr>
        <w:t>100%</w:t>
      </w:r>
      <w:r>
        <w:rPr>
          <w:rFonts w:ascii="Arial" w:cs="Arial" w:eastAsia="Arial" w:hAnsi="Arial"/>
          <w:sz w:val="25"/>
          <w:szCs w:val="25"/>
          <w:color w:val="auto"/>
          <w:vertAlign w:val="superscript"/>
        </w:rPr>
        <w:t>50</w:t>
      </w:r>
    </w:p>
    <w:p>
      <w:pPr>
        <w:jc w:val="right"/>
        <w:spacing w:after="0" w:line="214" w:lineRule="auto"/>
        <w:rPr>
          <w:sz w:val="20"/>
          <w:szCs w:val="20"/>
          <w:color w:val="auto"/>
        </w:rPr>
      </w:pPr>
      <w:r>
        <w:rPr>
          <w:rFonts w:ascii="Arial" w:cs="Arial" w:eastAsia="Arial" w:hAnsi="Arial"/>
          <w:sz w:val="15"/>
          <w:szCs w:val="15"/>
          <w:color w:val="auto"/>
        </w:rPr>
        <w:t>100%</w:t>
      </w:r>
      <w:r>
        <w:rPr>
          <w:rFonts w:ascii="Arial" w:cs="Arial" w:eastAsia="Arial" w:hAnsi="Arial"/>
          <w:sz w:val="25"/>
          <w:szCs w:val="25"/>
          <w:color w:val="auto"/>
          <w:vertAlign w:val="superscript"/>
        </w:rPr>
        <w:t>51</w:t>
      </w:r>
    </w:p>
    <w:p>
      <w:pPr>
        <w:jc w:val="right"/>
        <w:spacing w:after="0" w:line="214" w:lineRule="auto"/>
        <w:rPr>
          <w:sz w:val="20"/>
          <w:szCs w:val="20"/>
          <w:color w:val="auto"/>
        </w:rPr>
      </w:pPr>
      <w:r>
        <w:rPr>
          <w:rFonts w:ascii="Arial" w:cs="Arial" w:eastAsia="Arial" w:hAnsi="Arial"/>
          <w:sz w:val="15"/>
          <w:szCs w:val="15"/>
          <w:color w:val="auto"/>
        </w:rPr>
        <w:t>100%</w:t>
      </w:r>
      <w:r>
        <w:rPr>
          <w:rFonts w:ascii="Arial" w:cs="Arial" w:eastAsia="Arial" w:hAnsi="Arial"/>
          <w:sz w:val="25"/>
          <w:szCs w:val="25"/>
          <w:color w:val="auto"/>
          <w:vertAlign w:val="superscript"/>
        </w:rPr>
        <w:t>52</w:t>
      </w:r>
    </w:p>
    <w:p>
      <w:pPr>
        <w:jc w:val="right"/>
        <w:spacing w:after="0" w:line="214" w:lineRule="auto"/>
        <w:rPr>
          <w:sz w:val="20"/>
          <w:szCs w:val="20"/>
          <w:color w:val="auto"/>
        </w:rPr>
      </w:pPr>
      <w:r>
        <w:rPr>
          <w:rFonts w:ascii="Arial" w:cs="Arial" w:eastAsia="Arial" w:hAnsi="Arial"/>
          <w:sz w:val="15"/>
          <w:szCs w:val="15"/>
          <w:color w:val="auto"/>
        </w:rPr>
        <w:t>100%</w:t>
      </w:r>
      <w:r>
        <w:rPr>
          <w:rFonts w:ascii="Arial" w:cs="Arial" w:eastAsia="Arial" w:hAnsi="Arial"/>
          <w:sz w:val="25"/>
          <w:szCs w:val="25"/>
          <w:color w:val="auto"/>
          <w:vertAlign w:val="superscript"/>
        </w:rPr>
        <w:t>53</w:t>
      </w:r>
    </w:p>
    <w:p>
      <w:pPr>
        <w:jc w:val="right"/>
        <w:spacing w:after="0" w:line="215" w:lineRule="auto"/>
        <w:rPr>
          <w:sz w:val="20"/>
          <w:szCs w:val="20"/>
          <w:color w:val="auto"/>
        </w:rPr>
      </w:pPr>
      <w:r>
        <w:rPr>
          <w:rFonts w:ascii="Arial" w:cs="Arial" w:eastAsia="Arial" w:hAnsi="Arial"/>
          <w:sz w:val="15"/>
          <w:szCs w:val="15"/>
          <w:color w:val="auto"/>
        </w:rPr>
        <w:t>100%</w:t>
      </w:r>
      <w:r>
        <w:rPr>
          <w:rFonts w:ascii="Arial" w:cs="Arial" w:eastAsia="Arial" w:hAnsi="Arial"/>
          <w:sz w:val="25"/>
          <w:szCs w:val="25"/>
          <w:color w:val="auto"/>
          <w:vertAlign w:val="superscript"/>
        </w:rPr>
        <w:t>54</w:t>
      </w:r>
    </w:p>
    <w:p>
      <w:pPr>
        <w:jc w:val="right"/>
        <w:spacing w:after="0"/>
        <w:rPr>
          <w:sz w:val="20"/>
          <w:szCs w:val="20"/>
          <w:color w:val="auto"/>
        </w:rPr>
      </w:pPr>
      <w:r>
        <w:rPr>
          <w:rFonts w:ascii="Arial" w:cs="Arial" w:eastAsia="Arial" w:hAnsi="Arial"/>
          <w:sz w:val="16"/>
          <w:szCs w:val="16"/>
          <w:color w:val="auto"/>
        </w:rPr>
        <w:t>50%</w:t>
      </w:r>
      <w:r>
        <w:rPr>
          <w:rFonts w:ascii="Arial" w:cs="Arial" w:eastAsia="Arial" w:hAnsi="Arial"/>
          <w:sz w:val="27"/>
          <w:szCs w:val="27"/>
          <w:color w:val="auto"/>
          <w:vertAlign w:val="superscript"/>
        </w:rPr>
        <w:t>55</w:t>
      </w:r>
    </w:p>
    <w:p>
      <w:pPr>
        <w:sectPr>
          <w:pgSz w:w="11900" w:h="16838" w:orient="portrait"/>
          <w:cols w:equalWidth="0" w:num="2">
            <w:col w:w="9952" w:space="720"/>
            <w:col w:w="600"/>
          </w:cols>
          <w:pgMar w:left="248" w:top="311" w:right="379" w:bottom="1440" w:gutter="0" w:footer="0" w:header="0"/>
        </w:sectPr>
      </w:pPr>
    </w:p>
    <w:bookmarkStart w:id="130" w:name="page131"/>
    <w:bookmarkEnd w:id="130"/>
    <w:p>
      <w:pPr>
        <w:jc w:val="right"/>
        <w:spacing w:after="0"/>
        <w:rPr>
          <w:sz w:val="20"/>
          <w:szCs w:val="20"/>
          <w:color w:val="auto"/>
        </w:rPr>
      </w:pPr>
      <w:r>
        <w:rPr>
          <w:rFonts w:ascii="Arial" w:cs="Arial" w:eastAsia="Arial" w:hAnsi="Arial"/>
          <w:sz w:val="17"/>
          <w:szCs w:val="17"/>
          <w:b w:val="1"/>
          <w:bCs w:val="1"/>
          <w:color w:val="auto"/>
        </w:rPr>
        <w:t>EXHIBIT 23.01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hereby consent to the incorporation by reference in the Registration Statements on Form S-8 (No. 333-115918, 333-85608, 333-15429, 333-211735, and 333-197201) and Form S-3 (No. 333-217991) of Martin Marietta Materials, Inc. of our report dated February 22, 2019 relating to the financial statements and the effectiveness of internal control over financial reporting, which appears in the Annual Report to Shareholders, which is incorporated in this Annual Report on Form 10-K. We also consent to the incorporation by reference of our report dated February 22, 2019 relating to the financial statement schedule, which appears in this Form 10-K.</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Raleigh, North Carolina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25, 2019</w:t>
      </w:r>
    </w:p>
    <w:p>
      <w:pPr>
        <w:sectPr>
          <w:pgSz w:w="11900" w:h="16838" w:orient="portrait"/>
          <w:cols w:equalWidth="0" w:num="1">
            <w:col w:w="11420"/>
          </w:cols>
          <w:pgMar w:left="240" w:top="262"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7"/>
          <w:szCs w:val="17"/>
          <w:b w:val="1"/>
          <w:bCs w:val="1"/>
          <w:color w:val="auto"/>
        </w:rPr>
        <w:t>EXHIBIT 31.01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SECURITIES AND EXCHANGE ACT OF 1934</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 AS ADOPTED PURSUANT TO SECTION 302 OF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SARBANES-OXLEY ACT OF 2002</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C. Howard Nye, certify that:</w:t>
      </w:r>
    </w:p>
    <w:p>
      <w:pPr>
        <w:spacing w:after="0" w:line="127"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 have reviewed this Form 10-K of Martin Marietta Materials, Inc.;</w:t>
      </w:r>
    </w:p>
    <w:p>
      <w:pPr>
        <w:spacing w:after="0" w:line="126"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6"/>
          <w:szCs w:val="16"/>
          <w:color w:val="auto"/>
        </w:rPr>
      </w:pPr>
    </w:p>
    <w:p>
      <w:pPr>
        <w:jc w:val="both"/>
        <w:ind w:left="800" w:hanging="454"/>
        <w:spacing w:after="0" w:line="253" w:lineRule="auto"/>
        <w:tabs>
          <w:tab w:leader="none" w:pos="8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jc w:val="both"/>
        <w:ind w:left="800" w:hanging="454"/>
        <w:spacing w:after="0" w:line="253" w:lineRule="auto"/>
        <w:tabs>
          <w:tab w:leader="none" w:pos="8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left="800" w:hanging="454"/>
        <w:spacing w:after="0" w:line="260" w:lineRule="auto"/>
        <w:tabs>
          <w:tab w:leader="none" w:pos="8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6"/>
          <w:szCs w:val="16"/>
          <w:color w:val="auto"/>
        </w:rPr>
      </w:pPr>
    </w:p>
    <w:p>
      <w:pPr>
        <w:jc w:val="both"/>
        <w:ind w:left="800" w:hanging="454"/>
        <w:spacing w:after="0" w:line="253" w:lineRule="auto"/>
        <w:tabs>
          <w:tab w:leader="none" w:pos="8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6"/>
          <w:szCs w:val="16"/>
          <w:color w:val="auto"/>
        </w:rPr>
      </w:pPr>
    </w:p>
    <w:p>
      <w:pPr>
        <w:ind w:left="800" w:right="20" w:hanging="454"/>
        <w:spacing w:after="0" w:line="260" w:lineRule="auto"/>
        <w:tabs>
          <w:tab w:leader="none" w:pos="8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6"/>
          <w:szCs w:val="16"/>
          <w:color w:val="auto"/>
        </w:rPr>
      </w:pPr>
    </w:p>
    <w:p>
      <w:pPr>
        <w:ind w:left="800" w:right="20" w:hanging="454"/>
        <w:spacing w:after="0" w:line="260" w:lineRule="auto"/>
        <w:tabs>
          <w:tab w:leader="none" w:pos="8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8" w:lineRule="exact"/>
        <w:rPr>
          <w:sz w:val="20"/>
          <w:szCs w:val="20"/>
          <w:color w:val="auto"/>
        </w:rPr>
      </w:pPr>
    </w:p>
    <w:p>
      <w:pPr>
        <w:spacing w:after="0"/>
        <w:tabs>
          <w:tab w:leader="none" w:pos="6600" w:val="left"/>
          <w:tab w:leader="none" w:pos="7240" w:val="left"/>
        </w:tabs>
        <w:rPr>
          <w:sz w:val="20"/>
          <w:szCs w:val="20"/>
          <w:color w:val="auto"/>
        </w:rPr>
      </w:pPr>
      <w:r>
        <w:rPr>
          <w:rFonts w:ascii="Arial" w:cs="Arial" w:eastAsia="Arial" w:hAnsi="Arial"/>
          <w:sz w:val="16"/>
          <w:szCs w:val="16"/>
          <w:color w:val="auto"/>
        </w:rPr>
        <w:t>Date: February 25, 2019</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0</wp:posOffset>
            </wp:positionV>
            <wp:extent cx="2675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C. Howard Nye</w:t>
      </w:r>
    </w:p>
    <w:p>
      <w:pPr>
        <w:spacing w:after="0" w:line="5"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Chairman, President and</w:t>
      </w:r>
    </w:p>
    <w:p>
      <w:pPr>
        <w:spacing w:after="0" w:line="5"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262"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7"/>
          <w:szCs w:val="17"/>
          <w:b w:val="1"/>
          <w:bCs w:val="1"/>
          <w:color w:val="auto"/>
        </w:rPr>
        <w:t>EXHIBIT 31.02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SECURITIES AND EXCHANGE ACT OF 1934</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 AS ADOPTED PURSUANT TO SECTION 302 OF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SARBANES-OXLEY ACT OF 2002</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James A. J. Nickolas, certify that:</w:t>
      </w:r>
    </w:p>
    <w:p>
      <w:pPr>
        <w:spacing w:after="0" w:line="127"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 have reviewed this Form 10-K of Martin Marietta Materials, Inc.;</w:t>
      </w:r>
    </w:p>
    <w:p>
      <w:pPr>
        <w:spacing w:after="0" w:line="126"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1"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6"/>
          <w:szCs w:val="16"/>
          <w:color w:val="auto"/>
        </w:rPr>
      </w:pPr>
    </w:p>
    <w:p>
      <w:pPr>
        <w:jc w:val="both"/>
        <w:ind w:left="800" w:hanging="454"/>
        <w:spacing w:after="0" w:line="253" w:lineRule="auto"/>
        <w:tabs>
          <w:tab w:leader="none" w:pos="8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jc w:val="both"/>
        <w:ind w:left="800" w:hanging="454"/>
        <w:spacing w:after="0" w:line="253" w:lineRule="auto"/>
        <w:tabs>
          <w:tab w:leader="none" w:pos="8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left="800" w:hanging="454"/>
        <w:spacing w:after="0" w:line="260" w:lineRule="auto"/>
        <w:tabs>
          <w:tab w:leader="none" w:pos="8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Arial" w:cs="Arial" w:eastAsia="Arial" w:hAnsi="Arial"/>
          <w:sz w:val="16"/>
          <w:szCs w:val="16"/>
          <w:color w:val="auto"/>
        </w:rPr>
      </w:pPr>
    </w:p>
    <w:p>
      <w:pPr>
        <w:jc w:val="both"/>
        <w:ind w:left="800" w:hanging="454"/>
        <w:spacing w:after="0" w:line="253" w:lineRule="auto"/>
        <w:tabs>
          <w:tab w:leader="none" w:pos="8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1" w:lineRule="exact"/>
        <w:rPr>
          <w:rFonts w:ascii="Arial" w:cs="Arial" w:eastAsia="Arial" w:hAnsi="Arial"/>
          <w:sz w:val="16"/>
          <w:szCs w:val="16"/>
          <w:color w:val="auto"/>
        </w:rPr>
      </w:pPr>
    </w:p>
    <w:p>
      <w:pPr>
        <w:ind w:left="800" w:right="20" w:hanging="454"/>
        <w:spacing w:after="0" w:line="260" w:lineRule="auto"/>
        <w:tabs>
          <w:tab w:leader="none" w:pos="8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6"/>
          <w:szCs w:val="16"/>
          <w:color w:val="auto"/>
        </w:rPr>
      </w:pPr>
    </w:p>
    <w:p>
      <w:pPr>
        <w:ind w:left="800" w:right="20" w:hanging="454"/>
        <w:spacing w:after="0" w:line="260" w:lineRule="auto"/>
        <w:tabs>
          <w:tab w:leader="none" w:pos="8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tabs>
          <w:tab w:leader="none" w:pos="6600" w:val="left"/>
          <w:tab w:leader="none" w:pos="7040" w:val="left"/>
        </w:tabs>
        <w:rPr>
          <w:sz w:val="20"/>
          <w:szCs w:val="20"/>
          <w:color w:val="auto"/>
        </w:rPr>
      </w:pPr>
      <w:r>
        <w:rPr>
          <w:rFonts w:ascii="Arial" w:cs="Arial" w:eastAsia="Arial" w:hAnsi="Arial"/>
          <w:sz w:val="16"/>
          <w:szCs w:val="16"/>
          <w:color w:val="auto"/>
        </w:rPr>
        <w:t>Date: February 25, 2019</w:t>
      </w:r>
      <w:r>
        <w:rPr>
          <w:sz w:val="20"/>
          <w:szCs w:val="20"/>
          <w:color w:val="auto"/>
        </w:rPr>
        <w:tab/>
      </w:r>
      <w:r>
        <w:rPr>
          <w:rFonts w:ascii="Arial" w:cs="Arial" w:eastAsia="Arial" w:hAnsi="Arial"/>
          <w:sz w:val="16"/>
          <w:szCs w:val="16"/>
          <w:color w:val="auto"/>
        </w:rPr>
        <w:t>By:</w:t>
        <w:tab/>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1905</wp:posOffset>
            </wp:positionV>
            <wp:extent cx="282130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2"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James A. J. Nickolas</w:t>
      </w:r>
    </w:p>
    <w:p>
      <w:pPr>
        <w:spacing w:after="0" w:line="5"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Senior Vice President and</w:t>
      </w:r>
    </w:p>
    <w:p>
      <w:pPr>
        <w:spacing w:after="0" w:line="5"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420"/>
          </w:cols>
          <w:pgMar w:left="240" w:top="262"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7"/>
          <w:szCs w:val="17"/>
          <w:b w:val="1"/>
          <w:bCs w:val="1"/>
          <w:color w:val="auto"/>
        </w:rPr>
        <w:t>EXHIBIT 32.01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WRITTEN STATEMENT PURSUANT TO 18 U.S.C. 1350,</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2018 Annual Report on Form 10-K (the “Report”) of Martin Marietta Materials, Inc. (the “Registrant”), as filed with the Securities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Exchange Commission, I, C. Howard Nye, the Chief Executive Officer of the Registrant, certify that:</w:t>
      </w:r>
    </w:p>
    <w:p>
      <w:pPr>
        <w:spacing w:after="0" w:line="127"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26" w:lineRule="exact"/>
        <w:rPr>
          <w:rFonts w:ascii="Arial" w:cs="Arial" w:eastAsia="Arial" w:hAnsi="Arial"/>
          <w:sz w:val="16"/>
          <w:szCs w:val="16"/>
          <w:color w:val="auto"/>
        </w:rPr>
      </w:pPr>
    </w:p>
    <w:p>
      <w:pPr>
        <w:ind w:left="340" w:hanging="332"/>
        <w:spacing w:after="0"/>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0</wp:posOffset>
            </wp:positionV>
            <wp:extent cx="278701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6">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auto"/>
        </w:rPr>
        <w:t>C. Howard Nye</w:t>
      </w:r>
    </w:p>
    <w:p>
      <w:pPr>
        <w:ind w:left="6860"/>
        <w:spacing w:after="0"/>
        <w:rPr>
          <w:sz w:val="20"/>
          <w:szCs w:val="20"/>
          <w:color w:val="auto"/>
        </w:rPr>
      </w:pPr>
      <w:r>
        <w:rPr>
          <w:rFonts w:ascii="Arial" w:cs="Arial" w:eastAsia="Arial" w:hAnsi="Arial"/>
          <w:sz w:val="17"/>
          <w:szCs w:val="17"/>
          <w:color w:val="auto"/>
        </w:rPr>
        <w:t>Chief Executive Officer</w:t>
      </w:r>
    </w:p>
    <w:p>
      <w:pPr>
        <w:spacing w:after="0" w:line="17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Date:</w:t>
        <w:tab/>
        <w:t>February 25, 2019</w:t>
      </w:r>
    </w:p>
    <w:p>
      <w:pPr>
        <w:spacing w:after="0" w:line="18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262"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7"/>
          <w:szCs w:val="17"/>
          <w:b w:val="1"/>
          <w:bCs w:val="1"/>
          <w:color w:val="auto"/>
        </w:rPr>
        <w:t>EXHIBIT 32.02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WRITTEN STATEMENT PURSUANT TO 18 U.S.C. 1350,</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2018 Annual Report on Form 10-K (the “Report”) of Martin Marietta Materials, Inc. (the “Registrant”), as filed with the Securities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Exchange Commission, I, James A. J. Nickolas, the Chief Financial Officer of the Registrant, certify that:</w:t>
      </w:r>
    </w:p>
    <w:p>
      <w:pPr>
        <w:spacing w:after="0" w:line="127"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26" w:lineRule="exact"/>
        <w:rPr>
          <w:rFonts w:ascii="Arial" w:cs="Arial" w:eastAsia="Arial" w:hAnsi="Arial"/>
          <w:sz w:val="16"/>
          <w:szCs w:val="16"/>
          <w:color w:val="auto"/>
        </w:rPr>
      </w:pPr>
    </w:p>
    <w:p>
      <w:pPr>
        <w:ind w:left="340" w:hanging="332"/>
        <w:spacing w:after="0"/>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wp:posOffset>
            </wp:positionV>
            <wp:extent cx="289877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James A. J. Nickolas</w:t>
      </w:r>
    </w:p>
    <w:p>
      <w:pPr>
        <w:spacing w:after="0" w:line="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Chief Financial Officer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25, 2019</w:t>
      </w:r>
    </w:p>
    <w:p>
      <w:pPr>
        <w:spacing w:after="0" w:line="18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262"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7"/>
          <w:szCs w:val="17"/>
          <w:b w:val="1"/>
          <w:bCs w:val="1"/>
          <w:color w:val="auto"/>
        </w:rPr>
        <w:t>EXHIBIT 95</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MINE SAFETY DISCLOSURE EXHIBIT</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operation of the Company’s U.S. aggregate quarries and mines (including the mining operations of the cement product line) is subject to regulation by the federal Mine Safety and Health Administration (MSHA) under the Federal Mine Safety and Health Act of 1977 (the “Mine Act”). MSHA inspects the Company’s quarries and mines (and cement plants) on a regular basis and issues various citations and orders when it believes a violation has occurred under the Mine Act. Whenever MSHA issues a citation or order, it also generally proposes a civil penalty, or fine, related to the alleged violation. Citations or orders can be contested and appealed, and as part of that process, are often reduced in severity and amount, and are sometimes dismissed.</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the Dodd-Frank Wall Street Reform and Consumer Protection Act (the Dodd-Frank Act), the Company is required to present information regarding certain mining safety and health citations which MSHA has issued with respect to its aggregates mining operations in its periodic reports filed with the Securities and Exchange Commission (the “SEC”). In evaluating this information, consideration should be given to factors such as: (i) the number of citations and orders will vary depending on the size of the quarry or mine and type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provided information below in response to the rules and regulations of the SEC issued under Section 1503(a) of the Dodd-Frank Act. The disclosures reflect U.S. mining operations only, as the requirements of the Dodd-Frank Act and the SEC rules and regulations thereunder do not apply to our quarries and mines operated outside the United States.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Company presents the following items regarding certain mining safety and health matters for the year ended December 31, 2018 (Appendix 1):</w:t>
      </w:r>
    </w:p>
    <w:p>
      <w:pPr>
        <w:spacing w:after="0" w:line="127" w:lineRule="exact"/>
        <w:rPr>
          <w:sz w:val="20"/>
          <w:szCs w:val="20"/>
          <w:color w:val="auto"/>
        </w:rPr>
      </w:pPr>
    </w:p>
    <w:p>
      <w:pPr>
        <w:jc w:val="both"/>
        <w:ind w:left="780" w:hanging="326"/>
        <w:spacing w:after="0" w:line="250" w:lineRule="auto"/>
        <w:tabs>
          <w:tab w:leader="none" w:pos="780" w:val="left"/>
        </w:tabs>
        <w:numPr>
          <w:ilvl w:val="0"/>
          <w:numId w:val="102"/>
        </w:numPr>
        <w:rPr>
          <w:rFonts w:ascii="Arial" w:cs="Arial" w:eastAsia="Arial" w:hAnsi="Arial"/>
          <w:sz w:val="16"/>
          <w:szCs w:val="16"/>
          <w:color w:val="007CBA"/>
        </w:rPr>
      </w:pPr>
      <w:r>
        <w:rPr>
          <w:rFonts w:ascii="Arial" w:cs="Arial" w:eastAsia="Arial" w:hAnsi="Arial"/>
          <w:sz w:val="16"/>
          <w:szCs w:val="16"/>
          <w:color w:val="auto"/>
        </w:rPr>
        <w:t>Total number of violations of mandatory health or safety standards that could significantly and substantially contribute to the cause and effect of a mine safety or health hazard under section 104 of the Mine Act for which the Company received a citation from MSHA (hereinafter, “Section 104 S&amp;S Citations”). If MSHA determines that a violation of a mandatory health or safety standard is reasonably likely to result in a reasonably serious injury or illness under the unique circumstance contributed to by the violation, MSHA will classify the violation as a “significant and substantial” violation (commonly referred to as a “S&amp;S” violation). MSHA inspectors will classify each citation or order written as a “S&amp;S” violation or not.</w:t>
      </w:r>
    </w:p>
    <w:p>
      <w:pPr>
        <w:spacing w:after="0" w:line="108" w:lineRule="exact"/>
        <w:rPr>
          <w:rFonts w:ascii="Arial" w:cs="Arial" w:eastAsia="Arial" w:hAnsi="Arial"/>
          <w:sz w:val="16"/>
          <w:szCs w:val="16"/>
          <w:color w:val="007CBA"/>
        </w:rPr>
      </w:pPr>
    </w:p>
    <w:p>
      <w:pPr>
        <w:jc w:val="both"/>
        <w:ind w:left="780" w:hanging="326"/>
        <w:spacing w:after="0" w:line="251" w:lineRule="auto"/>
        <w:tabs>
          <w:tab w:leader="none" w:pos="780" w:val="left"/>
        </w:tabs>
        <w:numPr>
          <w:ilvl w:val="0"/>
          <w:numId w:val="102"/>
        </w:numPr>
        <w:rPr>
          <w:rFonts w:ascii="Arial" w:cs="Arial" w:eastAsia="Arial" w:hAnsi="Arial"/>
          <w:sz w:val="16"/>
          <w:szCs w:val="16"/>
          <w:color w:val="007CBA"/>
        </w:rPr>
      </w:pPr>
      <w:r>
        <w:rPr>
          <w:rFonts w:ascii="Arial" w:cs="Arial" w:eastAsia="Arial" w:hAnsi="Arial"/>
          <w:sz w:val="16"/>
          <w:szCs w:val="16"/>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certain authorized persons) from the affected area of a quarry or mine.</w:t>
      </w:r>
    </w:p>
    <w:p>
      <w:pPr>
        <w:spacing w:after="0" w:line="108" w:lineRule="exact"/>
        <w:rPr>
          <w:rFonts w:ascii="Arial" w:cs="Arial" w:eastAsia="Arial" w:hAnsi="Arial"/>
          <w:sz w:val="16"/>
          <w:szCs w:val="16"/>
          <w:color w:val="007CBA"/>
        </w:rPr>
      </w:pPr>
    </w:p>
    <w:p>
      <w:pPr>
        <w:jc w:val="both"/>
        <w:ind w:left="780" w:hanging="326"/>
        <w:spacing w:after="0" w:line="250" w:lineRule="auto"/>
        <w:tabs>
          <w:tab w:leader="none" w:pos="780" w:val="left"/>
        </w:tabs>
        <w:numPr>
          <w:ilvl w:val="0"/>
          <w:numId w:val="102"/>
        </w:numPr>
        <w:rPr>
          <w:rFonts w:ascii="Arial" w:cs="Arial" w:eastAsia="Arial" w:hAnsi="Arial"/>
          <w:sz w:val="16"/>
          <w:szCs w:val="16"/>
          <w:color w:val="007CBA"/>
        </w:rPr>
      </w:pPr>
      <w:r>
        <w:rPr>
          <w:rFonts w:ascii="Arial" w:cs="Arial" w:eastAsia="Arial" w:hAnsi="Arial"/>
          <w:sz w:val="16"/>
          <w:szCs w:val="16"/>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 or health hazard, but the conditions do not cause imminent danger, and the MSHA inspector finds that the violation is caused by an unwarranted failure of the operator to comply with the health and safety standards.</w:t>
      </w:r>
    </w:p>
    <w:p>
      <w:pPr>
        <w:spacing w:after="0" w:line="108" w:lineRule="exact"/>
        <w:rPr>
          <w:rFonts w:ascii="Arial" w:cs="Arial" w:eastAsia="Arial" w:hAnsi="Arial"/>
          <w:sz w:val="16"/>
          <w:szCs w:val="16"/>
          <w:color w:val="007CBA"/>
        </w:rPr>
      </w:pPr>
    </w:p>
    <w:p>
      <w:pPr>
        <w:jc w:val="both"/>
        <w:ind w:left="780" w:hanging="326"/>
        <w:spacing w:after="0" w:line="251" w:lineRule="auto"/>
        <w:tabs>
          <w:tab w:leader="none" w:pos="780" w:val="left"/>
        </w:tabs>
        <w:numPr>
          <w:ilvl w:val="0"/>
          <w:numId w:val="102"/>
        </w:numPr>
        <w:rPr>
          <w:rFonts w:ascii="Arial" w:cs="Arial" w:eastAsia="Arial" w:hAnsi="Arial"/>
          <w:sz w:val="16"/>
          <w:szCs w:val="16"/>
          <w:color w:val="007CBA"/>
        </w:rPr>
      </w:pPr>
      <w:r>
        <w:rPr>
          <w:rFonts w:ascii="Arial" w:cs="Arial" w:eastAsia="Arial" w:hAnsi="Arial"/>
          <w:sz w:val="16"/>
          <w:szCs w:val="16"/>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08" w:lineRule="exact"/>
        <w:rPr>
          <w:rFonts w:ascii="Arial" w:cs="Arial" w:eastAsia="Arial" w:hAnsi="Arial"/>
          <w:sz w:val="16"/>
          <w:szCs w:val="16"/>
          <w:color w:val="007CBA"/>
        </w:rPr>
      </w:pPr>
    </w:p>
    <w:p>
      <w:pPr>
        <w:jc w:val="both"/>
        <w:ind w:left="780" w:hanging="326"/>
        <w:spacing w:after="0" w:line="251" w:lineRule="auto"/>
        <w:tabs>
          <w:tab w:leader="none" w:pos="780" w:val="left"/>
        </w:tabs>
        <w:numPr>
          <w:ilvl w:val="0"/>
          <w:numId w:val="102"/>
        </w:numPr>
        <w:rPr>
          <w:rFonts w:ascii="Arial" w:cs="Arial" w:eastAsia="Arial" w:hAnsi="Arial"/>
          <w:sz w:val="16"/>
          <w:szCs w:val="16"/>
          <w:color w:val="007CBA"/>
        </w:rPr>
      </w:pPr>
      <w:r>
        <w:rPr>
          <w:rFonts w:ascii="Arial" w:cs="Arial" w:eastAsia="Arial" w:hAnsi="Arial"/>
          <w:sz w:val="16"/>
          <w:szCs w:val="16"/>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08" w:lineRule="exact"/>
        <w:rPr>
          <w:rFonts w:ascii="Arial" w:cs="Arial" w:eastAsia="Arial" w:hAnsi="Arial"/>
          <w:sz w:val="16"/>
          <w:szCs w:val="16"/>
          <w:color w:val="007CBA"/>
        </w:rPr>
      </w:pPr>
    </w:p>
    <w:p>
      <w:pPr>
        <w:jc w:val="both"/>
        <w:ind w:left="780" w:hanging="326"/>
        <w:spacing w:after="0" w:line="251" w:lineRule="auto"/>
        <w:tabs>
          <w:tab w:leader="none" w:pos="780" w:val="left"/>
        </w:tabs>
        <w:numPr>
          <w:ilvl w:val="0"/>
          <w:numId w:val="102"/>
        </w:numPr>
        <w:rPr>
          <w:rFonts w:ascii="Arial" w:cs="Arial" w:eastAsia="Arial" w:hAnsi="Arial"/>
          <w:sz w:val="16"/>
          <w:szCs w:val="16"/>
          <w:color w:val="007CBA"/>
        </w:rPr>
      </w:pPr>
      <w:r>
        <w:rPr>
          <w:rFonts w:ascii="Arial" w:cs="Arial" w:eastAsia="Arial" w:hAnsi="Arial"/>
          <w:sz w:val="16"/>
          <w:szCs w:val="16"/>
          <w:color w:val="auto"/>
        </w:rPr>
        <w:t>Total Dollar Value of MSHA Assessments Proposed. These are the amounts of proposed assessments issued by MSHA with each citation or order for the time period covered by the report.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ectPr>
          <w:pgSz w:w="11900" w:h="16838" w:orient="portrait"/>
          <w:cols w:equalWidth="0" w:num="1">
            <w:col w:w="11420"/>
          </w:cols>
          <w:pgMar w:left="240" w:top="262" w:right="239" w:bottom="1440" w:gutter="0" w:footer="0" w:header="0"/>
        </w:sectPr>
      </w:pPr>
    </w:p>
    <w:bookmarkStart w:id="136" w:name="page137"/>
    <w:bookmarkEnd w:id="136"/>
    <w:p>
      <w:pPr>
        <w:jc w:val="both"/>
        <w:ind w:left="780" w:hanging="326"/>
        <w:spacing w:after="0" w:line="253" w:lineRule="auto"/>
        <w:tabs>
          <w:tab w:leader="none" w:pos="780" w:val="left"/>
        </w:tabs>
        <w:numPr>
          <w:ilvl w:val="0"/>
          <w:numId w:val="103"/>
        </w:numPr>
        <w:rPr>
          <w:rFonts w:ascii="Arial" w:cs="Arial" w:eastAsia="Arial" w:hAnsi="Arial"/>
          <w:sz w:val="16"/>
          <w:szCs w:val="16"/>
          <w:color w:val="007CBA"/>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106" w:lineRule="exact"/>
        <w:rPr>
          <w:rFonts w:ascii="Arial" w:cs="Arial" w:eastAsia="Arial" w:hAnsi="Arial"/>
          <w:sz w:val="16"/>
          <w:szCs w:val="16"/>
          <w:color w:val="007CBA"/>
        </w:rPr>
      </w:pPr>
    </w:p>
    <w:p>
      <w:pPr>
        <w:jc w:val="both"/>
        <w:ind w:left="780" w:hanging="326"/>
        <w:spacing w:after="0" w:line="251" w:lineRule="auto"/>
        <w:tabs>
          <w:tab w:leader="none" w:pos="780" w:val="left"/>
        </w:tabs>
        <w:numPr>
          <w:ilvl w:val="0"/>
          <w:numId w:val="103"/>
        </w:numPr>
        <w:rPr>
          <w:rFonts w:ascii="Arial" w:cs="Arial" w:eastAsia="Arial" w:hAnsi="Arial"/>
          <w:sz w:val="16"/>
          <w:szCs w:val="16"/>
          <w:color w:val="007CBA"/>
        </w:rPr>
      </w:pPr>
      <w:r>
        <w:rPr>
          <w:rFonts w:ascii="Arial" w:cs="Arial" w:eastAsia="Arial" w:hAnsi="Arial"/>
          <w:sz w:val="16"/>
          <w:szCs w:val="16"/>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MHSA determines that a mine has a “pattern” of these types of violations, or the potential to have such a pattern, MSHA is required to notify the mine operator of the existence of such a thing.</w:t>
      </w:r>
    </w:p>
    <w:p>
      <w:pPr>
        <w:spacing w:after="0" w:line="108" w:lineRule="exact"/>
        <w:rPr>
          <w:rFonts w:ascii="Arial" w:cs="Arial" w:eastAsia="Arial" w:hAnsi="Arial"/>
          <w:sz w:val="16"/>
          <w:szCs w:val="16"/>
          <w:color w:val="007CBA"/>
        </w:rPr>
      </w:pPr>
    </w:p>
    <w:p>
      <w:pPr>
        <w:ind w:left="780" w:hanging="326"/>
        <w:spacing w:after="0"/>
        <w:tabs>
          <w:tab w:leader="none" w:pos="780" w:val="left"/>
        </w:tabs>
        <w:numPr>
          <w:ilvl w:val="0"/>
          <w:numId w:val="103"/>
        </w:numPr>
        <w:rPr>
          <w:rFonts w:ascii="Arial" w:cs="Arial" w:eastAsia="Arial" w:hAnsi="Arial"/>
          <w:sz w:val="16"/>
          <w:szCs w:val="16"/>
          <w:color w:val="007CBA"/>
        </w:rPr>
      </w:pPr>
      <w:r>
        <w:rPr>
          <w:rFonts w:ascii="Arial" w:cs="Arial" w:eastAsia="Arial" w:hAnsi="Arial"/>
          <w:sz w:val="16"/>
          <w:szCs w:val="16"/>
          <w:color w:val="auto"/>
        </w:rPr>
        <w:t>Legal Actions Pending as of the Last Day of Period.</w:t>
      </w:r>
    </w:p>
    <w:p>
      <w:pPr>
        <w:spacing w:after="0" w:line="126" w:lineRule="exact"/>
        <w:rPr>
          <w:rFonts w:ascii="Arial" w:cs="Arial" w:eastAsia="Arial" w:hAnsi="Arial"/>
          <w:sz w:val="16"/>
          <w:szCs w:val="16"/>
          <w:color w:val="007CBA"/>
        </w:rPr>
      </w:pPr>
    </w:p>
    <w:p>
      <w:pPr>
        <w:ind w:left="780" w:hanging="326"/>
        <w:spacing w:after="0"/>
        <w:tabs>
          <w:tab w:leader="none" w:pos="780" w:val="left"/>
        </w:tabs>
        <w:numPr>
          <w:ilvl w:val="0"/>
          <w:numId w:val="103"/>
        </w:numPr>
        <w:rPr>
          <w:rFonts w:ascii="Arial" w:cs="Arial" w:eastAsia="Arial" w:hAnsi="Arial"/>
          <w:sz w:val="16"/>
          <w:szCs w:val="16"/>
          <w:color w:val="007CBA"/>
        </w:rPr>
      </w:pPr>
      <w:r>
        <w:rPr>
          <w:rFonts w:ascii="Arial" w:cs="Arial" w:eastAsia="Arial" w:hAnsi="Arial"/>
          <w:sz w:val="16"/>
          <w:szCs w:val="16"/>
          <w:color w:val="auto"/>
        </w:rPr>
        <w:t>Legal Actions Initiated During Period.</w:t>
      </w:r>
    </w:p>
    <w:p>
      <w:pPr>
        <w:spacing w:after="0" w:line="126" w:lineRule="exact"/>
        <w:rPr>
          <w:rFonts w:ascii="Arial" w:cs="Arial" w:eastAsia="Arial" w:hAnsi="Arial"/>
          <w:sz w:val="16"/>
          <w:szCs w:val="16"/>
          <w:color w:val="007CBA"/>
        </w:rPr>
      </w:pPr>
    </w:p>
    <w:p>
      <w:pPr>
        <w:ind w:left="780" w:hanging="326"/>
        <w:spacing w:after="0"/>
        <w:tabs>
          <w:tab w:leader="none" w:pos="780" w:val="left"/>
        </w:tabs>
        <w:numPr>
          <w:ilvl w:val="0"/>
          <w:numId w:val="103"/>
        </w:numPr>
        <w:rPr>
          <w:rFonts w:ascii="Arial" w:cs="Arial" w:eastAsia="Arial" w:hAnsi="Arial"/>
          <w:sz w:val="16"/>
          <w:szCs w:val="16"/>
          <w:color w:val="007CBA"/>
        </w:rPr>
      </w:pPr>
      <w:r>
        <w:rPr>
          <w:rFonts w:ascii="Arial" w:cs="Arial" w:eastAsia="Arial" w:hAnsi="Arial"/>
          <w:sz w:val="16"/>
          <w:szCs w:val="16"/>
          <w:color w:val="auto"/>
        </w:rPr>
        <w:t>Legal Actions Resolved During Period.</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 penalties they have received from MSHA, or complaints of discrimination by miners under Section 105 of the Mine Act. Appendix 1 shows, for each of the Company’s quarries and mines identified, as of December 31, 2018, the number of legal actions pending before the Commission, along with the number of legal actions initiated before the Commission during the year as well as resolved during the year.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Appendix 1 attached</w:t>
      </w:r>
    </w:p>
    <w:p>
      <w:pPr>
        <w:sectPr>
          <w:pgSz w:w="11900" w:h="16838" w:orient="portrait"/>
          <w:cols w:equalWidth="0" w:num="1">
            <w:col w:w="11420"/>
          </w:cols>
          <w:pgMar w:left="240" w:top="439"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76"/>
        </w:trPr>
        <w:tc>
          <w:tcPr>
            <w:tcW w:w="2180" w:type="dxa"/>
            <w:vAlign w:val="bottom"/>
            <w:tcBorders>
              <w:right w:val="single" w:sz="8" w:color="007CBA"/>
            </w:tcBorders>
            <w:shd w:val="clear" w:color="auto" w:fill="007CBA"/>
          </w:tcPr>
          <w:p>
            <w:pPr>
              <w:spacing w:after="0"/>
              <w:rPr>
                <w:sz w:val="15"/>
                <w:szCs w:val="15"/>
                <w:color w:val="auto"/>
              </w:rPr>
            </w:pPr>
          </w:p>
        </w:tc>
        <w:tc>
          <w:tcPr>
            <w:tcW w:w="720" w:type="dxa"/>
            <w:vAlign w:val="bottom"/>
            <w:tcBorders>
              <w:right w:val="single" w:sz="8" w:color="007CBA"/>
            </w:tcBorders>
            <w:shd w:val="clear" w:color="auto" w:fill="007CBA"/>
          </w:tcPr>
          <w:p>
            <w:pPr>
              <w:spacing w:after="0"/>
              <w:rPr>
                <w:sz w:val="15"/>
                <w:szCs w:val="15"/>
                <w:color w:val="auto"/>
              </w:rPr>
            </w:pPr>
          </w:p>
        </w:tc>
        <w:tc>
          <w:tcPr>
            <w:tcW w:w="660" w:type="dxa"/>
            <w:vAlign w:val="bottom"/>
            <w:tcBorders>
              <w:right w:val="single" w:sz="8" w:color="007CBA"/>
            </w:tcBorders>
            <w:shd w:val="clear" w:color="auto" w:fill="007CBA"/>
          </w:tcPr>
          <w:p>
            <w:pPr>
              <w:spacing w:after="0"/>
              <w:rPr>
                <w:sz w:val="15"/>
                <w:szCs w:val="15"/>
                <w:color w:val="auto"/>
              </w:rPr>
            </w:pPr>
          </w:p>
        </w:tc>
        <w:tc>
          <w:tcPr>
            <w:tcW w:w="580" w:type="dxa"/>
            <w:vAlign w:val="bottom"/>
            <w:tcBorders>
              <w:right w:val="single" w:sz="8" w:color="007CBA"/>
            </w:tcBorders>
            <w:shd w:val="clear" w:color="auto" w:fill="007CBA"/>
          </w:tcPr>
          <w:p>
            <w:pPr>
              <w:spacing w:after="0"/>
              <w:rPr>
                <w:sz w:val="15"/>
                <w:szCs w:val="15"/>
                <w:color w:val="auto"/>
              </w:rPr>
            </w:pPr>
          </w:p>
        </w:tc>
        <w:tc>
          <w:tcPr>
            <w:tcW w:w="680" w:type="dxa"/>
            <w:vAlign w:val="bottom"/>
            <w:tcBorders>
              <w:right w:val="single" w:sz="8" w:color="007CBA"/>
            </w:tcBorders>
            <w:shd w:val="clear" w:color="auto" w:fill="007CBA"/>
          </w:tcPr>
          <w:p>
            <w:pPr>
              <w:spacing w:after="0"/>
              <w:rPr>
                <w:sz w:val="15"/>
                <w:szCs w:val="15"/>
                <w:color w:val="auto"/>
              </w:rPr>
            </w:pPr>
          </w:p>
        </w:tc>
        <w:tc>
          <w:tcPr>
            <w:tcW w:w="740" w:type="dxa"/>
            <w:vAlign w:val="bottom"/>
            <w:tcBorders>
              <w:right w:val="single" w:sz="8" w:color="007CBA"/>
            </w:tcBorders>
            <w:shd w:val="clear" w:color="auto" w:fill="007CBA"/>
          </w:tcPr>
          <w:p>
            <w:pPr>
              <w:spacing w:after="0"/>
              <w:rPr>
                <w:sz w:val="15"/>
                <w:szCs w:val="15"/>
                <w:color w:val="auto"/>
              </w:rPr>
            </w:pPr>
          </w:p>
        </w:tc>
        <w:tc>
          <w:tcPr>
            <w:tcW w:w="580" w:type="dxa"/>
            <w:vAlign w:val="bottom"/>
            <w:tcBorders>
              <w:right w:val="single" w:sz="8" w:color="007CBA"/>
            </w:tcBorders>
            <w:shd w:val="clear" w:color="auto" w:fill="007CBA"/>
          </w:tcPr>
          <w:p>
            <w:pPr>
              <w:spacing w:after="0"/>
              <w:rPr>
                <w:sz w:val="15"/>
                <w:szCs w:val="15"/>
                <w:color w:val="auto"/>
              </w:rPr>
            </w:pPr>
          </w:p>
        </w:tc>
        <w:tc>
          <w:tcPr>
            <w:tcW w:w="200" w:type="dxa"/>
            <w:vAlign w:val="bottom"/>
            <w:shd w:val="clear" w:color="auto" w:fill="007CBA"/>
          </w:tcPr>
          <w:p>
            <w:pPr>
              <w:spacing w:after="0"/>
              <w:rPr>
                <w:sz w:val="15"/>
                <w:szCs w:val="15"/>
                <w:color w:val="auto"/>
              </w:rPr>
            </w:pPr>
          </w:p>
        </w:tc>
        <w:tc>
          <w:tcPr>
            <w:tcW w:w="800" w:type="dxa"/>
            <w:vAlign w:val="bottom"/>
            <w:tcBorders>
              <w:right w:val="single" w:sz="8" w:color="007CBA"/>
            </w:tcBorders>
            <w:shd w:val="clear" w:color="auto" w:fill="007CBA"/>
          </w:tcPr>
          <w:p>
            <w:pPr>
              <w:spacing w:after="0"/>
              <w:rPr>
                <w:sz w:val="15"/>
                <w:szCs w:val="15"/>
                <w:color w:val="auto"/>
              </w:rPr>
            </w:pPr>
          </w:p>
        </w:tc>
        <w:tc>
          <w:tcPr>
            <w:tcW w:w="700" w:type="dxa"/>
            <w:vAlign w:val="bottom"/>
            <w:tcBorders>
              <w:right w:val="single" w:sz="8" w:color="007CBA"/>
            </w:tcBorders>
            <w:shd w:val="clear" w:color="auto" w:fill="007CBA"/>
          </w:tcPr>
          <w:p>
            <w:pPr>
              <w:spacing w:after="0"/>
              <w:rPr>
                <w:sz w:val="15"/>
                <w:szCs w:val="15"/>
                <w:color w:val="auto"/>
              </w:rPr>
            </w:pPr>
          </w:p>
        </w:tc>
        <w:tc>
          <w:tcPr>
            <w:tcW w:w="1380" w:type="dxa"/>
            <w:vAlign w:val="bottom"/>
            <w:tcBorders>
              <w:right w:val="single" w:sz="8" w:color="007CBA"/>
            </w:tcBorders>
            <w:gridSpan w:val="2"/>
            <w:shd w:val="clear" w:color="auto" w:fill="007CBA"/>
          </w:tcPr>
          <w:p>
            <w:pPr>
              <w:ind w:left="20"/>
              <w:spacing w:after="0"/>
              <w:rPr>
                <w:sz w:val="20"/>
                <w:szCs w:val="20"/>
                <w:color w:val="auto"/>
              </w:rPr>
            </w:pPr>
            <w:r>
              <w:rPr>
                <w:rFonts w:ascii="Arial" w:cs="Arial" w:eastAsia="Arial" w:hAnsi="Arial"/>
                <w:sz w:val="14"/>
                <w:szCs w:val="14"/>
                <w:b w:val="1"/>
                <w:bCs w:val="1"/>
                <w:color w:val="FFFFFF"/>
              </w:rPr>
              <w:t>Received Received</w:t>
            </w:r>
          </w:p>
        </w:tc>
        <w:tc>
          <w:tcPr>
            <w:tcW w:w="620" w:type="dxa"/>
            <w:vAlign w:val="bottom"/>
            <w:tcBorders>
              <w:right w:val="single" w:sz="8" w:color="007CBA"/>
            </w:tcBorders>
            <w:shd w:val="clear" w:color="auto" w:fill="007CBA"/>
          </w:tcPr>
          <w:p>
            <w:pPr>
              <w:spacing w:after="0"/>
              <w:rPr>
                <w:sz w:val="15"/>
                <w:szCs w:val="15"/>
                <w:color w:val="auto"/>
              </w:rPr>
            </w:pPr>
          </w:p>
        </w:tc>
        <w:tc>
          <w:tcPr>
            <w:tcW w:w="700" w:type="dxa"/>
            <w:vAlign w:val="bottom"/>
            <w:tcBorders>
              <w:right w:val="single" w:sz="8" w:color="007CBA"/>
            </w:tcBorders>
            <w:shd w:val="clear" w:color="auto" w:fill="007CBA"/>
          </w:tcPr>
          <w:p>
            <w:pPr>
              <w:spacing w:after="0"/>
              <w:rPr>
                <w:sz w:val="15"/>
                <w:szCs w:val="15"/>
                <w:color w:val="auto"/>
              </w:rPr>
            </w:pPr>
          </w:p>
        </w:tc>
        <w:tc>
          <w:tcPr>
            <w:tcW w:w="880" w:type="dxa"/>
            <w:vAlign w:val="bottom"/>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Notice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Notice</w:t>
            </w:r>
          </w:p>
        </w:tc>
        <w:tc>
          <w:tcPr>
            <w:tcW w:w="62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88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Legal</w:t>
            </w:r>
          </w:p>
        </w:tc>
        <w:tc>
          <w:tcPr>
            <w:tcW w:w="700" w:type="dxa"/>
            <w:vAlign w:val="bottom"/>
            <w:tcBorders>
              <w:right w:val="single" w:sz="8" w:color="007CBA"/>
            </w:tcBorders>
            <w:shd w:val="clear" w:color="auto" w:fill="007CBA"/>
          </w:tcPr>
          <w:p>
            <w:pPr>
              <w:spacing w:after="0"/>
              <w:rPr>
                <w:sz w:val="14"/>
                <w:szCs w:val="14"/>
                <w:color w:val="auto"/>
              </w:rPr>
            </w:pPr>
          </w:p>
        </w:tc>
        <w:tc>
          <w:tcPr>
            <w:tcW w:w="88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80" w:type="dxa"/>
            <w:vAlign w:val="bottom"/>
            <w:tcBorders>
              <w:right w:val="single" w:sz="8" w:color="007CBA"/>
            </w:tcBorders>
            <w:shd w:val="clear" w:color="auto" w:fill="007CBA"/>
          </w:tcPr>
          <w:p>
            <w:pPr>
              <w:spacing w:after="0"/>
              <w:rPr>
                <w:sz w:val="16"/>
                <w:szCs w:val="16"/>
                <w:color w:val="auto"/>
              </w:rPr>
            </w:pPr>
          </w:p>
        </w:tc>
        <w:tc>
          <w:tcPr>
            <w:tcW w:w="720" w:type="dxa"/>
            <w:vAlign w:val="bottom"/>
            <w:tcBorders>
              <w:right w:val="single" w:sz="8" w:color="007CBA"/>
            </w:tcBorders>
            <w:shd w:val="clear" w:color="auto" w:fill="007CBA"/>
          </w:tcPr>
          <w:p>
            <w:pPr>
              <w:spacing w:after="0"/>
              <w:rPr>
                <w:sz w:val="16"/>
                <w:szCs w:val="16"/>
                <w:color w:val="auto"/>
              </w:rPr>
            </w:pPr>
          </w:p>
        </w:tc>
        <w:tc>
          <w:tcPr>
            <w:tcW w:w="660" w:type="dxa"/>
            <w:vAlign w:val="bottom"/>
            <w:tcBorders>
              <w:right w:val="single" w:sz="8" w:color="007CBA"/>
            </w:tcBorders>
            <w:shd w:val="clear" w:color="auto" w:fill="007CBA"/>
          </w:tcPr>
          <w:p>
            <w:pPr>
              <w:spacing w:after="0"/>
              <w:rPr>
                <w:sz w:val="16"/>
                <w:szCs w:val="16"/>
                <w:color w:val="auto"/>
              </w:rPr>
            </w:pPr>
          </w:p>
        </w:tc>
        <w:tc>
          <w:tcPr>
            <w:tcW w:w="580" w:type="dxa"/>
            <w:vAlign w:val="bottom"/>
            <w:tcBorders>
              <w:right w:val="single" w:sz="8" w:color="007CBA"/>
            </w:tcBorders>
            <w:shd w:val="clear" w:color="auto" w:fill="007CBA"/>
          </w:tcPr>
          <w:p>
            <w:pPr>
              <w:spacing w:after="0"/>
              <w:rPr>
                <w:sz w:val="16"/>
                <w:szCs w:val="16"/>
                <w:color w:val="auto"/>
              </w:rPr>
            </w:pPr>
          </w:p>
        </w:tc>
        <w:tc>
          <w:tcPr>
            <w:tcW w:w="68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740" w:type="dxa"/>
            <w:vAlign w:val="bottom"/>
            <w:tcBorders>
              <w:right w:val="single" w:sz="8" w:color="007CBA"/>
            </w:tcBorders>
            <w:shd w:val="clear" w:color="auto" w:fill="007CBA"/>
          </w:tcPr>
          <w:p>
            <w:pPr>
              <w:spacing w:after="0"/>
              <w:rPr>
                <w:sz w:val="16"/>
                <w:szCs w:val="16"/>
                <w:color w:val="auto"/>
              </w:rPr>
            </w:pPr>
          </w:p>
        </w:tc>
        <w:tc>
          <w:tcPr>
            <w:tcW w:w="580" w:type="dxa"/>
            <w:vAlign w:val="bottom"/>
            <w:tcBorders>
              <w:right w:val="single" w:sz="8" w:color="007CBA"/>
            </w:tcBorders>
            <w:shd w:val="clear" w:color="auto" w:fill="007CBA"/>
          </w:tcPr>
          <w:p>
            <w:pPr>
              <w:spacing w:after="0"/>
              <w:rPr>
                <w:sz w:val="16"/>
                <w:szCs w:val="16"/>
                <w:color w:val="auto"/>
              </w:rPr>
            </w:pPr>
          </w:p>
        </w:tc>
        <w:tc>
          <w:tcPr>
            <w:tcW w:w="1000" w:type="dxa"/>
            <w:vAlign w:val="bottom"/>
            <w:tcBorders>
              <w:right w:val="single" w:sz="8" w:color="007CBA"/>
            </w:tcBorders>
            <w:gridSpan w:val="2"/>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Total Dollar</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Pattern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Potential</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70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Legal</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Appendix 1*</w:t>
            </w:r>
          </w:p>
        </w:tc>
        <w:tc>
          <w:tcPr>
            <w:tcW w:w="0" w:type="dxa"/>
            <w:vAlign w:val="bottom"/>
          </w:tcPr>
          <w:p>
            <w:pPr>
              <w:spacing w:after="0"/>
              <w:rPr>
                <w:sz w:val="1"/>
                <w:szCs w:val="1"/>
                <w:color w:val="auto"/>
              </w:rPr>
            </w:pPr>
          </w:p>
        </w:tc>
      </w:tr>
      <w:tr>
        <w:trPr>
          <w:trHeight w:val="135"/>
        </w:trPr>
        <w:tc>
          <w:tcPr>
            <w:tcW w:w="2180" w:type="dxa"/>
            <w:vAlign w:val="bottom"/>
            <w:tcBorders>
              <w:right w:val="single" w:sz="8" w:color="007CBA"/>
            </w:tcBorders>
            <w:shd w:val="clear" w:color="auto" w:fill="007CBA"/>
          </w:tcPr>
          <w:p>
            <w:pPr>
              <w:spacing w:after="0"/>
              <w:rPr>
                <w:sz w:val="11"/>
                <w:szCs w:val="11"/>
                <w:color w:val="auto"/>
              </w:rPr>
            </w:pPr>
          </w:p>
        </w:tc>
        <w:tc>
          <w:tcPr>
            <w:tcW w:w="720" w:type="dxa"/>
            <w:vAlign w:val="bottom"/>
            <w:tcBorders>
              <w:right w:val="single" w:sz="8" w:color="007CBA"/>
            </w:tcBorders>
            <w:shd w:val="clear" w:color="auto" w:fill="007CBA"/>
          </w:tcPr>
          <w:p>
            <w:pPr>
              <w:spacing w:after="0"/>
              <w:rPr>
                <w:sz w:val="11"/>
                <w:szCs w:val="11"/>
                <w:color w:val="auto"/>
              </w:rPr>
            </w:pPr>
          </w:p>
        </w:tc>
        <w:tc>
          <w:tcPr>
            <w:tcW w:w="660" w:type="dxa"/>
            <w:vAlign w:val="bottom"/>
            <w:tcBorders>
              <w:right w:val="single" w:sz="8" w:color="007CBA"/>
            </w:tcBorders>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680" w:type="dxa"/>
            <w:vAlign w:val="bottom"/>
            <w:tcBorders>
              <w:right w:val="single" w:sz="8" w:color="007CBA"/>
            </w:tcBorders>
            <w:vMerge w:val="continue"/>
            <w:shd w:val="clear" w:color="auto" w:fill="007CBA"/>
          </w:tcPr>
          <w:p>
            <w:pPr>
              <w:spacing w:after="0"/>
              <w:rPr>
                <w:sz w:val="11"/>
                <w:szCs w:val="11"/>
                <w:color w:val="auto"/>
              </w:rPr>
            </w:pPr>
          </w:p>
        </w:tc>
        <w:tc>
          <w:tcPr>
            <w:tcW w:w="740" w:type="dxa"/>
            <w:vAlign w:val="bottom"/>
            <w:tcBorders>
              <w:right w:val="single" w:sz="8" w:color="007CBA"/>
            </w:tcBorders>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1000" w:type="dxa"/>
            <w:vAlign w:val="bottom"/>
            <w:tcBorders>
              <w:right w:val="single" w:sz="8" w:color="007CBA"/>
            </w:tcBorders>
            <w:gridSpan w:val="2"/>
            <w:vMerge w:val="continue"/>
            <w:shd w:val="clear" w:color="auto" w:fill="007CBA"/>
          </w:tcPr>
          <w:p>
            <w:pPr>
              <w:spacing w:after="0"/>
              <w:rPr>
                <w:sz w:val="11"/>
                <w:szCs w:val="11"/>
                <w:color w:val="auto"/>
              </w:rPr>
            </w:pPr>
          </w:p>
        </w:tc>
        <w:tc>
          <w:tcPr>
            <w:tcW w:w="70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Number</w:t>
            </w:r>
          </w:p>
        </w:tc>
        <w:tc>
          <w:tcPr>
            <w:tcW w:w="68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to have</w:t>
            </w:r>
          </w:p>
        </w:tc>
        <w:tc>
          <w:tcPr>
            <w:tcW w:w="62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Pending</w:t>
            </w:r>
          </w:p>
        </w:tc>
        <w:tc>
          <w:tcPr>
            <w:tcW w:w="700" w:type="dxa"/>
            <w:vAlign w:val="bottom"/>
            <w:tcBorders>
              <w:right w:val="single" w:sz="8" w:color="007CBA"/>
            </w:tcBorders>
            <w:vMerge w:val="continue"/>
            <w:shd w:val="clear" w:color="auto" w:fill="007CBA"/>
          </w:tcPr>
          <w:p>
            <w:pPr>
              <w:spacing w:after="0"/>
              <w:rPr>
                <w:sz w:val="11"/>
                <w:szCs w:val="11"/>
                <w:color w:val="auto"/>
              </w:rPr>
            </w:pPr>
          </w:p>
        </w:tc>
        <w:tc>
          <w:tcPr>
            <w:tcW w:w="880" w:type="dxa"/>
            <w:vAlign w:val="bottom"/>
            <w:shd w:val="clear" w:color="auto" w:fill="007CBA"/>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104(d)</w:t>
            </w: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Value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Violation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Pattern</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as 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8"/>
              </w:rPr>
              <w:t>Legal</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1260" w:type="dxa"/>
            <w:vAlign w:val="bottom"/>
            <w:tcBorders>
              <w:right w:val="single" w:sz="8" w:color="007CBA"/>
            </w:tcBorders>
            <w:gridSpan w:val="2"/>
            <w:shd w:val="clear" w:color="auto" w:fill="007CBA"/>
          </w:tcPr>
          <w:p>
            <w:pPr>
              <w:ind w:left="40"/>
              <w:spacing w:after="0"/>
              <w:rPr>
                <w:sz w:val="20"/>
                <w:szCs w:val="20"/>
                <w:color w:val="auto"/>
              </w:rPr>
            </w:pPr>
            <w:r>
              <w:rPr>
                <w:rFonts w:ascii="Arial" w:cs="Arial" w:eastAsia="Arial" w:hAnsi="Arial"/>
                <w:sz w:val="14"/>
                <w:szCs w:val="14"/>
                <w:b w:val="1"/>
                <w:bCs w:val="1"/>
                <w:color w:val="FFFFFF"/>
              </w:rPr>
              <w:t>Section Citations</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Mining</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Under</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under</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Last</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Instituted</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 S&amp;S</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104(b)</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and</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110(b)(2)</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107(a)</w:t>
            </w: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MSHA</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Related</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Day 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During</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Resolved</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jc w:val="right"/>
              <w:ind w:right="108"/>
              <w:spacing w:after="0"/>
              <w:rPr>
                <w:sz w:val="20"/>
                <w:szCs w:val="20"/>
                <w:color w:val="auto"/>
              </w:rPr>
            </w:pPr>
            <w:r>
              <w:rPr>
                <w:rFonts w:ascii="Arial" w:cs="Arial" w:eastAsia="Arial" w:hAnsi="Arial"/>
                <w:sz w:val="14"/>
                <w:szCs w:val="14"/>
                <w:b w:val="1"/>
                <w:bCs w:val="1"/>
                <w:color w:val="FFFFFF"/>
              </w:rPr>
              <w:t>MSHA</w:t>
            </w: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Citations</w:t>
            </w:r>
          </w:p>
        </w:tc>
        <w:tc>
          <w:tcPr>
            <w:tcW w:w="5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Orders</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Orders</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Violations</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Orders</w:t>
            </w:r>
          </w:p>
        </w:tc>
        <w:tc>
          <w:tcPr>
            <w:tcW w:w="1000" w:type="dxa"/>
            <w:vAlign w:val="bottom"/>
            <w:tcBorders>
              <w:right w:val="single" w:sz="8" w:color="007CBA"/>
            </w:tcBorders>
            <w:gridSpan w:val="2"/>
            <w:shd w:val="clear" w:color="auto" w:fill="007CBA"/>
          </w:tcPr>
          <w:p>
            <w:pPr>
              <w:ind w:left="40"/>
              <w:spacing w:after="0"/>
              <w:rPr>
                <w:sz w:val="20"/>
                <w:szCs w:val="20"/>
                <w:color w:val="auto"/>
              </w:rPr>
            </w:pPr>
            <w:r>
              <w:rPr>
                <w:rFonts w:ascii="Arial" w:cs="Arial" w:eastAsia="Arial" w:hAnsi="Arial"/>
                <w:sz w:val="14"/>
                <w:szCs w:val="14"/>
                <w:b w:val="1"/>
                <w:bCs w:val="1"/>
                <w:color w:val="FFFFFF"/>
              </w:rPr>
              <w:t>Assessment/</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Fatalities</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104(e)</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During</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007CBA"/>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Location</w:t>
            </w:r>
          </w:p>
        </w:tc>
        <w:tc>
          <w:tcPr>
            <w:tcW w:w="720" w:type="dxa"/>
            <w:vAlign w:val="bottom"/>
            <w:tcBorders>
              <w:bottom w:val="single" w:sz="8" w:color="007CBA"/>
              <w:right w:val="single" w:sz="8" w:color="007CBA"/>
            </w:tcBorders>
            <w:shd w:val="clear" w:color="auto" w:fill="007CBA"/>
          </w:tcPr>
          <w:p>
            <w:pPr>
              <w:jc w:val="right"/>
              <w:ind w:right="248"/>
              <w:spacing w:after="0"/>
              <w:rPr>
                <w:sz w:val="20"/>
                <w:szCs w:val="20"/>
                <w:color w:val="auto"/>
              </w:rPr>
            </w:pPr>
            <w:r>
              <w:rPr>
                <w:rFonts w:ascii="Arial" w:cs="Arial" w:eastAsia="Arial" w:hAnsi="Arial"/>
                <w:sz w:val="14"/>
                <w:szCs w:val="14"/>
                <w:b w:val="1"/>
                <w:bCs w:val="1"/>
                <w:color w:val="FFFFFF"/>
              </w:rPr>
              <w:t>ID</w:t>
            </w:r>
          </w:p>
        </w:tc>
        <w:tc>
          <w:tcPr>
            <w:tcW w:w="66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5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3"/>
              </w:rPr>
              <w:t>(#)</w:t>
            </w:r>
          </w:p>
        </w:tc>
        <w:tc>
          <w:tcPr>
            <w:tcW w:w="5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1000" w:type="dxa"/>
            <w:vAlign w:val="bottom"/>
            <w:tcBorders>
              <w:bottom w:val="single" w:sz="8" w:color="007CBA"/>
              <w:right w:val="single" w:sz="8" w:color="007CBA"/>
            </w:tcBorders>
            <w:gridSpan w:val="2"/>
            <w:shd w:val="clear" w:color="auto" w:fill="007CBA"/>
          </w:tcPr>
          <w:p>
            <w:pPr>
              <w:jc w:val="center"/>
              <w:spacing w:after="0"/>
              <w:rPr>
                <w:sz w:val="20"/>
                <w:szCs w:val="20"/>
                <w:color w:val="auto"/>
              </w:rPr>
            </w:pPr>
            <w:r>
              <w:rPr>
                <w:rFonts w:ascii="Arial" w:cs="Arial" w:eastAsia="Arial" w:hAnsi="Arial"/>
                <w:sz w:val="14"/>
                <w:szCs w:val="14"/>
                <w:b w:val="1"/>
                <w:bCs w:val="1"/>
                <w:color w:val="FFFFFF"/>
              </w:rPr>
              <w:t>$Proposed</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(yes/no)</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(yes/no)</w:t>
            </w:r>
          </w:p>
        </w:tc>
        <w:tc>
          <w:tcPr>
            <w:tcW w:w="62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 (#)</w:t>
            </w: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Alexander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BN5</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Amelia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4407372</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American Stone</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3100189</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Anderson Creek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4402963</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517</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Arrowood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3100059</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427</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Asheboro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3100066</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354</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Bakers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3100071</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Belgrade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3100064</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Benson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3101979</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236</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Berkeley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3800072</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236</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Bessemer City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3101105</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Black Ankle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3102220</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Bonds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3101963</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236</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Boonesboro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1800024</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Burlington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3100042</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Caldwell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3101869</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Calhoun Sand</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3800716</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Castle Hayne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3100063</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738</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Cayce</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3800016</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663</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Central Rock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3100050</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Charlotte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3100057</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Churchville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1800012</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180" w:type="dxa"/>
            <w:vAlign w:val="bottom"/>
            <w:tcBorders>
              <w:bottom w:val="single" w:sz="8" w:color="007CBA"/>
              <w:right w:val="single" w:sz="8" w:color="007CBA"/>
            </w:tcBorders>
          </w:tcPr>
          <w:p>
            <w:pPr>
              <w:ind w:left="80"/>
              <w:spacing w:after="0"/>
              <w:rPr>
                <w:sz w:val="20"/>
                <w:szCs w:val="20"/>
                <w:color w:val="auto"/>
              </w:rPr>
            </w:pPr>
            <w:r>
              <w:rPr>
                <w:rFonts w:ascii="Arial" w:cs="Arial" w:eastAsia="Arial" w:hAnsi="Arial"/>
                <w:sz w:val="14"/>
                <w:szCs w:val="14"/>
                <w:color w:val="auto"/>
              </w:rPr>
              <w:t>Clarks Quarry</w:t>
            </w:r>
          </w:p>
        </w:tc>
        <w:tc>
          <w:tcPr>
            <w:tcW w:w="720" w:type="dxa"/>
            <w:vAlign w:val="bottom"/>
            <w:tcBorders>
              <w:bottom w:val="single" w:sz="8" w:color="007CBA"/>
              <w:right w:val="single" w:sz="8" w:color="007CBA"/>
            </w:tcBorders>
          </w:tcPr>
          <w:p>
            <w:pPr>
              <w:jc w:val="right"/>
              <w:ind w:right="8"/>
              <w:spacing w:after="0"/>
              <w:rPr>
                <w:sz w:val="20"/>
                <w:szCs w:val="20"/>
                <w:color w:val="auto"/>
              </w:rPr>
            </w:pPr>
            <w:r>
              <w:rPr>
                <w:rFonts w:ascii="Arial" w:cs="Arial" w:eastAsia="Arial" w:hAnsi="Arial"/>
                <w:sz w:val="14"/>
                <w:szCs w:val="14"/>
                <w:color w:val="auto"/>
              </w:rPr>
              <w:t>3102009</w:t>
            </w:r>
          </w:p>
        </w:tc>
        <w:tc>
          <w:tcPr>
            <w:tcW w:w="66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007CBA"/>
            </w:tcBorders>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07CBA"/>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Borders>
              <w:bottom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48"/>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38" w:name="page139"/>
    <w:bookmarkEnd w:id="138"/>
    <w:tbl>
      <w:tblPr>
        <w:tblLayout w:type="fixed"/>
        <w:tblInd w:w="0" w:type="dxa"/>
        <w:tblCellMar>
          <w:top w:w="0" w:type="dxa"/>
          <w:left w:w="0" w:type="dxa"/>
          <w:bottom w:w="0" w:type="dxa"/>
          <w:right w:w="0" w:type="dxa"/>
        </w:tblCellMar>
      </w:tblPr>
      <w:tr>
        <w:trPr>
          <w:trHeight w:val="176"/>
        </w:trPr>
        <w:tc>
          <w:tcPr>
            <w:tcW w:w="2180" w:type="dxa"/>
            <w:vAlign w:val="bottom"/>
            <w:tcBorders>
              <w:right w:val="single" w:sz="8" w:color="007CBA"/>
            </w:tcBorders>
            <w:shd w:val="clear" w:color="auto" w:fill="007CBA"/>
          </w:tcPr>
          <w:p>
            <w:pPr>
              <w:spacing w:after="0"/>
              <w:rPr>
                <w:sz w:val="15"/>
                <w:szCs w:val="15"/>
                <w:color w:val="auto"/>
              </w:rPr>
            </w:pPr>
          </w:p>
        </w:tc>
        <w:tc>
          <w:tcPr>
            <w:tcW w:w="720" w:type="dxa"/>
            <w:vAlign w:val="bottom"/>
            <w:tcBorders>
              <w:right w:val="single" w:sz="8" w:color="007CBA"/>
            </w:tcBorders>
            <w:shd w:val="clear" w:color="auto" w:fill="007CBA"/>
          </w:tcPr>
          <w:p>
            <w:pPr>
              <w:spacing w:after="0"/>
              <w:rPr>
                <w:sz w:val="15"/>
                <w:szCs w:val="15"/>
                <w:color w:val="auto"/>
              </w:rPr>
            </w:pPr>
          </w:p>
        </w:tc>
        <w:tc>
          <w:tcPr>
            <w:tcW w:w="660" w:type="dxa"/>
            <w:vAlign w:val="bottom"/>
            <w:tcBorders>
              <w:right w:val="single" w:sz="8" w:color="007CBA"/>
            </w:tcBorders>
            <w:shd w:val="clear" w:color="auto" w:fill="007CBA"/>
          </w:tcPr>
          <w:p>
            <w:pPr>
              <w:spacing w:after="0"/>
              <w:rPr>
                <w:sz w:val="15"/>
                <w:szCs w:val="15"/>
                <w:color w:val="auto"/>
              </w:rPr>
            </w:pPr>
          </w:p>
        </w:tc>
        <w:tc>
          <w:tcPr>
            <w:tcW w:w="580" w:type="dxa"/>
            <w:vAlign w:val="bottom"/>
            <w:tcBorders>
              <w:right w:val="single" w:sz="8" w:color="007CBA"/>
            </w:tcBorders>
            <w:shd w:val="clear" w:color="auto" w:fill="007CBA"/>
          </w:tcPr>
          <w:p>
            <w:pPr>
              <w:spacing w:after="0"/>
              <w:rPr>
                <w:sz w:val="15"/>
                <w:szCs w:val="15"/>
                <w:color w:val="auto"/>
              </w:rPr>
            </w:pPr>
          </w:p>
        </w:tc>
        <w:tc>
          <w:tcPr>
            <w:tcW w:w="680" w:type="dxa"/>
            <w:vAlign w:val="bottom"/>
            <w:tcBorders>
              <w:right w:val="single" w:sz="8" w:color="007CBA"/>
            </w:tcBorders>
            <w:shd w:val="clear" w:color="auto" w:fill="007CBA"/>
          </w:tcPr>
          <w:p>
            <w:pPr>
              <w:spacing w:after="0"/>
              <w:rPr>
                <w:sz w:val="15"/>
                <w:szCs w:val="15"/>
                <w:color w:val="auto"/>
              </w:rPr>
            </w:pPr>
          </w:p>
        </w:tc>
        <w:tc>
          <w:tcPr>
            <w:tcW w:w="740" w:type="dxa"/>
            <w:vAlign w:val="bottom"/>
            <w:tcBorders>
              <w:right w:val="single" w:sz="8" w:color="007CBA"/>
            </w:tcBorders>
            <w:shd w:val="clear" w:color="auto" w:fill="007CBA"/>
          </w:tcPr>
          <w:p>
            <w:pPr>
              <w:spacing w:after="0"/>
              <w:rPr>
                <w:sz w:val="15"/>
                <w:szCs w:val="15"/>
                <w:color w:val="auto"/>
              </w:rPr>
            </w:pPr>
          </w:p>
        </w:tc>
        <w:tc>
          <w:tcPr>
            <w:tcW w:w="580" w:type="dxa"/>
            <w:vAlign w:val="bottom"/>
            <w:tcBorders>
              <w:right w:val="single" w:sz="8" w:color="007CBA"/>
            </w:tcBorders>
            <w:shd w:val="clear" w:color="auto" w:fill="007CBA"/>
          </w:tcPr>
          <w:p>
            <w:pPr>
              <w:spacing w:after="0"/>
              <w:rPr>
                <w:sz w:val="15"/>
                <w:szCs w:val="15"/>
                <w:color w:val="auto"/>
              </w:rPr>
            </w:pPr>
          </w:p>
        </w:tc>
        <w:tc>
          <w:tcPr>
            <w:tcW w:w="200" w:type="dxa"/>
            <w:vAlign w:val="bottom"/>
            <w:shd w:val="clear" w:color="auto" w:fill="007CBA"/>
          </w:tcPr>
          <w:p>
            <w:pPr>
              <w:spacing w:after="0"/>
              <w:rPr>
                <w:sz w:val="15"/>
                <w:szCs w:val="15"/>
                <w:color w:val="auto"/>
              </w:rPr>
            </w:pPr>
          </w:p>
        </w:tc>
        <w:tc>
          <w:tcPr>
            <w:tcW w:w="800" w:type="dxa"/>
            <w:vAlign w:val="bottom"/>
            <w:tcBorders>
              <w:right w:val="single" w:sz="8" w:color="007CBA"/>
            </w:tcBorders>
            <w:shd w:val="clear" w:color="auto" w:fill="007CBA"/>
          </w:tcPr>
          <w:p>
            <w:pPr>
              <w:spacing w:after="0"/>
              <w:rPr>
                <w:sz w:val="15"/>
                <w:szCs w:val="15"/>
                <w:color w:val="auto"/>
              </w:rPr>
            </w:pPr>
          </w:p>
        </w:tc>
        <w:tc>
          <w:tcPr>
            <w:tcW w:w="700" w:type="dxa"/>
            <w:vAlign w:val="bottom"/>
            <w:tcBorders>
              <w:right w:val="single" w:sz="8" w:color="007CBA"/>
            </w:tcBorders>
            <w:shd w:val="clear" w:color="auto" w:fill="007CBA"/>
          </w:tcPr>
          <w:p>
            <w:pPr>
              <w:spacing w:after="0"/>
              <w:rPr>
                <w:sz w:val="15"/>
                <w:szCs w:val="15"/>
                <w:color w:val="auto"/>
              </w:rPr>
            </w:pPr>
          </w:p>
        </w:tc>
        <w:tc>
          <w:tcPr>
            <w:tcW w:w="1380" w:type="dxa"/>
            <w:vAlign w:val="bottom"/>
            <w:tcBorders>
              <w:right w:val="single" w:sz="8" w:color="007CBA"/>
            </w:tcBorders>
            <w:gridSpan w:val="2"/>
            <w:shd w:val="clear" w:color="auto" w:fill="007CBA"/>
          </w:tcPr>
          <w:p>
            <w:pPr>
              <w:ind w:left="20"/>
              <w:spacing w:after="0"/>
              <w:rPr>
                <w:sz w:val="20"/>
                <w:szCs w:val="20"/>
                <w:color w:val="auto"/>
              </w:rPr>
            </w:pPr>
            <w:r>
              <w:rPr>
                <w:rFonts w:ascii="Arial" w:cs="Arial" w:eastAsia="Arial" w:hAnsi="Arial"/>
                <w:sz w:val="14"/>
                <w:szCs w:val="14"/>
                <w:b w:val="1"/>
                <w:bCs w:val="1"/>
                <w:color w:val="FFFFFF"/>
              </w:rPr>
              <w:t>Received Received</w:t>
            </w:r>
          </w:p>
        </w:tc>
        <w:tc>
          <w:tcPr>
            <w:tcW w:w="620" w:type="dxa"/>
            <w:vAlign w:val="bottom"/>
            <w:tcBorders>
              <w:right w:val="single" w:sz="8" w:color="007CBA"/>
            </w:tcBorders>
            <w:shd w:val="clear" w:color="auto" w:fill="007CBA"/>
          </w:tcPr>
          <w:p>
            <w:pPr>
              <w:spacing w:after="0"/>
              <w:rPr>
                <w:sz w:val="15"/>
                <w:szCs w:val="15"/>
                <w:color w:val="auto"/>
              </w:rPr>
            </w:pPr>
          </w:p>
        </w:tc>
        <w:tc>
          <w:tcPr>
            <w:tcW w:w="700" w:type="dxa"/>
            <w:vAlign w:val="bottom"/>
            <w:tcBorders>
              <w:right w:val="single" w:sz="8" w:color="007CBA"/>
            </w:tcBorders>
            <w:shd w:val="clear" w:color="auto" w:fill="007CBA"/>
          </w:tcPr>
          <w:p>
            <w:pPr>
              <w:spacing w:after="0"/>
              <w:rPr>
                <w:sz w:val="15"/>
                <w:szCs w:val="15"/>
                <w:color w:val="auto"/>
              </w:rPr>
            </w:pPr>
          </w:p>
        </w:tc>
        <w:tc>
          <w:tcPr>
            <w:tcW w:w="880" w:type="dxa"/>
            <w:vAlign w:val="bottom"/>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Notice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Notice</w:t>
            </w:r>
          </w:p>
        </w:tc>
        <w:tc>
          <w:tcPr>
            <w:tcW w:w="62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88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Legal</w:t>
            </w:r>
          </w:p>
        </w:tc>
        <w:tc>
          <w:tcPr>
            <w:tcW w:w="700" w:type="dxa"/>
            <w:vAlign w:val="bottom"/>
            <w:tcBorders>
              <w:right w:val="single" w:sz="8" w:color="007CBA"/>
            </w:tcBorders>
            <w:shd w:val="clear" w:color="auto" w:fill="007CBA"/>
          </w:tcPr>
          <w:p>
            <w:pPr>
              <w:spacing w:after="0"/>
              <w:rPr>
                <w:sz w:val="14"/>
                <w:szCs w:val="14"/>
                <w:color w:val="auto"/>
              </w:rPr>
            </w:pPr>
          </w:p>
        </w:tc>
        <w:tc>
          <w:tcPr>
            <w:tcW w:w="88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80" w:type="dxa"/>
            <w:vAlign w:val="bottom"/>
            <w:tcBorders>
              <w:right w:val="single" w:sz="8" w:color="007CBA"/>
            </w:tcBorders>
            <w:shd w:val="clear" w:color="auto" w:fill="007CBA"/>
          </w:tcPr>
          <w:p>
            <w:pPr>
              <w:spacing w:after="0"/>
              <w:rPr>
                <w:sz w:val="16"/>
                <w:szCs w:val="16"/>
                <w:color w:val="auto"/>
              </w:rPr>
            </w:pPr>
          </w:p>
        </w:tc>
        <w:tc>
          <w:tcPr>
            <w:tcW w:w="720" w:type="dxa"/>
            <w:vAlign w:val="bottom"/>
            <w:tcBorders>
              <w:right w:val="single" w:sz="8" w:color="007CBA"/>
            </w:tcBorders>
            <w:shd w:val="clear" w:color="auto" w:fill="007CBA"/>
          </w:tcPr>
          <w:p>
            <w:pPr>
              <w:spacing w:after="0"/>
              <w:rPr>
                <w:sz w:val="16"/>
                <w:szCs w:val="16"/>
                <w:color w:val="auto"/>
              </w:rPr>
            </w:pPr>
          </w:p>
        </w:tc>
        <w:tc>
          <w:tcPr>
            <w:tcW w:w="660" w:type="dxa"/>
            <w:vAlign w:val="bottom"/>
            <w:tcBorders>
              <w:right w:val="single" w:sz="8" w:color="007CBA"/>
            </w:tcBorders>
            <w:shd w:val="clear" w:color="auto" w:fill="007CBA"/>
          </w:tcPr>
          <w:p>
            <w:pPr>
              <w:spacing w:after="0"/>
              <w:rPr>
                <w:sz w:val="16"/>
                <w:szCs w:val="16"/>
                <w:color w:val="auto"/>
              </w:rPr>
            </w:pPr>
          </w:p>
        </w:tc>
        <w:tc>
          <w:tcPr>
            <w:tcW w:w="580" w:type="dxa"/>
            <w:vAlign w:val="bottom"/>
            <w:tcBorders>
              <w:right w:val="single" w:sz="8" w:color="007CBA"/>
            </w:tcBorders>
            <w:shd w:val="clear" w:color="auto" w:fill="007CBA"/>
          </w:tcPr>
          <w:p>
            <w:pPr>
              <w:spacing w:after="0"/>
              <w:rPr>
                <w:sz w:val="16"/>
                <w:szCs w:val="16"/>
                <w:color w:val="auto"/>
              </w:rPr>
            </w:pPr>
          </w:p>
        </w:tc>
        <w:tc>
          <w:tcPr>
            <w:tcW w:w="68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740" w:type="dxa"/>
            <w:vAlign w:val="bottom"/>
            <w:tcBorders>
              <w:right w:val="single" w:sz="8" w:color="007CBA"/>
            </w:tcBorders>
            <w:shd w:val="clear" w:color="auto" w:fill="007CBA"/>
          </w:tcPr>
          <w:p>
            <w:pPr>
              <w:spacing w:after="0"/>
              <w:rPr>
                <w:sz w:val="16"/>
                <w:szCs w:val="16"/>
                <w:color w:val="auto"/>
              </w:rPr>
            </w:pPr>
          </w:p>
        </w:tc>
        <w:tc>
          <w:tcPr>
            <w:tcW w:w="580" w:type="dxa"/>
            <w:vAlign w:val="bottom"/>
            <w:tcBorders>
              <w:right w:val="single" w:sz="8" w:color="007CBA"/>
            </w:tcBorders>
            <w:shd w:val="clear" w:color="auto" w:fill="007CBA"/>
          </w:tcPr>
          <w:p>
            <w:pPr>
              <w:spacing w:after="0"/>
              <w:rPr>
                <w:sz w:val="16"/>
                <w:szCs w:val="16"/>
                <w:color w:val="auto"/>
              </w:rPr>
            </w:pPr>
          </w:p>
        </w:tc>
        <w:tc>
          <w:tcPr>
            <w:tcW w:w="1000" w:type="dxa"/>
            <w:vAlign w:val="bottom"/>
            <w:tcBorders>
              <w:right w:val="single" w:sz="8" w:color="007CBA"/>
            </w:tcBorders>
            <w:gridSpan w:val="2"/>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Total Dollar</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Pattern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Potential</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70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Legal</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Appendix 1*</w:t>
            </w:r>
          </w:p>
        </w:tc>
        <w:tc>
          <w:tcPr>
            <w:tcW w:w="0" w:type="dxa"/>
            <w:vAlign w:val="bottom"/>
          </w:tcPr>
          <w:p>
            <w:pPr>
              <w:spacing w:after="0"/>
              <w:rPr>
                <w:sz w:val="1"/>
                <w:szCs w:val="1"/>
                <w:color w:val="auto"/>
              </w:rPr>
            </w:pPr>
          </w:p>
        </w:tc>
      </w:tr>
      <w:tr>
        <w:trPr>
          <w:trHeight w:val="135"/>
        </w:trPr>
        <w:tc>
          <w:tcPr>
            <w:tcW w:w="2180" w:type="dxa"/>
            <w:vAlign w:val="bottom"/>
            <w:tcBorders>
              <w:right w:val="single" w:sz="8" w:color="007CBA"/>
            </w:tcBorders>
            <w:shd w:val="clear" w:color="auto" w:fill="007CBA"/>
          </w:tcPr>
          <w:p>
            <w:pPr>
              <w:spacing w:after="0"/>
              <w:rPr>
                <w:sz w:val="11"/>
                <w:szCs w:val="11"/>
                <w:color w:val="auto"/>
              </w:rPr>
            </w:pPr>
          </w:p>
        </w:tc>
        <w:tc>
          <w:tcPr>
            <w:tcW w:w="720" w:type="dxa"/>
            <w:vAlign w:val="bottom"/>
            <w:tcBorders>
              <w:right w:val="single" w:sz="8" w:color="007CBA"/>
            </w:tcBorders>
            <w:shd w:val="clear" w:color="auto" w:fill="007CBA"/>
          </w:tcPr>
          <w:p>
            <w:pPr>
              <w:spacing w:after="0"/>
              <w:rPr>
                <w:sz w:val="11"/>
                <w:szCs w:val="11"/>
                <w:color w:val="auto"/>
              </w:rPr>
            </w:pPr>
          </w:p>
        </w:tc>
        <w:tc>
          <w:tcPr>
            <w:tcW w:w="660" w:type="dxa"/>
            <w:vAlign w:val="bottom"/>
            <w:tcBorders>
              <w:right w:val="single" w:sz="8" w:color="007CBA"/>
            </w:tcBorders>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680" w:type="dxa"/>
            <w:vAlign w:val="bottom"/>
            <w:tcBorders>
              <w:right w:val="single" w:sz="8" w:color="007CBA"/>
            </w:tcBorders>
            <w:vMerge w:val="continue"/>
            <w:shd w:val="clear" w:color="auto" w:fill="007CBA"/>
          </w:tcPr>
          <w:p>
            <w:pPr>
              <w:spacing w:after="0"/>
              <w:rPr>
                <w:sz w:val="11"/>
                <w:szCs w:val="11"/>
                <w:color w:val="auto"/>
              </w:rPr>
            </w:pPr>
          </w:p>
        </w:tc>
        <w:tc>
          <w:tcPr>
            <w:tcW w:w="740" w:type="dxa"/>
            <w:vAlign w:val="bottom"/>
            <w:tcBorders>
              <w:right w:val="single" w:sz="8" w:color="007CBA"/>
            </w:tcBorders>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1000" w:type="dxa"/>
            <w:vAlign w:val="bottom"/>
            <w:tcBorders>
              <w:right w:val="single" w:sz="8" w:color="007CBA"/>
            </w:tcBorders>
            <w:gridSpan w:val="2"/>
            <w:vMerge w:val="continue"/>
            <w:shd w:val="clear" w:color="auto" w:fill="007CBA"/>
          </w:tcPr>
          <w:p>
            <w:pPr>
              <w:spacing w:after="0"/>
              <w:rPr>
                <w:sz w:val="11"/>
                <w:szCs w:val="11"/>
                <w:color w:val="auto"/>
              </w:rPr>
            </w:pPr>
          </w:p>
        </w:tc>
        <w:tc>
          <w:tcPr>
            <w:tcW w:w="70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Number</w:t>
            </w:r>
          </w:p>
        </w:tc>
        <w:tc>
          <w:tcPr>
            <w:tcW w:w="68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to have</w:t>
            </w:r>
          </w:p>
        </w:tc>
        <w:tc>
          <w:tcPr>
            <w:tcW w:w="62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Pending</w:t>
            </w:r>
          </w:p>
        </w:tc>
        <w:tc>
          <w:tcPr>
            <w:tcW w:w="700" w:type="dxa"/>
            <w:vAlign w:val="bottom"/>
            <w:tcBorders>
              <w:right w:val="single" w:sz="8" w:color="007CBA"/>
            </w:tcBorders>
            <w:vMerge w:val="continue"/>
            <w:shd w:val="clear" w:color="auto" w:fill="007CBA"/>
          </w:tcPr>
          <w:p>
            <w:pPr>
              <w:spacing w:after="0"/>
              <w:rPr>
                <w:sz w:val="11"/>
                <w:szCs w:val="11"/>
                <w:color w:val="auto"/>
              </w:rPr>
            </w:pPr>
          </w:p>
        </w:tc>
        <w:tc>
          <w:tcPr>
            <w:tcW w:w="880" w:type="dxa"/>
            <w:vAlign w:val="bottom"/>
            <w:shd w:val="clear" w:color="auto" w:fill="007CBA"/>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104(d)</w:t>
            </w: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Value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Violation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Pattern</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as 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8"/>
              </w:rPr>
              <w:t>Legal</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1260" w:type="dxa"/>
            <w:vAlign w:val="bottom"/>
            <w:tcBorders>
              <w:right w:val="single" w:sz="8" w:color="007CBA"/>
            </w:tcBorders>
            <w:gridSpan w:val="2"/>
            <w:shd w:val="clear" w:color="auto" w:fill="007CBA"/>
          </w:tcPr>
          <w:p>
            <w:pPr>
              <w:ind w:left="40"/>
              <w:spacing w:after="0"/>
              <w:rPr>
                <w:sz w:val="20"/>
                <w:szCs w:val="20"/>
                <w:color w:val="auto"/>
              </w:rPr>
            </w:pPr>
            <w:r>
              <w:rPr>
                <w:rFonts w:ascii="Arial" w:cs="Arial" w:eastAsia="Arial" w:hAnsi="Arial"/>
                <w:sz w:val="14"/>
                <w:szCs w:val="14"/>
                <w:b w:val="1"/>
                <w:bCs w:val="1"/>
                <w:color w:val="FFFFFF"/>
              </w:rPr>
              <w:t>Section Citations</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Mining</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Under</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under</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Last</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Instituted</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 S&amp;S</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104(b)</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and</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110(b)(2)</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107(a)</w:t>
            </w: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MSHA</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Related</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Day 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During</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Resolved</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jc w:val="right"/>
              <w:ind w:right="108"/>
              <w:spacing w:after="0"/>
              <w:rPr>
                <w:sz w:val="20"/>
                <w:szCs w:val="20"/>
                <w:color w:val="auto"/>
              </w:rPr>
            </w:pPr>
            <w:r>
              <w:rPr>
                <w:rFonts w:ascii="Arial" w:cs="Arial" w:eastAsia="Arial" w:hAnsi="Arial"/>
                <w:sz w:val="14"/>
                <w:szCs w:val="14"/>
                <w:b w:val="1"/>
                <w:bCs w:val="1"/>
                <w:color w:val="FFFFFF"/>
              </w:rPr>
              <w:t>MSHA</w:t>
            </w: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Citations</w:t>
            </w:r>
          </w:p>
        </w:tc>
        <w:tc>
          <w:tcPr>
            <w:tcW w:w="5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Orders</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Orders</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Violations</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Orders</w:t>
            </w:r>
          </w:p>
        </w:tc>
        <w:tc>
          <w:tcPr>
            <w:tcW w:w="1000" w:type="dxa"/>
            <w:vAlign w:val="bottom"/>
            <w:tcBorders>
              <w:right w:val="single" w:sz="8" w:color="007CBA"/>
            </w:tcBorders>
            <w:gridSpan w:val="2"/>
            <w:shd w:val="clear" w:color="auto" w:fill="007CBA"/>
          </w:tcPr>
          <w:p>
            <w:pPr>
              <w:ind w:left="40"/>
              <w:spacing w:after="0"/>
              <w:rPr>
                <w:sz w:val="20"/>
                <w:szCs w:val="20"/>
                <w:color w:val="auto"/>
              </w:rPr>
            </w:pPr>
            <w:r>
              <w:rPr>
                <w:rFonts w:ascii="Arial" w:cs="Arial" w:eastAsia="Arial" w:hAnsi="Arial"/>
                <w:sz w:val="14"/>
                <w:szCs w:val="14"/>
                <w:b w:val="1"/>
                <w:bCs w:val="1"/>
                <w:color w:val="FFFFFF"/>
              </w:rPr>
              <w:t>Assessment/</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Fatalities</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104(e)</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During</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007CBA"/>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Location</w:t>
            </w:r>
          </w:p>
        </w:tc>
        <w:tc>
          <w:tcPr>
            <w:tcW w:w="720" w:type="dxa"/>
            <w:vAlign w:val="bottom"/>
            <w:tcBorders>
              <w:bottom w:val="single" w:sz="8" w:color="007CBA"/>
              <w:right w:val="single" w:sz="8" w:color="007CBA"/>
            </w:tcBorders>
            <w:shd w:val="clear" w:color="auto" w:fill="007CBA"/>
          </w:tcPr>
          <w:p>
            <w:pPr>
              <w:jc w:val="right"/>
              <w:ind w:right="248"/>
              <w:spacing w:after="0"/>
              <w:rPr>
                <w:sz w:val="20"/>
                <w:szCs w:val="20"/>
                <w:color w:val="auto"/>
              </w:rPr>
            </w:pPr>
            <w:r>
              <w:rPr>
                <w:rFonts w:ascii="Arial" w:cs="Arial" w:eastAsia="Arial" w:hAnsi="Arial"/>
                <w:sz w:val="14"/>
                <w:szCs w:val="14"/>
                <w:b w:val="1"/>
                <w:bCs w:val="1"/>
                <w:color w:val="FFFFFF"/>
              </w:rPr>
              <w:t>ID</w:t>
            </w:r>
          </w:p>
        </w:tc>
        <w:tc>
          <w:tcPr>
            <w:tcW w:w="66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5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3"/>
              </w:rPr>
              <w:t>(#)</w:t>
            </w:r>
          </w:p>
        </w:tc>
        <w:tc>
          <w:tcPr>
            <w:tcW w:w="5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1000" w:type="dxa"/>
            <w:vAlign w:val="bottom"/>
            <w:tcBorders>
              <w:bottom w:val="single" w:sz="8" w:color="007CBA"/>
              <w:right w:val="single" w:sz="8" w:color="007CBA"/>
            </w:tcBorders>
            <w:gridSpan w:val="2"/>
            <w:shd w:val="clear" w:color="auto" w:fill="007CBA"/>
          </w:tcPr>
          <w:p>
            <w:pPr>
              <w:jc w:val="center"/>
              <w:spacing w:after="0"/>
              <w:rPr>
                <w:sz w:val="20"/>
                <w:szCs w:val="20"/>
                <w:color w:val="auto"/>
              </w:rPr>
            </w:pPr>
            <w:r>
              <w:rPr>
                <w:rFonts w:ascii="Arial" w:cs="Arial" w:eastAsia="Arial" w:hAnsi="Arial"/>
                <w:sz w:val="14"/>
                <w:szCs w:val="14"/>
                <w:b w:val="1"/>
                <w:bCs w:val="1"/>
                <w:color w:val="FFFFFF"/>
              </w:rPr>
              <w:t>$Proposed</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(yes/no)</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(yes/no)</w:t>
            </w:r>
          </w:p>
        </w:tc>
        <w:tc>
          <w:tcPr>
            <w:tcW w:w="62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 (#)</w:t>
            </w: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Cumberland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3102237</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Denver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3101971</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236</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Doswell Quarry VA</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4400045</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309</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East Alamance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3102021</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Edmund Sand</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3800662</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Fountain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3100065</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1,398</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Franklin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3102130</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326</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Frederick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1800013</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309</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Fuquay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3102055</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Garner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3100072</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404</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Georgetown II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3800525</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Hickory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3100043</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Hicone</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3102088</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Jamestown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3100051</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Kannapolis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3100070</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Kent Sand &amp; Gravel</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1800745</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Kings Mountain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3100047</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413</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Lemon Springs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3101104</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Loamy Sand Gravel</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3800721</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151</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Maiden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3102125</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Mallard Creek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3102006</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472</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Matthews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3102084</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bottom w:val="single" w:sz="8" w:color="007CBA"/>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Medford Quarry</w:t>
            </w:r>
          </w:p>
        </w:tc>
        <w:tc>
          <w:tcPr>
            <w:tcW w:w="720" w:type="dxa"/>
            <w:vAlign w:val="bottom"/>
            <w:tcBorders>
              <w:bottom w:val="single" w:sz="8" w:color="007CBA"/>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1800035</w:t>
            </w:r>
          </w:p>
        </w:tc>
        <w:tc>
          <w:tcPr>
            <w:tcW w:w="66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007CBA"/>
            </w:tcBorders>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07CBA"/>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tcBorders>
              <w:bottom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43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39" w:name="page140"/>
    <w:bookmarkEnd w:id="139"/>
    <w:tbl>
      <w:tblPr>
        <w:tblLayout w:type="fixed"/>
        <w:tblInd w:w="0" w:type="dxa"/>
        <w:tblCellMar>
          <w:top w:w="0" w:type="dxa"/>
          <w:left w:w="0" w:type="dxa"/>
          <w:bottom w:w="0" w:type="dxa"/>
          <w:right w:w="0" w:type="dxa"/>
        </w:tblCellMar>
      </w:tblPr>
      <w:tr>
        <w:trPr>
          <w:trHeight w:val="176"/>
        </w:trPr>
        <w:tc>
          <w:tcPr>
            <w:tcW w:w="2180" w:type="dxa"/>
            <w:vAlign w:val="bottom"/>
            <w:tcBorders>
              <w:right w:val="single" w:sz="8" w:color="007CBA"/>
            </w:tcBorders>
            <w:shd w:val="clear" w:color="auto" w:fill="007CBA"/>
          </w:tcPr>
          <w:p>
            <w:pPr>
              <w:spacing w:after="0"/>
              <w:rPr>
                <w:sz w:val="15"/>
                <w:szCs w:val="15"/>
                <w:color w:val="auto"/>
              </w:rPr>
            </w:pPr>
          </w:p>
        </w:tc>
        <w:tc>
          <w:tcPr>
            <w:tcW w:w="720" w:type="dxa"/>
            <w:vAlign w:val="bottom"/>
            <w:tcBorders>
              <w:right w:val="single" w:sz="8" w:color="007CBA"/>
            </w:tcBorders>
            <w:shd w:val="clear" w:color="auto" w:fill="007CBA"/>
          </w:tcPr>
          <w:p>
            <w:pPr>
              <w:spacing w:after="0"/>
              <w:rPr>
                <w:sz w:val="15"/>
                <w:szCs w:val="15"/>
                <w:color w:val="auto"/>
              </w:rPr>
            </w:pPr>
          </w:p>
        </w:tc>
        <w:tc>
          <w:tcPr>
            <w:tcW w:w="660" w:type="dxa"/>
            <w:vAlign w:val="bottom"/>
            <w:tcBorders>
              <w:right w:val="single" w:sz="8" w:color="007CBA"/>
            </w:tcBorders>
            <w:shd w:val="clear" w:color="auto" w:fill="007CBA"/>
          </w:tcPr>
          <w:p>
            <w:pPr>
              <w:spacing w:after="0"/>
              <w:rPr>
                <w:sz w:val="15"/>
                <w:szCs w:val="15"/>
                <w:color w:val="auto"/>
              </w:rPr>
            </w:pPr>
          </w:p>
        </w:tc>
        <w:tc>
          <w:tcPr>
            <w:tcW w:w="580" w:type="dxa"/>
            <w:vAlign w:val="bottom"/>
            <w:tcBorders>
              <w:right w:val="single" w:sz="8" w:color="007CBA"/>
            </w:tcBorders>
            <w:shd w:val="clear" w:color="auto" w:fill="007CBA"/>
          </w:tcPr>
          <w:p>
            <w:pPr>
              <w:spacing w:after="0"/>
              <w:rPr>
                <w:sz w:val="15"/>
                <w:szCs w:val="15"/>
                <w:color w:val="auto"/>
              </w:rPr>
            </w:pPr>
          </w:p>
        </w:tc>
        <w:tc>
          <w:tcPr>
            <w:tcW w:w="680" w:type="dxa"/>
            <w:vAlign w:val="bottom"/>
            <w:tcBorders>
              <w:right w:val="single" w:sz="8" w:color="007CBA"/>
            </w:tcBorders>
            <w:shd w:val="clear" w:color="auto" w:fill="007CBA"/>
          </w:tcPr>
          <w:p>
            <w:pPr>
              <w:spacing w:after="0"/>
              <w:rPr>
                <w:sz w:val="15"/>
                <w:szCs w:val="15"/>
                <w:color w:val="auto"/>
              </w:rPr>
            </w:pPr>
          </w:p>
        </w:tc>
        <w:tc>
          <w:tcPr>
            <w:tcW w:w="740" w:type="dxa"/>
            <w:vAlign w:val="bottom"/>
            <w:tcBorders>
              <w:right w:val="single" w:sz="8" w:color="007CBA"/>
            </w:tcBorders>
            <w:shd w:val="clear" w:color="auto" w:fill="007CBA"/>
          </w:tcPr>
          <w:p>
            <w:pPr>
              <w:spacing w:after="0"/>
              <w:rPr>
                <w:sz w:val="15"/>
                <w:szCs w:val="15"/>
                <w:color w:val="auto"/>
              </w:rPr>
            </w:pPr>
          </w:p>
        </w:tc>
        <w:tc>
          <w:tcPr>
            <w:tcW w:w="580" w:type="dxa"/>
            <w:vAlign w:val="bottom"/>
            <w:tcBorders>
              <w:right w:val="single" w:sz="8" w:color="007CBA"/>
            </w:tcBorders>
            <w:shd w:val="clear" w:color="auto" w:fill="007CBA"/>
          </w:tcPr>
          <w:p>
            <w:pPr>
              <w:spacing w:after="0"/>
              <w:rPr>
                <w:sz w:val="15"/>
                <w:szCs w:val="15"/>
                <w:color w:val="auto"/>
              </w:rPr>
            </w:pPr>
          </w:p>
        </w:tc>
        <w:tc>
          <w:tcPr>
            <w:tcW w:w="200" w:type="dxa"/>
            <w:vAlign w:val="bottom"/>
            <w:shd w:val="clear" w:color="auto" w:fill="007CBA"/>
          </w:tcPr>
          <w:p>
            <w:pPr>
              <w:spacing w:after="0"/>
              <w:rPr>
                <w:sz w:val="15"/>
                <w:szCs w:val="15"/>
                <w:color w:val="auto"/>
              </w:rPr>
            </w:pPr>
          </w:p>
        </w:tc>
        <w:tc>
          <w:tcPr>
            <w:tcW w:w="800" w:type="dxa"/>
            <w:vAlign w:val="bottom"/>
            <w:tcBorders>
              <w:right w:val="single" w:sz="8" w:color="007CBA"/>
            </w:tcBorders>
            <w:shd w:val="clear" w:color="auto" w:fill="007CBA"/>
          </w:tcPr>
          <w:p>
            <w:pPr>
              <w:spacing w:after="0"/>
              <w:rPr>
                <w:sz w:val="15"/>
                <w:szCs w:val="15"/>
                <w:color w:val="auto"/>
              </w:rPr>
            </w:pPr>
          </w:p>
        </w:tc>
        <w:tc>
          <w:tcPr>
            <w:tcW w:w="700" w:type="dxa"/>
            <w:vAlign w:val="bottom"/>
            <w:tcBorders>
              <w:right w:val="single" w:sz="8" w:color="007CBA"/>
            </w:tcBorders>
            <w:shd w:val="clear" w:color="auto" w:fill="007CBA"/>
          </w:tcPr>
          <w:p>
            <w:pPr>
              <w:spacing w:after="0"/>
              <w:rPr>
                <w:sz w:val="15"/>
                <w:szCs w:val="15"/>
                <w:color w:val="auto"/>
              </w:rPr>
            </w:pPr>
          </w:p>
        </w:tc>
        <w:tc>
          <w:tcPr>
            <w:tcW w:w="1380" w:type="dxa"/>
            <w:vAlign w:val="bottom"/>
            <w:tcBorders>
              <w:right w:val="single" w:sz="8" w:color="007CBA"/>
            </w:tcBorders>
            <w:gridSpan w:val="2"/>
            <w:shd w:val="clear" w:color="auto" w:fill="007CBA"/>
          </w:tcPr>
          <w:p>
            <w:pPr>
              <w:ind w:left="20"/>
              <w:spacing w:after="0"/>
              <w:rPr>
                <w:sz w:val="20"/>
                <w:szCs w:val="20"/>
                <w:color w:val="auto"/>
              </w:rPr>
            </w:pPr>
            <w:r>
              <w:rPr>
                <w:rFonts w:ascii="Arial" w:cs="Arial" w:eastAsia="Arial" w:hAnsi="Arial"/>
                <w:sz w:val="14"/>
                <w:szCs w:val="14"/>
                <w:b w:val="1"/>
                <w:bCs w:val="1"/>
                <w:color w:val="FFFFFF"/>
              </w:rPr>
              <w:t>Received Received</w:t>
            </w:r>
          </w:p>
        </w:tc>
        <w:tc>
          <w:tcPr>
            <w:tcW w:w="620" w:type="dxa"/>
            <w:vAlign w:val="bottom"/>
            <w:tcBorders>
              <w:right w:val="single" w:sz="8" w:color="007CBA"/>
            </w:tcBorders>
            <w:shd w:val="clear" w:color="auto" w:fill="007CBA"/>
          </w:tcPr>
          <w:p>
            <w:pPr>
              <w:spacing w:after="0"/>
              <w:rPr>
                <w:sz w:val="15"/>
                <w:szCs w:val="15"/>
                <w:color w:val="auto"/>
              </w:rPr>
            </w:pPr>
          </w:p>
        </w:tc>
        <w:tc>
          <w:tcPr>
            <w:tcW w:w="700" w:type="dxa"/>
            <w:vAlign w:val="bottom"/>
            <w:tcBorders>
              <w:right w:val="single" w:sz="8" w:color="007CBA"/>
            </w:tcBorders>
            <w:shd w:val="clear" w:color="auto" w:fill="007CBA"/>
          </w:tcPr>
          <w:p>
            <w:pPr>
              <w:spacing w:after="0"/>
              <w:rPr>
                <w:sz w:val="15"/>
                <w:szCs w:val="15"/>
                <w:color w:val="auto"/>
              </w:rPr>
            </w:pPr>
          </w:p>
        </w:tc>
        <w:tc>
          <w:tcPr>
            <w:tcW w:w="880" w:type="dxa"/>
            <w:vAlign w:val="bottom"/>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Notice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Notice</w:t>
            </w:r>
          </w:p>
        </w:tc>
        <w:tc>
          <w:tcPr>
            <w:tcW w:w="62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88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Legal</w:t>
            </w:r>
          </w:p>
        </w:tc>
        <w:tc>
          <w:tcPr>
            <w:tcW w:w="700" w:type="dxa"/>
            <w:vAlign w:val="bottom"/>
            <w:tcBorders>
              <w:right w:val="single" w:sz="8" w:color="007CBA"/>
            </w:tcBorders>
            <w:shd w:val="clear" w:color="auto" w:fill="007CBA"/>
          </w:tcPr>
          <w:p>
            <w:pPr>
              <w:spacing w:after="0"/>
              <w:rPr>
                <w:sz w:val="14"/>
                <w:szCs w:val="14"/>
                <w:color w:val="auto"/>
              </w:rPr>
            </w:pPr>
          </w:p>
        </w:tc>
        <w:tc>
          <w:tcPr>
            <w:tcW w:w="88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80" w:type="dxa"/>
            <w:vAlign w:val="bottom"/>
            <w:tcBorders>
              <w:right w:val="single" w:sz="8" w:color="007CBA"/>
            </w:tcBorders>
            <w:shd w:val="clear" w:color="auto" w:fill="007CBA"/>
          </w:tcPr>
          <w:p>
            <w:pPr>
              <w:spacing w:after="0"/>
              <w:rPr>
                <w:sz w:val="16"/>
                <w:szCs w:val="16"/>
                <w:color w:val="auto"/>
              </w:rPr>
            </w:pPr>
          </w:p>
        </w:tc>
        <w:tc>
          <w:tcPr>
            <w:tcW w:w="720" w:type="dxa"/>
            <w:vAlign w:val="bottom"/>
            <w:tcBorders>
              <w:right w:val="single" w:sz="8" w:color="007CBA"/>
            </w:tcBorders>
            <w:shd w:val="clear" w:color="auto" w:fill="007CBA"/>
          </w:tcPr>
          <w:p>
            <w:pPr>
              <w:spacing w:after="0"/>
              <w:rPr>
                <w:sz w:val="16"/>
                <w:szCs w:val="16"/>
                <w:color w:val="auto"/>
              </w:rPr>
            </w:pPr>
          </w:p>
        </w:tc>
        <w:tc>
          <w:tcPr>
            <w:tcW w:w="660" w:type="dxa"/>
            <w:vAlign w:val="bottom"/>
            <w:tcBorders>
              <w:right w:val="single" w:sz="8" w:color="007CBA"/>
            </w:tcBorders>
            <w:shd w:val="clear" w:color="auto" w:fill="007CBA"/>
          </w:tcPr>
          <w:p>
            <w:pPr>
              <w:spacing w:after="0"/>
              <w:rPr>
                <w:sz w:val="16"/>
                <w:szCs w:val="16"/>
                <w:color w:val="auto"/>
              </w:rPr>
            </w:pPr>
          </w:p>
        </w:tc>
        <w:tc>
          <w:tcPr>
            <w:tcW w:w="580" w:type="dxa"/>
            <w:vAlign w:val="bottom"/>
            <w:tcBorders>
              <w:right w:val="single" w:sz="8" w:color="007CBA"/>
            </w:tcBorders>
            <w:shd w:val="clear" w:color="auto" w:fill="007CBA"/>
          </w:tcPr>
          <w:p>
            <w:pPr>
              <w:spacing w:after="0"/>
              <w:rPr>
                <w:sz w:val="16"/>
                <w:szCs w:val="16"/>
                <w:color w:val="auto"/>
              </w:rPr>
            </w:pPr>
          </w:p>
        </w:tc>
        <w:tc>
          <w:tcPr>
            <w:tcW w:w="68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740" w:type="dxa"/>
            <w:vAlign w:val="bottom"/>
            <w:tcBorders>
              <w:right w:val="single" w:sz="8" w:color="007CBA"/>
            </w:tcBorders>
            <w:shd w:val="clear" w:color="auto" w:fill="007CBA"/>
          </w:tcPr>
          <w:p>
            <w:pPr>
              <w:spacing w:after="0"/>
              <w:rPr>
                <w:sz w:val="16"/>
                <w:szCs w:val="16"/>
                <w:color w:val="auto"/>
              </w:rPr>
            </w:pPr>
          </w:p>
        </w:tc>
        <w:tc>
          <w:tcPr>
            <w:tcW w:w="580" w:type="dxa"/>
            <w:vAlign w:val="bottom"/>
            <w:tcBorders>
              <w:right w:val="single" w:sz="8" w:color="007CBA"/>
            </w:tcBorders>
            <w:shd w:val="clear" w:color="auto" w:fill="007CBA"/>
          </w:tcPr>
          <w:p>
            <w:pPr>
              <w:spacing w:after="0"/>
              <w:rPr>
                <w:sz w:val="16"/>
                <w:szCs w:val="16"/>
                <w:color w:val="auto"/>
              </w:rPr>
            </w:pPr>
          </w:p>
        </w:tc>
        <w:tc>
          <w:tcPr>
            <w:tcW w:w="1000" w:type="dxa"/>
            <w:vAlign w:val="bottom"/>
            <w:tcBorders>
              <w:right w:val="single" w:sz="8" w:color="007CBA"/>
            </w:tcBorders>
            <w:gridSpan w:val="2"/>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Total Dollar</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Pattern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Potential</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70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Legal</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Appendix 1*</w:t>
            </w:r>
          </w:p>
        </w:tc>
        <w:tc>
          <w:tcPr>
            <w:tcW w:w="0" w:type="dxa"/>
            <w:vAlign w:val="bottom"/>
          </w:tcPr>
          <w:p>
            <w:pPr>
              <w:spacing w:after="0"/>
              <w:rPr>
                <w:sz w:val="1"/>
                <w:szCs w:val="1"/>
                <w:color w:val="auto"/>
              </w:rPr>
            </w:pPr>
          </w:p>
        </w:tc>
      </w:tr>
      <w:tr>
        <w:trPr>
          <w:trHeight w:val="135"/>
        </w:trPr>
        <w:tc>
          <w:tcPr>
            <w:tcW w:w="2180" w:type="dxa"/>
            <w:vAlign w:val="bottom"/>
            <w:tcBorders>
              <w:right w:val="single" w:sz="8" w:color="007CBA"/>
            </w:tcBorders>
            <w:shd w:val="clear" w:color="auto" w:fill="007CBA"/>
          </w:tcPr>
          <w:p>
            <w:pPr>
              <w:spacing w:after="0"/>
              <w:rPr>
                <w:sz w:val="11"/>
                <w:szCs w:val="11"/>
                <w:color w:val="auto"/>
              </w:rPr>
            </w:pPr>
          </w:p>
        </w:tc>
        <w:tc>
          <w:tcPr>
            <w:tcW w:w="720" w:type="dxa"/>
            <w:vAlign w:val="bottom"/>
            <w:tcBorders>
              <w:right w:val="single" w:sz="8" w:color="007CBA"/>
            </w:tcBorders>
            <w:shd w:val="clear" w:color="auto" w:fill="007CBA"/>
          </w:tcPr>
          <w:p>
            <w:pPr>
              <w:spacing w:after="0"/>
              <w:rPr>
                <w:sz w:val="11"/>
                <w:szCs w:val="11"/>
                <w:color w:val="auto"/>
              </w:rPr>
            </w:pPr>
          </w:p>
        </w:tc>
        <w:tc>
          <w:tcPr>
            <w:tcW w:w="660" w:type="dxa"/>
            <w:vAlign w:val="bottom"/>
            <w:tcBorders>
              <w:right w:val="single" w:sz="8" w:color="007CBA"/>
            </w:tcBorders>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680" w:type="dxa"/>
            <w:vAlign w:val="bottom"/>
            <w:tcBorders>
              <w:right w:val="single" w:sz="8" w:color="007CBA"/>
            </w:tcBorders>
            <w:vMerge w:val="continue"/>
            <w:shd w:val="clear" w:color="auto" w:fill="007CBA"/>
          </w:tcPr>
          <w:p>
            <w:pPr>
              <w:spacing w:after="0"/>
              <w:rPr>
                <w:sz w:val="11"/>
                <w:szCs w:val="11"/>
                <w:color w:val="auto"/>
              </w:rPr>
            </w:pPr>
          </w:p>
        </w:tc>
        <w:tc>
          <w:tcPr>
            <w:tcW w:w="740" w:type="dxa"/>
            <w:vAlign w:val="bottom"/>
            <w:tcBorders>
              <w:right w:val="single" w:sz="8" w:color="007CBA"/>
            </w:tcBorders>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1000" w:type="dxa"/>
            <w:vAlign w:val="bottom"/>
            <w:tcBorders>
              <w:right w:val="single" w:sz="8" w:color="007CBA"/>
            </w:tcBorders>
            <w:gridSpan w:val="2"/>
            <w:vMerge w:val="continue"/>
            <w:shd w:val="clear" w:color="auto" w:fill="007CBA"/>
          </w:tcPr>
          <w:p>
            <w:pPr>
              <w:spacing w:after="0"/>
              <w:rPr>
                <w:sz w:val="11"/>
                <w:szCs w:val="11"/>
                <w:color w:val="auto"/>
              </w:rPr>
            </w:pPr>
          </w:p>
        </w:tc>
        <w:tc>
          <w:tcPr>
            <w:tcW w:w="70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Number</w:t>
            </w:r>
          </w:p>
        </w:tc>
        <w:tc>
          <w:tcPr>
            <w:tcW w:w="68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to have</w:t>
            </w:r>
          </w:p>
        </w:tc>
        <w:tc>
          <w:tcPr>
            <w:tcW w:w="62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Pending</w:t>
            </w:r>
          </w:p>
        </w:tc>
        <w:tc>
          <w:tcPr>
            <w:tcW w:w="700" w:type="dxa"/>
            <w:vAlign w:val="bottom"/>
            <w:tcBorders>
              <w:right w:val="single" w:sz="8" w:color="007CBA"/>
            </w:tcBorders>
            <w:vMerge w:val="continue"/>
            <w:shd w:val="clear" w:color="auto" w:fill="007CBA"/>
          </w:tcPr>
          <w:p>
            <w:pPr>
              <w:spacing w:after="0"/>
              <w:rPr>
                <w:sz w:val="11"/>
                <w:szCs w:val="11"/>
                <w:color w:val="auto"/>
              </w:rPr>
            </w:pPr>
          </w:p>
        </w:tc>
        <w:tc>
          <w:tcPr>
            <w:tcW w:w="880" w:type="dxa"/>
            <w:vAlign w:val="bottom"/>
            <w:shd w:val="clear" w:color="auto" w:fill="007CBA"/>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104(d)</w:t>
            </w: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Value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Violation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Pattern</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as 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8"/>
              </w:rPr>
              <w:t>Legal</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1260" w:type="dxa"/>
            <w:vAlign w:val="bottom"/>
            <w:tcBorders>
              <w:right w:val="single" w:sz="8" w:color="007CBA"/>
            </w:tcBorders>
            <w:gridSpan w:val="2"/>
            <w:shd w:val="clear" w:color="auto" w:fill="007CBA"/>
          </w:tcPr>
          <w:p>
            <w:pPr>
              <w:ind w:left="40"/>
              <w:spacing w:after="0"/>
              <w:rPr>
                <w:sz w:val="20"/>
                <w:szCs w:val="20"/>
                <w:color w:val="auto"/>
              </w:rPr>
            </w:pPr>
            <w:r>
              <w:rPr>
                <w:rFonts w:ascii="Arial" w:cs="Arial" w:eastAsia="Arial" w:hAnsi="Arial"/>
                <w:sz w:val="14"/>
                <w:szCs w:val="14"/>
                <w:b w:val="1"/>
                <w:bCs w:val="1"/>
                <w:color w:val="FFFFFF"/>
              </w:rPr>
              <w:t>Section Citations</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Mining</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Under</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under</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Last</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Instituted</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 S&amp;S</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104(b)</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and</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110(b)(2)</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107(a)</w:t>
            </w: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MSHA</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Related</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Day 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During</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Resolved</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jc w:val="right"/>
              <w:ind w:right="108"/>
              <w:spacing w:after="0"/>
              <w:rPr>
                <w:sz w:val="20"/>
                <w:szCs w:val="20"/>
                <w:color w:val="auto"/>
              </w:rPr>
            </w:pPr>
            <w:r>
              <w:rPr>
                <w:rFonts w:ascii="Arial" w:cs="Arial" w:eastAsia="Arial" w:hAnsi="Arial"/>
                <w:sz w:val="14"/>
                <w:szCs w:val="14"/>
                <w:b w:val="1"/>
                <w:bCs w:val="1"/>
                <w:color w:val="FFFFFF"/>
              </w:rPr>
              <w:t>MSHA</w:t>
            </w: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Citations</w:t>
            </w:r>
          </w:p>
        </w:tc>
        <w:tc>
          <w:tcPr>
            <w:tcW w:w="5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Orders</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Orders</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Violations</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Orders</w:t>
            </w:r>
          </w:p>
        </w:tc>
        <w:tc>
          <w:tcPr>
            <w:tcW w:w="1000" w:type="dxa"/>
            <w:vAlign w:val="bottom"/>
            <w:tcBorders>
              <w:right w:val="single" w:sz="8" w:color="007CBA"/>
            </w:tcBorders>
            <w:gridSpan w:val="2"/>
            <w:shd w:val="clear" w:color="auto" w:fill="007CBA"/>
          </w:tcPr>
          <w:p>
            <w:pPr>
              <w:ind w:left="40"/>
              <w:spacing w:after="0"/>
              <w:rPr>
                <w:sz w:val="20"/>
                <w:szCs w:val="20"/>
                <w:color w:val="auto"/>
              </w:rPr>
            </w:pPr>
            <w:r>
              <w:rPr>
                <w:rFonts w:ascii="Arial" w:cs="Arial" w:eastAsia="Arial" w:hAnsi="Arial"/>
                <w:sz w:val="14"/>
                <w:szCs w:val="14"/>
                <w:b w:val="1"/>
                <w:bCs w:val="1"/>
                <w:color w:val="FFFFFF"/>
              </w:rPr>
              <w:t>Assessment/</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Fatalities</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104(e)</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During</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007CBA"/>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Location</w:t>
            </w:r>
          </w:p>
        </w:tc>
        <w:tc>
          <w:tcPr>
            <w:tcW w:w="720" w:type="dxa"/>
            <w:vAlign w:val="bottom"/>
            <w:tcBorders>
              <w:bottom w:val="single" w:sz="8" w:color="007CBA"/>
              <w:right w:val="single" w:sz="8" w:color="007CBA"/>
            </w:tcBorders>
            <w:shd w:val="clear" w:color="auto" w:fill="007CBA"/>
          </w:tcPr>
          <w:p>
            <w:pPr>
              <w:jc w:val="right"/>
              <w:ind w:right="248"/>
              <w:spacing w:after="0"/>
              <w:rPr>
                <w:sz w:val="20"/>
                <w:szCs w:val="20"/>
                <w:color w:val="auto"/>
              </w:rPr>
            </w:pPr>
            <w:r>
              <w:rPr>
                <w:rFonts w:ascii="Arial" w:cs="Arial" w:eastAsia="Arial" w:hAnsi="Arial"/>
                <w:sz w:val="14"/>
                <w:szCs w:val="14"/>
                <w:b w:val="1"/>
                <w:bCs w:val="1"/>
                <w:color w:val="FFFFFF"/>
              </w:rPr>
              <w:t>ID</w:t>
            </w:r>
          </w:p>
        </w:tc>
        <w:tc>
          <w:tcPr>
            <w:tcW w:w="66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5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3"/>
              </w:rPr>
              <w:t>(#)</w:t>
            </w:r>
          </w:p>
        </w:tc>
        <w:tc>
          <w:tcPr>
            <w:tcW w:w="5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1000" w:type="dxa"/>
            <w:vAlign w:val="bottom"/>
            <w:tcBorders>
              <w:bottom w:val="single" w:sz="8" w:color="007CBA"/>
              <w:right w:val="single" w:sz="8" w:color="007CBA"/>
            </w:tcBorders>
            <w:gridSpan w:val="2"/>
            <w:shd w:val="clear" w:color="auto" w:fill="007CBA"/>
          </w:tcPr>
          <w:p>
            <w:pPr>
              <w:jc w:val="center"/>
              <w:spacing w:after="0"/>
              <w:rPr>
                <w:sz w:val="20"/>
                <w:szCs w:val="20"/>
                <w:color w:val="auto"/>
              </w:rPr>
            </w:pPr>
            <w:r>
              <w:rPr>
                <w:rFonts w:ascii="Arial" w:cs="Arial" w:eastAsia="Arial" w:hAnsi="Arial"/>
                <w:sz w:val="14"/>
                <w:szCs w:val="14"/>
                <w:b w:val="1"/>
                <w:bCs w:val="1"/>
                <w:color w:val="FFFFFF"/>
              </w:rPr>
              <w:t>$Proposed</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(yes/no)</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(yes/no)</w:t>
            </w:r>
          </w:p>
        </w:tc>
        <w:tc>
          <w:tcPr>
            <w:tcW w:w="62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 (#)</w:t>
            </w: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Midlothian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4403767</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North Columbia</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3800146</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3,543</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North East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1800417</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650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Old Charleston Sand</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3800702</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Onslow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3102120</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Pinesburg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1800021</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354</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Pomona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3100052</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Raleigh Durham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3101941</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Red Hill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4400072</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2</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1,217</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Reidsville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3100068</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811</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Rock Hill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3800026</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151</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Rocky Point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3101956</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spacing w:after="0"/>
              <w:rPr>
                <w:sz w:val="18"/>
                <w:szCs w:val="18"/>
                <w:color w:val="auto"/>
              </w:rPr>
            </w:pP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Rocky River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3102033</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Salem Stone</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3102038</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Statesville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3100055</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2</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1,410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Texas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1800009</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2</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8,576</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Thomasville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3101475</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Warfordsburg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3600168</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387</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Wilmington Sand</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3101308</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Wilson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3102230</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Woodleaf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3100069</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(45) North Indianapolis</w:t>
            </w:r>
          </w:p>
        </w:tc>
        <w:tc>
          <w:tcPr>
            <w:tcW w:w="720" w:type="dxa"/>
            <w:vAlign w:val="bottom"/>
            <w:tcBorders>
              <w:right w:val="single" w:sz="8" w:color="007CBA"/>
            </w:tcBorders>
            <w:shd w:val="clear" w:color="auto" w:fill="E5F1F8"/>
          </w:tcPr>
          <w:p>
            <w:pPr>
              <w:spacing w:after="0"/>
              <w:rPr>
                <w:sz w:val="19"/>
                <w:szCs w:val="19"/>
                <w:color w:val="auto"/>
              </w:rPr>
            </w:pPr>
          </w:p>
        </w:tc>
        <w:tc>
          <w:tcPr>
            <w:tcW w:w="660" w:type="dxa"/>
            <w:vAlign w:val="bottom"/>
            <w:tcBorders>
              <w:right w:val="single" w:sz="8" w:color="007CBA"/>
            </w:tcBorders>
            <w:shd w:val="clear" w:color="auto" w:fill="E5F1F8"/>
          </w:tcPr>
          <w:p>
            <w:pPr>
              <w:spacing w:after="0"/>
              <w:rPr>
                <w:sz w:val="19"/>
                <w:szCs w:val="19"/>
                <w:color w:val="auto"/>
              </w:rPr>
            </w:pPr>
          </w:p>
        </w:tc>
        <w:tc>
          <w:tcPr>
            <w:tcW w:w="580" w:type="dxa"/>
            <w:vAlign w:val="bottom"/>
            <w:tcBorders>
              <w:right w:val="single" w:sz="8" w:color="007CBA"/>
            </w:tcBorders>
            <w:shd w:val="clear" w:color="auto" w:fill="E5F1F8"/>
          </w:tcPr>
          <w:p>
            <w:pPr>
              <w:spacing w:after="0"/>
              <w:rPr>
                <w:sz w:val="19"/>
                <w:szCs w:val="19"/>
                <w:color w:val="auto"/>
              </w:rPr>
            </w:pPr>
          </w:p>
        </w:tc>
        <w:tc>
          <w:tcPr>
            <w:tcW w:w="680" w:type="dxa"/>
            <w:vAlign w:val="bottom"/>
            <w:tcBorders>
              <w:right w:val="single" w:sz="8" w:color="007CBA"/>
            </w:tcBorders>
            <w:shd w:val="clear" w:color="auto" w:fill="E5F1F8"/>
          </w:tcPr>
          <w:p>
            <w:pPr>
              <w:spacing w:after="0"/>
              <w:rPr>
                <w:sz w:val="19"/>
                <w:szCs w:val="19"/>
                <w:color w:val="auto"/>
              </w:rPr>
            </w:pPr>
          </w:p>
        </w:tc>
        <w:tc>
          <w:tcPr>
            <w:tcW w:w="740" w:type="dxa"/>
            <w:vAlign w:val="bottom"/>
            <w:tcBorders>
              <w:right w:val="single" w:sz="8" w:color="007CBA"/>
            </w:tcBorders>
            <w:shd w:val="clear" w:color="auto" w:fill="E5F1F8"/>
          </w:tcPr>
          <w:p>
            <w:pPr>
              <w:spacing w:after="0"/>
              <w:rPr>
                <w:sz w:val="19"/>
                <w:szCs w:val="19"/>
                <w:color w:val="auto"/>
              </w:rPr>
            </w:pPr>
          </w:p>
        </w:tc>
        <w:tc>
          <w:tcPr>
            <w:tcW w:w="580" w:type="dxa"/>
            <w:vAlign w:val="bottom"/>
            <w:tcBorders>
              <w:right w:val="single" w:sz="8" w:color="007CBA"/>
            </w:tcBorders>
            <w:shd w:val="clear" w:color="auto" w:fill="E5F1F8"/>
          </w:tcPr>
          <w:p>
            <w:pPr>
              <w:spacing w:after="0"/>
              <w:rPr>
                <w:sz w:val="19"/>
                <w:szCs w:val="19"/>
                <w:color w:val="auto"/>
              </w:rPr>
            </w:pPr>
          </w:p>
        </w:tc>
        <w:tc>
          <w:tcPr>
            <w:tcW w:w="200" w:type="dxa"/>
            <w:vAlign w:val="bottom"/>
            <w:vMerge w:val="restart"/>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vMerge w:val="restart"/>
            <w:shd w:val="clear" w:color="auto" w:fill="E5F1F8"/>
          </w:tcPr>
          <w:p>
            <w:pPr>
              <w:jc w:val="right"/>
              <w:spacing w:after="0"/>
              <w:rPr>
                <w:sz w:val="20"/>
                <w:szCs w:val="20"/>
                <w:color w:val="auto"/>
              </w:rPr>
            </w:pPr>
            <w:r>
              <w:rPr>
                <w:rFonts w:ascii="Arial" w:cs="Arial" w:eastAsia="Arial" w:hAnsi="Arial"/>
                <w:sz w:val="14"/>
                <w:szCs w:val="14"/>
                <w:b w:val="1"/>
                <w:bCs w:val="1"/>
                <w:color w:val="auto"/>
              </w:rPr>
              <w:t>758</w:t>
            </w:r>
          </w:p>
        </w:tc>
        <w:tc>
          <w:tcPr>
            <w:tcW w:w="700" w:type="dxa"/>
            <w:vAlign w:val="bottom"/>
            <w:tcBorders>
              <w:right w:val="single" w:sz="8" w:color="007CBA"/>
            </w:tcBorders>
            <w:shd w:val="clear" w:color="auto" w:fill="E5F1F8"/>
          </w:tcPr>
          <w:p>
            <w:pPr>
              <w:spacing w:after="0"/>
              <w:rPr>
                <w:sz w:val="19"/>
                <w:szCs w:val="19"/>
                <w:color w:val="auto"/>
              </w:rPr>
            </w:pPr>
          </w:p>
        </w:tc>
        <w:tc>
          <w:tcPr>
            <w:tcW w:w="680" w:type="dxa"/>
            <w:vAlign w:val="bottom"/>
            <w:tcBorders>
              <w:right w:val="single" w:sz="8" w:color="007CBA"/>
            </w:tcBorders>
            <w:shd w:val="clear" w:color="auto" w:fill="E5F1F8"/>
          </w:tcPr>
          <w:p>
            <w:pPr>
              <w:spacing w:after="0"/>
              <w:rPr>
                <w:sz w:val="19"/>
                <w:szCs w:val="19"/>
                <w:color w:val="auto"/>
              </w:rPr>
            </w:pPr>
          </w:p>
        </w:tc>
        <w:tc>
          <w:tcPr>
            <w:tcW w:w="700" w:type="dxa"/>
            <w:vAlign w:val="bottom"/>
            <w:tcBorders>
              <w:right w:val="single" w:sz="8" w:color="007CBA"/>
            </w:tcBorders>
            <w:shd w:val="clear" w:color="auto" w:fill="E5F1F8"/>
          </w:tcPr>
          <w:p>
            <w:pPr>
              <w:spacing w:after="0"/>
              <w:rPr>
                <w:sz w:val="19"/>
                <w:szCs w:val="19"/>
                <w:color w:val="auto"/>
              </w:rPr>
            </w:pPr>
          </w:p>
        </w:tc>
        <w:tc>
          <w:tcPr>
            <w:tcW w:w="620" w:type="dxa"/>
            <w:vAlign w:val="bottom"/>
            <w:tcBorders>
              <w:right w:val="single" w:sz="8" w:color="007CBA"/>
            </w:tcBorders>
            <w:shd w:val="clear" w:color="auto" w:fill="E5F1F8"/>
          </w:tcPr>
          <w:p>
            <w:pPr>
              <w:spacing w:after="0"/>
              <w:rPr>
                <w:sz w:val="19"/>
                <w:szCs w:val="19"/>
                <w:color w:val="auto"/>
              </w:rPr>
            </w:pPr>
          </w:p>
        </w:tc>
        <w:tc>
          <w:tcPr>
            <w:tcW w:w="700" w:type="dxa"/>
            <w:vAlign w:val="bottom"/>
            <w:tcBorders>
              <w:right w:val="single" w:sz="8" w:color="007CBA"/>
            </w:tcBorders>
            <w:shd w:val="clear" w:color="auto" w:fill="E5F1F8"/>
          </w:tcPr>
          <w:p>
            <w:pPr>
              <w:spacing w:after="0"/>
              <w:rPr>
                <w:sz w:val="19"/>
                <w:szCs w:val="19"/>
                <w:color w:val="auto"/>
              </w:rPr>
            </w:pPr>
          </w:p>
        </w:tc>
        <w:tc>
          <w:tcPr>
            <w:tcW w:w="88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180" w:type="dxa"/>
            <w:vAlign w:val="bottom"/>
            <w:tcBorders>
              <w:right w:val="single" w:sz="8" w:color="007CBA"/>
            </w:tcBorders>
            <w:shd w:val="clear" w:color="auto" w:fill="E5F1F8"/>
          </w:tcPr>
          <w:p>
            <w:pPr>
              <w:ind w:left="80"/>
              <w:spacing w:after="0" w:line="157" w:lineRule="exact"/>
              <w:rPr>
                <w:sz w:val="20"/>
                <w:szCs w:val="20"/>
                <w:color w:val="auto"/>
              </w:rPr>
            </w:pPr>
            <w:r>
              <w:rPr>
                <w:rFonts w:ascii="Arial" w:cs="Arial" w:eastAsia="Arial" w:hAnsi="Arial"/>
                <w:sz w:val="14"/>
                <w:szCs w:val="14"/>
                <w:color w:val="auto"/>
              </w:rPr>
              <w:t>SURFACE</w:t>
            </w:r>
          </w:p>
        </w:tc>
        <w:tc>
          <w:tcPr>
            <w:tcW w:w="720" w:type="dxa"/>
            <w:vAlign w:val="bottom"/>
            <w:tcBorders>
              <w:right w:val="single" w:sz="8" w:color="007CBA"/>
            </w:tcBorders>
            <w:shd w:val="clear" w:color="auto" w:fill="E5F1F8"/>
          </w:tcPr>
          <w:p>
            <w:pPr>
              <w:jc w:val="right"/>
              <w:ind w:right="8"/>
              <w:spacing w:after="0" w:line="157" w:lineRule="exact"/>
              <w:rPr>
                <w:sz w:val="20"/>
                <w:szCs w:val="20"/>
                <w:color w:val="auto"/>
              </w:rPr>
            </w:pPr>
            <w:r>
              <w:rPr>
                <w:rFonts w:ascii="Arial" w:cs="Arial" w:eastAsia="Arial" w:hAnsi="Arial"/>
                <w:sz w:val="14"/>
                <w:szCs w:val="14"/>
                <w:color w:val="auto"/>
              </w:rPr>
              <w:t>1200002</w:t>
            </w:r>
          </w:p>
        </w:tc>
        <w:tc>
          <w:tcPr>
            <w:tcW w:w="660" w:type="dxa"/>
            <w:vAlign w:val="bottom"/>
            <w:tcBorders>
              <w:right w:val="single" w:sz="8" w:color="007CBA"/>
            </w:tcBorders>
            <w:shd w:val="clear" w:color="auto" w:fill="E5F1F8"/>
          </w:tcPr>
          <w:p>
            <w:pPr>
              <w:jc w:val="center"/>
              <w:spacing w:after="0" w:line="157" w:lineRule="exact"/>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shd w:val="clear" w:color="auto" w:fill="E5F1F8"/>
          </w:tcPr>
          <w:p>
            <w:pPr>
              <w:jc w:val="center"/>
              <w:spacing w:after="0" w:line="157" w:lineRule="exact"/>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line="157" w:lineRule="exact"/>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line="157" w:lineRule="exact"/>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line="157" w:lineRule="exact"/>
              <w:rPr>
                <w:sz w:val="20"/>
                <w:szCs w:val="20"/>
                <w:color w:val="auto"/>
              </w:rPr>
            </w:pPr>
            <w:r>
              <w:rPr>
                <w:rFonts w:ascii="Arial" w:cs="Arial" w:eastAsia="Arial" w:hAnsi="Arial"/>
                <w:sz w:val="14"/>
                <w:szCs w:val="14"/>
                <w:color w:val="auto"/>
              </w:rPr>
              <w:t>0</w:t>
            </w:r>
          </w:p>
        </w:tc>
        <w:tc>
          <w:tcPr>
            <w:tcW w:w="200" w:type="dxa"/>
            <w:vAlign w:val="bottom"/>
            <w:vMerge w:val="continue"/>
            <w:shd w:val="clear" w:color="auto" w:fill="E5F1F8"/>
          </w:tcPr>
          <w:p>
            <w:pPr>
              <w:spacing w:after="0"/>
              <w:rPr>
                <w:sz w:val="13"/>
                <w:szCs w:val="13"/>
                <w:color w:val="auto"/>
              </w:rPr>
            </w:pPr>
          </w:p>
        </w:tc>
        <w:tc>
          <w:tcPr>
            <w:tcW w:w="800" w:type="dxa"/>
            <w:vAlign w:val="bottom"/>
            <w:tcBorders>
              <w:right w:val="single" w:sz="8" w:color="007CBA"/>
            </w:tcBorders>
            <w:vMerge w:val="continue"/>
            <w:shd w:val="clear" w:color="auto" w:fill="E5F1F8"/>
          </w:tcPr>
          <w:p>
            <w:pPr>
              <w:spacing w:after="0"/>
              <w:rPr>
                <w:sz w:val="13"/>
                <w:szCs w:val="13"/>
                <w:color w:val="auto"/>
              </w:rPr>
            </w:pPr>
          </w:p>
        </w:tc>
        <w:tc>
          <w:tcPr>
            <w:tcW w:w="700" w:type="dxa"/>
            <w:vAlign w:val="bottom"/>
            <w:tcBorders>
              <w:right w:val="single" w:sz="8" w:color="007CBA"/>
            </w:tcBorders>
            <w:shd w:val="clear" w:color="auto" w:fill="E5F1F8"/>
          </w:tcPr>
          <w:p>
            <w:pPr>
              <w:jc w:val="center"/>
              <w:spacing w:after="0" w:line="157" w:lineRule="exact"/>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line="157" w:lineRule="exact"/>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line="157" w:lineRule="exact"/>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line="157" w:lineRule="exact"/>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line="157" w:lineRule="exact"/>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line="157"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180" w:type="dxa"/>
            <w:vAlign w:val="bottom"/>
            <w:tcBorders>
              <w:bottom w:val="single" w:sz="8" w:color="007CBA"/>
              <w:right w:val="single" w:sz="8" w:color="007CBA"/>
            </w:tcBorders>
          </w:tcPr>
          <w:p>
            <w:pPr>
              <w:ind w:left="80"/>
              <w:spacing w:after="0"/>
              <w:rPr>
                <w:sz w:val="20"/>
                <w:szCs w:val="20"/>
                <w:color w:val="auto"/>
              </w:rPr>
            </w:pPr>
            <w:r>
              <w:rPr>
                <w:rFonts w:ascii="Arial" w:cs="Arial" w:eastAsia="Arial" w:hAnsi="Arial"/>
                <w:sz w:val="14"/>
                <w:szCs w:val="14"/>
                <w:color w:val="auto"/>
              </w:rPr>
              <w:t>Apple Grove S G</w:t>
            </w:r>
          </w:p>
        </w:tc>
        <w:tc>
          <w:tcPr>
            <w:tcW w:w="720" w:type="dxa"/>
            <w:vAlign w:val="bottom"/>
            <w:tcBorders>
              <w:bottom w:val="single" w:sz="8" w:color="007CBA"/>
              <w:right w:val="single" w:sz="8" w:color="007CBA"/>
            </w:tcBorders>
          </w:tcPr>
          <w:p>
            <w:pPr>
              <w:jc w:val="right"/>
              <w:ind w:right="8"/>
              <w:spacing w:after="0"/>
              <w:rPr>
                <w:sz w:val="20"/>
                <w:szCs w:val="20"/>
                <w:color w:val="auto"/>
              </w:rPr>
            </w:pPr>
            <w:r>
              <w:rPr>
                <w:rFonts w:ascii="Arial" w:cs="Arial" w:eastAsia="Arial" w:hAnsi="Arial"/>
                <w:sz w:val="14"/>
                <w:szCs w:val="14"/>
                <w:color w:val="auto"/>
              </w:rPr>
              <w:t>3301676</w:t>
            </w:r>
          </w:p>
        </w:tc>
        <w:tc>
          <w:tcPr>
            <w:tcW w:w="66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007CBA"/>
            </w:tcBorders>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07CBA"/>
              <w:right w:val="single" w:sz="8" w:color="007CBA"/>
            </w:tcBorders>
          </w:tcPr>
          <w:p>
            <w:pPr>
              <w:jc w:val="right"/>
              <w:spacing w:after="0"/>
              <w:rPr>
                <w:sz w:val="20"/>
                <w:szCs w:val="20"/>
                <w:color w:val="auto"/>
              </w:rPr>
            </w:pPr>
            <w:r>
              <w:rPr>
                <w:rFonts w:ascii="Arial" w:cs="Arial" w:eastAsia="Arial" w:hAnsi="Arial"/>
                <w:sz w:val="14"/>
                <w:szCs w:val="14"/>
                <w:b w:val="1"/>
                <w:bCs w:val="1"/>
                <w:color w:val="auto"/>
              </w:rPr>
              <w:t>374</w:t>
            </w:r>
          </w:p>
        </w:tc>
        <w:tc>
          <w:tcPr>
            <w:tcW w:w="70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Borders>
              <w:bottom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40" w:name="page141"/>
    <w:bookmarkEnd w:id="140"/>
    <w:tbl>
      <w:tblPr>
        <w:tblLayout w:type="fixed"/>
        <w:tblInd w:w="0" w:type="dxa"/>
        <w:tblCellMar>
          <w:top w:w="0" w:type="dxa"/>
          <w:left w:w="0" w:type="dxa"/>
          <w:bottom w:w="0" w:type="dxa"/>
          <w:right w:w="0" w:type="dxa"/>
        </w:tblCellMar>
      </w:tblPr>
      <w:tr>
        <w:trPr>
          <w:trHeight w:val="176"/>
        </w:trPr>
        <w:tc>
          <w:tcPr>
            <w:tcW w:w="2180" w:type="dxa"/>
            <w:vAlign w:val="bottom"/>
            <w:tcBorders>
              <w:right w:val="single" w:sz="8" w:color="007CBA"/>
            </w:tcBorders>
            <w:shd w:val="clear" w:color="auto" w:fill="007CBA"/>
          </w:tcPr>
          <w:p>
            <w:pPr>
              <w:spacing w:after="0"/>
              <w:rPr>
                <w:sz w:val="15"/>
                <w:szCs w:val="15"/>
                <w:color w:val="auto"/>
              </w:rPr>
            </w:pPr>
          </w:p>
        </w:tc>
        <w:tc>
          <w:tcPr>
            <w:tcW w:w="720" w:type="dxa"/>
            <w:vAlign w:val="bottom"/>
            <w:tcBorders>
              <w:right w:val="single" w:sz="8" w:color="007CBA"/>
            </w:tcBorders>
            <w:shd w:val="clear" w:color="auto" w:fill="007CBA"/>
          </w:tcPr>
          <w:p>
            <w:pPr>
              <w:spacing w:after="0"/>
              <w:rPr>
                <w:sz w:val="15"/>
                <w:szCs w:val="15"/>
                <w:color w:val="auto"/>
              </w:rPr>
            </w:pPr>
          </w:p>
        </w:tc>
        <w:tc>
          <w:tcPr>
            <w:tcW w:w="660" w:type="dxa"/>
            <w:vAlign w:val="bottom"/>
            <w:tcBorders>
              <w:right w:val="single" w:sz="8" w:color="007CBA"/>
            </w:tcBorders>
            <w:shd w:val="clear" w:color="auto" w:fill="007CBA"/>
          </w:tcPr>
          <w:p>
            <w:pPr>
              <w:spacing w:after="0"/>
              <w:rPr>
                <w:sz w:val="15"/>
                <w:szCs w:val="15"/>
                <w:color w:val="auto"/>
              </w:rPr>
            </w:pPr>
          </w:p>
        </w:tc>
        <w:tc>
          <w:tcPr>
            <w:tcW w:w="580" w:type="dxa"/>
            <w:vAlign w:val="bottom"/>
            <w:tcBorders>
              <w:right w:val="single" w:sz="8" w:color="007CBA"/>
            </w:tcBorders>
            <w:shd w:val="clear" w:color="auto" w:fill="007CBA"/>
          </w:tcPr>
          <w:p>
            <w:pPr>
              <w:spacing w:after="0"/>
              <w:rPr>
                <w:sz w:val="15"/>
                <w:szCs w:val="15"/>
                <w:color w:val="auto"/>
              </w:rPr>
            </w:pPr>
          </w:p>
        </w:tc>
        <w:tc>
          <w:tcPr>
            <w:tcW w:w="680" w:type="dxa"/>
            <w:vAlign w:val="bottom"/>
            <w:tcBorders>
              <w:right w:val="single" w:sz="8" w:color="007CBA"/>
            </w:tcBorders>
            <w:shd w:val="clear" w:color="auto" w:fill="007CBA"/>
          </w:tcPr>
          <w:p>
            <w:pPr>
              <w:spacing w:after="0"/>
              <w:rPr>
                <w:sz w:val="15"/>
                <w:szCs w:val="15"/>
                <w:color w:val="auto"/>
              </w:rPr>
            </w:pPr>
          </w:p>
        </w:tc>
        <w:tc>
          <w:tcPr>
            <w:tcW w:w="740" w:type="dxa"/>
            <w:vAlign w:val="bottom"/>
            <w:tcBorders>
              <w:right w:val="single" w:sz="8" w:color="007CBA"/>
            </w:tcBorders>
            <w:shd w:val="clear" w:color="auto" w:fill="007CBA"/>
          </w:tcPr>
          <w:p>
            <w:pPr>
              <w:spacing w:after="0"/>
              <w:rPr>
                <w:sz w:val="15"/>
                <w:szCs w:val="15"/>
                <w:color w:val="auto"/>
              </w:rPr>
            </w:pPr>
          </w:p>
        </w:tc>
        <w:tc>
          <w:tcPr>
            <w:tcW w:w="580" w:type="dxa"/>
            <w:vAlign w:val="bottom"/>
            <w:tcBorders>
              <w:right w:val="single" w:sz="8" w:color="007CBA"/>
            </w:tcBorders>
            <w:shd w:val="clear" w:color="auto" w:fill="007CBA"/>
          </w:tcPr>
          <w:p>
            <w:pPr>
              <w:spacing w:after="0"/>
              <w:rPr>
                <w:sz w:val="15"/>
                <w:szCs w:val="15"/>
                <w:color w:val="auto"/>
              </w:rPr>
            </w:pPr>
          </w:p>
        </w:tc>
        <w:tc>
          <w:tcPr>
            <w:tcW w:w="200" w:type="dxa"/>
            <w:vAlign w:val="bottom"/>
            <w:shd w:val="clear" w:color="auto" w:fill="007CBA"/>
          </w:tcPr>
          <w:p>
            <w:pPr>
              <w:spacing w:after="0"/>
              <w:rPr>
                <w:sz w:val="15"/>
                <w:szCs w:val="15"/>
                <w:color w:val="auto"/>
              </w:rPr>
            </w:pPr>
          </w:p>
        </w:tc>
        <w:tc>
          <w:tcPr>
            <w:tcW w:w="800" w:type="dxa"/>
            <w:vAlign w:val="bottom"/>
            <w:tcBorders>
              <w:right w:val="single" w:sz="8" w:color="007CBA"/>
            </w:tcBorders>
            <w:shd w:val="clear" w:color="auto" w:fill="007CBA"/>
          </w:tcPr>
          <w:p>
            <w:pPr>
              <w:spacing w:after="0"/>
              <w:rPr>
                <w:sz w:val="15"/>
                <w:szCs w:val="15"/>
                <w:color w:val="auto"/>
              </w:rPr>
            </w:pPr>
          </w:p>
        </w:tc>
        <w:tc>
          <w:tcPr>
            <w:tcW w:w="700" w:type="dxa"/>
            <w:vAlign w:val="bottom"/>
            <w:tcBorders>
              <w:right w:val="single" w:sz="8" w:color="007CBA"/>
            </w:tcBorders>
            <w:shd w:val="clear" w:color="auto" w:fill="007CBA"/>
          </w:tcPr>
          <w:p>
            <w:pPr>
              <w:spacing w:after="0"/>
              <w:rPr>
                <w:sz w:val="15"/>
                <w:szCs w:val="15"/>
                <w:color w:val="auto"/>
              </w:rPr>
            </w:pPr>
          </w:p>
        </w:tc>
        <w:tc>
          <w:tcPr>
            <w:tcW w:w="1380" w:type="dxa"/>
            <w:vAlign w:val="bottom"/>
            <w:tcBorders>
              <w:right w:val="single" w:sz="8" w:color="007CBA"/>
            </w:tcBorders>
            <w:gridSpan w:val="2"/>
            <w:shd w:val="clear" w:color="auto" w:fill="007CBA"/>
          </w:tcPr>
          <w:p>
            <w:pPr>
              <w:ind w:left="20"/>
              <w:spacing w:after="0"/>
              <w:rPr>
                <w:sz w:val="20"/>
                <w:szCs w:val="20"/>
                <w:color w:val="auto"/>
              </w:rPr>
            </w:pPr>
            <w:r>
              <w:rPr>
                <w:rFonts w:ascii="Arial" w:cs="Arial" w:eastAsia="Arial" w:hAnsi="Arial"/>
                <w:sz w:val="14"/>
                <w:szCs w:val="14"/>
                <w:b w:val="1"/>
                <w:bCs w:val="1"/>
                <w:color w:val="FFFFFF"/>
              </w:rPr>
              <w:t>Received Received</w:t>
            </w:r>
          </w:p>
        </w:tc>
        <w:tc>
          <w:tcPr>
            <w:tcW w:w="620" w:type="dxa"/>
            <w:vAlign w:val="bottom"/>
            <w:tcBorders>
              <w:right w:val="single" w:sz="8" w:color="007CBA"/>
            </w:tcBorders>
            <w:shd w:val="clear" w:color="auto" w:fill="007CBA"/>
          </w:tcPr>
          <w:p>
            <w:pPr>
              <w:spacing w:after="0"/>
              <w:rPr>
                <w:sz w:val="15"/>
                <w:szCs w:val="15"/>
                <w:color w:val="auto"/>
              </w:rPr>
            </w:pPr>
          </w:p>
        </w:tc>
        <w:tc>
          <w:tcPr>
            <w:tcW w:w="700" w:type="dxa"/>
            <w:vAlign w:val="bottom"/>
            <w:tcBorders>
              <w:right w:val="single" w:sz="8" w:color="007CBA"/>
            </w:tcBorders>
            <w:shd w:val="clear" w:color="auto" w:fill="007CBA"/>
          </w:tcPr>
          <w:p>
            <w:pPr>
              <w:spacing w:after="0"/>
              <w:rPr>
                <w:sz w:val="15"/>
                <w:szCs w:val="15"/>
                <w:color w:val="auto"/>
              </w:rPr>
            </w:pPr>
          </w:p>
        </w:tc>
        <w:tc>
          <w:tcPr>
            <w:tcW w:w="880" w:type="dxa"/>
            <w:vAlign w:val="bottom"/>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Notice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Notice</w:t>
            </w:r>
          </w:p>
        </w:tc>
        <w:tc>
          <w:tcPr>
            <w:tcW w:w="62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88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Legal</w:t>
            </w:r>
          </w:p>
        </w:tc>
        <w:tc>
          <w:tcPr>
            <w:tcW w:w="700" w:type="dxa"/>
            <w:vAlign w:val="bottom"/>
            <w:tcBorders>
              <w:right w:val="single" w:sz="8" w:color="007CBA"/>
            </w:tcBorders>
            <w:shd w:val="clear" w:color="auto" w:fill="007CBA"/>
          </w:tcPr>
          <w:p>
            <w:pPr>
              <w:spacing w:after="0"/>
              <w:rPr>
                <w:sz w:val="14"/>
                <w:szCs w:val="14"/>
                <w:color w:val="auto"/>
              </w:rPr>
            </w:pPr>
          </w:p>
        </w:tc>
        <w:tc>
          <w:tcPr>
            <w:tcW w:w="88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80" w:type="dxa"/>
            <w:vAlign w:val="bottom"/>
            <w:tcBorders>
              <w:right w:val="single" w:sz="8" w:color="007CBA"/>
            </w:tcBorders>
            <w:shd w:val="clear" w:color="auto" w:fill="007CBA"/>
          </w:tcPr>
          <w:p>
            <w:pPr>
              <w:spacing w:after="0"/>
              <w:rPr>
                <w:sz w:val="16"/>
                <w:szCs w:val="16"/>
                <w:color w:val="auto"/>
              </w:rPr>
            </w:pPr>
          </w:p>
        </w:tc>
        <w:tc>
          <w:tcPr>
            <w:tcW w:w="720" w:type="dxa"/>
            <w:vAlign w:val="bottom"/>
            <w:tcBorders>
              <w:right w:val="single" w:sz="8" w:color="007CBA"/>
            </w:tcBorders>
            <w:shd w:val="clear" w:color="auto" w:fill="007CBA"/>
          </w:tcPr>
          <w:p>
            <w:pPr>
              <w:spacing w:after="0"/>
              <w:rPr>
                <w:sz w:val="16"/>
                <w:szCs w:val="16"/>
                <w:color w:val="auto"/>
              </w:rPr>
            </w:pPr>
          </w:p>
        </w:tc>
        <w:tc>
          <w:tcPr>
            <w:tcW w:w="660" w:type="dxa"/>
            <w:vAlign w:val="bottom"/>
            <w:tcBorders>
              <w:right w:val="single" w:sz="8" w:color="007CBA"/>
            </w:tcBorders>
            <w:shd w:val="clear" w:color="auto" w:fill="007CBA"/>
          </w:tcPr>
          <w:p>
            <w:pPr>
              <w:spacing w:after="0"/>
              <w:rPr>
                <w:sz w:val="16"/>
                <w:szCs w:val="16"/>
                <w:color w:val="auto"/>
              </w:rPr>
            </w:pPr>
          </w:p>
        </w:tc>
        <w:tc>
          <w:tcPr>
            <w:tcW w:w="580" w:type="dxa"/>
            <w:vAlign w:val="bottom"/>
            <w:tcBorders>
              <w:right w:val="single" w:sz="8" w:color="007CBA"/>
            </w:tcBorders>
            <w:shd w:val="clear" w:color="auto" w:fill="007CBA"/>
          </w:tcPr>
          <w:p>
            <w:pPr>
              <w:spacing w:after="0"/>
              <w:rPr>
                <w:sz w:val="16"/>
                <w:szCs w:val="16"/>
                <w:color w:val="auto"/>
              </w:rPr>
            </w:pPr>
          </w:p>
        </w:tc>
        <w:tc>
          <w:tcPr>
            <w:tcW w:w="68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740" w:type="dxa"/>
            <w:vAlign w:val="bottom"/>
            <w:tcBorders>
              <w:right w:val="single" w:sz="8" w:color="007CBA"/>
            </w:tcBorders>
            <w:shd w:val="clear" w:color="auto" w:fill="007CBA"/>
          </w:tcPr>
          <w:p>
            <w:pPr>
              <w:spacing w:after="0"/>
              <w:rPr>
                <w:sz w:val="16"/>
                <w:szCs w:val="16"/>
                <w:color w:val="auto"/>
              </w:rPr>
            </w:pPr>
          </w:p>
        </w:tc>
        <w:tc>
          <w:tcPr>
            <w:tcW w:w="580" w:type="dxa"/>
            <w:vAlign w:val="bottom"/>
            <w:tcBorders>
              <w:right w:val="single" w:sz="8" w:color="007CBA"/>
            </w:tcBorders>
            <w:shd w:val="clear" w:color="auto" w:fill="007CBA"/>
          </w:tcPr>
          <w:p>
            <w:pPr>
              <w:spacing w:after="0"/>
              <w:rPr>
                <w:sz w:val="16"/>
                <w:szCs w:val="16"/>
                <w:color w:val="auto"/>
              </w:rPr>
            </w:pPr>
          </w:p>
        </w:tc>
        <w:tc>
          <w:tcPr>
            <w:tcW w:w="1000" w:type="dxa"/>
            <w:vAlign w:val="bottom"/>
            <w:tcBorders>
              <w:right w:val="single" w:sz="8" w:color="007CBA"/>
            </w:tcBorders>
            <w:gridSpan w:val="2"/>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Total Dollar</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Pattern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Potential</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70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Legal</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Appendix 1*</w:t>
            </w:r>
          </w:p>
        </w:tc>
        <w:tc>
          <w:tcPr>
            <w:tcW w:w="0" w:type="dxa"/>
            <w:vAlign w:val="bottom"/>
          </w:tcPr>
          <w:p>
            <w:pPr>
              <w:spacing w:after="0"/>
              <w:rPr>
                <w:sz w:val="1"/>
                <w:szCs w:val="1"/>
                <w:color w:val="auto"/>
              </w:rPr>
            </w:pPr>
          </w:p>
        </w:tc>
      </w:tr>
      <w:tr>
        <w:trPr>
          <w:trHeight w:val="135"/>
        </w:trPr>
        <w:tc>
          <w:tcPr>
            <w:tcW w:w="2180" w:type="dxa"/>
            <w:vAlign w:val="bottom"/>
            <w:tcBorders>
              <w:right w:val="single" w:sz="8" w:color="007CBA"/>
            </w:tcBorders>
            <w:shd w:val="clear" w:color="auto" w:fill="007CBA"/>
          </w:tcPr>
          <w:p>
            <w:pPr>
              <w:spacing w:after="0"/>
              <w:rPr>
                <w:sz w:val="11"/>
                <w:szCs w:val="11"/>
                <w:color w:val="auto"/>
              </w:rPr>
            </w:pPr>
          </w:p>
        </w:tc>
        <w:tc>
          <w:tcPr>
            <w:tcW w:w="720" w:type="dxa"/>
            <w:vAlign w:val="bottom"/>
            <w:tcBorders>
              <w:right w:val="single" w:sz="8" w:color="007CBA"/>
            </w:tcBorders>
            <w:shd w:val="clear" w:color="auto" w:fill="007CBA"/>
          </w:tcPr>
          <w:p>
            <w:pPr>
              <w:spacing w:after="0"/>
              <w:rPr>
                <w:sz w:val="11"/>
                <w:szCs w:val="11"/>
                <w:color w:val="auto"/>
              </w:rPr>
            </w:pPr>
          </w:p>
        </w:tc>
        <w:tc>
          <w:tcPr>
            <w:tcW w:w="660" w:type="dxa"/>
            <w:vAlign w:val="bottom"/>
            <w:tcBorders>
              <w:right w:val="single" w:sz="8" w:color="007CBA"/>
            </w:tcBorders>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680" w:type="dxa"/>
            <w:vAlign w:val="bottom"/>
            <w:tcBorders>
              <w:right w:val="single" w:sz="8" w:color="007CBA"/>
            </w:tcBorders>
            <w:vMerge w:val="continue"/>
            <w:shd w:val="clear" w:color="auto" w:fill="007CBA"/>
          </w:tcPr>
          <w:p>
            <w:pPr>
              <w:spacing w:after="0"/>
              <w:rPr>
                <w:sz w:val="11"/>
                <w:szCs w:val="11"/>
                <w:color w:val="auto"/>
              </w:rPr>
            </w:pPr>
          </w:p>
        </w:tc>
        <w:tc>
          <w:tcPr>
            <w:tcW w:w="740" w:type="dxa"/>
            <w:vAlign w:val="bottom"/>
            <w:tcBorders>
              <w:right w:val="single" w:sz="8" w:color="007CBA"/>
            </w:tcBorders>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1000" w:type="dxa"/>
            <w:vAlign w:val="bottom"/>
            <w:tcBorders>
              <w:right w:val="single" w:sz="8" w:color="007CBA"/>
            </w:tcBorders>
            <w:gridSpan w:val="2"/>
            <w:vMerge w:val="continue"/>
            <w:shd w:val="clear" w:color="auto" w:fill="007CBA"/>
          </w:tcPr>
          <w:p>
            <w:pPr>
              <w:spacing w:after="0"/>
              <w:rPr>
                <w:sz w:val="11"/>
                <w:szCs w:val="11"/>
                <w:color w:val="auto"/>
              </w:rPr>
            </w:pPr>
          </w:p>
        </w:tc>
        <w:tc>
          <w:tcPr>
            <w:tcW w:w="70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Number</w:t>
            </w:r>
          </w:p>
        </w:tc>
        <w:tc>
          <w:tcPr>
            <w:tcW w:w="68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to have</w:t>
            </w:r>
          </w:p>
        </w:tc>
        <w:tc>
          <w:tcPr>
            <w:tcW w:w="62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Pending</w:t>
            </w:r>
          </w:p>
        </w:tc>
        <w:tc>
          <w:tcPr>
            <w:tcW w:w="700" w:type="dxa"/>
            <w:vAlign w:val="bottom"/>
            <w:tcBorders>
              <w:right w:val="single" w:sz="8" w:color="007CBA"/>
            </w:tcBorders>
            <w:vMerge w:val="continue"/>
            <w:shd w:val="clear" w:color="auto" w:fill="007CBA"/>
          </w:tcPr>
          <w:p>
            <w:pPr>
              <w:spacing w:after="0"/>
              <w:rPr>
                <w:sz w:val="11"/>
                <w:szCs w:val="11"/>
                <w:color w:val="auto"/>
              </w:rPr>
            </w:pPr>
          </w:p>
        </w:tc>
        <w:tc>
          <w:tcPr>
            <w:tcW w:w="880" w:type="dxa"/>
            <w:vAlign w:val="bottom"/>
            <w:shd w:val="clear" w:color="auto" w:fill="007CBA"/>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104(d)</w:t>
            </w: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Value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Violation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Pattern</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as 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8"/>
              </w:rPr>
              <w:t>Legal</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1260" w:type="dxa"/>
            <w:vAlign w:val="bottom"/>
            <w:tcBorders>
              <w:right w:val="single" w:sz="8" w:color="007CBA"/>
            </w:tcBorders>
            <w:gridSpan w:val="2"/>
            <w:shd w:val="clear" w:color="auto" w:fill="007CBA"/>
          </w:tcPr>
          <w:p>
            <w:pPr>
              <w:ind w:left="40"/>
              <w:spacing w:after="0"/>
              <w:rPr>
                <w:sz w:val="20"/>
                <w:szCs w:val="20"/>
                <w:color w:val="auto"/>
              </w:rPr>
            </w:pPr>
            <w:r>
              <w:rPr>
                <w:rFonts w:ascii="Arial" w:cs="Arial" w:eastAsia="Arial" w:hAnsi="Arial"/>
                <w:sz w:val="14"/>
                <w:szCs w:val="14"/>
                <w:b w:val="1"/>
                <w:bCs w:val="1"/>
                <w:color w:val="FFFFFF"/>
              </w:rPr>
              <w:t>Section Citations</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Mining</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Under</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under</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Last</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Instituted</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 S&amp;S</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104(b)</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and</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110(b)(2)</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107(a)</w:t>
            </w: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MSHA</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Related</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Day 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During</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Resolved</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jc w:val="right"/>
              <w:ind w:right="108"/>
              <w:spacing w:after="0"/>
              <w:rPr>
                <w:sz w:val="20"/>
                <w:szCs w:val="20"/>
                <w:color w:val="auto"/>
              </w:rPr>
            </w:pPr>
            <w:r>
              <w:rPr>
                <w:rFonts w:ascii="Arial" w:cs="Arial" w:eastAsia="Arial" w:hAnsi="Arial"/>
                <w:sz w:val="14"/>
                <w:szCs w:val="14"/>
                <w:b w:val="1"/>
                <w:bCs w:val="1"/>
                <w:color w:val="FFFFFF"/>
              </w:rPr>
              <w:t>MSHA</w:t>
            </w: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Citations</w:t>
            </w:r>
          </w:p>
        </w:tc>
        <w:tc>
          <w:tcPr>
            <w:tcW w:w="5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Orders</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Orders</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Violations</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Orders</w:t>
            </w:r>
          </w:p>
        </w:tc>
        <w:tc>
          <w:tcPr>
            <w:tcW w:w="1000" w:type="dxa"/>
            <w:vAlign w:val="bottom"/>
            <w:tcBorders>
              <w:right w:val="single" w:sz="8" w:color="007CBA"/>
            </w:tcBorders>
            <w:gridSpan w:val="2"/>
            <w:shd w:val="clear" w:color="auto" w:fill="007CBA"/>
          </w:tcPr>
          <w:p>
            <w:pPr>
              <w:ind w:left="40"/>
              <w:spacing w:after="0"/>
              <w:rPr>
                <w:sz w:val="20"/>
                <w:szCs w:val="20"/>
                <w:color w:val="auto"/>
              </w:rPr>
            </w:pPr>
            <w:r>
              <w:rPr>
                <w:rFonts w:ascii="Arial" w:cs="Arial" w:eastAsia="Arial" w:hAnsi="Arial"/>
                <w:sz w:val="14"/>
                <w:szCs w:val="14"/>
                <w:b w:val="1"/>
                <w:bCs w:val="1"/>
                <w:color w:val="FFFFFF"/>
              </w:rPr>
              <w:t>Assessment/</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Fatalities</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104(e)</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During</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007CBA"/>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Location</w:t>
            </w:r>
          </w:p>
        </w:tc>
        <w:tc>
          <w:tcPr>
            <w:tcW w:w="720" w:type="dxa"/>
            <w:vAlign w:val="bottom"/>
            <w:tcBorders>
              <w:bottom w:val="single" w:sz="8" w:color="007CBA"/>
              <w:right w:val="single" w:sz="8" w:color="007CBA"/>
            </w:tcBorders>
            <w:shd w:val="clear" w:color="auto" w:fill="007CBA"/>
          </w:tcPr>
          <w:p>
            <w:pPr>
              <w:jc w:val="right"/>
              <w:ind w:right="248"/>
              <w:spacing w:after="0"/>
              <w:rPr>
                <w:sz w:val="20"/>
                <w:szCs w:val="20"/>
                <w:color w:val="auto"/>
              </w:rPr>
            </w:pPr>
            <w:r>
              <w:rPr>
                <w:rFonts w:ascii="Arial" w:cs="Arial" w:eastAsia="Arial" w:hAnsi="Arial"/>
                <w:sz w:val="14"/>
                <w:szCs w:val="14"/>
                <w:b w:val="1"/>
                <w:bCs w:val="1"/>
                <w:color w:val="FFFFFF"/>
              </w:rPr>
              <w:t>ID</w:t>
            </w:r>
          </w:p>
        </w:tc>
        <w:tc>
          <w:tcPr>
            <w:tcW w:w="66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5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3"/>
              </w:rPr>
              <w:t>(#)</w:t>
            </w:r>
          </w:p>
        </w:tc>
        <w:tc>
          <w:tcPr>
            <w:tcW w:w="5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1000" w:type="dxa"/>
            <w:vAlign w:val="bottom"/>
            <w:tcBorders>
              <w:bottom w:val="single" w:sz="8" w:color="007CBA"/>
              <w:right w:val="single" w:sz="8" w:color="007CBA"/>
            </w:tcBorders>
            <w:gridSpan w:val="2"/>
            <w:shd w:val="clear" w:color="auto" w:fill="007CBA"/>
          </w:tcPr>
          <w:p>
            <w:pPr>
              <w:jc w:val="center"/>
              <w:spacing w:after="0"/>
              <w:rPr>
                <w:sz w:val="20"/>
                <w:szCs w:val="20"/>
                <w:color w:val="auto"/>
              </w:rPr>
            </w:pPr>
            <w:r>
              <w:rPr>
                <w:rFonts w:ascii="Arial" w:cs="Arial" w:eastAsia="Arial" w:hAnsi="Arial"/>
                <w:sz w:val="14"/>
                <w:szCs w:val="14"/>
                <w:b w:val="1"/>
                <w:bCs w:val="1"/>
                <w:color w:val="FFFFFF"/>
              </w:rPr>
              <w:t>$Proposed</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(yes/no)</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(yes/no)</w:t>
            </w:r>
          </w:p>
        </w:tc>
        <w:tc>
          <w:tcPr>
            <w:tcW w:w="62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 (#)</w:t>
            </w: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Belmont Sand</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1201911</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236</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Bowling Green North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1500065</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236</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Bowling Green South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1500025</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354</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Burning Springs Mine</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4608862</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Carmel Sand</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1202124</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Cedarville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3304072</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2</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672</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Cloverdale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1201744</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Cumberland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1500037</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E Town Sand Gravel</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3304279</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326</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Fairfield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3301396</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Franklin Gravel</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3302940</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Harlan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1500071</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236</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Hartford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1500095</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Kentucky Ave Mine</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1201762</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4</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5,702</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1</w:t>
            </w:r>
          </w:p>
        </w:tc>
        <w:tc>
          <w:tcPr>
            <w:tcW w:w="880" w:type="dxa"/>
            <w:vAlign w:val="bottom"/>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Kokomo Mine</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1202105</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Kokomo Sand</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1202203</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Kokomo Stone</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1200142</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959</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Noblesville Sand</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1201994</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Noblesville Stone</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1202176</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5</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7,239</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North Indianapolis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1201993</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2</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1,346</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Petersburg, Ky Gravel</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1516895</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Phillipsburg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3300006</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bottom w:val="single" w:sz="8" w:color="007CBA"/>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Shamrock SG</w:t>
            </w:r>
          </w:p>
        </w:tc>
        <w:tc>
          <w:tcPr>
            <w:tcW w:w="720" w:type="dxa"/>
            <w:vAlign w:val="bottom"/>
            <w:tcBorders>
              <w:bottom w:val="single" w:sz="8" w:color="007CBA"/>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3304011</w:t>
            </w:r>
          </w:p>
        </w:tc>
        <w:tc>
          <w:tcPr>
            <w:tcW w:w="66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007CBA"/>
            </w:tcBorders>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07CBA"/>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tcBorders>
              <w:bottom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41" w:name="page142"/>
    <w:bookmarkEnd w:id="141"/>
    <w:tbl>
      <w:tblPr>
        <w:tblLayout w:type="fixed"/>
        <w:tblInd w:w="0" w:type="dxa"/>
        <w:tblCellMar>
          <w:top w:w="0" w:type="dxa"/>
          <w:left w:w="0" w:type="dxa"/>
          <w:bottom w:w="0" w:type="dxa"/>
          <w:right w:w="0" w:type="dxa"/>
        </w:tblCellMar>
      </w:tblPr>
      <w:tr>
        <w:trPr>
          <w:trHeight w:val="176"/>
        </w:trPr>
        <w:tc>
          <w:tcPr>
            <w:tcW w:w="2180" w:type="dxa"/>
            <w:vAlign w:val="bottom"/>
            <w:tcBorders>
              <w:right w:val="single" w:sz="8" w:color="007CBA"/>
            </w:tcBorders>
            <w:shd w:val="clear" w:color="auto" w:fill="007CBA"/>
          </w:tcPr>
          <w:p>
            <w:pPr>
              <w:spacing w:after="0"/>
              <w:rPr>
                <w:sz w:val="15"/>
                <w:szCs w:val="15"/>
                <w:color w:val="auto"/>
              </w:rPr>
            </w:pPr>
          </w:p>
        </w:tc>
        <w:tc>
          <w:tcPr>
            <w:tcW w:w="720" w:type="dxa"/>
            <w:vAlign w:val="bottom"/>
            <w:tcBorders>
              <w:right w:val="single" w:sz="8" w:color="007CBA"/>
            </w:tcBorders>
            <w:shd w:val="clear" w:color="auto" w:fill="007CBA"/>
          </w:tcPr>
          <w:p>
            <w:pPr>
              <w:spacing w:after="0"/>
              <w:rPr>
                <w:sz w:val="15"/>
                <w:szCs w:val="15"/>
                <w:color w:val="auto"/>
              </w:rPr>
            </w:pPr>
          </w:p>
        </w:tc>
        <w:tc>
          <w:tcPr>
            <w:tcW w:w="660" w:type="dxa"/>
            <w:vAlign w:val="bottom"/>
            <w:tcBorders>
              <w:right w:val="single" w:sz="8" w:color="007CBA"/>
            </w:tcBorders>
            <w:shd w:val="clear" w:color="auto" w:fill="007CBA"/>
          </w:tcPr>
          <w:p>
            <w:pPr>
              <w:spacing w:after="0"/>
              <w:rPr>
                <w:sz w:val="15"/>
                <w:szCs w:val="15"/>
                <w:color w:val="auto"/>
              </w:rPr>
            </w:pPr>
          </w:p>
        </w:tc>
        <w:tc>
          <w:tcPr>
            <w:tcW w:w="580" w:type="dxa"/>
            <w:vAlign w:val="bottom"/>
            <w:tcBorders>
              <w:right w:val="single" w:sz="8" w:color="007CBA"/>
            </w:tcBorders>
            <w:shd w:val="clear" w:color="auto" w:fill="007CBA"/>
          </w:tcPr>
          <w:p>
            <w:pPr>
              <w:spacing w:after="0"/>
              <w:rPr>
                <w:sz w:val="15"/>
                <w:szCs w:val="15"/>
                <w:color w:val="auto"/>
              </w:rPr>
            </w:pPr>
          </w:p>
        </w:tc>
        <w:tc>
          <w:tcPr>
            <w:tcW w:w="680" w:type="dxa"/>
            <w:vAlign w:val="bottom"/>
            <w:tcBorders>
              <w:right w:val="single" w:sz="8" w:color="007CBA"/>
            </w:tcBorders>
            <w:shd w:val="clear" w:color="auto" w:fill="007CBA"/>
          </w:tcPr>
          <w:p>
            <w:pPr>
              <w:spacing w:after="0"/>
              <w:rPr>
                <w:sz w:val="15"/>
                <w:szCs w:val="15"/>
                <w:color w:val="auto"/>
              </w:rPr>
            </w:pPr>
          </w:p>
        </w:tc>
        <w:tc>
          <w:tcPr>
            <w:tcW w:w="740" w:type="dxa"/>
            <w:vAlign w:val="bottom"/>
            <w:tcBorders>
              <w:right w:val="single" w:sz="8" w:color="007CBA"/>
            </w:tcBorders>
            <w:shd w:val="clear" w:color="auto" w:fill="007CBA"/>
          </w:tcPr>
          <w:p>
            <w:pPr>
              <w:spacing w:after="0"/>
              <w:rPr>
                <w:sz w:val="15"/>
                <w:szCs w:val="15"/>
                <w:color w:val="auto"/>
              </w:rPr>
            </w:pPr>
          </w:p>
        </w:tc>
        <w:tc>
          <w:tcPr>
            <w:tcW w:w="580" w:type="dxa"/>
            <w:vAlign w:val="bottom"/>
            <w:tcBorders>
              <w:right w:val="single" w:sz="8" w:color="007CBA"/>
            </w:tcBorders>
            <w:shd w:val="clear" w:color="auto" w:fill="007CBA"/>
          </w:tcPr>
          <w:p>
            <w:pPr>
              <w:spacing w:after="0"/>
              <w:rPr>
                <w:sz w:val="15"/>
                <w:szCs w:val="15"/>
                <w:color w:val="auto"/>
              </w:rPr>
            </w:pPr>
          </w:p>
        </w:tc>
        <w:tc>
          <w:tcPr>
            <w:tcW w:w="200" w:type="dxa"/>
            <w:vAlign w:val="bottom"/>
            <w:shd w:val="clear" w:color="auto" w:fill="007CBA"/>
          </w:tcPr>
          <w:p>
            <w:pPr>
              <w:spacing w:after="0"/>
              <w:rPr>
                <w:sz w:val="15"/>
                <w:szCs w:val="15"/>
                <w:color w:val="auto"/>
              </w:rPr>
            </w:pPr>
          </w:p>
        </w:tc>
        <w:tc>
          <w:tcPr>
            <w:tcW w:w="800" w:type="dxa"/>
            <w:vAlign w:val="bottom"/>
            <w:tcBorders>
              <w:right w:val="single" w:sz="8" w:color="007CBA"/>
            </w:tcBorders>
            <w:shd w:val="clear" w:color="auto" w:fill="007CBA"/>
          </w:tcPr>
          <w:p>
            <w:pPr>
              <w:spacing w:after="0"/>
              <w:rPr>
                <w:sz w:val="15"/>
                <w:szCs w:val="15"/>
                <w:color w:val="auto"/>
              </w:rPr>
            </w:pPr>
          </w:p>
        </w:tc>
        <w:tc>
          <w:tcPr>
            <w:tcW w:w="700" w:type="dxa"/>
            <w:vAlign w:val="bottom"/>
            <w:tcBorders>
              <w:right w:val="single" w:sz="8" w:color="007CBA"/>
            </w:tcBorders>
            <w:shd w:val="clear" w:color="auto" w:fill="007CBA"/>
          </w:tcPr>
          <w:p>
            <w:pPr>
              <w:spacing w:after="0"/>
              <w:rPr>
                <w:sz w:val="15"/>
                <w:szCs w:val="15"/>
                <w:color w:val="auto"/>
              </w:rPr>
            </w:pPr>
          </w:p>
        </w:tc>
        <w:tc>
          <w:tcPr>
            <w:tcW w:w="1380" w:type="dxa"/>
            <w:vAlign w:val="bottom"/>
            <w:tcBorders>
              <w:right w:val="single" w:sz="8" w:color="007CBA"/>
            </w:tcBorders>
            <w:gridSpan w:val="2"/>
            <w:shd w:val="clear" w:color="auto" w:fill="007CBA"/>
          </w:tcPr>
          <w:p>
            <w:pPr>
              <w:ind w:left="20"/>
              <w:spacing w:after="0"/>
              <w:rPr>
                <w:sz w:val="20"/>
                <w:szCs w:val="20"/>
                <w:color w:val="auto"/>
              </w:rPr>
            </w:pPr>
            <w:r>
              <w:rPr>
                <w:rFonts w:ascii="Arial" w:cs="Arial" w:eastAsia="Arial" w:hAnsi="Arial"/>
                <w:sz w:val="14"/>
                <w:szCs w:val="14"/>
                <w:b w:val="1"/>
                <w:bCs w:val="1"/>
                <w:color w:val="FFFFFF"/>
              </w:rPr>
              <w:t>Received Received</w:t>
            </w:r>
          </w:p>
        </w:tc>
        <w:tc>
          <w:tcPr>
            <w:tcW w:w="620" w:type="dxa"/>
            <w:vAlign w:val="bottom"/>
            <w:tcBorders>
              <w:right w:val="single" w:sz="8" w:color="007CBA"/>
            </w:tcBorders>
            <w:shd w:val="clear" w:color="auto" w:fill="007CBA"/>
          </w:tcPr>
          <w:p>
            <w:pPr>
              <w:spacing w:after="0"/>
              <w:rPr>
                <w:sz w:val="15"/>
                <w:szCs w:val="15"/>
                <w:color w:val="auto"/>
              </w:rPr>
            </w:pPr>
          </w:p>
        </w:tc>
        <w:tc>
          <w:tcPr>
            <w:tcW w:w="700" w:type="dxa"/>
            <w:vAlign w:val="bottom"/>
            <w:tcBorders>
              <w:right w:val="single" w:sz="8" w:color="007CBA"/>
            </w:tcBorders>
            <w:shd w:val="clear" w:color="auto" w:fill="007CBA"/>
          </w:tcPr>
          <w:p>
            <w:pPr>
              <w:spacing w:after="0"/>
              <w:rPr>
                <w:sz w:val="15"/>
                <w:szCs w:val="15"/>
                <w:color w:val="auto"/>
              </w:rPr>
            </w:pPr>
          </w:p>
        </w:tc>
        <w:tc>
          <w:tcPr>
            <w:tcW w:w="880" w:type="dxa"/>
            <w:vAlign w:val="bottom"/>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Notice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Notice</w:t>
            </w:r>
          </w:p>
        </w:tc>
        <w:tc>
          <w:tcPr>
            <w:tcW w:w="62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88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Legal</w:t>
            </w:r>
          </w:p>
        </w:tc>
        <w:tc>
          <w:tcPr>
            <w:tcW w:w="700" w:type="dxa"/>
            <w:vAlign w:val="bottom"/>
            <w:tcBorders>
              <w:right w:val="single" w:sz="8" w:color="007CBA"/>
            </w:tcBorders>
            <w:shd w:val="clear" w:color="auto" w:fill="007CBA"/>
          </w:tcPr>
          <w:p>
            <w:pPr>
              <w:spacing w:after="0"/>
              <w:rPr>
                <w:sz w:val="14"/>
                <w:szCs w:val="14"/>
                <w:color w:val="auto"/>
              </w:rPr>
            </w:pPr>
          </w:p>
        </w:tc>
        <w:tc>
          <w:tcPr>
            <w:tcW w:w="88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80" w:type="dxa"/>
            <w:vAlign w:val="bottom"/>
            <w:tcBorders>
              <w:right w:val="single" w:sz="8" w:color="007CBA"/>
            </w:tcBorders>
            <w:shd w:val="clear" w:color="auto" w:fill="007CBA"/>
          </w:tcPr>
          <w:p>
            <w:pPr>
              <w:spacing w:after="0"/>
              <w:rPr>
                <w:sz w:val="16"/>
                <w:szCs w:val="16"/>
                <w:color w:val="auto"/>
              </w:rPr>
            </w:pPr>
          </w:p>
        </w:tc>
        <w:tc>
          <w:tcPr>
            <w:tcW w:w="720" w:type="dxa"/>
            <w:vAlign w:val="bottom"/>
            <w:tcBorders>
              <w:right w:val="single" w:sz="8" w:color="007CBA"/>
            </w:tcBorders>
            <w:shd w:val="clear" w:color="auto" w:fill="007CBA"/>
          </w:tcPr>
          <w:p>
            <w:pPr>
              <w:spacing w:after="0"/>
              <w:rPr>
                <w:sz w:val="16"/>
                <w:szCs w:val="16"/>
                <w:color w:val="auto"/>
              </w:rPr>
            </w:pPr>
          </w:p>
        </w:tc>
        <w:tc>
          <w:tcPr>
            <w:tcW w:w="660" w:type="dxa"/>
            <w:vAlign w:val="bottom"/>
            <w:tcBorders>
              <w:right w:val="single" w:sz="8" w:color="007CBA"/>
            </w:tcBorders>
            <w:shd w:val="clear" w:color="auto" w:fill="007CBA"/>
          </w:tcPr>
          <w:p>
            <w:pPr>
              <w:spacing w:after="0"/>
              <w:rPr>
                <w:sz w:val="16"/>
                <w:szCs w:val="16"/>
                <w:color w:val="auto"/>
              </w:rPr>
            </w:pPr>
          </w:p>
        </w:tc>
        <w:tc>
          <w:tcPr>
            <w:tcW w:w="580" w:type="dxa"/>
            <w:vAlign w:val="bottom"/>
            <w:tcBorders>
              <w:right w:val="single" w:sz="8" w:color="007CBA"/>
            </w:tcBorders>
            <w:shd w:val="clear" w:color="auto" w:fill="007CBA"/>
          </w:tcPr>
          <w:p>
            <w:pPr>
              <w:spacing w:after="0"/>
              <w:rPr>
                <w:sz w:val="16"/>
                <w:szCs w:val="16"/>
                <w:color w:val="auto"/>
              </w:rPr>
            </w:pPr>
          </w:p>
        </w:tc>
        <w:tc>
          <w:tcPr>
            <w:tcW w:w="68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740" w:type="dxa"/>
            <w:vAlign w:val="bottom"/>
            <w:tcBorders>
              <w:right w:val="single" w:sz="8" w:color="007CBA"/>
            </w:tcBorders>
            <w:shd w:val="clear" w:color="auto" w:fill="007CBA"/>
          </w:tcPr>
          <w:p>
            <w:pPr>
              <w:spacing w:after="0"/>
              <w:rPr>
                <w:sz w:val="16"/>
                <w:szCs w:val="16"/>
                <w:color w:val="auto"/>
              </w:rPr>
            </w:pPr>
          </w:p>
        </w:tc>
        <w:tc>
          <w:tcPr>
            <w:tcW w:w="580" w:type="dxa"/>
            <w:vAlign w:val="bottom"/>
            <w:tcBorders>
              <w:right w:val="single" w:sz="8" w:color="007CBA"/>
            </w:tcBorders>
            <w:shd w:val="clear" w:color="auto" w:fill="007CBA"/>
          </w:tcPr>
          <w:p>
            <w:pPr>
              <w:spacing w:after="0"/>
              <w:rPr>
                <w:sz w:val="16"/>
                <w:szCs w:val="16"/>
                <w:color w:val="auto"/>
              </w:rPr>
            </w:pPr>
          </w:p>
        </w:tc>
        <w:tc>
          <w:tcPr>
            <w:tcW w:w="1000" w:type="dxa"/>
            <w:vAlign w:val="bottom"/>
            <w:tcBorders>
              <w:right w:val="single" w:sz="8" w:color="007CBA"/>
            </w:tcBorders>
            <w:gridSpan w:val="2"/>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Total Dollar</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Pattern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Potential</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70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Legal</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Appendix 1*</w:t>
            </w:r>
          </w:p>
        </w:tc>
        <w:tc>
          <w:tcPr>
            <w:tcW w:w="0" w:type="dxa"/>
            <w:vAlign w:val="bottom"/>
          </w:tcPr>
          <w:p>
            <w:pPr>
              <w:spacing w:after="0"/>
              <w:rPr>
                <w:sz w:val="1"/>
                <w:szCs w:val="1"/>
                <w:color w:val="auto"/>
              </w:rPr>
            </w:pPr>
          </w:p>
        </w:tc>
      </w:tr>
      <w:tr>
        <w:trPr>
          <w:trHeight w:val="135"/>
        </w:trPr>
        <w:tc>
          <w:tcPr>
            <w:tcW w:w="2180" w:type="dxa"/>
            <w:vAlign w:val="bottom"/>
            <w:tcBorders>
              <w:right w:val="single" w:sz="8" w:color="007CBA"/>
            </w:tcBorders>
            <w:shd w:val="clear" w:color="auto" w:fill="007CBA"/>
          </w:tcPr>
          <w:p>
            <w:pPr>
              <w:spacing w:after="0"/>
              <w:rPr>
                <w:sz w:val="11"/>
                <w:szCs w:val="11"/>
                <w:color w:val="auto"/>
              </w:rPr>
            </w:pPr>
          </w:p>
        </w:tc>
        <w:tc>
          <w:tcPr>
            <w:tcW w:w="720" w:type="dxa"/>
            <w:vAlign w:val="bottom"/>
            <w:tcBorders>
              <w:right w:val="single" w:sz="8" w:color="007CBA"/>
            </w:tcBorders>
            <w:shd w:val="clear" w:color="auto" w:fill="007CBA"/>
          </w:tcPr>
          <w:p>
            <w:pPr>
              <w:spacing w:after="0"/>
              <w:rPr>
                <w:sz w:val="11"/>
                <w:szCs w:val="11"/>
                <w:color w:val="auto"/>
              </w:rPr>
            </w:pPr>
          </w:p>
        </w:tc>
        <w:tc>
          <w:tcPr>
            <w:tcW w:w="660" w:type="dxa"/>
            <w:vAlign w:val="bottom"/>
            <w:tcBorders>
              <w:right w:val="single" w:sz="8" w:color="007CBA"/>
            </w:tcBorders>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680" w:type="dxa"/>
            <w:vAlign w:val="bottom"/>
            <w:tcBorders>
              <w:right w:val="single" w:sz="8" w:color="007CBA"/>
            </w:tcBorders>
            <w:vMerge w:val="continue"/>
            <w:shd w:val="clear" w:color="auto" w:fill="007CBA"/>
          </w:tcPr>
          <w:p>
            <w:pPr>
              <w:spacing w:after="0"/>
              <w:rPr>
                <w:sz w:val="11"/>
                <w:szCs w:val="11"/>
                <w:color w:val="auto"/>
              </w:rPr>
            </w:pPr>
          </w:p>
        </w:tc>
        <w:tc>
          <w:tcPr>
            <w:tcW w:w="740" w:type="dxa"/>
            <w:vAlign w:val="bottom"/>
            <w:tcBorders>
              <w:right w:val="single" w:sz="8" w:color="007CBA"/>
            </w:tcBorders>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1000" w:type="dxa"/>
            <w:vAlign w:val="bottom"/>
            <w:tcBorders>
              <w:right w:val="single" w:sz="8" w:color="007CBA"/>
            </w:tcBorders>
            <w:gridSpan w:val="2"/>
            <w:vMerge w:val="continue"/>
            <w:shd w:val="clear" w:color="auto" w:fill="007CBA"/>
          </w:tcPr>
          <w:p>
            <w:pPr>
              <w:spacing w:after="0"/>
              <w:rPr>
                <w:sz w:val="11"/>
                <w:szCs w:val="11"/>
                <w:color w:val="auto"/>
              </w:rPr>
            </w:pPr>
          </w:p>
        </w:tc>
        <w:tc>
          <w:tcPr>
            <w:tcW w:w="70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Number</w:t>
            </w:r>
          </w:p>
        </w:tc>
        <w:tc>
          <w:tcPr>
            <w:tcW w:w="68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to have</w:t>
            </w:r>
          </w:p>
        </w:tc>
        <w:tc>
          <w:tcPr>
            <w:tcW w:w="62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Pending</w:t>
            </w:r>
          </w:p>
        </w:tc>
        <w:tc>
          <w:tcPr>
            <w:tcW w:w="700" w:type="dxa"/>
            <w:vAlign w:val="bottom"/>
            <w:tcBorders>
              <w:right w:val="single" w:sz="8" w:color="007CBA"/>
            </w:tcBorders>
            <w:vMerge w:val="continue"/>
            <w:shd w:val="clear" w:color="auto" w:fill="007CBA"/>
          </w:tcPr>
          <w:p>
            <w:pPr>
              <w:spacing w:after="0"/>
              <w:rPr>
                <w:sz w:val="11"/>
                <w:szCs w:val="11"/>
                <w:color w:val="auto"/>
              </w:rPr>
            </w:pPr>
          </w:p>
        </w:tc>
        <w:tc>
          <w:tcPr>
            <w:tcW w:w="880" w:type="dxa"/>
            <w:vAlign w:val="bottom"/>
            <w:shd w:val="clear" w:color="auto" w:fill="007CBA"/>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104(d)</w:t>
            </w: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Value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Violation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Pattern</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as 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8"/>
              </w:rPr>
              <w:t>Legal</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1260" w:type="dxa"/>
            <w:vAlign w:val="bottom"/>
            <w:tcBorders>
              <w:right w:val="single" w:sz="8" w:color="007CBA"/>
            </w:tcBorders>
            <w:gridSpan w:val="2"/>
            <w:shd w:val="clear" w:color="auto" w:fill="007CBA"/>
          </w:tcPr>
          <w:p>
            <w:pPr>
              <w:ind w:left="40"/>
              <w:spacing w:after="0"/>
              <w:rPr>
                <w:sz w:val="20"/>
                <w:szCs w:val="20"/>
                <w:color w:val="auto"/>
              </w:rPr>
            </w:pPr>
            <w:r>
              <w:rPr>
                <w:rFonts w:ascii="Arial" w:cs="Arial" w:eastAsia="Arial" w:hAnsi="Arial"/>
                <w:sz w:val="14"/>
                <w:szCs w:val="14"/>
                <w:b w:val="1"/>
                <w:bCs w:val="1"/>
                <w:color w:val="FFFFFF"/>
              </w:rPr>
              <w:t>Section Citations</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Mining</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Under</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under</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Last</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Instituted</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 S&amp;S</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104(b)</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and</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110(b)(2)</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107(a)</w:t>
            </w: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MSHA</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Related</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Day 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During</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Resolved</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jc w:val="right"/>
              <w:ind w:right="108"/>
              <w:spacing w:after="0"/>
              <w:rPr>
                <w:sz w:val="20"/>
                <w:szCs w:val="20"/>
                <w:color w:val="auto"/>
              </w:rPr>
            </w:pPr>
            <w:r>
              <w:rPr>
                <w:rFonts w:ascii="Arial" w:cs="Arial" w:eastAsia="Arial" w:hAnsi="Arial"/>
                <w:sz w:val="14"/>
                <w:szCs w:val="14"/>
                <w:b w:val="1"/>
                <w:bCs w:val="1"/>
                <w:color w:val="FFFFFF"/>
              </w:rPr>
              <w:t>MSHA</w:t>
            </w: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Citations</w:t>
            </w:r>
          </w:p>
        </w:tc>
        <w:tc>
          <w:tcPr>
            <w:tcW w:w="5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Orders</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Orders</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Violations</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Orders</w:t>
            </w:r>
          </w:p>
        </w:tc>
        <w:tc>
          <w:tcPr>
            <w:tcW w:w="1000" w:type="dxa"/>
            <w:vAlign w:val="bottom"/>
            <w:tcBorders>
              <w:right w:val="single" w:sz="8" w:color="007CBA"/>
            </w:tcBorders>
            <w:gridSpan w:val="2"/>
            <w:shd w:val="clear" w:color="auto" w:fill="007CBA"/>
          </w:tcPr>
          <w:p>
            <w:pPr>
              <w:ind w:left="40"/>
              <w:spacing w:after="0"/>
              <w:rPr>
                <w:sz w:val="20"/>
                <w:szCs w:val="20"/>
                <w:color w:val="auto"/>
              </w:rPr>
            </w:pPr>
            <w:r>
              <w:rPr>
                <w:rFonts w:ascii="Arial" w:cs="Arial" w:eastAsia="Arial" w:hAnsi="Arial"/>
                <w:sz w:val="14"/>
                <w:szCs w:val="14"/>
                <w:b w:val="1"/>
                <w:bCs w:val="1"/>
                <w:color w:val="FFFFFF"/>
              </w:rPr>
              <w:t>Assessment/</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Fatalities</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104(e)</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During</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007CBA"/>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Location</w:t>
            </w:r>
          </w:p>
        </w:tc>
        <w:tc>
          <w:tcPr>
            <w:tcW w:w="720" w:type="dxa"/>
            <w:vAlign w:val="bottom"/>
            <w:tcBorders>
              <w:bottom w:val="single" w:sz="8" w:color="007CBA"/>
              <w:right w:val="single" w:sz="8" w:color="007CBA"/>
            </w:tcBorders>
            <w:shd w:val="clear" w:color="auto" w:fill="007CBA"/>
          </w:tcPr>
          <w:p>
            <w:pPr>
              <w:jc w:val="right"/>
              <w:ind w:right="248"/>
              <w:spacing w:after="0"/>
              <w:rPr>
                <w:sz w:val="20"/>
                <w:szCs w:val="20"/>
                <w:color w:val="auto"/>
              </w:rPr>
            </w:pPr>
            <w:r>
              <w:rPr>
                <w:rFonts w:ascii="Arial" w:cs="Arial" w:eastAsia="Arial" w:hAnsi="Arial"/>
                <w:sz w:val="14"/>
                <w:szCs w:val="14"/>
                <w:b w:val="1"/>
                <w:bCs w:val="1"/>
                <w:color w:val="FFFFFF"/>
              </w:rPr>
              <w:t>ID</w:t>
            </w:r>
          </w:p>
        </w:tc>
        <w:tc>
          <w:tcPr>
            <w:tcW w:w="66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5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3"/>
              </w:rPr>
              <w:t>(#)</w:t>
            </w:r>
          </w:p>
        </w:tc>
        <w:tc>
          <w:tcPr>
            <w:tcW w:w="5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1000" w:type="dxa"/>
            <w:vAlign w:val="bottom"/>
            <w:tcBorders>
              <w:bottom w:val="single" w:sz="8" w:color="007CBA"/>
              <w:right w:val="single" w:sz="8" w:color="007CBA"/>
            </w:tcBorders>
            <w:gridSpan w:val="2"/>
            <w:shd w:val="clear" w:color="auto" w:fill="007CBA"/>
          </w:tcPr>
          <w:p>
            <w:pPr>
              <w:jc w:val="center"/>
              <w:spacing w:after="0"/>
              <w:rPr>
                <w:sz w:val="20"/>
                <w:szCs w:val="20"/>
                <w:color w:val="auto"/>
              </w:rPr>
            </w:pPr>
            <w:r>
              <w:rPr>
                <w:rFonts w:ascii="Arial" w:cs="Arial" w:eastAsia="Arial" w:hAnsi="Arial"/>
                <w:sz w:val="14"/>
                <w:szCs w:val="14"/>
                <w:b w:val="1"/>
                <w:bCs w:val="1"/>
                <w:color w:val="FFFFFF"/>
              </w:rPr>
              <w:t>$Proposed</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(yes/no)</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(yes/no)</w:t>
            </w:r>
          </w:p>
        </w:tc>
        <w:tc>
          <w:tcPr>
            <w:tcW w:w="62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 (#)</w:t>
            </w: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Spring Valley Cook Rd SG</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3304534</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0"/>
                <w:szCs w:val="20"/>
                <w:color w:val="auto"/>
              </w:rPr>
            </w:pP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236</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Troy Gravel</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3301678</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spacing w:after="0"/>
              <w:rPr>
                <w:sz w:val="18"/>
                <w:szCs w:val="18"/>
                <w:color w:val="auto"/>
              </w:rPr>
            </w:pP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Waverly Sand</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1202038</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0"/>
                <w:szCs w:val="20"/>
                <w:color w:val="auto"/>
              </w:rPr>
            </w:pP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Xenia Gravel</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3301393</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Appling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901083</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Auburn Al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100006</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Auburn, GA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900436</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Augusta, GA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900065</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Ball Ground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900955</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Calhoun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4003395</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Chattanooga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4003159</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Cumming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900460</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558</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Douglasville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900024</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Edgefield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3800738</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236</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Jefferson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901106</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Junction City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901029</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Lithonia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900023</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Maylene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100634</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Morgan County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901126</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Newton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900899</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354</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O’Neal Plant Co 19</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103076</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bottom w:val="single" w:sz="8" w:color="007CBA"/>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Paulding Quarry</w:t>
            </w:r>
          </w:p>
        </w:tc>
        <w:tc>
          <w:tcPr>
            <w:tcW w:w="720" w:type="dxa"/>
            <w:vAlign w:val="bottom"/>
            <w:tcBorders>
              <w:bottom w:val="single" w:sz="8" w:color="007CBA"/>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901107</w:t>
            </w:r>
          </w:p>
        </w:tc>
        <w:tc>
          <w:tcPr>
            <w:tcW w:w="66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007CBA"/>
            </w:tcBorders>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07CBA"/>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236</w:t>
            </w:r>
          </w:p>
        </w:tc>
        <w:tc>
          <w:tcPr>
            <w:tcW w:w="70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tcBorders>
              <w:bottom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42" w:name="page143"/>
    <w:bookmarkEnd w:id="142"/>
    <w:tbl>
      <w:tblPr>
        <w:tblLayout w:type="fixed"/>
        <w:tblInd w:w="0" w:type="dxa"/>
        <w:tblCellMar>
          <w:top w:w="0" w:type="dxa"/>
          <w:left w:w="0" w:type="dxa"/>
          <w:bottom w:w="0" w:type="dxa"/>
          <w:right w:w="0" w:type="dxa"/>
        </w:tblCellMar>
      </w:tblPr>
      <w:tr>
        <w:trPr>
          <w:trHeight w:val="176"/>
        </w:trPr>
        <w:tc>
          <w:tcPr>
            <w:tcW w:w="2180" w:type="dxa"/>
            <w:vAlign w:val="bottom"/>
            <w:tcBorders>
              <w:right w:val="single" w:sz="8" w:color="007CBA"/>
            </w:tcBorders>
            <w:shd w:val="clear" w:color="auto" w:fill="007CBA"/>
          </w:tcPr>
          <w:p>
            <w:pPr>
              <w:spacing w:after="0"/>
              <w:rPr>
                <w:sz w:val="15"/>
                <w:szCs w:val="15"/>
                <w:color w:val="auto"/>
              </w:rPr>
            </w:pPr>
          </w:p>
        </w:tc>
        <w:tc>
          <w:tcPr>
            <w:tcW w:w="720" w:type="dxa"/>
            <w:vAlign w:val="bottom"/>
            <w:tcBorders>
              <w:right w:val="single" w:sz="8" w:color="007CBA"/>
            </w:tcBorders>
            <w:shd w:val="clear" w:color="auto" w:fill="007CBA"/>
          </w:tcPr>
          <w:p>
            <w:pPr>
              <w:spacing w:after="0"/>
              <w:rPr>
                <w:sz w:val="15"/>
                <w:szCs w:val="15"/>
                <w:color w:val="auto"/>
              </w:rPr>
            </w:pPr>
          </w:p>
        </w:tc>
        <w:tc>
          <w:tcPr>
            <w:tcW w:w="660" w:type="dxa"/>
            <w:vAlign w:val="bottom"/>
            <w:tcBorders>
              <w:right w:val="single" w:sz="8" w:color="007CBA"/>
            </w:tcBorders>
            <w:shd w:val="clear" w:color="auto" w:fill="007CBA"/>
          </w:tcPr>
          <w:p>
            <w:pPr>
              <w:spacing w:after="0"/>
              <w:rPr>
                <w:sz w:val="15"/>
                <w:szCs w:val="15"/>
                <w:color w:val="auto"/>
              </w:rPr>
            </w:pPr>
          </w:p>
        </w:tc>
        <w:tc>
          <w:tcPr>
            <w:tcW w:w="580" w:type="dxa"/>
            <w:vAlign w:val="bottom"/>
            <w:tcBorders>
              <w:right w:val="single" w:sz="8" w:color="007CBA"/>
            </w:tcBorders>
            <w:shd w:val="clear" w:color="auto" w:fill="007CBA"/>
          </w:tcPr>
          <w:p>
            <w:pPr>
              <w:spacing w:after="0"/>
              <w:rPr>
                <w:sz w:val="15"/>
                <w:szCs w:val="15"/>
                <w:color w:val="auto"/>
              </w:rPr>
            </w:pPr>
          </w:p>
        </w:tc>
        <w:tc>
          <w:tcPr>
            <w:tcW w:w="680" w:type="dxa"/>
            <w:vAlign w:val="bottom"/>
            <w:tcBorders>
              <w:right w:val="single" w:sz="8" w:color="007CBA"/>
            </w:tcBorders>
            <w:shd w:val="clear" w:color="auto" w:fill="007CBA"/>
          </w:tcPr>
          <w:p>
            <w:pPr>
              <w:spacing w:after="0"/>
              <w:rPr>
                <w:sz w:val="15"/>
                <w:szCs w:val="15"/>
                <w:color w:val="auto"/>
              </w:rPr>
            </w:pPr>
          </w:p>
        </w:tc>
        <w:tc>
          <w:tcPr>
            <w:tcW w:w="740" w:type="dxa"/>
            <w:vAlign w:val="bottom"/>
            <w:tcBorders>
              <w:right w:val="single" w:sz="8" w:color="007CBA"/>
            </w:tcBorders>
            <w:shd w:val="clear" w:color="auto" w:fill="007CBA"/>
          </w:tcPr>
          <w:p>
            <w:pPr>
              <w:spacing w:after="0"/>
              <w:rPr>
                <w:sz w:val="15"/>
                <w:szCs w:val="15"/>
                <w:color w:val="auto"/>
              </w:rPr>
            </w:pPr>
          </w:p>
        </w:tc>
        <w:tc>
          <w:tcPr>
            <w:tcW w:w="580" w:type="dxa"/>
            <w:vAlign w:val="bottom"/>
            <w:tcBorders>
              <w:right w:val="single" w:sz="8" w:color="007CBA"/>
            </w:tcBorders>
            <w:shd w:val="clear" w:color="auto" w:fill="007CBA"/>
          </w:tcPr>
          <w:p>
            <w:pPr>
              <w:spacing w:after="0"/>
              <w:rPr>
                <w:sz w:val="15"/>
                <w:szCs w:val="15"/>
                <w:color w:val="auto"/>
              </w:rPr>
            </w:pPr>
          </w:p>
        </w:tc>
        <w:tc>
          <w:tcPr>
            <w:tcW w:w="200" w:type="dxa"/>
            <w:vAlign w:val="bottom"/>
            <w:shd w:val="clear" w:color="auto" w:fill="007CBA"/>
          </w:tcPr>
          <w:p>
            <w:pPr>
              <w:spacing w:after="0"/>
              <w:rPr>
                <w:sz w:val="15"/>
                <w:szCs w:val="15"/>
                <w:color w:val="auto"/>
              </w:rPr>
            </w:pPr>
          </w:p>
        </w:tc>
        <w:tc>
          <w:tcPr>
            <w:tcW w:w="800" w:type="dxa"/>
            <w:vAlign w:val="bottom"/>
            <w:tcBorders>
              <w:right w:val="single" w:sz="8" w:color="007CBA"/>
            </w:tcBorders>
            <w:shd w:val="clear" w:color="auto" w:fill="007CBA"/>
          </w:tcPr>
          <w:p>
            <w:pPr>
              <w:spacing w:after="0"/>
              <w:rPr>
                <w:sz w:val="15"/>
                <w:szCs w:val="15"/>
                <w:color w:val="auto"/>
              </w:rPr>
            </w:pPr>
          </w:p>
        </w:tc>
        <w:tc>
          <w:tcPr>
            <w:tcW w:w="700" w:type="dxa"/>
            <w:vAlign w:val="bottom"/>
            <w:tcBorders>
              <w:right w:val="single" w:sz="8" w:color="007CBA"/>
            </w:tcBorders>
            <w:shd w:val="clear" w:color="auto" w:fill="007CBA"/>
          </w:tcPr>
          <w:p>
            <w:pPr>
              <w:spacing w:after="0"/>
              <w:rPr>
                <w:sz w:val="15"/>
                <w:szCs w:val="15"/>
                <w:color w:val="auto"/>
              </w:rPr>
            </w:pPr>
          </w:p>
        </w:tc>
        <w:tc>
          <w:tcPr>
            <w:tcW w:w="1380" w:type="dxa"/>
            <w:vAlign w:val="bottom"/>
            <w:tcBorders>
              <w:right w:val="single" w:sz="8" w:color="007CBA"/>
            </w:tcBorders>
            <w:gridSpan w:val="2"/>
            <w:shd w:val="clear" w:color="auto" w:fill="007CBA"/>
          </w:tcPr>
          <w:p>
            <w:pPr>
              <w:ind w:left="20"/>
              <w:spacing w:after="0"/>
              <w:rPr>
                <w:sz w:val="20"/>
                <w:szCs w:val="20"/>
                <w:color w:val="auto"/>
              </w:rPr>
            </w:pPr>
            <w:r>
              <w:rPr>
                <w:rFonts w:ascii="Arial" w:cs="Arial" w:eastAsia="Arial" w:hAnsi="Arial"/>
                <w:sz w:val="14"/>
                <w:szCs w:val="14"/>
                <w:b w:val="1"/>
                <w:bCs w:val="1"/>
                <w:color w:val="FFFFFF"/>
              </w:rPr>
              <w:t>Received Received</w:t>
            </w:r>
          </w:p>
        </w:tc>
        <w:tc>
          <w:tcPr>
            <w:tcW w:w="620" w:type="dxa"/>
            <w:vAlign w:val="bottom"/>
            <w:tcBorders>
              <w:right w:val="single" w:sz="8" w:color="007CBA"/>
            </w:tcBorders>
            <w:shd w:val="clear" w:color="auto" w:fill="007CBA"/>
          </w:tcPr>
          <w:p>
            <w:pPr>
              <w:spacing w:after="0"/>
              <w:rPr>
                <w:sz w:val="15"/>
                <w:szCs w:val="15"/>
                <w:color w:val="auto"/>
              </w:rPr>
            </w:pPr>
          </w:p>
        </w:tc>
        <w:tc>
          <w:tcPr>
            <w:tcW w:w="700" w:type="dxa"/>
            <w:vAlign w:val="bottom"/>
            <w:tcBorders>
              <w:right w:val="single" w:sz="8" w:color="007CBA"/>
            </w:tcBorders>
            <w:shd w:val="clear" w:color="auto" w:fill="007CBA"/>
          </w:tcPr>
          <w:p>
            <w:pPr>
              <w:spacing w:after="0"/>
              <w:rPr>
                <w:sz w:val="15"/>
                <w:szCs w:val="15"/>
                <w:color w:val="auto"/>
              </w:rPr>
            </w:pPr>
          </w:p>
        </w:tc>
        <w:tc>
          <w:tcPr>
            <w:tcW w:w="880" w:type="dxa"/>
            <w:vAlign w:val="bottom"/>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Notice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Notice</w:t>
            </w:r>
          </w:p>
        </w:tc>
        <w:tc>
          <w:tcPr>
            <w:tcW w:w="62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88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Legal</w:t>
            </w:r>
          </w:p>
        </w:tc>
        <w:tc>
          <w:tcPr>
            <w:tcW w:w="700" w:type="dxa"/>
            <w:vAlign w:val="bottom"/>
            <w:tcBorders>
              <w:right w:val="single" w:sz="8" w:color="007CBA"/>
            </w:tcBorders>
            <w:shd w:val="clear" w:color="auto" w:fill="007CBA"/>
          </w:tcPr>
          <w:p>
            <w:pPr>
              <w:spacing w:after="0"/>
              <w:rPr>
                <w:sz w:val="14"/>
                <w:szCs w:val="14"/>
                <w:color w:val="auto"/>
              </w:rPr>
            </w:pPr>
          </w:p>
        </w:tc>
        <w:tc>
          <w:tcPr>
            <w:tcW w:w="88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80" w:type="dxa"/>
            <w:vAlign w:val="bottom"/>
            <w:tcBorders>
              <w:right w:val="single" w:sz="8" w:color="007CBA"/>
            </w:tcBorders>
            <w:shd w:val="clear" w:color="auto" w:fill="007CBA"/>
          </w:tcPr>
          <w:p>
            <w:pPr>
              <w:spacing w:after="0"/>
              <w:rPr>
                <w:sz w:val="16"/>
                <w:szCs w:val="16"/>
                <w:color w:val="auto"/>
              </w:rPr>
            </w:pPr>
          </w:p>
        </w:tc>
        <w:tc>
          <w:tcPr>
            <w:tcW w:w="720" w:type="dxa"/>
            <w:vAlign w:val="bottom"/>
            <w:tcBorders>
              <w:right w:val="single" w:sz="8" w:color="007CBA"/>
            </w:tcBorders>
            <w:shd w:val="clear" w:color="auto" w:fill="007CBA"/>
          </w:tcPr>
          <w:p>
            <w:pPr>
              <w:spacing w:after="0"/>
              <w:rPr>
                <w:sz w:val="16"/>
                <w:szCs w:val="16"/>
                <w:color w:val="auto"/>
              </w:rPr>
            </w:pPr>
          </w:p>
        </w:tc>
        <w:tc>
          <w:tcPr>
            <w:tcW w:w="660" w:type="dxa"/>
            <w:vAlign w:val="bottom"/>
            <w:tcBorders>
              <w:right w:val="single" w:sz="8" w:color="007CBA"/>
            </w:tcBorders>
            <w:shd w:val="clear" w:color="auto" w:fill="007CBA"/>
          </w:tcPr>
          <w:p>
            <w:pPr>
              <w:spacing w:after="0"/>
              <w:rPr>
                <w:sz w:val="16"/>
                <w:szCs w:val="16"/>
                <w:color w:val="auto"/>
              </w:rPr>
            </w:pPr>
          </w:p>
        </w:tc>
        <w:tc>
          <w:tcPr>
            <w:tcW w:w="580" w:type="dxa"/>
            <w:vAlign w:val="bottom"/>
            <w:tcBorders>
              <w:right w:val="single" w:sz="8" w:color="007CBA"/>
            </w:tcBorders>
            <w:shd w:val="clear" w:color="auto" w:fill="007CBA"/>
          </w:tcPr>
          <w:p>
            <w:pPr>
              <w:spacing w:after="0"/>
              <w:rPr>
                <w:sz w:val="16"/>
                <w:szCs w:val="16"/>
                <w:color w:val="auto"/>
              </w:rPr>
            </w:pPr>
          </w:p>
        </w:tc>
        <w:tc>
          <w:tcPr>
            <w:tcW w:w="68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740" w:type="dxa"/>
            <w:vAlign w:val="bottom"/>
            <w:tcBorders>
              <w:right w:val="single" w:sz="8" w:color="007CBA"/>
            </w:tcBorders>
            <w:shd w:val="clear" w:color="auto" w:fill="007CBA"/>
          </w:tcPr>
          <w:p>
            <w:pPr>
              <w:spacing w:after="0"/>
              <w:rPr>
                <w:sz w:val="16"/>
                <w:szCs w:val="16"/>
                <w:color w:val="auto"/>
              </w:rPr>
            </w:pPr>
          </w:p>
        </w:tc>
        <w:tc>
          <w:tcPr>
            <w:tcW w:w="580" w:type="dxa"/>
            <w:vAlign w:val="bottom"/>
            <w:tcBorders>
              <w:right w:val="single" w:sz="8" w:color="007CBA"/>
            </w:tcBorders>
            <w:shd w:val="clear" w:color="auto" w:fill="007CBA"/>
          </w:tcPr>
          <w:p>
            <w:pPr>
              <w:spacing w:after="0"/>
              <w:rPr>
                <w:sz w:val="16"/>
                <w:szCs w:val="16"/>
                <w:color w:val="auto"/>
              </w:rPr>
            </w:pPr>
          </w:p>
        </w:tc>
        <w:tc>
          <w:tcPr>
            <w:tcW w:w="1000" w:type="dxa"/>
            <w:vAlign w:val="bottom"/>
            <w:tcBorders>
              <w:right w:val="single" w:sz="8" w:color="007CBA"/>
            </w:tcBorders>
            <w:gridSpan w:val="2"/>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Total Dollar</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Pattern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Potential</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70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Legal</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Appendix 1*</w:t>
            </w:r>
          </w:p>
        </w:tc>
        <w:tc>
          <w:tcPr>
            <w:tcW w:w="0" w:type="dxa"/>
            <w:vAlign w:val="bottom"/>
          </w:tcPr>
          <w:p>
            <w:pPr>
              <w:spacing w:after="0"/>
              <w:rPr>
                <w:sz w:val="1"/>
                <w:szCs w:val="1"/>
                <w:color w:val="auto"/>
              </w:rPr>
            </w:pPr>
          </w:p>
        </w:tc>
      </w:tr>
      <w:tr>
        <w:trPr>
          <w:trHeight w:val="135"/>
        </w:trPr>
        <w:tc>
          <w:tcPr>
            <w:tcW w:w="2180" w:type="dxa"/>
            <w:vAlign w:val="bottom"/>
            <w:tcBorders>
              <w:right w:val="single" w:sz="8" w:color="007CBA"/>
            </w:tcBorders>
            <w:shd w:val="clear" w:color="auto" w:fill="007CBA"/>
          </w:tcPr>
          <w:p>
            <w:pPr>
              <w:spacing w:after="0"/>
              <w:rPr>
                <w:sz w:val="11"/>
                <w:szCs w:val="11"/>
                <w:color w:val="auto"/>
              </w:rPr>
            </w:pPr>
          </w:p>
        </w:tc>
        <w:tc>
          <w:tcPr>
            <w:tcW w:w="720" w:type="dxa"/>
            <w:vAlign w:val="bottom"/>
            <w:tcBorders>
              <w:right w:val="single" w:sz="8" w:color="007CBA"/>
            </w:tcBorders>
            <w:shd w:val="clear" w:color="auto" w:fill="007CBA"/>
          </w:tcPr>
          <w:p>
            <w:pPr>
              <w:spacing w:after="0"/>
              <w:rPr>
                <w:sz w:val="11"/>
                <w:szCs w:val="11"/>
                <w:color w:val="auto"/>
              </w:rPr>
            </w:pPr>
          </w:p>
        </w:tc>
        <w:tc>
          <w:tcPr>
            <w:tcW w:w="660" w:type="dxa"/>
            <w:vAlign w:val="bottom"/>
            <w:tcBorders>
              <w:right w:val="single" w:sz="8" w:color="007CBA"/>
            </w:tcBorders>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680" w:type="dxa"/>
            <w:vAlign w:val="bottom"/>
            <w:tcBorders>
              <w:right w:val="single" w:sz="8" w:color="007CBA"/>
            </w:tcBorders>
            <w:vMerge w:val="continue"/>
            <w:shd w:val="clear" w:color="auto" w:fill="007CBA"/>
          </w:tcPr>
          <w:p>
            <w:pPr>
              <w:spacing w:after="0"/>
              <w:rPr>
                <w:sz w:val="11"/>
                <w:szCs w:val="11"/>
                <w:color w:val="auto"/>
              </w:rPr>
            </w:pPr>
          </w:p>
        </w:tc>
        <w:tc>
          <w:tcPr>
            <w:tcW w:w="740" w:type="dxa"/>
            <w:vAlign w:val="bottom"/>
            <w:tcBorders>
              <w:right w:val="single" w:sz="8" w:color="007CBA"/>
            </w:tcBorders>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1000" w:type="dxa"/>
            <w:vAlign w:val="bottom"/>
            <w:tcBorders>
              <w:right w:val="single" w:sz="8" w:color="007CBA"/>
            </w:tcBorders>
            <w:gridSpan w:val="2"/>
            <w:vMerge w:val="continue"/>
            <w:shd w:val="clear" w:color="auto" w:fill="007CBA"/>
          </w:tcPr>
          <w:p>
            <w:pPr>
              <w:spacing w:after="0"/>
              <w:rPr>
                <w:sz w:val="11"/>
                <w:szCs w:val="11"/>
                <w:color w:val="auto"/>
              </w:rPr>
            </w:pPr>
          </w:p>
        </w:tc>
        <w:tc>
          <w:tcPr>
            <w:tcW w:w="70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Number</w:t>
            </w:r>
          </w:p>
        </w:tc>
        <w:tc>
          <w:tcPr>
            <w:tcW w:w="68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to have</w:t>
            </w:r>
          </w:p>
        </w:tc>
        <w:tc>
          <w:tcPr>
            <w:tcW w:w="62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Pending</w:t>
            </w:r>
          </w:p>
        </w:tc>
        <w:tc>
          <w:tcPr>
            <w:tcW w:w="700" w:type="dxa"/>
            <w:vAlign w:val="bottom"/>
            <w:tcBorders>
              <w:right w:val="single" w:sz="8" w:color="007CBA"/>
            </w:tcBorders>
            <w:vMerge w:val="continue"/>
            <w:shd w:val="clear" w:color="auto" w:fill="007CBA"/>
          </w:tcPr>
          <w:p>
            <w:pPr>
              <w:spacing w:after="0"/>
              <w:rPr>
                <w:sz w:val="11"/>
                <w:szCs w:val="11"/>
                <w:color w:val="auto"/>
              </w:rPr>
            </w:pPr>
          </w:p>
        </w:tc>
        <w:tc>
          <w:tcPr>
            <w:tcW w:w="880" w:type="dxa"/>
            <w:vAlign w:val="bottom"/>
            <w:shd w:val="clear" w:color="auto" w:fill="007CBA"/>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104(d)</w:t>
            </w: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Value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Violation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Pattern</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as 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8"/>
              </w:rPr>
              <w:t>Legal</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1260" w:type="dxa"/>
            <w:vAlign w:val="bottom"/>
            <w:tcBorders>
              <w:right w:val="single" w:sz="8" w:color="007CBA"/>
            </w:tcBorders>
            <w:gridSpan w:val="2"/>
            <w:shd w:val="clear" w:color="auto" w:fill="007CBA"/>
          </w:tcPr>
          <w:p>
            <w:pPr>
              <w:ind w:left="40"/>
              <w:spacing w:after="0"/>
              <w:rPr>
                <w:sz w:val="20"/>
                <w:szCs w:val="20"/>
                <w:color w:val="auto"/>
              </w:rPr>
            </w:pPr>
            <w:r>
              <w:rPr>
                <w:rFonts w:ascii="Arial" w:cs="Arial" w:eastAsia="Arial" w:hAnsi="Arial"/>
                <w:sz w:val="14"/>
                <w:szCs w:val="14"/>
                <w:b w:val="1"/>
                <w:bCs w:val="1"/>
                <w:color w:val="FFFFFF"/>
              </w:rPr>
              <w:t>Section Citations</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Mining</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Under</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under</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Last</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Instituted</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 S&amp;S</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104(b)</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and</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110(b)(2)</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107(a)</w:t>
            </w: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MSHA</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Related</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Day 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During</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Resolved</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jc w:val="right"/>
              <w:ind w:right="108"/>
              <w:spacing w:after="0"/>
              <w:rPr>
                <w:sz w:val="20"/>
                <w:szCs w:val="20"/>
                <w:color w:val="auto"/>
              </w:rPr>
            </w:pPr>
            <w:r>
              <w:rPr>
                <w:rFonts w:ascii="Arial" w:cs="Arial" w:eastAsia="Arial" w:hAnsi="Arial"/>
                <w:sz w:val="14"/>
                <w:szCs w:val="14"/>
                <w:b w:val="1"/>
                <w:bCs w:val="1"/>
                <w:color w:val="FFFFFF"/>
              </w:rPr>
              <w:t>MSHA</w:t>
            </w: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Citations</w:t>
            </w:r>
          </w:p>
        </w:tc>
        <w:tc>
          <w:tcPr>
            <w:tcW w:w="5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Orders</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Orders</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Violations</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Orders</w:t>
            </w:r>
          </w:p>
        </w:tc>
        <w:tc>
          <w:tcPr>
            <w:tcW w:w="1000" w:type="dxa"/>
            <w:vAlign w:val="bottom"/>
            <w:tcBorders>
              <w:right w:val="single" w:sz="8" w:color="007CBA"/>
            </w:tcBorders>
            <w:gridSpan w:val="2"/>
            <w:shd w:val="clear" w:color="auto" w:fill="007CBA"/>
          </w:tcPr>
          <w:p>
            <w:pPr>
              <w:ind w:left="40"/>
              <w:spacing w:after="0"/>
              <w:rPr>
                <w:sz w:val="20"/>
                <w:szCs w:val="20"/>
                <w:color w:val="auto"/>
              </w:rPr>
            </w:pPr>
            <w:r>
              <w:rPr>
                <w:rFonts w:ascii="Arial" w:cs="Arial" w:eastAsia="Arial" w:hAnsi="Arial"/>
                <w:sz w:val="14"/>
                <w:szCs w:val="14"/>
                <w:b w:val="1"/>
                <w:bCs w:val="1"/>
                <w:color w:val="FFFFFF"/>
              </w:rPr>
              <w:t>Assessment/</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Fatalities</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104(e)</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During</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007CBA"/>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Location</w:t>
            </w:r>
          </w:p>
        </w:tc>
        <w:tc>
          <w:tcPr>
            <w:tcW w:w="720" w:type="dxa"/>
            <w:vAlign w:val="bottom"/>
            <w:tcBorders>
              <w:bottom w:val="single" w:sz="8" w:color="007CBA"/>
              <w:right w:val="single" w:sz="8" w:color="007CBA"/>
            </w:tcBorders>
            <w:shd w:val="clear" w:color="auto" w:fill="007CBA"/>
          </w:tcPr>
          <w:p>
            <w:pPr>
              <w:jc w:val="right"/>
              <w:ind w:right="248"/>
              <w:spacing w:after="0"/>
              <w:rPr>
                <w:sz w:val="20"/>
                <w:szCs w:val="20"/>
                <w:color w:val="auto"/>
              </w:rPr>
            </w:pPr>
            <w:r>
              <w:rPr>
                <w:rFonts w:ascii="Arial" w:cs="Arial" w:eastAsia="Arial" w:hAnsi="Arial"/>
                <w:sz w:val="14"/>
                <w:szCs w:val="14"/>
                <w:b w:val="1"/>
                <w:bCs w:val="1"/>
                <w:color w:val="FFFFFF"/>
              </w:rPr>
              <w:t>ID</w:t>
            </w:r>
          </w:p>
        </w:tc>
        <w:tc>
          <w:tcPr>
            <w:tcW w:w="66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5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3"/>
              </w:rPr>
              <w:t>(#)</w:t>
            </w:r>
          </w:p>
        </w:tc>
        <w:tc>
          <w:tcPr>
            <w:tcW w:w="5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1000" w:type="dxa"/>
            <w:vAlign w:val="bottom"/>
            <w:tcBorders>
              <w:bottom w:val="single" w:sz="8" w:color="007CBA"/>
              <w:right w:val="single" w:sz="8" w:color="007CBA"/>
            </w:tcBorders>
            <w:gridSpan w:val="2"/>
            <w:shd w:val="clear" w:color="auto" w:fill="007CBA"/>
          </w:tcPr>
          <w:p>
            <w:pPr>
              <w:jc w:val="center"/>
              <w:spacing w:after="0"/>
              <w:rPr>
                <w:sz w:val="20"/>
                <w:szCs w:val="20"/>
                <w:color w:val="auto"/>
              </w:rPr>
            </w:pPr>
            <w:r>
              <w:rPr>
                <w:rFonts w:ascii="Arial" w:cs="Arial" w:eastAsia="Arial" w:hAnsi="Arial"/>
                <w:sz w:val="14"/>
                <w:szCs w:val="14"/>
                <w:b w:val="1"/>
                <w:bCs w:val="1"/>
                <w:color w:val="FFFFFF"/>
              </w:rPr>
              <w:t>$Proposed</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(yes/no)</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(yes/no)</w:t>
            </w:r>
          </w:p>
        </w:tc>
        <w:tc>
          <w:tcPr>
            <w:tcW w:w="62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 (#)</w:t>
            </w: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Perry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801083</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Red Oak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900069</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Ruby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900074</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Six Mile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901144</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St. Marys Sand Company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901199</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236</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Tyrone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900306</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Vance Quarry Co 19</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103022</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Warrenton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900580</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Alden Portable Plant #2</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1302033</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281</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84"/>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Alden Portable Sand</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1302037</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472</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Alden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1300228</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2</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1,648</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Ames Mine</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1300014</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1,634</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Cedar Rapids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1300122</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461</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Des Moines Portable (Plant</w:t>
            </w:r>
          </w:p>
        </w:tc>
        <w:tc>
          <w:tcPr>
            <w:tcW w:w="720" w:type="dxa"/>
            <w:vAlign w:val="bottom"/>
            <w:tcBorders>
              <w:right w:val="single" w:sz="8" w:color="007CBA"/>
            </w:tcBorders>
          </w:tcPr>
          <w:p>
            <w:pPr>
              <w:spacing w:after="0"/>
              <w:rPr>
                <w:sz w:val="19"/>
                <w:szCs w:val="19"/>
                <w:color w:val="auto"/>
              </w:rPr>
            </w:pPr>
          </w:p>
        </w:tc>
        <w:tc>
          <w:tcPr>
            <w:tcW w:w="660" w:type="dxa"/>
            <w:vAlign w:val="bottom"/>
            <w:tcBorders>
              <w:right w:val="single" w:sz="8" w:color="007CBA"/>
            </w:tcBorders>
          </w:tcPr>
          <w:p>
            <w:pPr>
              <w:spacing w:after="0"/>
              <w:rPr>
                <w:sz w:val="19"/>
                <w:szCs w:val="19"/>
                <w:color w:val="auto"/>
              </w:rPr>
            </w:pPr>
          </w:p>
        </w:tc>
        <w:tc>
          <w:tcPr>
            <w:tcW w:w="580" w:type="dxa"/>
            <w:vAlign w:val="bottom"/>
            <w:tcBorders>
              <w:right w:val="single" w:sz="8" w:color="007CBA"/>
            </w:tcBorders>
          </w:tcPr>
          <w:p>
            <w:pPr>
              <w:spacing w:after="0"/>
              <w:rPr>
                <w:sz w:val="19"/>
                <w:szCs w:val="19"/>
                <w:color w:val="auto"/>
              </w:rPr>
            </w:pPr>
          </w:p>
        </w:tc>
        <w:tc>
          <w:tcPr>
            <w:tcW w:w="680" w:type="dxa"/>
            <w:vAlign w:val="bottom"/>
            <w:tcBorders>
              <w:right w:val="single" w:sz="8" w:color="007CBA"/>
            </w:tcBorders>
          </w:tcPr>
          <w:p>
            <w:pPr>
              <w:spacing w:after="0"/>
              <w:rPr>
                <w:sz w:val="19"/>
                <w:szCs w:val="19"/>
                <w:color w:val="auto"/>
              </w:rPr>
            </w:pPr>
          </w:p>
        </w:tc>
        <w:tc>
          <w:tcPr>
            <w:tcW w:w="740" w:type="dxa"/>
            <w:vAlign w:val="bottom"/>
            <w:tcBorders>
              <w:right w:val="single" w:sz="8" w:color="007CBA"/>
            </w:tcBorders>
          </w:tcPr>
          <w:p>
            <w:pPr>
              <w:spacing w:after="0"/>
              <w:rPr>
                <w:sz w:val="19"/>
                <w:szCs w:val="19"/>
                <w:color w:val="auto"/>
              </w:rPr>
            </w:pPr>
          </w:p>
        </w:tc>
        <w:tc>
          <w:tcPr>
            <w:tcW w:w="580" w:type="dxa"/>
            <w:vAlign w:val="bottom"/>
            <w:tcBorders>
              <w:right w:val="single" w:sz="8" w:color="007CBA"/>
            </w:tcBorders>
          </w:tcPr>
          <w:p>
            <w:pPr>
              <w:spacing w:after="0"/>
              <w:rPr>
                <w:sz w:val="19"/>
                <w:szCs w:val="19"/>
                <w:color w:val="auto"/>
              </w:rPr>
            </w:pPr>
          </w:p>
        </w:tc>
        <w:tc>
          <w:tcPr>
            <w:tcW w:w="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vMerge w:val="restart"/>
          </w:tcPr>
          <w:p>
            <w:pPr>
              <w:jc w:val="right"/>
              <w:spacing w:after="0"/>
              <w:rPr>
                <w:sz w:val="20"/>
                <w:szCs w:val="20"/>
                <w:color w:val="auto"/>
              </w:rPr>
            </w:pPr>
            <w:r>
              <w:rPr>
                <w:rFonts w:ascii="Arial" w:cs="Arial" w:eastAsia="Arial" w:hAnsi="Arial"/>
                <w:sz w:val="14"/>
                <w:szCs w:val="14"/>
                <w:b w:val="1"/>
                <w:bCs w:val="1"/>
                <w:color w:val="auto"/>
              </w:rPr>
              <w:t>3,314</w:t>
            </w:r>
          </w:p>
        </w:tc>
        <w:tc>
          <w:tcPr>
            <w:tcW w:w="700" w:type="dxa"/>
            <w:vAlign w:val="bottom"/>
            <w:tcBorders>
              <w:right w:val="single" w:sz="8" w:color="007CBA"/>
            </w:tcBorders>
          </w:tcPr>
          <w:p>
            <w:pPr>
              <w:spacing w:after="0"/>
              <w:rPr>
                <w:sz w:val="19"/>
                <w:szCs w:val="19"/>
                <w:color w:val="auto"/>
              </w:rPr>
            </w:pPr>
          </w:p>
        </w:tc>
        <w:tc>
          <w:tcPr>
            <w:tcW w:w="680" w:type="dxa"/>
            <w:vAlign w:val="bottom"/>
            <w:tcBorders>
              <w:right w:val="single" w:sz="8" w:color="007CBA"/>
            </w:tcBorders>
          </w:tcPr>
          <w:p>
            <w:pPr>
              <w:spacing w:after="0"/>
              <w:rPr>
                <w:sz w:val="19"/>
                <w:szCs w:val="19"/>
                <w:color w:val="auto"/>
              </w:rPr>
            </w:pPr>
          </w:p>
        </w:tc>
        <w:tc>
          <w:tcPr>
            <w:tcW w:w="700" w:type="dxa"/>
            <w:vAlign w:val="bottom"/>
            <w:tcBorders>
              <w:right w:val="single" w:sz="8" w:color="007CBA"/>
            </w:tcBorders>
          </w:tcPr>
          <w:p>
            <w:pPr>
              <w:spacing w:after="0"/>
              <w:rPr>
                <w:sz w:val="19"/>
                <w:szCs w:val="19"/>
                <w:color w:val="auto"/>
              </w:rPr>
            </w:pPr>
          </w:p>
        </w:tc>
        <w:tc>
          <w:tcPr>
            <w:tcW w:w="620" w:type="dxa"/>
            <w:vAlign w:val="bottom"/>
            <w:tcBorders>
              <w:right w:val="single" w:sz="8" w:color="007CBA"/>
            </w:tcBorders>
          </w:tcPr>
          <w:p>
            <w:pPr>
              <w:spacing w:after="0"/>
              <w:rPr>
                <w:sz w:val="19"/>
                <w:szCs w:val="19"/>
                <w:color w:val="auto"/>
              </w:rPr>
            </w:pPr>
          </w:p>
        </w:tc>
        <w:tc>
          <w:tcPr>
            <w:tcW w:w="700" w:type="dxa"/>
            <w:vAlign w:val="bottom"/>
            <w:tcBorders>
              <w:right w:val="single" w:sz="8" w:color="007CBA"/>
            </w:tcBorders>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861)</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1300150</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vMerge w:val="continue"/>
          </w:tcPr>
          <w:p>
            <w:pPr>
              <w:spacing w:after="0"/>
              <w:rPr>
                <w:sz w:val="14"/>
                <w:szCs w:val="14"/>
                <w:color w:val="auto"/>
              </w:rPr>
            </w:pPr>
          </w:p>
        </w:tc>
        <w:tc>
          <w:tcPr>
            <w:tcW w:w="800" w:type="dxa"/>
            <w:vAlign w:val="bottom"/>
            <w:tcBorders>
              <w:right w:val="single" w:sz="8" w:color="007CBA"/>
            </w:tcBorders>
            <w:vMerge w:val="continue"/>
          </w:tcPr>
          <w:p>
            <w:pPr>
              <w:spacing w:after="0"/>
              <w:rPr>
                <w:sz w:val="14"/>
                <w:szCs w:val="14"/>
                <w:color w:val="auto"/>
              </w:rPr>
            </w:pP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Dubois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2501046</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500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Durham Mine</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1301225</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2,076</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Earlham Quarry (Plant 862)</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1302123</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572</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Ferguson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1300124</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Fort Calhoun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2500006</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Fort Calhoun UG</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2501300</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Fort Dodge Mine</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1300032</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6</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9,795</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180" w:type="dxa"/>
            <w:vAlign w:val="bottom"/>
            <w:tcBorders>
              <w:bottom w:val="single" w:sz="8" w:color="007CBA"/>
              <w:right w:val="single" w:sz="8" w:color="007CBA"/>
            </w:tcBorders>
          </w:tcPr>
          <w:p>
            <w:pPr>
              <w:ind w:left="80"/>
              <w:spacing w:after="0"/>
              <w:rPr>
                <w:sz w:val="20"/>
                <w:szCs w:val="20"/>
                <w:color w:val="auto"/>
              </w:rPr>
            </w:pPr>
            <w:r>
              <w:rPr>
                <w:rFonts w:ascii="Arial" w:cs="Arial" w:eastAsia="Arial" w:hAnsi="Arial"/>
                <w:sz w:val="14"/>
                <w:szCs w:val="14"/>
                <w:color w:val="auto"/>
              </w:rPr>
              <w:t>Greenwood Quarry New</w:t>
            </w:r>
          </w:p>
        </w:tc>
        <w:tc>
          <w:tcPr>
            <w:tcW w:w="720" w:type="dxa"/>
            <w:vAlign w:val="bottom"/>
            <w:tcBorders>
              <w:bottom w:val="single" w:sz="8" w:color="007CBA"/>
              <w:right w:val="single" w:sz="8" w:color="007CBA"/>
            </w:tcBorders>
          </w:tcPr>
          <w:p>
            <w:pPr>
              <w:jc w:val="right"/>
              <w:ind w:right="8"/>
              <w:spacing w:after="0"/>
              <w:rPr>
                <w:sz w:val="20"/>
                <w:szCs w:val="20"/>
                <w:color w:val="auto"/>
              </w:rPr>
            </w:pPr>
            <w:r>
              <w:rPr>
                <w:rFonts w:ascii="Arial" w:cs="Arial" w:eastAsia="Arial" w:hAnsi="Arial"/>
                <w:sz w:val="14"/>
                <w:szCs w:val="14"/>
                <w:color w:val="auto"/>
              </w:rPr>
              <w:t>2300141</w:t>
            </w:r>
          </w:p>
        </w:tc>
        <w:tc>
          <w:tcPr>
            <w:tcW w:w="66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007CBA"/>
            </w:tcBorders>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07CBA"/>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Borders>
              <w:bottom w:val="single" w:sz="8" w:color="007CBA"/>
            </w:tcBorders>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43" w:name="page144"/>
    <w:bookmarkEnd w:id="143"/>
    <w:tbl>
      <w:tblPr>
        <w:tblLayout w:type="fixed"/>
        <w:tblInd w:w="0" w:type="dxa"/>
        <w:tblCellMar>
          <w:top w:w="0" w:type="dxa"/>
          <w:left w:w="0" w:type="dxa"/>
          <w:bottom w:w="0" w:type="dxa"/>
          <w:right w:w="0" w:type="dxa"/>
        </w:tblCellMar>
      </w:tblPr>
      <w:tr>
        <w:trPr>
          <w:trHeight w:val="176"/>
        </w:trPr>
        <w:tc>
          <w:tcPr>
            <w:tcW w:w="2180" w:type="dxa"/>
            <w:vAlign w:val="bottom"/>
            <w:tcBorders>
              <w:right w:val="single" w:sz="8" w:color="007CBA"/>
            </w:tcBorders>
            <w:shd w:val="clear" w:color="auto" w:fill="007CBA"/>
          </w:tcPr>
          <w:p>
            <w:pPr>
              <w:spacing w:after="0"/>
              <w:rPr>
                <w:sz w:val="15"/>
                <w:szCs w:val="15"/>
                <w:color w:val="auto"/>
              </w:rPr>
            </w:pPr>
          </w:p>
        </w:tc>
        <w:tc>
          <w:tcPr>
            <w:tcW w:w="720" w:type="dxa"/>
            <w:vAlign w:val="bottom"/>
            <w:tcBorders>
              <w:right w:val="single" w:sz="8" w:color="007CBA"/>
            </w:tcBorders>
            <w:shd w:val="clear" w:color="auto" w:fill="007CBA"/>
          </w:tcPr>
          <w:p>
            <w:pPr>
              <w:spacing w:after="0"/>
              <w:rPr>
                <w:sz w:val="15"/>
                <w:szCs w:val="15"/>
                <w:color w:val="auto"/>
              </w:rPr>
            </w:pPr>
          </w:p>
        </w:tc>
        <w:tc>
          <w:tcPr>
            <w:tcW w:w="660" w:type="dxa"/>
            <w:vAlign w:val="bottom"/>
            <w:tcBorders>
              <w:right w:val="single" w:sz="8" w:color="007CBA"/>
            </w:tcBorders>
            <w:shd w:val="clear" w:color="auto" w:fill="007CBA"/>
          </w:tcPr>
          <w:p>
            <w:pPr>
              <w:spacing w:after="0"/>
              <w:rPr>
                <w:sz w:val="15"/>
                <w:szCs w:val="15"/>
                <w:color w:val="auto"/>
              </w:rPr>
            </w:pPr>
          </w:p>
        </w:tc>
        <w:tc>
          <w:tcPr>
            <w:tcW w:w="580" w:type="dxa"/>
            <w:vAlign w:val="bottom"/>
            <w:tcBorders>
              <w:right w:val="single" w:sz="8" w:color="007CBA"/>
            </w:tcBorders>
            <w:shd w:val="clear" w:color="auto" w:fill="007CBA"/>
          </w:tcPr>
          <w:p>
            <w:pPr>
              <w:spacing w:after="0"/>
              <w:rPr>
                <w:sz w:val="15"/>
                <w:szCs w:val="15"/>
                <w:color w:val="auto"/>
              </w:rPr>
            </w:pPr>
          </w:p>
        </w:tc>
        <w:tc>
          <w:tcPr>
            <w:tcW w:w="680" w:type="dxa"/>
            <w:vAlign w:val="bottom"/>
            <w:tcBorders>
              <w:right w:val="single" w:sz="8" w:color="007CBA"/>
            </w:tcBorders>
            <w:shd w:val="clear" w:color="auto" w:fill="007CBA"/>
          </w:tcPr>
          <w:p>
            <w:pPr>
              <w:spacing w:after="0"/>
              <w:rPr>
                <w:sz w:val="15"/>
                <w:szCs w:val="15"/>
                <w:color w:val="auto"/>
              </w:rPr>
            </w:pPr>
          </w:p>
        </w:tc>
        <w:tc>
          <w:tcPr>
            <w:tcW w:w="740" w:type="dxa"/>
            <w:vAlign w:val="bottom"/>
            <w:tcBorders>
              <w:right w:val="single" w:sz="8" w:color="007CBA"/>
            </w:tcBorders>
            <w:shd w:val="clear" w:color="auto" w:fill="007CBA"/>
          </w:tcPr>
          <w:p>
            <w:pPr>
              <w:spacing w:after="0"/>
              <w:rPr>
                <w:sz w:val="15"/>
                <w:szCs w:val="15"/>
                <w:color w:val="auto"/>
              </w:rPr>
            </w:pPr>
          </w:p>
        </w:tc>
        <w:tc>
          <w:tcPr>
            <w:tcW w:w="580" w:type="dxa"/>
            <w:vAlign w:val="bottom"/>
            <w:tcBorders>
              <w:right w:val="single" w:sz="8" w:color="007CBA"/>
            </w:tcBorders>
            <w:shd w:val="clear" w:color="auto" w:fill="007CBA"/>
          </w:tcPr>
          <w:p>
            <w:pPr>
              <w:spacing w:after="0"/>
              <w:rPr>
                <w:sz w:val="15"/>
                <w:szCs w:val="15"/>
                <w:color w:val="auto"/>
              </w:rPr>
            </w:pPr>
          </w:p>
        </w:tc>
        <w:tc>
          <w:tcPr>
            <w:tcW w:w="200" w:type="dxa"/>
            <w:vAlign w:val="bottom"/>
            <w:shd w:val="clear" w:color="auto" w:fill="007CBA"/>
          </w:tcPr>
          <w:p>
            <w:pPr>
              <w:spacing w:after="0"/>
              <w:rPr>
                <w:sz w:val="15"/>
                <w:szCs w:val="15"/>
                <w:color w:val="auto"/>
              </w:rPr>
            </w:pPr>
          </w:p>
        </w:tc>
        <w:tc>
          <w:tcPr>
            <w:tcW w:w="800" w:type="dxa"/>
            <w:vAlign w:val="bottom"/>
            <w:tcBorders>
              <w:right w:val="single" w:sz="8" w:color="007CBA"/>
            </w:tcBorders>
            <w:shd w:val="clear" w:color="auto" w:fill="007CBA"/>
          </w:tcPr>
          <w:p>
            <w:pPr>
              <w:spacing w:after="0"/>
              <w:rPr>
                <w:sz w:val="15"/>
                <w:szCs w:val="15"/>
                <w:color w:val="auto"/>
              </w:rPr>
            </w:pPr>
          </w:p>
        </w:tc>
        <w:tc>
          <w:tcPr>
            <w:tcW w:w="700" w:type="dxa"/>
            <w:vAlign w:val="bottom"/>
            <w:tcBorders>
              <w:right w:val="single" w:sz="8" w:color="007CBA"/>
            </w:tcBorders>
            <w:shd w:val="clear" w:color="auto" w:fill="007CBA"/>
          </w:tcPr>
          <w:p>
            <w:pPr>
              <w:spacing w:after="0"/>
              <w:rPr>
                <w:sz w:val="15"/>
                <w:szCs w:val="15"/>
                <w:color w:val="auto"/>
              </w:rPr>
            </w:pPr>
          </w:p>
        </w:tc>
        <w:tc>
          <w:tcPr>
            <w:tcW w:w="1380" w:type="dxa"/>
            <w:vAlign w:val="bottom"/>
            <w:tcBorders>
              <w:right w:val="single" w:sz="8" w:color="007CBA"/>
            </w:tcBorders>
            <w:gridSpan w:val="2"/>
            <w:shd w:val="clear" w:color="auto" w:fill="007CBA"/>
          </w:tcPr>
          <w:p>
            <w:pPr>
              <w:ind w:left="20"/>
              <w:spacing w:after="0"/>
              <w:rPr>
                <w:sz w:val="20"/>
                <w:szCs w:val="20"/>
                <w:color w:val="auto"/>
              </w:rPr>
            </w:pPr>
            <w:r>
              <w:rPr>
                <w:rFonts w:ascii="Arial" w:cs="Arial" w:eastAsia="Arial" w:hAnsi="Arial"/>
                <w:sz w:val="14"/>
                <w:szCs w:val="14"/>
                <w:b w:val="1"/>
                <w:bCs w:val="1"/>
                <w:color w:val="FFFFFF"/>
              </w:rPr>
              <w:t>Received Received</w:t>
            </w:r>
          </w:p>
        </w:tc>
        <w:tc>
          <w:tcPr>
            <w:tcW w:w="620" w:type="dxa"/>
            <w:vAlign w:val="bottom"/>
            <w:tcBorders>
              <w:right w:val="single" w:sz="8" w:color="007CBA"/>
            </w:tcBorders>
            <w:shd w:val="clear" w:color="auto" w:fill="007CBA"/>
          </w:tcPr>
          <w:p>
            <w:pPr>
              <w:spacing w:after="0"/>
              <w:rPr>
                <w:sz w:val="15"/>
                <w:szCs w:val="15"/>
                <w:color w:val="auto"/>
              </w:rPr>
            </w:pPr>
          </w:p>
        </w:tc>
        <w:tc>
          <w:tcPr>
            <w:tcW w:w="700" w:type="dxa"/>
            <w:vAlign w:val="bottom"/>
            <w:tcBorders>
              <w:right w:val="single" w:sz="8" w:color="007CBA"/>
            </w:tcBorders>
            <w:shd w:val="clear" w:color="auto" w:fill="007CBA"/>
          </w:tcPr>
          <w:p>
            <w:pPr>
              <w:spacing w:after="0"/>
              <w:rPr>
                <w:sz w:val="15"/>
                <w:szCs w:val="15"/>
                <w:color w:val="auto"/>
              </w:rPr>
            </w:pPr>
          </w:p>
        </w:tc>
        <w:tc>
          <w:tcPr>
            <w:tcW w:w="880" w:type="dxa"/>
            <w:vAlign w:val="bottom"/>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Notice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Notice</w:t>
            </w:r>
          </w:p>
        </w:tc>
        <w:tc>
          <w:tcPr>
            <w:tcW w:w="62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88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Legal</w:t>
            </w:r>
          </w:p>
        </w:tc>
        <w:tc>
          <w:tcPr>
            <w:tcW w:w="700" w:type="dxa"/>
            <w:vAlign w:val="bottom"/>
            <w:tcBorders>
              <w:right w:val="single" w:sz="8" w:color="007CBA"/>
            </w:tcBorders>
            <w:shd w:val="clear" w:color="auto" w:fill="007CBA"/>
          </w:tcPr>
          <w:p>
            <w:pPr>
              <w:spacing w:after="0"/>
              <w:rPr>
                <w:sz w:val="14"/>
                <w:szCs w:val="14"/>
                <w:color w:val="auto"/>
              </w:rPr>
            </w:pPr>
          </w:p>
        </w:tc>
        <w:tc>
          <w:tcPr>
            <w:tcW w:w="88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80" w:type="dxa"/>
            <w:vAlign w:val="bottom"/>
            <w:tcBorders>
              <w:right w:val="single" w:sz="8" w:color="007CBA"/>
            </w:tcBorders>
            <w:shd w:val="clear" w:color="auto" w:fill="007CBA"/>
          </w:tcPr>
          <w:p>
            <w:pPr>
              <w:spacing w:after="0"/>
              <w:rPr>
                <w:sz w:val="16"/>
                <w:szCs w:val="16"/>
                <w:color w:val="auto"/>
              </w:rPr>
            </w:pPr>
          </w:p>
        </w:tc>
        <w:tc>
          <w:tcPr>
            <w:tcW w:w="720" w:type="dxa"/>
            <w:vAlign w:val="bottom"/>
            <w:tcBorders>
              <w:right w:val="single" w:sz="8" w:color="007CBA"/>
            </w:tcBorders>
            <w:shd w:val="clear" w:color="auto" w:fill="007CBA"/>
          </w:tcPr>
          <w:p>
            <w:pPr>
              <w:spacing w:after="0"/>
              <w:rPr>
                <w:sz w:val="16"/>
                <w:szCs w:val="16"/>
                <w:color w:val="auto"/>
              </w:rPr>
            </w:pPr>
          </w:p>
        </w:tc>
        <w:tc>
          <w:tcPr>
            <w:tcW w:w="660" w:type="dxa"/>
            <w:vAlign w:val="bottom"/>
            <w:tcBorders>
              <w:right w:val="single" w:sz="8" w:color="007CBA"/>
            </w:tcBorders>
            <w:shd w:val="clear" w:color="auto" w:fill="007CBA"/>
          </w:tcPr>
          <w:p>
            <w:pPr>
              <w:spacing w:after="0"/>
              <w:rPr>
                <w:sz w:val="16"/>
                <w:szCs w:val="16"/>
                <w:color w:val="auto"/>
              </w:rPr>
            </w:pPr>
          </w:p>
        </w:tc>
        <w:tc>
          <w:tcPr>
            <w:tcW w:w="580" w:type="dxa"/>
            <w:vAlign w:val="bottom"/>
            <w:tcBorders>
              <w:right w:val="single" w:sz="8" w:color="007CBA"/>
            </w:tcBorders>
            <w:shd w:val="clear" w:color="auto" w:fill="007CBA"/>
          </w:tcPr>
          <w:p>
            <w:pPr>
              <w:spacing w:after="0"/>
              <w:rPr>
                <w:sz w:val="16"/>
                <w:szCs w:val="16"/>
                <w:color w:val="auto"/>
              </w:rPr>
            </w:pPr>
          </w:p>
        </w:tc>
        <w:tc>
          <w:tcPr>
            <w:tcW w:w="68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740" w:type="dxa"/>
            <w:vAlign w:val="bottom"/>
            <w:tcBorders>
              <w:right w:val="single" w:sz="8" w:color="007CBA"/>
            </w:tcBorders>
            <w:shd w:val="clear" w:color="auto" w:fill="007CBA"/>
          </w:tcPr>
          <w:p>
            <w:pPr>
              <w:spacing w:after="0"/>
              <w:rPr>
                <w:sz w:val="16"/>
                <w:szCs w:val="16"/>
                <w:color w:val="auto"/>
              </w:rPr>
            </w:pPr>
          </w:p>
        </w:tc>
        <w:tc>
          <w:tcPr>
            <w:tcW w:w="580" w:type="dxa"/>
            <w:vAlign w:val="bottom"/>
            <w:tcBorders>
              <w:right w:val="single" w:sz="8" w:color="007CBA"/>
            </w:tcBorders>
            <w:shd w:val="clear" w:color="auto" w:fill="007CBA"/>
          </w:tcPr>
          <w:p>
            <w:pPr>
              <w:spacing w:after="0"/>
              <w:rPr>
                <w:sz w:val="16"/>
                <w:szCs w:val="16"/>
                <w:color w:val="auto"/>
              </w:rPr>
            </w:pPr>
          </w:p>
        </w:tc>
        <w:tc>
          <w:tcPr>
            <w:tcW w:w="1000" w:type="dxa"/>
            <w:vAlign w:val="bottom"/>
            <w:tcBorders>
              <w:right w:val="single" w:sz="8" w:color="007CBA"/>
            </w:tcBorders>
            <w:gridSpan w:val="2"/>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Total Dollar</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Pattern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Potential</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70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Legal</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Appendix 1*</w:t>
            </w:r>
          </w:p>
        </w:tc>
        <w:tc>
          <w:tcPr>
            <w:tcW w:w="0" w:type="dxa"/>
            <w:vAlign w:val="bottom"/>
          </w:tcPr>
          <w:p>
            <w:pPr>
              <w:spacing w:after="0"/>
              <w:rPr>
                <w:sz w:val="1"/>
                <w:szCs w:val="1"/>
                <w:color w:val="auto"/>
              </w:rPr>
            </w:pPr>
          </w:p>
        </w:tc>
      </w:tr>
      <w:tr>
        <w:trPr>
          <w:trHeight w:val="135"/>
        </w:trPr>
        <w:tc>
          <w:tcPr>
            <w:tcW w:w="2180" w:type="dxa"/>
            <w:vAlign w:val="bottom"/>
            <w:tcBorders>
              <w:right w:val="single" w:sz="8" w:color="007CBA"/>
            </w:tcBorders>
            <w:shd w:val="clear" w:color="auto" w:fill="007CBA"/>
          </w:tcPr>
          <w:p>
            <w:pPr>
              <w:spacing w:after="0"/>
              <w:rPr>
                <w:sz w:val="11"/>
                <w:szCs w:val="11"/>
                <w:color w:val="auto"/>
              </w:rPr>
            </w:pPr>
          </w:p>
        </w:tc>
        <w:tc>
          <w:tcPr>
            <w:tcW w:w="720" w:type="dxa"/>
            <w:vAlign w:val="bottom"/>
            <w:tcBorders>
              <w:right w:val="single" w:sz="8" w:color="007CBA"/>
            </w:tcBorders>
            <w:shd w:val="clear" w:color="auto" w:fill="007CBA"/>
          </w:tcPr>
          <w:p>
            <w:pPr>
              <w:spacing w:after="0"/>
              <w:rPr>
                <w:sz w:val="11"/>
                <w:szCs w:val="11"/>
                <w:color w:val="auto"/>
              </w:rPr>
            </w:pPr>
          </w:p>
        </w:tc>
        <w:tc>
          <w:tcPr>
            <w:tcW w:w="660" w:type="dxa"/>
            <w:vAlign w:val="bottom"/>
            <w:tcBorders>
              <w:right w:val="single" w:sz="8" w:color="007CBA"/>
            </w:tcBorders>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680" w:type="dxa"/>
            <w:vAlign w:val="bottom"/>
            <w:tcBorders>
              <w:right w:val="single" w:sz="8" w:color="007CBA"/>
            </w:tcBorders>
            <w:vMerge w:val="continue"/>
            <w:shd w:val="clear" w:color="auto" w:fill="007CBA"/>
          </w:tcPr>
          <w:p>
            <w:pPr>
              <w:spacing w:after="0"/>
              <w:rPr>
                <w:sz w:val="11"/>
                <w:szCs w:val="11"/>
                <w:color w:val="auto"/>
              </w:rPr>
            </w:pPr>
          </w:p>
        </w:tc>
        <w:tc>
          <w:tcPr>
            <w:tcW w:w="740" w:type="dxa"/>
            <w:vAlign w:val="bottom"/>
            <w:tcBorders>
              <w:right w:val="single" w:sz="8" w:color="007CBA"/>
            </w:tcBorders>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1000" w:type="dxa"/>
            <w:vAlign w:val="bottom"/>
            <w:tcBorders>
              <w:right w:val="single" w:sz="8" w:color="007CBA"/>
            </w:tcBorders>
            <w:gridSpan w:val="2"/>
            <w:vMerge w:val="continue"/>
            <w:shd w:val="clear" w:color="auto" w:fill="007CBA"/>
          </w:tcPr>
          <w:p>
            <w:pPr>
              <w:spacing w:after="0"/>
              <w:rPr>
                <w:sz w:val="11"/>
                <w:szCs w:val="11"/>
                <w:color w:val="auto"/>
              </w:rPr>
            </w:pPr>
          </w:p>
        </w:tc>
        <w:tc>
          <w:tcPr>
            <w:tcW w:w="70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Number</w:t>
            </w:r>
          </w:p>
        </w:tc>
        <w:tc>
          <w:tcPr>
            <w:tcW w:w="68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to have</w:t>
            </w:r>
          </w:p>
        </w:tc>
        <w:tc>
          <w:tcPr>
            <w:tcW w:w="62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Pending</w:t>
            </w:r>
          </w:p>
        </w:tc>
        <w:tc>
          <w:tcPr>
            <w:tcW w:w="700" w:type="dxa"/>
            <w:vAlign w:val="bottom"/>
            <w:tcBorders>
              <w:right w:val="single" w:sz="8" w:color="007CBA"/>
            </w:tcBorders>
            <w:vMerge w:val="continue"/>
            <w:shd w:val="clear" w:color="auto" w:fill="007CBA"/>
          </w:tcPr>
          <w:p>
            <w:pPr>
              <w:spacing w:after="0"/>
              <w:rPr>
                <w:sz w:val="11"/>
                <w:szCs w:val="11"/>
                <w:color w:val="auto"/>
              </w:rPr>
            </w:pPr>
          </w:p>
        </w:tc>
        <w:tc>
          <w:tcPr>
            <w:tcW w:w="880" w:type="dxa"/>
            <w:vAlign w:val="bottom"/>
            <w:shd w:val="clear" w:color="auto" w:fill="007CBA"/>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104(d)</w:t>
            </w: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Value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Violation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Pattern</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as 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8"/>
              </w:rPr>
              <w:t>Legal</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1260" w:type="dxa"/>
            <w:vAlign w:val="bottom"/>
            <w:tcBorders>
              <w:right w:val="single" w:sz="8" w:color="007CBA"/>
            </w:tcBorders>
            <w:gridSpan w:val="2"/>
            <w:shd w:val="clear" w:color="auto" w:fill="007CBA"/>
          </w:tcPr>
          <w:p>
            <w:pPr>
              <w:ind w:left="40"/>
              <w:spacing w:after="0"/>
              <w:rPr>
                <w:sz w:val="20"/>
                <w:szCs w:val="20"/>
                <w:color w:val="auto"/>
              </w:rPr>
            </w:pPr>
            <w:r>
              <w:rPr>
                <w:rFonts w:ascii="Arial" w:cs="Arial" w:eastAsia="Arial" w:hAnsi="Arial"/>
                <w:sz w:val="14"/>
                <w:szCs w:val="14"/>
                <w:b w:val="1"/>
                <w:bCs w:val="1"/>
                <w:color w:val="FFFFFF"/>
              </w:rPr>
              <w:t>Section Citations</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Mining</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Under</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under</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Last</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Instituted</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 S&amp;S</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104(b)</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and</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110(b)(2)</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107(a)</w:t>
            </w: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MSHA</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Related</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Day 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During</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Resolved</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jc w:val="right"/>
              <w:ind w:right="108"/>
              <w:spacing w:after="0"/>
              <w:rPr>
                <w:sz w:val="20"/>
                <w:szCs w:val="20"/>
                <w:color w:val="auto"/>
              </w:rPr>
            </w:pPr>
            <w:r>
              <w:rPr>
                <w:rFonts w:ascii="Arial" w:cs="Arial" w:eastAsia="Arial" w:hAnsi="Arial"/>
                <w:sz w:val="14"/>
                <w:szCs w:val="14"/>
                <w:b w:val="1"/>
                <w:bCs w:val="1"/>
                <w:color w:val="FFFFFF"/>
              </w:rPr>
              <w:t>MSHA</w:t>
            </w: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Citations</w:t>
            </w:r>
          </w:p>
        </w:tc>
        <w:tc>
          <w:tcPr>
            <w:tcW w:w="5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Orders</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Orders</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Violations</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Orders</w:t>
            </w:r>
          </w:p>
        </w:tc>
        <w:tc>
          <w:tcPr>
            <w:tcW w:w="1000" w:type="dxa"/>
            <w:vAlign w:val="bottom"/>
            <w:tcBorders>
              <w:right w:val="single" w:sz="8" w:color="007CBA"/>
            </w:tcBorders>
            <w:gridSpan w:val="2"/>
            <w:shd w:val="clear" w:color="auto" w:fill="007CBA"/>
          </w:tcPr>
          <w:p>
            <w:pPr>
              <w:ind w:left="40"/>
              <w:spacing w:after="0"/>
              <w:rPr>
                <w:sz w:val="20"/>
                <w:szCs w:val="20"/>
                <w:color w:val="auto"/>
              </w:rPr>
            </w:pPr>
            <w:r>
              <w:rPr>
                <w:rFonts w:ascii="Arial" w:cs="Arial" w:eastAsia="Arial" w:hAnsi="Arial"/>
                <w:sz w:val="14"/>
                <w:szCs w:val="14"/>
                <w:b w:val="1"/>
                <w:bCs w:val="1"/>
                <w:color w:val="FFFFFF"/>
              </w:rPr>
              <w:t>Assessment/</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Fatalities</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104(e)</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During</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007CBA"/>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Location</w:t>
            </w:r>
          </w:p>
        </w:tc>
        <w:tc>
          <w:tcPr>
            <w:tcW w:w="720" w:type="dxa"/>
            <w:vAlign w:val="bottom"/>
            <w:tcBorders>
              <w:bottom w:val="single" w:sz="8" w:color="007CBA"/>
              <w:right w:val="single" w:sz="8" w:color="007CBA"/>
            </w:tcBorders>
            <w:shd w:val="clear" w:color="auto" w:fill="007CBA"/>
          </w:tcPr>
          <w:p>
            <w:pPr>
              <w:jc w:val="right"/>
              <w:ind w:right="248"/>
              <w:spacing w:after="0"/>
              <w:rPr>
                <w:sz w:val="20"/>
                <w:szCs w:val="20"/>
                <w:color w:val="auto"/>
              </w:rPr>
            </w:pPr>
            <w:r>
              <w:rPr>
                <w:rFonts w:ascii="Arial" w:cs="Arial" w:eastAsia="Arial" w:hAnsi="Arial"/>
                <w:sz w:val="14"/>
                <w:szCs w:val="14"/>
                <w:b w:val="1"/>
                <w:bCs w:val="1"/>
                <w:color w:val="FFFFFF"/>
              </w:rPr>
              <w:t>ID</w:t>
            </w:r>
          </w:p>
        </w:tc>
        <w:tc>
          <w:tcPr>
            <w:tcW w:w="66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5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3"/>
              </w:rPr>
              <w:t>(#)</w:t>
            </w:r>
          </w:p>
        </w:tc>
        <w:tc>
          <w:tcPr>
            <w:tcW w:w="5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1000" w:type="dxa"/>
            <w:vAlign w:val="bottom"/>
            <w:tcBorders>
              <w:bottom w:val="single" w:sz="8" w:color="007CBA"/>
              <w:right w:val="single" w:sz="8" w:color="007CBA"/>
            </w:tcBorders>
            <w:gridSpan w:val="2"/>
            <w:shd w:val="clear" w:color="auto" w:fill="007CBA"/>
          </w:tcPr>
          <w:p>
            <w:pPr>
              <w:jc w:val="center"/>
              <w:spacing w:after="0"/>
              <w:rPr>
                <w:sz w:val="20"/>
                <w:szCs w:val="20"/>
                <w:color w:val="auto"/>
              </w:rPr>
            </w:pPr>
            <w:r>
              <w:rPr>
                <w:rFonts w:ascii="Arial" w:cs="Arial" w:eastAsia="Arial" w:hAnsi="Arial"/>
                <w:sz w:val="14"/>
                <w:szCs w:val="14"/>
                <w:b w:val="1"/>
                <w:bCs w:val="1"/>
                <w:color w:val="FFFFFF"/>
              </w:rPr>
              <w:t>$Proposed</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(yes/no)</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(yes/no)</w:t>
            </w:r>
          </w:p>
        </w:tc>
        <w:tc>
          <w:tcPr>
            <w:tcW w:w="62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 (#)</w:t>
            </w: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Inactive Iowa Grading</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1302126</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Iowa Grading</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1302316</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Linn County Sand</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1302208</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Malcom Mine</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1300112</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1,134</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Marshalltown Sand</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1300718</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Midwest Division OH</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A2354</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Moore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1302188</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472</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New Harvey Sand</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1301778</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North Valley Sand</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2501271</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Ottawa Quarry New</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1401590</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Pacific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4500844</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2</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1,590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Parkville Mine New</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2301883</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361</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Pedersen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1302192</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Portland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1302122</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Raccoon River Sand</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1302315</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Randolph Deep Mine</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2302308</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1,706</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Reasnor Sand</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1300814</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Saylorville Sand</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1302290</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St Cloud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2100081</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472</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Stamper Mine</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2302232</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4</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4,695</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Sully Mine</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1300063</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1,062</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Sunflower Qy Co 61</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1401556</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2</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236</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180" w:type="dxa"/>
            <w:vAlign w:val="bottom"/>
            <w:tcBorders>
              <w:bottom w:val="single" w:sz="8" w:color="007CBA"/>
              <w:right w:val="single" w:sz="8" w:color="007CBA"/>
            </w:tcBorders>
          </w:tcPr>
          <w:p>
            <w:pPr>
              <w:ind w:left="80"/>
              <w:spacing w:after="0"/>
              <w:rPr>
                <w:sz w:val="20"/>
                <w:szCs w:val="20"/>
                <w:color w:val="auto"/>
              </w:rPr>
            </w:pPr>
            <w:r>
              <w:rPr>
                <w:rFonts w:ascii="Arial" w:cs="Arial" w:eastAsia="Arial" w:hAnsi="Arial"/>
                <w:sz w:val="14"/>
                <w:szCs w:val="14"/>
                <w:color w:val="auto"/>
              </w:rPr>
              <w:t>Weeping Water Mine</w:t>
            </w:r>
          </w:p>
        </w:tc>
        <w:tc>
          <w:tcPr>
            <w:tcW w:w="720" w:type="dxa"/>
            <w:vAlign w:val="bottom"/>
            <w:tcBorders>
              <w:bottom w:val="single" w:sz="8" w:color="007CBA"/>
              <w:right w:val="single" w:sz="8" w:color="007CBA"/>
            </w:tcBorders>
          </w:tcPr>
          <w:p>
            <w:pPr>
              <w:jc w:val="right"/>
              <w:ind w:right="8"/>
              <w:spacing w:after="0"/>
              <w:rPr>
                <w:sz w:val="20"/>
                <w:szCs w:val="20"/>
                <w:color w:val="auto"/>
              </w:rPr>
            </w:pPr>
            <w:r>
              <w:rPr>
                <w:rFonts w:ascii="Arial" w:cs="Arial" w:eastAsia="Arial" w:hAnsi="Arial"/>
                <w:sz w:val="14"/>
                <w:szCs w:val="14"/>
                <w:color w:val="auto"/>
              </w:rPr>
              <w:t>2500998</w:t>
            </w:r>
          </w:p>
        </w:tc>
        <w:tc>
          <w:tcPr>
            <w:tcW w:w="66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3</w:t>
            </w:r>
          </w:p>
        </w:tc>
        <w:tc>
          <w:tcPr>
            <w:tcW w:w="58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007CBA"/>
            </w:tcBorders>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07CBA"/>
              <w:right w:val="single" w:sz="8" w:color="007CBA"/>
            </w:tcBorders>
          </w:tcPr>
          <w:p>
            <w:pPr>
              <w:jc w:val="right"/>
              <w:spacing w:after="0"/>
              <w:rPr>
                <w:sz w:val="20"/>
                <w:szCs w:val="20"/>
                <w:color w:val="auto"/>
              </w:rPr>
            </w:pPr>
            <w:r>
              <w:rPr>
                <w:rFonts w:ascii="Arial" w:cs="Arial" w:eastAsia="Arial" w:hAnsi="Arial"/>
                <w:sz w:val="14"/>
                <w:szCs w:val="14"/>
                <w:b w:val="1"/>
                <w:bCs w:val="1"/>
                <w:color w:val="auto"/>
              </w:rPr>
              <w:t>5,857</w:t>
            </w:r>
          </w:p>
        </w:tc>
        <w:tc>
          <w:tcPr>
            <w:tcW w:w="70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1</w:t>
            </w:r>
          </w:p>
        </w:tc>
        <w:tc>
          <w:tcPr>
            <w:tcW w:w="70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3</w:t>
            </w:r>
          </w:p>
        </w:tc>
        <w:tc>
          <w:tcPr>
            <w:tcW w:w="880" w:type="dxa"/>
            <w:vAlign w:val="bottom"/>
            <w:tcBorders>
              <w:bottom w:val="single" w:sz="8" w:color="007CBA"/>
            </w:tcBorders>
          </w:tcPr>
          <w:p>
            <w:pPr>
              <w:jc w:val="center"/>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44" w:name="page145"/>
    <w:bookmarkEnd w:id="144"/>
    <w:tbl>
      <w:tblPr>
        <w:tblLayout w:type="fixed"/>
        <w:tblInd w:w="0" w:type="dxa"/>
        <w:tblCellMar>
          <w:top w:w="0" w:type="dxa"/>
          <w:left w:w="0" w:type="dxa"/>
          <w:bottom w:w="0" w:type="dxa"/>
          <w:right w:w="0" w:type="dxa"/>
        </w:tblCellMar>
      </w:tblPr>
      <w:tr>
        <w:trPr>
          <w:trHeight w:val="176"/>
        </w:trPr>
        <w:tc>
          <w:tcPr>
            <w:tcW w:w="2180" w:type="dxa"/>
            <w:vAlign w:val="bottom"/>
            <w:tcBorders>
              <w:right w:val="single" w:sz="8" w:color="007CBA"/>
            </w:tcBorders>
            <w:shd w:val="clear" w:color="auto" w:fill="007CBA"/>
          </w:tcPr>
          <w:p>
            <w:pPr>
              <w:spacing w:after="0"/>
              <w:rPr>
                <w:sz w:val="15"/>
                <w:szCs w:val="15"/>
                <w:color w:val="auto"/>
              </w:rPr>
            </w:pPr>
          </w:p>
        </w:tc>
        <w:tc>
          <w:tcPr>
            <w:tcW w:w="720" w:type="dxa"/>
            <w:vAlign w:val="bottom"/>
            <w:tcBorders>
              <w:right w:val="single" w:sz="8" w:color="007CBA"/>
            </w:tcBorders>
            <w:shd w:val="clear" w:color="auto" w:fill="007CBA"/>
          </w:tcPr>
          <w:p>
            <w:pPr>
              <w:spacing w:after="0"/>
              <w:rPr>
                <w:sz w:val="15"/>
                <w:szCs w:val="15"/>
                <w:color w:val="auto"/>
              </w:rPr>
            </w:pPr>
          </w:p>
        </w:tc>
        <w:tc>
          <w:tcPr>
            <w:tcW w:w="660" w:type="dxa"/>
            <w:vAlign w:val="bottom"/>
            <w:tcBorders>
              <w:right w:val="single" w:sz="8" w:color="007CBA"/>
            </w:tcBorders>
            <w:shd w:val="clear" w:color="auto" w:fill="007CBA"/>
          </w:tcPr>
          <w:p>
            <w:pPr>
              <w:spacing w:after="0"/>
              <w:rPr>
                <w:sz w:val="15"/>
                <w:szCs w:val="15"/>
                <w:color w:val="auto"/>
              </w:rPr>
            </w:pPr>
          </w:p>
        </w:tc>
        <w:tc>
          <w:tcPr>
            <w:tcW w:w="580" w:type="dxa"/>
            <w:vAlign w:val="bottom"/>
            <w:tcBorders>
              <w:right w:val="single" w:sz="8" w:color="007CBA"/>
            </w:tcBorders>
            <w:shd w:val="clear" w:color="auto" w:fill="007CBA"/>
          </w:tcPr>
          <w:p>
            <w:pPr>
              <w:spacing w:after="0"/>
              <w:rPr>
                <w:sz w:val="15"/>
                <w:szCs w:val="15"/>
                <w:color w:val="auto"/>
              </w:rPr>
            </w:pPr>
          </w:p>
        </w:tc>
        <w:tc>
          <w:tcPr>
            <w:tcW w:w="680" w:type="dxa"/>
            <w:vAlign w:val="bottom"/>
            <w:tcBorders>
              <w:right w:val="single" w:sz="8" w:color="007CBA"/>
            </w:tcBorders>
            <w:shd w:val="clear" w:color="auto" w:fill="007CBA"/>
          </w:tcPr>
          <w:p>
            <w:pPr>
              <w:spacing w:after="0"/>
              <w:rPr>
                <w:sz w:val="15"/>
                <w:szCs w:val="15"/>
                <w:color w:val="auto"/>
              </w:rPr>
            </w:pPr>
          </w:p>
        </w:tc>
        <w:tc>
          <w:tcPr>
            <w:tcW w:w="740" w:type="dxa"/>
            <w:vAlign w:val="bottom"/>
            <w:tcBorders>
              <w:right w:val="single" w:sz="8" w:color="007CBA"/>
            </w:tcBorders>
            <w:shd w:val="clear" w:color="auto" w:fill="007CBA"/>
          </w:tcPr>
          <w:p>
            <w:pPr>
              <w:spacing w:after="0"/>
              <w:rPr>
                <w:sz w:val="15"/>
                <w:szCs w:val="15"/>
                <w:color w:val="auto"/>
              </w:rPr>
            </w:pPr>
          </w:p>
        </w:tc>
        <w:tc>
          <w:tcPr>
            <w:tcW w:w="580" w:type="dxa"/>
            <w:vAlign w:val="bottom"/>
            <w:tcBorders>
              <w:right w:val="single" w:sz="8" w:color="007CBA"/>
            </w:tcBorders>
            <w:shd w:val="clear" w:color="auto" w:fill="007CBA"/>
          </w:tcPr>
          <w:p>
            <w:pPr>
              <w:spacing w:after="0"/>
              <w:rPr>
                <w:sz w:val="15"/>
                <w:szCs w:val="15"/>
                <w:color w:val="auto"/>
              </w:rPr>
            </w:pPr>
          </w:p>
        </w:tc>
        <w:tc>
          <w:tcPr>
            <w:tcW w:w="200" w:type="dxa"/>
            <w:vAlign w:val="bottom"/>
            <w:shd w:val="clear" w:color="auto" w:fill="007CBA"/>
          </w:tcPr>
          <w:p>
            <w:pPr>
              <w:spacing w:after="0"/>
              <w:rPr>
                <w:sz w:val="15"/>
                <w:szCs w:val="15"/>
                <w:color w:val="auto"/>
              </w:rPr>
            </w:pPr>
          </w:p>
        </w:tc>
        <w:tc>
          <w:tcPr>
            <w:tcW w:w="800" w:type="dxa"/>
            <w:vAlign w:val="bottom"/>
            <w:tcBorders>
              <w:right w:val="single" w:sz="8" w:color="007CBA"/>
            </w:tcBorders>
            <w:shd w:val="clear" w:color="auto" w:fill="007CBA"/>
          </w:tcPr>
          <w:p>
            <w:pPr>
              <w:spacing w:after="0"/>
              <w:rPr>
                <w:sz w:val="15"/>
                <w:szCs w:val="15"/>
                <w:color w:val="auto"/>
              </w:rPr>
            </w:pPr>
          </w:p>
        </w:tc>
        <w:tc>
          <w:tcPr>
            <w:tcW w:w="700" w:type="dxa"/>
            <w:vAlign w:val="bottom"/>
            <w:tcBorders>
              <w:right w:val="single" w:sz="8" w:color="007CBA"/>
            </w:tcBorders>
            <w:shd w:val="clear" w:color="auto" w:fill="007CBA"/>
          </w:tcPr>
          <w:p>
            <w:pPr>
              <w:spacing w:after="0"/>
              <w:rPr>
                <w:sz w:val="15"/>
                <w:szCs w:val="15"/>
                <w:color w:val="auto"/>
              </w:rPr>
            </w:pPr>
          </w:p>
        </w:tc>
        <w:tc>
          <w:tcPr>
            <w:tcW w:w="1380" w:type="dxa"/>
            <w:vAlign w:val="bottom"/>
            <w:tcBorders>
              <w:right w:val="single" w:sz="8" w:color="007CBA"/>
            </w:tcBorders>
            <w:gridSpan w:val="2"/>
            <w:shd w:val="clear" w:color="auto" w:fill="007CBA"/>
          </w:tcPr>
          <w:p>
            <w:pPr>
              <w:ind w:left="20"/>
              <w:spacing w:after="0"/>
              <w:rPr>
                <w:sz w:val="20"/>
                <w:szCs w:val="20"/>
                <w:color w:val="auto"/>
              </w:rPr>
            </w:pPr>
            <w:r>
              <w:rPr>
                <w:rFonts w:ascii="Arial" w:cs="Arial" w:eastAsia="Arial" w:hAnsi="Arial"/>
                <w:sz w:val="14"/>
                <w:szCs w:val="14"/>
                <w:b w:val="1"/>
                <w:bCs w:val="1"/>
                <w:color w:val="FFFFFF"/>
              </w:rPr>
              <w:t>Received Received</w:t>
            </w:r>
          </w:p>
        </w:tc>
        <w:tc>
          <w:tcPr>
            <w:tcW w:w="620" w:type="dxa"/>
            <w:vAlign w:val="bottom"/>
            <w:tcBorders>
              <w:right w:val="single" w:sz="8" w:color="007CBA"/>
            </w:tcBorders>
            <w:shd w:val="clear" w:color="auto" w:fill="007CBA"/>
          </w:tcPr>
          <w:p>
            <w:pPr>
              <w:spacing w:after="0"/>
              <w:rPr>
                <w:sz w:val="15"/>
                <w:szCs w:val="15"/>
                <w:color w:val="auto"/>
              </w:rPr>
            </w:pPr>
          </w:p>
        </w:tc>
        <w:tc>
          <w:tcPr>
            <w:tcW w:w="700" w:type="dxa"/>
            <w:vAlign w:val="bottom"/>
            <w:tcBorders>
              <w:right w:val="single" w:sz="8" w:color="007CBA"/>
            </w:tcBorders>
            <w:shd w:val="clear" w:color="auto" w:fill="007CBA"/>
          </w:tcPr>
          <w:p>
            <w:pPr>
              <w:spacing w:after="0"/>
              <w:rPr>
                <w:sz w:val="15"/>
                <w:szCs w:val="15"/>
                <w:color w:val="auto"/>
              </w:rPr>
            </w:pPr>
          </w:p>
        </w:tc>
        <w:tc>
          <w:tcPr>
            <w:tcW w:w="880" w:type="dxa"/>
            <w:vAlign w:val="bottom"/>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Notice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Notice</w:t>
            </w:r>
          </w:p>
        </w:tc>
        <w:tc>
          <w:tcPr>
            <w:tcW w:w="62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88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Legal</w:t>
            </w:r>
          </w:p>
        </w:tc>
        <w:tc>
          <w:tcPr>
            <w:tcW w:w="700" w:type="dxa"/>
            <w:vAlign w:val="bottom"/>
            <w:tcBorders>
              <w:right w:val="single" w:sz="8" w:color="007CBA"/>
            </w:tcBorders>
            <w:shd w:val="clear" w:color="auto" w:fill="007CBA"/>
          </w:tcPr>
          <w:p>
            <w:pPr>
              <w:spacing w:after="0"/>
              <w:rPr>
                <w:sz w:val="14"/>
                <w:szCs w:val="14"/>
                <w:color w:val="auto"/>
              </w:rPr>
            </w:pPr>
          </w:p>
        </w:tc>
        <w:tc>
          <w:tcPr>
            <w:tcW w:w="88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80" w:type="dxa"/>
            <w:vAlign w:val="bottom"/>
            <w:tcBorders>
              <w:right w:val="single" w:sz="8" w:color="007CBA"/>
            </w:tcBorders>
            <w:shd w:val="clear" w:color="auto" w:fill="007CBA"/>
          </w:tcPr>
          <w:p>
            <w:pPr>
              <w:spacing w:after="0"/>
              <w:rPr>
                <w:sz w:val="16"/>
                <w:szCs w:val="16"/>
                <w:color w:val="auto"/>
              </w:rPr>
            </w:pPr>
          </w:p>
        </w:tc>
        <w:tc>
          <w:tcPr>
            <w:tcW w:w="720" w:type="dxa"/>
            <w:vAlign w:val="bottom"/>
            <w:tcBorders>
              <w:right w:val="single" w:sz="8" w:color="007CBA"/>
            </w:tcBorders>
            <w:shd w:val="clear" w:color="auto" w:fill="007CBA"/>
          </w:tcPr>
          <w:p>
            <w:pPr>
              <w:spacing w:after="0"/>
              <w:rPr>
                <w:sz w:val="16"/>
                <w:szCs w:val="16"/>
                <w:color w:val="auto"/>
              </w:rPr>
            </w:pPr>
          </w:p>
        </w:tc>
        <w:tc>
          <w:tcPr>
            <w:tcW w:w="660" w:type="dxa"/>
            <w:vAlign w:val="bottom"/>
            <w:tcBorders>
              <w:right w:val="single" w:sz="8" w:color="007CBA"/>
            </w:tcBorders>
            <w:shd w:val="clear" w:color="auto" w:fill="007CBA"/>
          </w:tcPr>
          <w:p>
            <w:pPr>
              <w:spacing w:after="0"/>
              <w:rPr>
                <w:sz w:val="16"/>
                <w:szCs w:val="16"/>
                <w:color w:val="auto"/>
              </w:rPr>
            </w:pPr>
          </w:p>
        </w:tc>
        <w:tc>
          <w:tcPr>
            <w:tcW w:w="580" w:type="dxa"/>
            <w:vAlign w:val="bottom"/>
            <w:tcBorders>
              <w:right w:val="single" w:sz="8" w:color="007CBA"/>
            </w:tcBorders>
            <w:shd w:val="clear" w:color="auto" w:fill="007CBA"/>
          </w:tcPr>
          <w:p>
            <w:pPr>
              <w:spacing w:after="0"/>
              <w:rPr>
                <w:sz w:val="16"/>
                <w:szCs w:val="16"/>
                <w:color w:val="auto"/>
              </w:rPr>
            </w:pPr>
          </w:p>
        </w:tc>
        <w:tc>
          <w:tcPr>
            <w:tcW w:w="68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740" w:type="dxa"/>
            <w:vAlign w:val="bottom"/>
            <w:tcBorders>
              <w:right w:val="single" w:sz="8" w:color="007CBA"/>
            </w:tcBorders>
            <w:shd w:val="clear" w:color="auto" w:fill="007CBA"/>
          </w:tcPr>
          <w:p>
            <w:pPr>
              <w:spacing w:after="0"/>
              <w:rPr>
                <w:sz w:val="16"/>
                <w:szCs w:val="16"/>
                <w:color w:val="auto"/>
              </w:rPr>
            </w:pPr>
          </w:p>
        </w:tc>
        <w:tc>
          <w:tcPr>
            <w:tcW w:w="580" w:type="dxa"/>
            <w:vAlign w:val="bottom"/>
            <w:tcBorders>
              <w:right w:val="single" w:sz="8" w:color="007CBA"/>
            </w:tcBorders>
            <w:shd w:val="clear" w:color="auto" w:fill="007CBA"/>
          </w:tcPr>
          <w:p>
            <w:pPr>
              <w:spacing w:after="0"/>
              <w:rPr>
                <w:sz w:val="16"/>
                <w:szCs w:val="16"/>
                <w:color w:val="auto"/>
              </w:rPr>
            </w:pPr>
          </w:p>
        </w:tc>
        <w:tc>
          <w:tcPr>
            <w:tcW w:w="1000" w:type="dxa"/>
            <w:vAlign w:val="bottom"/>
            <w:tcBorders>
              <w:right w:val="single" w:sz="8" w:color="007CBA"/>
            </w:tcBorders>
            <w:gridSpan w:val="2"/>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Total Dollar</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Pattern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Potential</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70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Legal</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Appendix 1*</w:t>
            </w:r>
          </w:p>
        </w:tc>
        <w:tc>
          <w:tcPr>
            <w:tcW w:w="0" w:type="dxa"/>
            <w:vAlign w:val="bottom"/>
          </w:tcPr>
          <w:p>
            <w:pPr>
              <w:spacing w:after="0"/>
              <w:rPr>
                <w:sz w:val="1"/>
                <w:szCs w:val="1"/>
                <w:color w:val="auto"/>
              </w:rPr>
            </w:pPr>
          </w:p>
        </w:tc>
      </w:tr>
      <w:tr>
        <w:trPr>
          <w:trHeight w:val="135"/>
        </w:trPr>
        <w:tc>
          <w:tcPr>
            <w:tcW w:w="2180" w:type="dxa"/>
            <w:vAlign w:val="bottom"/>
            <w:tcBorders>
              <w:right w:val="single" w:sz="8" w:color="007CBA"/>
            </w:tcBorders>
            <w:shd w:val="clear" w:color="auto" w:fill="007CBA"/>
          </w:tcPr>
          <w:p>
            <w:pPr>
              <w:spacing w:after="0"/>
              <w:rPr>
                <w:sz w:val="11"/>
                <w:szCs w:val="11"/>
                <w:color w:val="auto"/>
              </w:rPr>
            </w:pPr>
          </w:p>
        </w:tc>
        <w:tc>
          <w:tcPr>
            <w:tcW w:w="720" w:type="dxa"/>
            <w:vAlign w:val="bottom"/>
            <w:tcBorders>
              <w:right w:val="single" w:sz="8" w:color="007CBA"/>
            </w:tcBorders>
            <w:shd w:val="clear" w:color="auto" w:fill="007CBA"/>
          </w:tcPr>
          <w:p>
            <w:pPr>
              <w:spacing w:after="0"/>
              <w:rPr>
                <w:sz w:val="11"/>
                <w:szCs w:val="11"/>
                <w:color w:val="auto"/>
              </w:rPr>
            </w:pPr>
          </w:p>
        </w:tc>
        <w:tc>
          <w:tcPr>
            <w:tcW w:w="660" w:type="dxa"/>
            <w:vAlign w:val="bottom"/>
            <w:tcBorders>
              <w:right w:val="single" w:sz="8" w:color="007CBA"/>
            </w:tcBorders>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680" w:type="dxa"/>
            <w:vAlign w:val="bottom"/>
            <w:tcBorders>
              <w:right w:val="single" w:sz="8" w:color="007CBA"/>
            </w:tcBorders>
            <w:vMerge w:val="continue"/>
            <w:shd w:val="clear" w:color="auto" w:fill="007CBA"/>
          </w:tcPr>
          <w:p>
            <w:pPr>
              <w:spacing w:after="0"/>
              <w:rPr>
                <w:sz w:val="11"/>
                <w:szCs w:val="11"/>
                <w:color w:val="auto"/>
              </w:rPr>
            </w:pPr>
          </w:p>
        </w:tc>
        <w:tc>
          <w:tcPr>
            <w:tcW w:w="740" w:type="dxa"/>
            <w:vAlign w:val="bottom"/>
            <w:tcBorders>
              <w:right w:val="single" w:sz="8" w:color="007CBA"/>
            </w:tcBorders>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1000" w:type="dxa"/>
            <w:vAlign w:val="bottom"/>
            <w:tcBorders>
              <w:right w:val="single" w:sz="8" w:color="007CBA"/>
            </w:tcBorders>
            <w:gridSpan w:val="2"/>
            <w:vMerge w:val="continue"/>
            <w:shd w:val="clear" w:color="auto" w:fill="007CBA"/>
          </w:tcPr>
          <w:p>
            <w:pPr>
              <w:spacing w:after="0"/>
              <w:rPr>
                <w:sz w:val="11"/>
                <w:szCs w:val="11"/>
                <w:color w:val="auto"/>
              </w:rPr>
            </w:pPr>
          </w:p>
        </w:tc>
        <w:tc>
          <w:tcPr>
            <w:tcW w:w="70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Number</w:t>
            </w:r>
          </w:p>
        </w:tc>
        <w:tc>
          <w:tcPr>
            <w:tcW w:w="68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to have</w:t>
            </w:r>
          </w:p>
        </w:tc>
        <w:tc>
          <w:tcPr>
            <w:tcW w:w="62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Pending</w:t>
            </w:r>
          </w:p>
        </w:tc>
        <w:tc>
          <w:tcPr>
            <w:tcW w:w="700" w:type="dxa"/>
            <w:vAlign w:val="bottom"/>
            <w:tcBorders>
              <w:right w:val="single" w:sz="8" w:color="007CBA"/>
            </w:tcBorders>
            <w:vMerge w:val="continue"/>
            <w:shd w:val="clear" w:color="auto" w:fill="007CBA"/>
          </w:tcPr>
          <w:p>
            <w:pPr>
              <w:spacing w:after="0"/>
              <w:rPr>
                <w:sz w:val="11"/>
                <w:szCs w:val="11"/>
                <w:color w:val="auto"/>
              </w:rPr>
            </w:pPr>
          </w:p>
        </w:tc>
        <w:tc>
          <w:tcPr>
            <w:tcW w:w="880" w:type="dxa"/>
            <w:vAlign w:val="bottom"/>
            <w:shd w:val="clear" w:color="auto" w:fill="007CBA"/>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104(d)</w:t>
            </w: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Value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Violation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Pattern</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as 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8"/>
              </w:rPr>
              <w:t>Legal</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1260" w:type="dxa"/>
            <w:vAlign w:val="bottom"/>
            <w:tcBorders>
              <w:right w:val="single" w:sz="8" w:color="007CBA"/>
            </w:tcBorders>
            <w:gridSpan w:val="2"/>
            <w:shd w:val="clear" w:color="auto" w:fill="007CBA"/>
          </w:tcPr>
          <w:p>
            <w:pPr>
              <w:ind w:left="40"/>
              <w:spacing w:after="0"/>
              <w:rPr>
                <w:sz w:val="20"/>
                <w:szCs w:val="20"/>
                <w:color w:val="auto"/>
              </w:rPr>
            </w:pPr>
            <w:r>
              <w:rPr>
                <w:rFonts w:ascii="Arial" w:cs="Arial" w:eastAsia="Arial" w:hAnsi="Arial"/>
                <w:sz w:val="14"/>
                <w:szCs w:val="14"/>
                <w:b w:val="1"/>
                <w:bCs w:val="1"/>
                <w:color w:val="FFFFFF"/>
              </w:rPr>
              <w:t>Section Citations</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Mining</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Under</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under</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Last</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Instituted</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 S&amp;S</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104(b)</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and</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110(b)(2)</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107(a)</w:t>
            </w: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MSHA</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Related</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Day 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During</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Resolved</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jc w:val="right"/>
              <w:ind w:right="108"/>
              <w:spacing w:after="0"/>
              <w:rPr>
                <w:sz w:val="20"/>
                <w:szCs w:val="20"/>
                <w:color w:val="auto"/>
              </w:rPr>
            </w:pPr>
            <w:r>
              <w:rPr>
                <w:rFonts w:ascii="Arial" w:cs="Arial" w:eastAsia="Arial" w:hAnsi="Arial"/>
                <w:sz w:val="14"/>
                <w:szCs w:val="14"/>
                <w:b w:val="1"/>
                <w:bCs w:val="1"/>
                <w:color w:val="FFFFFF"/>
              </w:rPr>
              <w:t>MSHA</w:t>
            </w: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Citations</w:t>
            </w:r>
          </w:p>
        </w:tc>
        <w:tc>
          <w:tcPr>
            <w:tcW w:w="5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Orders</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Orders</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Violations</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Orders</w:t>
            </w:r>
          </w:p>
        </w:tc>
        <w:tc>
          <w:tcPr>
            <w:tcW w:w="1000" w:type="dxa"/>
            <w:vAlign w:val="bottom"/>
            <w:tcBorders>
              <w:right w:val="single" w:sz="8" w:color="007CBA"/>
            </w:tcBorders>
            <w:gridSpan w:val="2"/>
            <w:shd w:val="clear" w:color="auto" w:fill="007CBA"/>
          </w:tcPr>
          <w:p>
            <w:pPr>
              <w:ind w:left="40"/>
              <w:spacing w:after="0"/>
              <w:rPr>
                <w:sz w:val="20"/>
                <w:szCs w:val="20"/>
                <w:color w:val="auto"/>
              </w:rPr>
            </w:pPr>
            <w:r>
              <w:rPr>
                <w:rFonts w:ascii="Arial" w:cs="Arial" w:eastAsia="Arial" w:hAnsi="Arial"/>
                <w:sz w:val="14"/>
                <w:szCs w:val="14"/>
                <w:b w:val="1"/>
                <w:bCs w:val="1"/>
                <w:color w:val="FFFFFF"/>
              </w:rPr>
              <w:t>Assessment/</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Fatalities</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104(e)</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During</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007CBA"/>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Location</w:t>
            </w:r>
          </w:p>
        </w:tc>
        <w:tc>
          <w:tcPr>
            <w:tcW w:w="720" w:type="dxa"/>
            <w:vAlign w:val="bottom"/>
            <w:tcBorders>
              <w:bottom w:val="single" w:sz="8" w:color="007CBA"/>
              <w:right w:val="single" w:sz="8" w:color="007CBA"/>
            </w:tcBorders>
            <w:shd w:val="clear" w:color="auto" w:fill="007CBA"/>
          </w:tcPr>
          <w:p>
            <w:pPr>
              <w:jc w:val="right"/>
              <w:ind w:right="248"/>
              <w:spacing w:after="0"/>
              <w:rPr>
                <w:sz w:val="20"/>
                <w:szCs w:val="20"/>
                <w:color w:val="auto"/>
              </w:rPr>
            </w:pPr>
            <w:r>
              <w:rPr>
                <w:rFonts w:ascii="Arial" w:cs="Arial" w:eastAsia="Arial" w:hAnsi="Arial"/>
                <w:sz w:val="14"/>
                <w:szCs w:val="14"/>
                <w:b w:val="1"/>
                <w:bCs w:val="1"/>
                <w:color w:val="FFFFFF"/>
              </w:rPr>
              <w:t>ID</w:t>
            </w:r>
          </w:p>
        </w:tc>
        <w:tc>
          <w:tcPr>
            <w:tcW w:w="66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5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3"/>
              </w:rPr>
              <w:t>(#)</w:t>
            </w:r>
          </w:p>
        </w:tc>
        <w:tc>
          <w:tcPr>
            <w:tcW w:w="5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1000" w:type="dxa"/>
            <w:vAlign w:val="bottom"/>
            <w:tcBorders>
              <w:bottom w:val="single" w:sz="8" w:color="007CBA"/>
              <w:right w:val="single" w:sz="8" w:color="007CBA"/>
            </w:tcBorders>
            <w:gridSpan w:val="2"/>
            <w:shd w:val="clear" w:color="auto" w:fill="007CBA"/>
          </w:tcPr>
          <w:p>
            <w:pPr>
              <w:jc w:val="center"/>
              <w:spacing w:after="0"/>
              <w:rPr>
                <w:sz w:val="20"/>
                <w:szCs w:val="20"/>
                <w:color w:val="auto"/>
              </w:rPr>
            </w:pPr>
            <w:r>
              <w:rPr>
                <w:rFonts w:ascii="Arial" w:cs="Arial" w:eastAsia="Arial" w:hAnsi="Arial"/>
                <w:sz w:val="14"/>
                <w:szCs w:val="14"/>
                <w:b w:val="1"/>
                <w:bCs w:val="1"/>
                <w:color w:val="FFFFFF"/>
              </w:rPr>
              <w:t>$Proposed</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(yes/no)</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(yes/no)</w:t>
            </w:r>
          </w:p>
        </w:tc>
        <w:tc>
          <w:tcPr>
            <w:tcW w:w="62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 (#)</w:t>
            </w: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West Center Sand</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2501231</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Yellow Medicine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2100033</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2</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163</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Beckmann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4101335</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2,282</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2</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2</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Bedrock Sand Gravel</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4103283</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2</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1</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944</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2</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3</w:t>
            </w:r>
          </w:p>
        </w:tc>
        <w:tc>
          <w:tcPr>
            <w:tcW w:w="880" w:type="dxa"/>
            <w:vAlign w:val="bottom"/>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Bells Savoy SG</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4104019</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1,121</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Black Rock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300011</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354</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Black Spur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4104159</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738</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Blake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1401584</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2</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1</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1,383</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1</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1</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Bridgeport Stone</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4100007</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826</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Broken Bow SG</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3400460</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2</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1,063</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Chico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4103360</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Davis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3401299</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882</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Garfield SG</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4103909</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354</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Garwood Gravel</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4102886</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5</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2,913</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GMS TXI</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C335</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Hatton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301614</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Helotes</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4103137</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Highway 211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4103829</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1</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1</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Hondo</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4104708</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3</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2,551</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5</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Hondo West</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4104090</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Hugo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3400061</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Hunter Stone</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4105230</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236</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bottom w:val="single" w:sz="8" w:color="007CBA"/>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Idabel Quarry</w:t>
            </w:r>
          </w:p>
        </w:tc>
        <w:tc>
          <w:tcPr>
            <w:tcW w:w="720" w:type="dxa"/>
            <w:vAlign w:val="bottom"/>
            <w:tcBorders>
              <w:bottom w:val="single" w:sz="8" w:color="007CBA"/>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3400507</w:t>
            </w:r>
          </w:p>
        </w:tc>
        <w:tc>
          <w:tcPr>
            <w:tcW w:w="66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007CBA"/>
            </w:tcBorders>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07CBA"/>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tcBorders>
              <w:bottom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45" w:name="page146"/>
    <w:bookmarkEnd w:id="145"/>
    <w:tbl>
      <w:tblPr>
        <w:tblLayout w:type="fixed"/>
        <w:tblInd w:w="0" w:type="dxa"/>
        <w:tblCellMar>
          <w:top w:w="0" w:type="dxa"/>
          <w:left w:w="0" w:type="dxa"/>
          <w:bottom w:w="0" w:type="dxa"/>
          <w:right w:w="0" w:type="dxa"/>
        </w:tblCellMar>
      </w:tblPr>
      <w:tr>
        <w:trPr>
          <w:trHeight w:val="176"/>
        </w:trPr>
        <w:tc>
          <w:tcPr>
            <w:tcW w:w="2180" w:type="dxa"/>
            <w:vAlign w:val="bottom"/>
            <w:tcBorders>
              <w:right w:val="single" w:sz="8" w:color="007CBA"/>
            </w:tcBorders>
            <w:shd w:val="clear" w:color="auto" w:fill="007CBA"/>
          </w:tcPr>
          <w:p>
            <w:pPr>
              <w:spacing w:after="0"/>
              <w:rPr>
                <w:sz w:val="15"/>
                <w:szCs w:val="15"/>
                <w:color w:val="auto"/>
              </w:rPr>
            </w:pPr>
          </w:p>
        </w:tc>
        <w:tc>
          <w:tcPr>
            <w:tcW w:w="720" w:type="dxa"/>
            <w:vAlign w:val="bottom"/>
            <w:tcBorders>
              <w:right w:val="single" w:sz="8" w:color="007CBA"/>
            </w:tcBorders>
            <w:shd w:val="clear" w:color="auto" w:fill="007CBA"/>
          </w:tcPr>
          <w:p>
            <w:pPr>
              <w:spacing w:after="0"/>
              <w:rPr>
                <w:sz w:val="15"/>
                <w:szCs w:val="15"/>
                <w:color w:val="auto"/>
              </w:rPr>
            </w:pPr>
          </w:p>
        </w:tc>
        <w:tc>
          <w:tcPr>
            <w:tcW w:w="660" w:type="dxa"/>
            <w:vAlign w:val="bottom"/>
            <w:tcBorders>
              <w:right w:val="single" w:sz="8" w:color="007CBA"/>
            </w:tcBorders>
            <w:shd w:val="clear" w:color="auto" w:fill="007CBA"/>
          </w:tcPr>
          <w:p>
            <w:pPr>
              <w:spacing w:after="0"/>
              <w:rPr>
                <w:sz w:val="15"/>
                <w:szCs w:val="15"/>
                <w:color w:val="auto"/>
              </w:rPr>
            </w:pPr>
          </w:p>
        </w:tc>
        <w:tc>
          <w:tcPr>
            <w:tcW w:w="580" w:type="dxa"/>
            <w:vAlign w:val="bottom"/>
            <w:tcBorders>
              <w:right w:val="single" w:sz="8" w:color="007CBA"/>
            </w:tcBorders>
            <w:shd w:val="clear" w:color="auto" w:fill="007CBA"/>
          </w:tcPr>
          <w:p>
            <w:pPr>
              <w:spacing w:after="0"/>
              <w:rPr>
                <w:sz w:val="15"/>
                <w:szCs w:val="15"/>
                <w:color w:val="auto"/>
              </w:rPr>
            </w:pPr>
          </w:p>
        </w:tc>
        <w:tc>
          <w:tcPr>
            <w:tcW w:w="680" w:type="dxa"/>
            <w:vAlign w:val="bottom"/>
            <w:tcBorders>
              <w:right w:val="single" w:sz="8" w:color="007CBA"/>
            </w:tcBorders>
            <w:shd w:val="clear" w:color="auto" w:fill="007CBA"/>
          </w:tcPr>
          <w:p>
            <w:pPr>
              <w:spacing w:after="0"/>
              <w:rPr>
                <w:sz w:val="15"/>
                <w:szCs w:val="15"/>
                <w:color w:val="auto"/>
              </w:rPr>
            </w:pPr>
          </w:p>
        </w:tc>
        <w:tc>
          <w:tcPr>
            <w:tcW w:w="740" w:type="dxa"/>
            <w:vAlign w:val="bottom"/>
            <w:tcBorders>
              <w:right w:val="single" w:sz="8" w:color="007CBA"/>
            </w:tcBorders>
            <w:shd w:val="clear" w:color="auto" w:fill="007CBA"/>
          </w:tcPr>
          <w:p>
            <w:pPr>
              <w:spacing w:after="0"/>
              <w:rPr>
                <w:sz w:val="15"/>
                <w:szCs w:val="15"/>
                <w:color w:val="auto"/>
              </w:rPr>
            </w:pPr>
          </w:p>
        </w:tc>
        <w:tc>
          <w:tcPr>
            <w:tcW w:w="580" w:type="dxa"/>
            <w:vAlign w:val="bottom"/>
            <w:tcBorders>
              <w:right w:val="single" w:sz="8" w:color="007CBA"/>
            </w:tcBorders>
            <w:shd w:val="clear" w:color="auto" w:fill="007CBA"/>
          </w:tcPr>
          <w:p>
            <w:pPr>
              <w:spacing w:after="0"/>
              <w:rPr>
                <w:sz w:val="15"/>
                <w:szCs w:val="15"/>
                <w:color w:val="auto"/>
              </w:rPr>
            </w:pPr>
          </w:p>
        </w:tc>
        <w:tc>
          <w:tcPr>
            <w:tcW w:w="200" w:type="dxa"/>
            <w:vAlign w:val="bottom"/>
            <w:shd w:val="clear" w:color="auto" w:fill="007CBA"/>
          </w:tcPr>
          <w:p>
            <w:pPr>
              <w:spacing w:after="0"/>
              <w:rPr>
                <w:sz w:val="15"/>
                <w:szCs w:val="15"/>
                <w:color w:val="auto"/>
              </w:rPr>
            </w:pPr>
          </w:p>
        </w:tc>
        <w:tc>
          <w:tcPr>
            <w:tcW w:w="800" w:type="dxa"/>
            <w:vAlign w:val="bottom"/>
            <w:tcBorders>
              <w:right w:val="single" w:sz="8" w:color="007CBA"/>
            </w:tcBorders>
            <w:shd w:val="clear" w:color="auto" w:fill="007CBA"/>
          </w:tcPr>
          <w:p>
            <w:pPr>
              <w:spacing w:after="0"/>
              <w:rPr>
                <w:sz w:val="15"/>
                <w:szCs w:val="15"/>
                <w:color w:val="auto"/>
              </w:rPr>
            </w:pPr>
          </w:p>
        </w:tc>
        <w:tc>
          <w:tcPr>
            <w:tcW w:w="700" w:type="dxa"/>
            <w:vAlign w:val="bottom"/>
            <w:tcBorders>
              <w:right w:val="single" w:sz="8" w:color="007CBA"/>
            </w:tcBorders>
            <w:shd w:val="clear" w:color="auto" w:fill="007CBA"/>
          </w:tcPr>
          <w:p>
            <w:pPr>
              <w:spacing w:after="0"/>
              <w:rPr>
                <w:sz w:val="15"/>
                <w:szCs w:val="15"/>
                <w:color w:val="auto"/>
              </w:rPr>
            </w:pPr>
          </w:p>
        </w:tc>
        <w:tc>
          <w:tcPr>
            <w:tcW w:w="1380" w:type="dxa"/>
            <w:vAlign w:val="bottom"/>
            <w:tcBorders>
              <w:right w:val="single" w:sz="8" w:color="007CBA"/>
            </w:tcBorders>
            <w:gridSpan w:val="2"/>
            <w:shd w:val="clear" w:color="auto" w:fill="007CBA"/>
          </w:tcPr>
          <w:p>
            <w:pPr>
              <w:ind w:left="20"/>
              <w:spacing w:after="0"/>
              <w:rPr>
                <w:sz w:val="20"/>
                <w:szCs w:val="20"/>
                <w:color w:val="auto"/>
              </w:rPr>
            </w:pPr>
            <w:r>
              <w:rPr>
                <w:rFonts w:ascii="Arial" w:cs="Arial" w:eastAsia="Arial" w:hAnsi="Arial"/>
                <w:sz w:val="14"/>
                <w:szCs w:val="14"/>
                <w:b w:val="1"/>
                <w:bCs w:val="1"/>
                <w:color w:val="FFFFFF"/>
              </w:rPr>
              <w:t>Received Received</w:t>
            </w:r>
          </w:p>
        </w:tc>
        <w:tc>
          <w:tcPr>
            <w:tcW w:w="620" w:type="dxa"/>
            <w:vAlign w:val="bottom"/>
            <w:tcBorders>
              <w:right w:val="single" w:sz="8" w:color="007CBA"/>
            </w:tcBorders>
            <w:shd w:val="clear" w:color="auto" w:fill="007CBA"/>
          </w:tcPr>
          <w:p>
            <w:pPr>
              <w:spacing w:after="0"/>
              <w:rPr>
                <w:sz w:val="15"/>
                <w:szCs w:val="15"/>
                <w:color w:val="auto"/>
              </w:rPr>
            </w:pPr>
          </w:p>
        </w:tc>
        <w:tc>
          <w:tcPr>
            <w:tcW w:w="700" w:type="dxa"/>
            <w:vAlign w:val="bottom"/>
            <w:tcBorders>
              <w:right w:val="single" w:sz="8" w:color="007CBA"/>
            </w:tcBorders>
            <w:shd w:val="clear" w:color="auto" w:fill="007CBA"/>
          </w:tcPr>
          <w:p>
            <w:pPr>
              <w:spacing w:after="0"/>
              <w:rPr>
                <w:sz w:val="15"/>
                <w:szCs w:val="15"/>
                <w:color w:val="auto"/>
              </w:rPr>
            </w:pPr>
          </w:p>
        </w:tc>
        <w:tc>
          <w:tcPr>
            <w:tcW w:w="880" w:type="dxa"/>
            <w:vAlign w:val="bottom"/>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Notice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Notice</w:t>
            </w:r>
          </w:p>
        </w:tc>
        <w:tc>
          <w:tcPr>
            <w:tcW w:w="62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88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Legal</w:t>
            </w:r>
          </w:p>
        </w:tc>
        <w:tc>
          <w:tcPr>
            <w:tcW w:w="700" w:type="dxa"/>
            <w:vAlign w:val="bottom"/>
            <w:tcBorders>
              <w:right w:val="single" w:sz="8" w:color="007CBA"/>
            </w:tcBorders>
            <w:shd w:val="clear" w:color="auto" w:fill="007CBA"/>
          </w:tcPr>
          <w:p>
            <w:pPr>
              <w:spacing w:after="0"/>
              <w:rPr>
                <w:sz w:val="14"/>
                <w:szCs w:val="14"/>
                <w:color w:val="auto"/>
              </w:rPr>
            </w:pPr>
          </w:p>
        </w:tc>
        <w:tc>
          <w:tcPr>
            <w:tcW w:w="88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80" w:type="dxa"/>
            <w:vAlign w:val="bottom"/>
            <w:tcBorders>
              <w:right w:val="single" w:sz="8" w:color="007CBA"/>
            </w:tcBorders>
            <w:shd w:val="clear" w:color="auto" w:fill="007CBA"/>
          </w:tcPr>
          <w:p>
            <w:pPr>
              <w:spacing w:after="0"/>
              <w:rPr>
                <w:sz w:val="16"/>
                <w:szCs w:val="16"/>
                <w:color w:val="auto"/>
              </w:rPr>
            </w:pPr>
          </w:p>
        </w:tc>
        <w:tc>
          <w:tcPr>
            <w:tcW w:w="720" w:type="dxa"/>
            <w:vAlign w:val="bottom"/>
            <w:tcBorders>
              <w:right w:val="single" w:sz="8" w:color="007CBA"/>
            </w:tcBorders>
            <w:shd w:val="clear" w:color="auto" w:fill="007CBA"/>
          </w:tcPr>
          <w:p>
            <w:pPr>
              <w:spacing w:after="0"/>
              <w:rPr>
                <w:sz w:val="16"/>
                <w:szCs w:val="16"/>
                <w:color w:val="auto"/>
              </w:rPr>
            </w:pPr>
          </w:p>
        </w:tc>
        <w:tc>
          <w:tcPr>
            <w:tcW w:w="660" w:type="dxa"/>
            <w:vAlign w:val="bottom"/>
            <w:tcBorders>
              <w:right w:val="single" w:sz="8" w:color="007CBA"/>
            </w:tcBorders>
            <w:shd w:val="clear" w:color="auto" w:fill="007CBA"/>
          </w:tcPr>
          <w:p>
            <w:pPr>
              <w:spacing w:after="0"/>
              <w:rPr>
                <w:sz w:val="16"/>
                <w:szCs w:val="16"/>
                <w:color w:val="auto"/>
              </w:rPr>
            </w:pPr>
          </w:p>
        </w:tc>
        <w:tc>
          <w:tcPr>
            <w:tcW w:w="580" w:type="dxa"/>
            <w:vAlign w:val="bottom"/>
            <w:tcBorders>
              <w:right w:val="single" w:sz="8" w:color="007CBA"/>
            </w:tcBorders>
            <w:shd w:val="clear" w:color="auto" w:fill="007CBA"/>
          </w:tcPr>
          <w:p>
            <w:pPr>
              <w:spacing w:after="0"/>
              <w:rPr>
                <w:sz w:val="16"/>
                <w:szCs w:val="16"/>
                <w:color w:val="auto"/>
              </w:rPr>
            </w:pPr>
          </w:p>
        </w:tc>
        <w:tc>
          <w:tcPr>
            <w:tcW w:w="68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740" w:type="dxa"/>
            <w:vAlign w:val="bottom"/>
            <w:tcBorders>
              <w:right w:val="single" w:sz="8" w:color="007CBA"/>
            </w:tcBorders>
            <w:shd w:val="clear" w:color="auto" w:fill="007CBA"/>
          </w:tcPr>
          <w:p>
            <w:pPr>
              <w:spacing w:after="0"/>
              <w:rPr>
                <w:sz w:val="16"/>
                <w:szCs w:val="16"/>
                <w:color w:val="auto"/>
              </w:rPr>
            </w:pPr>
          </w:p>
        </w:tc>
        <w:tc>
          <w:tcPr>
            <w:tcW w:w="580" w:type="dxa"/>
            <w:vAlign w:val="bottom"/>
            <w:tcBorders>
              <w:right w:val="single" w:sz="8" w:color="007CBA"/>
            </w:tcBorders>
            <w:shd w:val="clear" w:color="auto" w:fill="007CBA"/>
          </w:tcPr>
          <w:p>
            <w:pPr>
              <w:spacing w:after="0"/>
              <w:rPr>
                <w:sz w:val="16"/>
                <w:szCs w:val="16"/>
                <w:color w:val="auto"/>
              </w:rPr>
            </w:pPr>
          </w:p>
        </w:tc>
        <w:tc>
          <w:tcPr>
            <w:tcW w:w="1000" w:type="dxa"/>
            <w:vAlign w:val="bottom"/>
            <w:tcBorders>
              <w:right w:val="single" w:sz="8" w:color="007CBA"/>
            </w:tcBorders>
            <w:gridSpan w:val="2"/>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Total Dollar</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Pattern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Potential</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70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Legal</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Appendix 1*</w:t>
            </w:r>
          </w:p>
        </w:tc>
        <w:tc>
          <w:tcPr>
            <w:tcW w:w="0" w:type="dxa"/>
            <w:vAlign w:val="bottom"/>
          </w:tcPr>
          <w:p>
            <w:pPr>
              <w:spacing w:after="0"/>
              <w:rPr>
                <w:sz w:val="1"/>
                <w:szCs w:val="1"/>
                <w:color w:val="auto"/>
              </w:rPr>
            </w:pPr>
          </w:p>
        </w:tc>
      </w:tr>
      <w:tr>
        <w:trPr>
          <w:trHeight w:val="135"/>
        </w:trPr>
        <w:tc>
          <w:tcPr>
            <w:tcW w:w="2180" w:type="dxa"/>
            <w:vAlign w:val="bottom"/>
            <w:tcBorders>
              <w:right w:val="single" w:sz="8" w:color="007CBA"/>
            </w:tcBorders>
            <w:shd w:val="clear" w:color="auto" w:fill="007CBA"/>
          </w:tcPr>
          <w:p>
            <w:pPr>
              <w:spacing w:after="0"/>
              <w:rPr>
                <w:sz w:val="11"/>
                <w:szCs w:val="11"/>
                <w:color w:val="auto"/>
              </w:rPr>
            </w:pPr>
          </w:p>
        </w:tc>
        <w:tc>
          <w:tcPr>
            <w:tcW w:w="720" w:type="dxa"/>
            <w:vAlign w:val="bottom"/>
            <w:tcBorders>
              <w:right w:val="single" w:sz="8" w:color="007CBA"/>
            </w:tcBorders>
            <w:shd w:val="clear" w:color="auto" w:fill="007CBA"/>
          </w:tcPr>
          <w:p>
            <w:pPr>
              <w:spacing w:after="0"/>
              <w:rPr>
                <w:sz w:val="11"/>
                <w:szCs w:val="11"/>
                <w:color w:val="auto"/>
              </w:rPr>
            </w:pPr>
          </w:p>
        </w:tc>
        <w:tc>
          <w:tcPr>
            <w:tcW w:w="660" w:type="dxa"/>
            <w:vAlign w:val="bottom"/>
            <w:tcBorders>
              <w:right w:val="single" w:sz="8" w:color="007CBA"/>
            </w:tcBorders>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680" w:type="dxa"/>
            <w:vAlign w:val="bottom"/>
            <w:tcBorders>
              <w:right w:val="single" w:sz="8" w:color="007CBA"/>
            </w:tcBorders>
            <w:vMerge w:val="continue"/>
            <w:shd w:val="clear" w:color="auto" w:fill="007CBA"/>
          </w:tcPr>
          <w:p>
            <w:pPr>
              <w:spacing w:after="0"/>
              <w:rPr>
                <w:sz w:val="11"/>
                <w:szCs w:val="11"/>
                <w:color w:val="auto"/>
              </w:rPr>
            </w:pPr>
          </w:p>
        </w:tc>
        <w:tc>
          <w:tcPr>
            <w:tcW w:w="740" w:type="dxa"/>
            <w:vAlign w:val="bottom"/>
            <w:tcBorders>
              <w:right w:val="single" w:sz="8" w:color="007CBA"/>
            </w:tcBorders>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1000" w:type="dxa"/>
            <w:vAlign w:val="bottom"/>
            <w:tcBorders>
              <w:right w:val="single" w:sz="8" w:color="007CBA"/>
            </w:tcBorders>
            <w:gridSpan w:val="2"/>
            <w:vMerge w:val="continue"/>
            <w:shd w:val="clear" w:color="auto" w:fill="007CBA"/>
          </w:tcPr>
          <w:p>
            <w:pPr>
              <w:spacing w:after="0"/>
              <w:rPr>
                <w:sz w:val="11"/>
                <w:szCs w:val="11"/>
                <w:color w:val="auto"/>
              </w:rPr>
            </w:pPr>
          </w:p>
        </w:tc>
        <w:tc>
          <w:tcPr>
            <w:tcW w:w="70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Number</w:t>
            </w:r>
          </w:p>
        </w:tc>
        <w:tc>
          <w:tcPr>
            <w:tcW w:w="68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to have</w:t>
            </w:r>
          </w:p>
        </w:tc>
        <w:tc>
          <w:tcPr>
            <w:tcW w:w="62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Pending</w:t>
            </w:r>
          </w:p>
        </w:tc>
        <w:tc>
          <w:tcPr>
            <w:tcW w:w="700" w:type="dxa"/>
            <w:vAlign w:val="bottom"/>
            <w:tcBorders>
              <w:right w:val="single" w:sz="8" w:color="007CBA"/>
            </w:tcBorders>
            <w:vMerge w:val="continue"/>
            <w:shd w:val="clear" w:color="auto" w:fill="007CBA"/>
          </w:tcPr>
          <w:p>
            <w:pPr>
              <w:spacing w:after="0"/>
              <w:rPr>
                <w:sz w:val="11"/>
                <w:szCs w:val="11"/>
                <w:color w:val="auto"/>
              </w:rPr>
            </w:pPr>
          </w:p>
        </w:tc>
        <w:tc>
          <w:tcPr>
            <w:tcW w:w="880" w:type="dxa"/>
            <w:vAlign w:val="bottom"/>
            <w:shd w:val="clear" w:color="auto" w:fill="007CBA"/>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104(d)</w:t>
            </w: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Value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Violation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Pattern</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as 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8"/>
              </w:rPr>
              <w:t>Legal</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1260" w:type="dxa"/>
            <w:vAlign w:val="bottom"/>
            <w:tcBorders>
              <w:right w:val="single" w:sz="8" w:color="007CBA"/>
            </w:tcBorders>
            <w:gridSpan w:val="2"/>
            <w:shd w:val="clear" w:color="auto" w:fill="007CBA"/>
          </w:tcPr>
          <w:p>
            <w:pPr>
              <w:ind w:left="40"/>
              <w:spacing w:after="0"/>
              <w:rPr>
                <w:sz w:val="20"/>
                <w:szCs w:val="20"/>
                <w:color w:val="auto"/>
              </w:rPr>
            </w:pPr>
            <w:r>
              <w:rPr>
                <w:rFonts w:ascii="Arial" w:cs="Arial" w:eastAsia="Arial" w:hAnsi="Arial"/>
                <w:sz w:val="14"/>
                <w:szCs w:val="14"/>
                <w:b w:val="1"/>
                <w:bCs w:val="1"/>
                <w:color w:val="FFFFFF"/>
              </w:rPr>
              <w:t>Section Citations</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Mining</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Under</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under</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Last</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Instituted</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 S&amp;S</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104(b)</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and</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110(b)(2)</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107(a)</w:t>
            </w: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MSHA</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Related</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Day 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During</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Resolved</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jc w:val="right"/>
              <w:ind w:right="108"/>
              <w:spacing w:after="0"/>
              <w:rPr>
                <w:sz w:val="20"/>
                <w:szCs w:val="20"/>
                <w:color w:val="auto"/>
              </w:rPr>
            </w:pPr>
            <w:r>
              <w:rPr>
                <w:rFonts w:ascii="Arial" w:cs="Arial" w:eastAsia="Arial" w:hAnsi="Arial"/>
                <w:sz w:val="14"/>
                <w:szCs w:val="14"/>
                <w:b w:val="1"/>
                <w:bCs w:val="1"/>
                <w:color w:val="FFFFFF"/>
              </w:rPr>
              <w:t>MSHA</w:t>
            </w: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Citations</w:t>
            </w:r>
          </w:p>
        </w:tc>
        <w:tc>
          <w:tcPr>
            <w:tcW w:w="5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Orders</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Orders</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Violations</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Orders</w:t>
            </w:r>
          </w:p>
        </w:tc>
        <w:tc>
          <w:tcPr>
            <w:tcW w:w="1000" w:type="dxa"/>
            <w:vAlign w:val="bottom"/>
            <w:tcBorders>
              <w:right w:val="single" w:sz="8" w:color="007CBA"/>
            </w:tcBorders>
            <w:gridSpan w:val="2"/>
            <w:shd w:val="clear" w:color="auto" w:fill="007CBA"/>
          </w:tcPr>
          <w:p>
            <w:pPr>
              <w:ind w:left="40"/>
              <w:spacing w:after="0"/>
              <w:rPr>
                <w:sz w:val="20"/>
                <w:szCs w:val="20"/>
                <w:color w:val="auto"/>
              </w:rPr>
            </w:pPr>
            <w:r>
              <w:rPr>
                <w:rFonts w:ascii="Arial" w:cs="Arial" w:eastAsia="Arial" w:hAnsi="Arial"/>
                <w:sz w:val="14"/>
                <w:szCs w:val="14"/>
                <w:b w:val="1"/>
                <w:bCs w:val="1"/>
                <w:color w:val="FFFFFF"/>
              </w:rPr>
              <w:t>Assessment/</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Fatalities</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104(e)</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During</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007CBA"/>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Location</w:t>
            </w:r>
          </w:p>
        </w:tc>
        <w:tc>
          <w:tcPr>
            <w:tcW w:w="720" w:type="dxa"/>
            <w:vAlign w:val="bottom"/>
            <w:tcBorders>
              <w:bottom w:val="single" w:sz="8" w:color="007CBA"/>
              <w:right w:val="single" w:sz="8" w:color="007CBA"/>
            </w:tcBorders>
            <w:shd w:val="clear" w:color="auto" w:fill="007CBA"/>
          </w:tcPr>
          <w:p>
            <w:pPr>
              <w:jc w:val="right"/>
              <w:ind w:right="248"/>
              <w:spacing w:after="0"/>
              <w:rPr>
                <w:sz w:val="20"/>
                <w:szCs w:val="20"/>
                <w:color w:val="auto"/>
              </w:rPr>
            </w:pPr>
            <w:r>
              <w:rPr>
                <w:rFonts w:ascii="Arial" w:cs="Arial" w:eastAsia="Arial" w:hAnsi="Arial"/>
                <w:sz w:val="14"/>
                <w:szCs w:val="14"/>
                <w:b w:val="1"/>
                <w:bCs w:val="1"/>
                <w:color w:val="FFFFFF"/>
              </w:rPr>
              <w:t>ID</w:t>
            </w:r>
          </w:p>
        </w:tc>
        <w:tc>
          <w:tcPr>
            <w:tcW w:w="66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5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3"/>
              </w:rPr>
              <w:t>(#)</w:t>
            </w:r>
          </w:p>
        </w:tc>
        <w:tc>
          <w:tcPr>
            <w:tcW w:w="5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1000" w:type="dxa"/>
            <w:vAlign w:val="bottom"/>
            <w:tcBorders>
              <w:bottom w:val="single" w:sz="8" w:color="007CBA"/>
              <w:right w:val="single" w:sz="8" w:color="007CBA"/>
            </w:tcBorders>
            <w:gridSpan w:val="2"/>
            <w:shd w:val="clear" w:color="auto" w:fill="007CBA"/>
          </w:tcPr>
          <w:p>
            <w:pPr>
              <w:jc w:val="center"/>
              <w:spacing w:after="0"/>
              <w:rPr>
                <w:sz w:val="20"/>
                <w:szCs w:val="20"/>
                <w:color w:val="auto"/>
              </w:rPr>
            </w:pPr>
            <w:r>
              <w:rPr>
                <w:rFonts w:ascii="Arial" w:cs="Arial" w:eastAsia="Arial" w:hAnsi="Arial"/>
                <w:sz w:val="14"/>
                <w:szCs w:val="14"/>
                <w:b w:val="1"/>
                <w:bCs w:val="1"/>
                <w:color w:val="FFFFFF"/>
              </w:rPr>
              <w:t>$Proposed</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(yes/no)</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(yes/no)</w:t>
            </w:r>
          </w:p>
        </w:tc>
        <w:tc>
          <w:tcPr>
            <w:tcW w:w="62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 (#)</w:t>
            </w: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Jena Aggregates</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1601298</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Jones Mill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301586</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354</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Medina Rock Rail</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4105170</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620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Mill Creek Limestone</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3401859</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2</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675</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Mill Creek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3401285</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1</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1</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Perryville Aggregates</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1601417</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Poteet Sand</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4101342</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472</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Rio Medina</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4103594</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1,047</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San Pedro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4101337</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354</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Sawyer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3401634</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545</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Smithson Valley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4104108</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236</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Snyder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3401651</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826</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South Texas Port #2</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4104204</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Tin Top SG</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4102852</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Washita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3402049</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481</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Webberville</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4104363</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387</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Woodworth Aggregates</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1601070</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Cottonwood Sand Gravel</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504418</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Fountain Sand Gravel</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503821</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151</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Granite Canyon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4800018</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Greeley 35th Ready Mix</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503215</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Greeley 35th Sand Gravel</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504613</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180" w:type="dxa"/>
            <w:vAlign w:val="bottom"/>
            <w:tcBorders>
              <w:bottom w:val="single" w:sz="8" w:color="007CBA"/>
              <w:right w:val="single" w:sz="8" w:color="007CBA"/>
            </w:tcBorders>
          </w:tcPr>
          <w:p>
            <w:pPr>
              <w:ind w:left="80"/>
              <w:spacing w:after="0"/>
              <w:rPr>
                <w:sz w:val="20"/>
                <w:szCs w:val="20"/>
                <w:color w:val="auto"/>
              </w:rPr>
            </w:pPr>
            <w:r>
              <w:rPr>
                <w:rFonts w:ascii="Arial" w:cs="Arial" w:eastAsia="Arial" w:hAnsi="Arial"/>
                <w:sz w:val="14"/>
                <w:szCs w:val="14"/>
                <w:color w:val="auto"/>
              </w:rPr>
              <w:t>Guernsey Quarry</w:t>
            </w:r>
          </w:p>
        </w:tc>
        <w:tc>
          <w:tcPr>
            <w:tcW w:w="720" w:type="dxa"/>
            <w:vAlign w:val="bottom"/>
            <w:tcBorders>
              <w:bottom w:val="single" w:sz="8" w:color="007CBA"/>
              <w:right w:val="single" w:sz="8" w:color="007CBA"/>
            </w:tcBorders>
          </w:tcPr>
          <w:p>
            <w:pPr>
              <w:jc w:val="right"/>
              <w:ind w:right="8"/>
              <w:spacing w:after="0"/>
              <w:rPr>
                <w:sz w:val="20"/>
                <w:szCs w:val="20"/>
                <w:color w:val="auto"/>
              </w:rPr>
            </w:pPr>
            <w:r>
              <w:rPr>
                <w:rFonts w:ascii="Arial" w:cs="Arial" w:eastAsia="Arial" w:hAnsi="Arial"/>
                <w:sz w:val="14"/>
                <w:szCs w:val="14"/>
                <w:color w:val="auto"/>
              </w:rPr>
              <w:t>4800004</w:t>
            </w:r>
          </w:p>
        </w:tc>
        <w:tc>
          <w:tcPr>
            <w:tcW w:w="66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2</w:t>
            </w:r>
          </w:p>
        </w:tc>
        <w:tc>
          <w:tcPr>
            <w:tcW w:w="58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Borders>
              <w:bottom w:val="single" w:sz="8" w:color="007CBA"/>
            </w:tcBorders>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07CBA"/>
              <w:right w:val="single" w:sz="8" w:color="007CBA"/>
            </w:tcBorders>
          </w:tcPr>
          <w:p>
            <w:pPr>
              <w:jc w:val="right"/>
              <w:spacing w:after="0"/>
              <w:rPr>
                <w:sz w:val="20"/>
                <w:szCs w:val="20"/>
                <w:color w:val="auto"/>
              </w:rPr>
            </w:pPr>
            <w:r>
              <w:rPr>
                <w:rFonts w:ascii="Arial" w:cs="Arial" w:eastAsia="Arial" w:hAnsi="Arial"/>
                <w:sz w:val="14"/>
                <w:szCs w:val="14"/>
                <w:b w:val="1"/>
                <w:bCs w:val="1"/>
                <w:color w:val="auto"/>
              </w:rPr>
              <w:t>236</w:t>
            </w:r>
          </w:p>
        </w:tc>
        <w:tc>
          <w:tcPr>
            <w:tcW w:w="70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bottom w:val="single" w:sz="8" w:color="007CBA"/>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Borders>
              <w:bottom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46" w:name="page147"/>
    <w:bookmarkEnd w:id="146"/>
    <w:tbl>
      <w:tblPr>
        <w:tblLayout w:type="fixed"/>
        <w:tblInd w:w="0" w:type="dxa"/>
        <w:tblCellMar>
          <w:top w:w="0" w:type="dxa"/>
          <w:left w:w="0" w:type="dxa"/>
          <w:bottom w:w="0" w:type="dxa"/>
          <w:right w:w="0" w:type="dxa"/>
        </w:tblCellMar>
      </w:tblPr>
      <w:tr>
        <w:trPr>
          <w:trHeight w:val="176"/>
        </w:trPr>
        <w:tc>
          <w:tcPr>
            <w:tcW w:w="2180" w:type="dxa"/>
            <w:vAlign w:val="bottom"/>
            <w:tcBorders>
              <w:right w:val="single" w:sz="8" w:color="007CBA"/>
            </w:tcBorders>
            <w:shd w:val="clear" w:color="auto" w:fill="007CBA"/>
          </w:tcPr>
          <w:p>
            <w:pPr>
              <w:spacing w:after="0"/>
              <w:rPr>
                <w:sz w:val="15"/>
                <w:szCs w:val="15"/>
                <w:color w:val="auto"/>
              </w:rPr>
            </w:pPr>
          </w:p>
        </w:tc>
        <w:tc>
          <w:tcPr>
            <w:tcW w:w="720" w:type="dxa"/>
            <w:vAlign w:val="bottom"/>
            <w:tcBorders>
              <w:right w:val="single" w:sz="8" w:color="007CBA"/>
            </w:tcBorders>
            <w:shd w:val="clear" w:color="auto" w:fill="007CBA"/>
          </w:tcPr>
          <w:p>
            <w:pPr>
              <w:spacing w:after="0"/>
              <w:rPr>
                <w:sz w:val="15"/>
                <w:szCs w:val="15"/>
                <w:color w:val="auto"/>
              </w:rPr>
            </w:pPr>
          </w:p>
        </w:tc>
        <w:tc>
          <w:tcPr>
            <w:tcW w:w="660" w:type="dxa"/>
            <w:vAlign w:val="bottom"/>
            <w:tcBorders>
              <w:right w:val="single" w:sz="8" w:color="007CBA"/>
            </w:tcBorders>
            <w:shd w:val="clear" w:color="auto" w:fill="007CBA"/>
          </w:tcPr>
          <w:p>
            <w:pPr>
              <w:spacing w:after="0"/>
              <w:rPr>
                <w:sz w:val="15"/>
                <w:szCs w:val="15"/>
                <w:color w:val="auto"/>
              </w:rPr>
            </w:pPr>
          </w:p>
        </w:tc>
        <w:tc>
          <w:tcPr>
            <w:tcW w:w="580" w:type="dxa"/>
            <w:vAlign w:val="bottom"/>
            <w:tcBorders>
              <w:right w:val="single" w:sz="8" w:color="007CBA"/>
            </w:tcBorders>
            <w:shd w:val="clear" w:color="auto" w:fill="007CBA"/>
          </w:tcPr>
          <w:p>
            <w:pPr>
              <w:spacing w:after="0"/>
              <w:rPr>
                <w:sz w:val="15"/>
                <w:szCs w:val="15"/>
                <w:color w:val="auto"/>
              </w:rPr>
            </w:pPr>
          </w:p>
        </w:tc>
        <w:tc>
          <w:tcPr>
            <w:tcW w:w="680" w:type="dxa"/>
            <w:vAlign w:val="bottom"/>
            <w:tcBorders>
              <w:right w:val="single" w:sz="8" w:color="007CBA"/>
            </w:tcBorders>
            <w:shd w:val="clear" w:color="auto" w:fill="007CBA"/>
          </w:tcPr>
          <w:p>
            <w:pPr>
              <w:spacing w:after="0"/>
              <w:rPr>
                <w:sz w:val="15"/>
                <w:szCs w:val="15"/>
                <w:color w:val="auto"/>
              </w:rPr>
            </w:pPr>
          </w:p>
        </w:tc>
        <w:tc>
          <w:tcPr>
            <w:tcW w:w="740" w:type="dxa"/>
            <w:vAlign w:val="bottom"/>
            <w:tcBorders>
              <w:right w:val="single" w:sz="8" w:color="007CBA"/>
            </w:tcBorders>
            <w:shd w:val="clear" w:color="auto" w:fill="007CBA"/>
          </w:tcPr>
          <w:p>
            <w:pPr>
              <w:spacing w:after="0"/>
              <w:rPr>
                <w:sz w:val="15"/>
                <w:szCs w:val="15"/>
                <w:color w:val="auto"/>
              </w:rPr>
            </w:pPr>
          </w:p>
        </w:tc>
        <w:tc>
          <w:tcPr>
            <w:tcW w:w="580" w:type="dxa"/>
            <w:vAlign w:val="bottom"/>
            <w:tcBorders>
              <w:right w:val="single" w:sz="8" w:color="007CBA"/>
            </w:tcBorders>
            <w:shd w:val="clear" w:color="auto" w:fill="007CBA"/>
          </w:tcPr>
          <w:p>
            <w:pPr>
              <w:spacing w:after="0"/>
              <w:rPr>
                <w:sz w:val="15"/>
                <w:szCs w:val="15"/>
                <w:color w:val="auto"/>
              </w:rPr>
            </w:pPr>
          </w:p>
        </w:tc>
        <w:tc>
          <w:tcPr>
            <w:tcW w:w="200" w:type="dxa"/>
            <w:vAlign w:val="bottom"/>
            <w:shd w:val="clear" w:color="auto" w:fill="007CBA"/>
          </w:tcPr>
          <w:p>
            <w:pPr>
              <w:spacing w:after="0"/>
              <w:rPr>
                <w:sz w:val="15"/>
                <w:szCs w:val="15"/>
                <w:color w:val="auto"/>
              </w:rPr>
            </w:pPr>
          </w:p>
        </w:tc>
        <w:tc>
          <w:tcPr>
            <w:tcW w:w="800" w:type="dxa"/>
            <w:vAlign w:val="bottom"/>
            <w:tcBorders>
              <w:right w:val="single" w:sz="8" w:color="007CBA"/>
            </w:tcBorders>
            <w:shd w:val="clear" w:color="auto" w:fill="007CBA"/>
          </w:tcPr>
          <w:p>
            <w:pPr>
              <w:spacing w:after="0"/>
              <w:rPr>
                <w:sz w:val="15"/>
                <w:szCs w:val="15"/>
                <w:color w:val="auto"/>
              </w:rPr>
            </w:pPr>
          </w:p>
        </w:tc>
        <w:tc>
          <w:tcPr>
            <w:tcW w:w="700" w:type="dxa"/>
            <w:vAlign w:val="bottom"/>
            <w:tcBorders>
              <w:right w:val="single" w:sz="8" w:color="007CBA"/>
            </w:tcBorders>
            <w:shd w:val="clear" w:color="auto" w:fill="007CBA"/>
          </w:tcPr>
          <w:p>
            <w:pPr>
              <w:spacing w:after="0"/>
              <w:rPr>
                <w:sz w:val="15"/>
                <w:szCs w:val="15"/>
                <w:color w:val="auto"/>
              </w:rPr>
            </w:pPr>
          </w:p>
        </w:tc>
        <w:tc>
          <w:tcPr>
            <w:tcW w:w="1380" w:type="dxa"/>
            <w:vAlign w:val="bottom"/>
            <w:tcBorders>
              <w:right w:val="single" w:sz="8" w:color="007CBA"/>
            </w:tcBorders>
            <w:gridSpan w:val="2"/>
            <w:shd w:val="clear" w:color="auto" w:fill="007CBA"/>
          </w:tcPr>
          <w:p>
            <w:pPr>
              <w:ind w:left="20"/>
              <w:spacing w:after="0"/>
              <w:rPr>
                <w:sz w:val="20"/>
                <w:szCs w:val="20"/>
                <w:color w:val="auto"/>
              </w:rPr>
            </w:pPr>
            <w:r>
              <w:rPr>
                <w:rFonts w:ascii="Arial" w:cs="Arial" w:eastAsia="Arial" w:hAnsi="Arial"/>
                <w:sz w:val="14"/>
                <w:szCs w:val="14"/>
                <w:b w:val="1"/>
                <w:bCs w:val="1"/>
                <w:color w:val="FFFFFF"/>
              </w:rPr>
              <w:t>Received Received</w:t>
            </w:r>
          </w:p>
        </w:tc>
        <w:tc>
          <w:tcPr>
            <w:tcW w:w="620" w:type="dxa"/>
            <w:vAlign w:val="bottom"/>
            <w:tcBorders>
              <w:right w:val="single" w:sz="8" w:color="007CBA"/>
            </w:tcBorders>
            <w:shd w:val="clear" w:color="auto" w:fill="007CBA"/>
          </w:tcPr>
          <w:p>
            <w:pPr>
              <w:spacing w:after="0"/>
              <w:rPr>
                <w:sz w:val="15"/>
                <w:szCs w:val="15"/>
                <w:color w:val="auto"/>
              </w:rPr>
            </w:pPr>
          </w:p>
        </w:tc>
        <w:tc>
          <w:tcPr>
            <w:tcW w:w="700" w:type="dxa"/>
            <w:vAlign w:val="bottom"/>
            <w:tcBorders>
              <w:right w:val="single" w:sz="8" w:color="007CBA"/>
            </w:tcBorders>
            <w:shd w:val="clear" w:color="auto" w:fill="007CBA"/>
          </w:tcPr>
          <w:p>
            <w:pPr>
              <w:spacing w:after="0"/>
              <w:rPr>
                <w:sz w:val="15"/>
                <w:szCs w:val="15"/>
                <w:color w:val="auto"/>
              </w:rPr>
            </w:pPr>
          </w:p>
        </w:tc>
        <w:tc>
          <w:tcPr>
            <w:tcW w:w="880" w:type="dxa"/>
            <w:vAlign w:val="bottom"/>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Notice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Notice</w:t>
            </w:r>
          </w:p>
        </w:tc>
        <w:tc>
          <w:tcPr>
            <w:tcW w:w="62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88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spacing w:after="0"/>
              <w:rPr>
                <w:sz w:val="14"/>
                <w:szCs w:val="14"/>
                <w:color w:val="auto"/>
              </w:rPr>
            </w:pP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Legal</w:t>
            </w:r>
          </w:p>
        </w:tc>
        <w:tc>
          <w:tcPr>
            <w:tcW w:w="700" w:type="dxa"/>
            <w:vAlign w:val="bottom"/>
            <w:tcBorders>
              <w:right w:val="single" w:sz="8" w:color="007CBA"/>
            </w:tcBorders>
            <w:shd w:val="clear" w:color="auto" w:fill="007CBA"/>
          </w:tcPr>
          <w:p>
            <w:pPr>
              <w:spacing w:after="0"/>
              <w:rPr>
                <w:sz w:val="14"/>
                <w:szCs w:val="14"/>
                <w:color w:val="auto"/>
              </w:rPr>
            </w:pPr>
          </w:p>
        </w:tc>
        <w:tc>
          <w:tcPr>
            <w:tcW w:w="88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80" w:type="dxa"/>
            <w:vAlign w:val="bottom"/>
            <w:tcBorders>
              <w:right w:val="single" w:sz="8" w:color="007CBA"/>
            </w:tcBorders>
            <w:shd w:val="clear" w:color="auto" w:fill="007CBA"/>
          </w:tcPr>
          <w:p>
            <w:pPr>
              <w:spacing w:after="0"/>
              <w:rPr>
                <w:sz w:val="16"/>
                <w:szCs w:val="16"/>
                <w:color w:val="auto"/>
              </w:rPr>
            </w:pPr>
          </w:p>
        </w:tc>
        <w:tc>
          <w:tcPr>
            <w:tcW w:w="720" w:type="dxa"/>
            <w:vAlign w:val="bottom"/>
            <w:tcBorders>
              <w:right w:val="single" w:sz="8" w:color="007CBA"/>
            </w:tcBorders>
            <w:shd w:val="clear" w:color="auto" w:fill="007CBA"/>
          </w:tcPr>
          <w:p>
            <w:pPr>
              <w:spacing w:after="0"/>
              <w:rPr>
                <w:sz w:val="16"/>
                <w:szCs w:val="16"/>
                <w:color w:val="auto"/>
              </w:rPr>
            </w:pPr>
          </w:p>
        </w:tc>
        <w:tc>
          <w:tcPr>
            <w:tcW w:w="660" w:type="dxa"/>
            <w:vAlign w:val="bottom"/>
            <w:tcBorders>
              <w:right w:val="single" w:sz="8" w:color="007CBA"/>
            </w:tcBorders>
            <w:shd w:val="clear" w:color="auto" w:fill="007CBA"/>
          </w:tcPr>
          <w:p>
            <w:pPr>
              <w:spacing w:after="0"/>
              <w:rPr>
                <w:sz w:val="16"/>
                <w:szCs w:val="16"/>
                <w:color w:val="auto"/>
              </w:rPr>
            </w:pPr>
          </w:p>
        </w:tc>
        <w:tc>
          <w:tcPr>
            <w:tcW w:w="580" w:type="dxa"/>
            <w:vAlign w:val="bottom"/>
            <w:tcBorders>
              <w:right w:val="single" w:sz="8" w:color="007CBA"/>
            </w:tcBorders>
            <w:shd w:val="clear" w:color="auto" w:fill="007CBA"/>
          </w:tcPr>
          <w:p>
            <w:pPr>
              <w:spacing w:after="0"/>
              <w:rPr>
                <w:sz w:val="16"/>
                <w:szCs w:val="16"/>
                <w:color w:val="auto"/>
              </w:rPr>
            </w:pPr>
          </w:p>
        </w:tc>
        <w:tc>
          <w:tcPr>
            <w:tcW w:w="68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740" w:type="dxa"/>
            <w:vAlign w:val="bottom"/>
            <w:tcBorders>
              <w:right w:val="single" w:sz="8" w:color="007CBA"/>
            </w:tcBorders>
            <w:shd w:val="clear" w:color="auto" w:fill="007CBA"/>
          </w:tcPr>
          <w:p>
            <w:pPr>
              <w:spacing w:after="0"/>
              <w:rPr>
                <w:sz w:val="16"/>
                <w:szCs w:val="16"/>
                <w:color w:val="auto"/>
              </w:rPr>
            </w:pPr>
          </w:p>
        </w:tc>
        <w:tc>
          <w:tcPr>
            <w:tcW w:w="580" w:type="dxa"/>
            <w:vAlign w:val="bottom"/>
            <w:tcBorders>
              <w:right w:val="single" w:sz="8" w:color="007CBA"/>
            </w:tcBorders>
            <w:shd w:val="clear" w:color="auto" w:fill="007CBA"/>
          </w:tcPr>
          <w:p>
            <w:pPr>
              <w:spacing w:after="0"/>
              <w:rPr>
                <w:sz w:val="16"/>
                <w:szCs w:val="16"/>
                <w:color w:val="auto"/>
              </w:rPr>
            </w:pPr>
          </w:p>
        </w:tc>
        <w:tc>
          <w:tcPr>
            <w:tcW w:w="1000" w:type="dxa"/>
            <w:vAlign w:val="bottom"/>
            <w:tcBorders>
              <w:right w:val="single" w:sz="8" w:color="007CBA"/>
            </w:tcBorders>
            <w:gridSpan w:val="2"/>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Total Dollar</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Pattern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Potential</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700" w:type="dxa"/>
            <w:vAlign w:val="bottom"/>
            <w:tcBorders>
              <w:right w:val="single" w:sz="8" w:color="007CBA"/>
            </w:tcBorders>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rPr>
              <w:t>Legal</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Appendix 1*</w:t>
            </w:r>
          </w:p>
        </w:tc>
        <w:tc>
          <w:tcPr>
            <w:tcW w:w="0" w:type="dxa"/>
            <w:vAlign w:val="bottom"/>
          </w:tcPr>
          <w:p>
            <w:pPr>
              <w:spacing w:after="0"/>
              <w:rPr>
                <w:sz w:val="1"/>
                <w:szCs w:val="1"/>
                <w:color w:val="auto"/>
              </w:rPr>
            </w:pPr>
          </w:p>
        </w:tc>
      </w:tr>
      <w:tr>
        <w:trPr>
          <w:trHeight w:val="135"/>
        </w:trPr>
        <w:tc>
          <w:tcPr>
            <w:tcW w:w="2180" w:type="dxa"/>
            <w:vAlign w:val="bottom"/>
            <w:tcBorders>
              <w:right w:val="single" w:sz="8" w:color="007CBA"/>
            </w:tcBorders>
            <w:shd w:val="clear" w:color="auto" w:fill="007CBA"/>
          </w:tcPr>
          <w:p>
            <w:pPr>
              <w:spacing w:after="0"/>
              <w:rPr>
                <w:sz w:val="11"/>
                <w:szCs w:val="11"/>
                <w:color w:val="auto"/>
              </w:rPr>
            </w:pPr>
          </w:p>
        </w:tc>
        <w:tc>
          <w:tcPr>
            <w:tcW w:w="720" w:type="dxa"/>
            <w:vAlign w:val="bottom"/>
            <w:tcBorders>
              <w:right w:val="single" w:sz="8" w:color="007CBA"/>
            </w:tcBorders>
            <w:shd w:val="clear" w:color="auto" w:fill="007CBA"/>
          </w:tcPr>
          <w:p>
            <w:pPr>
              <w:spacing w:after="0"/>
              <w:rPr>
                <w:sz w:val="11"/>
                <w:szCs w:val="11"/>
                <w:color w:val="auto"/>
              </w:rPr>
            </w:pPr>
          </w:p>
        </w:tc>
        <w:tc>
          <w:tcPr>
            <w:tcW w:w="660" w:type="dxa"/>
            <w:vAlign w:val="bottom"/>
            <w:tcBorders>
              <w:right w:val="single" w:sz="8" w:color="007CBA"/>
            </w:tcBorders>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680" w:type="dxa"/>
            <w:vAlign w:val="bottom"/>
            <w:tcBorders>
              <w:right w:val="single" w:sz="8" w:color="007CBA"/>
            </w:tcBorders>
            <w:vMerge w:val="continue"/>
            <w:shd w:val="clear" w:color="auto" w:fill="007CBA"/>
          </w:tcPr>
          <w:p>
            <w:pPr>
              <w:spacing w:after="0"/>
              <w:rPr>
                <w:sz w:val="11"/>
                <w:szCs w:val="11"/>
                <w:color w:val="auto"/>
              </w:rPr>
            </w:pPr>
          </w:p>
        </w:tc>
        <w:tc>
          <w:tcPr>
            <w:tcW w:w="740" w:type="dxa"/>
            <w:vAlign w:val="bottom"/>
            <w:tcBorders>
              <w:right w:val="single" w:sz="8" w:color="007CBA"/>
            </w:tcBorders>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1000" w:type="dxa"/>
            <w:vAlign w:val="bottom"/>
            <w:tcBorders>
              <w:right w:val="single" w:sz="8" w:color="007CBA"/>
            </w:tcBorders>
            <w:gridSpan w:val="2"/>
            <w:vMerge w:val="continue"/>
            <w:shd w:val="clear" w:color="auto" w:fill="007CBA"/>
          </w:tcPr>
          <w:p>
            <w:pPr>
              <w:spacing w:after="0"/>
              <w:rPr>
                <w:sz w:val="11"/>
                <w:szCs w:val="11"/>
                <w:color w:val="auto"/>
              </w:rPr>
            </w:pPr>
          </w:p>
        </w:tc>
        <w:tc>
          <w:tcPr>
            <w:tcW w:w="70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Number</w:t>
            </w:r>
          </w:p>
        </w:tc>
        <w:tc>
          <w:tcPr>
            <w:tcW w:w="68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to have</w:t>
            </w:r>
          </w:p>
        </w:tc>
        <w:tc>
          <w:tcPr>
            <w:tcW w:w="620" w:type="dxa"/>
            <w:vAlign w:val="bottom"/>
            <w:tcBorders>
              <w:right w:val="single" w:sz="8" w:color="007CBA"/>
            </w:tcBorders>
            <w:shd w:val="clear" w:color="auto" w:fill="007CBA"/>
          </w:tcPr>
          <w:p>
            <w:pPr>
              <w:jc w:val="center"/>
              <w:spacing w:after="0" w:line="135" w:lineRule="exact"/>
              <w:rPr>
                <w:sz w:val="20"/>
                <w:szCs w:val="20"/>
                <w:color w:val="auto"/>
              </w:rPr>
            </w:pPr>
            <w:r>
              <w:rPr>
                <w:rFonts w:ascii="Arial" w:cs="Arial" w:eastAsia="Arial" w:hAnsi="Arial"/>
                <w:sz w:val="14"/>
                <w:szCs w:val="14"/>
                <w:b w:val="1"/>
                <w:bCs w:val="1"/>
                <w:color w:val="FFFFFF"/>
              </w:rPr>
              <w:t>Pending</w:t>
            </w:r>
          </w:p>
        </w:tc>
        <w:tc>
          <w:tcPr>
            <w:tcW w:w="700" w:type="dxa"/>
            <w:vAlign w:val="bottom"/>
            <w:tcBorders>
              <w:right w:val="single" w:sz="8" w:color="007CBA"/>
            </w:tcBorders>
            <w:vMerge w:val="continue"/>
            <w:shd w:val="clear" w:color="auto" w:fill="007CBA"/>
          </w:tcPr>
          <w:p>
            <w:pPr>
              <w:spacing w:after="0"/>
              <w:rPr>
                <w:sz w:val="11"/>
                <w:szCs w:val="11"/>
                <w:color w:val="auto"/>
              </w:rPr>
            </w:pPr>
          </w:p>
        </w:tc>
        <w:tc>
          <w:tcPr>
            <w:tcW w:w="880" w:type="dxa"/>
            <w:vAlign w:val="bottom"/>
            <w:shd w:val="clear" w:color="auto" w:fill="007CBA"/>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104(d)</w:t>
            </w:r>
          </w:p>
        </w:tc>
        <w:tc>
          <w:tcPr>
            <w:tcW w:w="740" w:type="dxa"/>
            <w:vAlign w:val="bottom"/>
            <w:tcBorders>
              <w:right w:val="single" w:sz="8" w:color="007CBA"/>
            </w:tcBorders>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Value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of</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Violation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Pattern</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as 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8"/>
              </w:rPr>
              <w:t>Legal</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1260" w:type="dxa"/>
            <w:vAlign w:val="bottom"/>
            <w:tcBorders>
              <w:right w:val="single" w:sz="8" w:color="007CBA"/>
            </w:tcBorders>
            <w:gridSpan w:val="2"/>
            <w:shd w:val="clear" w:color="auto" w:fill="007CBA"/>
          </w:tcPr>
          <w:p>
            <w:pPr>
              <w:ind w:left="40"/>
              <w:spacing w:after="0"/>
              <w:rPr>
                <w:sz w:val="20"/>
                <w:szCs w:val="20"/>
                <w:color w:val="auto"/>
              </w:rPr>
            </w:pPr>
            <w:r>
              <w:rPr>
                <w:rFonts w:ascii="Arial" w:cs="Arial" w:eastAsia="Arial" w:hAnsi="Arial"/>
                <w:sz w:val="14"/>
                <w:szCs w:val="14"/>
                <w:b w:val="1"/>
                <w:bCs w:val="1"/>
                <w:color w:val="FFFFFF"/>
              </w:rPr>
              <w:t>Section Citations</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Mining</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Under</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under</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Last</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Instituted</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Actions</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spacing w:after="0"/>
              <w:rPr>
                <w:sz w:val="14"/>
                <w:szCs w:val="14"/>
                <w:color w:val="auto"/>
              </w:rPr>
            </w:pP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 S&amp;S</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104(b)</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and</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110(b)(2)</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107(a)</w:t>
            </w:r>
          </w:p>
        </w:tc>
        <w:tc>
          <w:tcPr>
            <w:tcW w:w="200" w:type="dxa"/>
            <w:vAlign w:val="bottom"/>
            <w:shd w:val="clear" w:color="auto" w:fill="007CBA"/>
          </w:tcPr>
          <w:p>
            <w:pPr>
              <w:spacing w:after="0"/>
              <w:rPr>
                <w:sz w:val="14"/>
                <w:szCs w:val="14"/>
                <w:color w:val="auto"/>
              </w:rPr>
            </w:pPr>
          </w:p>
        </w:tc>
        <w:tc>
          <w:tcPr>
            <w:tcW w:w="800" w:type="dxa"/>
            <w:vAlign w:val="bottom"/>
            <w:tcBorders>
              <w:right w:val="single" w:sz="8" w:color="007CBA"/>
            </w:tcBorders>
            <w:shd w:val="clear" w:color="auto" w:fill="007CBA"/>
          </w:tcPr>
          <w:p>
            <w:pPr>
              <w:jc w:val="center"/>
              <w:ind w:right="148"/>
              <w:spacing w:after="0"/>
              <w:rPr>
                <w:sz w:val="20"/>
                <w:szCs w:val="20"/>
                <w:color w:val="auto"/>
              </w:rPr>
            </w:pPr>
            <w:r>
              <w:rPr>
                <w:rFonts w:ascii="Arial" w:cs="Arial" w:eastAsia="Arial" w:hAnsi="Arial"/>
                <w:sz w:val="14"/>
                <w:szCs w:val="14"/>
                <w:b w:val="1"/>
                <w:bCs w:val="1"/>
                <w:color w:val="FFFFFF"/>
              </w:rPr>
              <w:t>MSHA</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Related</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Section</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Day of</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During</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Resolved</w:t>
            </w:r>
          </w:p>
        </w:tc>
        <w:tc>
          <w:tcPr>
            <w:tcW w:w="0" w:type="dxa"/>
            <w:vAlign w:val="bottom"/>
          </w:tcPr>
          <w:p>
            <w:pPr>
              <w:spacing w:after="0"/>
              <w:rPr>
                <w:sz w:val="1"/>
                <w:szCs w:val="1"/>
                <w:color w:val="auto"/>
              </w:rPr>
            </w:pPr>
          </w:p>
        </w:tc>
      </w:tr>
      <w:tr>
        <w:trPr>
          <w:trHeight w:val="162"/>
        </w:trPr>
        <w:tc>
          <w:tcPr>
            <w:tcW w:w="2180" w:type="dxa"/>
            <w:vAlign w:val="bottom"/>
            <w:tcBorders>
              <w:right w:val="single" w:sz="8" w:color="007CBA"/>
            </w:tcBorders>
            <w:shd w:val="clear" w:color="auto" w:fill="007CBA"/>
          </w:tcPr>
          <w:p>
            <w:pPr>
              <w:spacing w:after="0"/>
              <w:rPr>
                <w:sz w:val="14"/>
                <w:szCs w:val="14"/>
                <w:color w:val="auto"/>
              </w:rPr>
            </w:pPr>
          </w:p>
        </w:tc>
        <w:tc>
          <w:tcPr>
            <w:tcW w:w="720" w:type="dxa"/>
            <w:vAlign w:val="bottom"/>
            <w:tcBorders>
              <w:right w:val="single" w:sz="8" w:color="007CBA"/>
            </w:tcBorders>
            <w:shd w:val="clear" w:color="auto" w:fill="007CBA"/>
          </w:tcPr>
          <w:p>
            <w:pPr>
              <w:jc w:val="right"/>
              <w:ind w:right="108"/>
              <w:spacing w:after="0"/>
              <w:rPr>
                <w:sz w:val="20"/>
                <w:szCs w:val="20"/>
                <w:color w:val="auto"/>
              </w:rPr>
            </w:pPr>
            <w:r>
              <w:rPr>
                <w:rFonts w:ascii="Arial" w:cs="Arial" w:eastAsia="Arial" w:hAnsi="Arial"/>
                <w:sz w:val="14"/>
                <w:szCs w:val="14"/>
                <w:b w:val="1"/>
                <w:bCs w:val="1"/>
                <w:color w:val="FFFFFF"/>
              </w:rPr>
              <w:t>MSHA</w:t>
            </w:r>
          </w:p>
        </w:tc>
        <w:tc>
          <w:tcPr>
            <w:tcW w:w="6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Citations</w:t>
            </w:r>
          </w:p>
        </w:tc>
        <w:tc>
          <w:tcPr>
            <w:tcW w:w="580" w:type="dxa"/>
            <w:vAlign w:val="bottom"/>
            <w:tcBorders>
              <w:right w:val="single" w:sz="8" w:color="007CBA"/>
            </w:tcBorders>
            <w:shd w:val="clear" w:color="auto" w:fill="007CBA"/>
          </w:tcPr>
          <w:p>
            <w:pPr>
              <w:ind w:left="60"/>
              <w:spacing w:after="0"/>
              <w:rPr>
                <w:sz w:val="20"/>
                <w:szCs w:val="20"/>
                <w:color w:val="auto"/>
              </w:rPr>
            </w:pPr>
            <w:r>
              <w:rPr>
                <w:rFonts w:ascii="Arial" w:cs="Arial" w:eastAsia="Arial" w:hAnsi="Arial"/>
                <w:sz w:val="14"/>
                <w:szCs w:val="14"/>
                <w:b w:val="1"/>
                <w:bCs w:val="1"/>
                <w:color w:val="FFFFFF"/>
              </w:rPr>
              <w:t>Orders</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Orders</w:t>
            </w:r>
          </w:p>
        </w:tc>
        <w:tc>
          <w:tcPr>
            <w:tcW w:w="74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Violations</w:t>
            </w:r>
          </w:p>
        </w:tc>
        <w:tc>
          <w:tcPr>
            <w:tcW w:w="5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Orders</w:t>
            </w:r>
          </w:p>
        </w:tc>
        <w:tc>
          <w:tcPr>
            <w:tcW w:w="1000" w:type="dxa"/>
            <w:vAlign w:val="bottom"/>
            <w:tcBorders>
              <w:right w:val="single" w:sz="8" w:color="007CBA"/>
            </w:tcBorders>
            <w:gridSpan w:val="2"/>
            <w:shd w:val="clear" w:color="auto" w:fill="007CBA"/>
          </w:tcPr>
          <w:p>
            <w:pPr>
              <w:ind w:left="40"/>
              <w:spacing w:after="0"/>
              <w:rPr>
                <w:sz w:val="20"/>
                <w:szCs w:val="20"/>
                <w:color w:val="auto"/>
              </w:rPr>
            </w:pPr>
            <w:r>
              <w:rPr>
                <w:rFonts w:ascii="Arial" w:cs="Arial" w:eastAsia="Arial" w:hAnsi="Arial"/>
                <w:sz w:val="14"/>
                <w:szCs w:val="14"/>
                <w:b w:val="1"/>
                <w:bCs w:val="1"/>
                <w:color w:val="FFFFFF"/>
              </w:rPr>
              <w:t>Assessment/</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Fatalities</w:t>
            </w:r>
          </w:p>
        </w:tc>
        <w:tc>
          <w:tcPr>
            <w:tcW w:w="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104(e)</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104(e)</w:t>
            </w:r>
          </w:p>
        </w:tc>
        <w:tc>
          <w:tcPr>
            <w:tcW w:w="6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w:t>
            </w:r>
          </w:p>
        </w:tc>
        <w:tc>
          <w:tcPr>
            <w:tcW w:w="7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w:t>
            </w:r>
          </w:p>
        </w:tc>
        <w:tc>
          <w:tcPr>
            <w:tcW w:w="8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rPr>
              <w:t>During</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007CBA"/>
              <w:right w:val="single" w:sz="8" w:color="007CBA"/>
            </w:tcBorders>
            <w:shd w:val="clear" w:color="auto" w:fill="007CBA"/>
          </w:tcPr>
          <w:p>
            <w:pPr>
              <w:ind w:left="80"/>
              <w:spacing w:after="0"/>
              <w:rPr>
                <w:sz w:val="20"/>
                <w:szCs w:val="20"/>
                <w:color w:val="auto"/>
              </w:rPr>
            </w:pPr>
            <w:r>
              <w:rPr>
                <w:rFonts w:ascii="Arial" w:cs="Arial" w:eastAsia="Arial" w:hAnsi="Arial"/>
                <w:sz w:val="14"/>
                <w:szCs w:val="14"/>
                <w:b w:val="1"/>
                <w:bCs w:val="1"/>
                <w:color w:val="FFFFFF"/>
              </w:rPr>
              <w:t>Location</w:t>
            </w:r>
          </w:p>
        </w:tc>
        <w:tc>
          <w:tcPr>
            <w:tcW w:w="720" w:type="dxa"/>
            <w:vAlign w:val="bottom"/>
            <w:tcBorders>
              <w:bottom w:val="single" w:sz="8" w:color="007CBA"/>
              <w:right w:val="single" w:sz="8" w:color="007CBA"/>
            </w:tcBorders>
            <w:shd w:val="clear" w:color="auto" w:fill="007CBA"/>
          </w:tcPr>
          <w:p>
            <w:pPr>
              <w:jc w:val="right"/>
              <w:ind w:right="248"/>
              <w:spacing w:after="0"/>
              <w:rPr>
                <w:sz w:val="20"/>
                <w:szCs w:val="20"/>
                <w:color w:val="auto"/>
              </w:rPr>
            </w:pPr>
            <w:r>
              <w:rPr>
                <w:rFonts w:ascii="Arial" w:cs="Arial" w:eastAsia="Arial" w:hAnsi="Arial"/>
                <w:sz w:val="14"/>
                <w:szCs w:val="14"/>
                <w:b w:val="1"/>
                <w:bCs w:val="1"/>
                <w:color w:val="FFFFFF"/>
              </w:rPr>
              <w:t>ID</w:t>
            </w:r>
          </w:p>
        </w:tc>
        <w:tc>
          <w:tcPr>
            <w:tcW w:w="66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5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w w:val="93"/>
              </w:rPr>
              <w:t>(#)</w:t>
            </w:r>
          </w:p>
        </w:tc>
        <w:tc>
          <w:tcPr>
            <w:tcW w:w="5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1000" w:type="dxa"/>
            <w:vAlign w:val="bottom"/>
            <w:tcBorders>
              <w:bottom w:val="single" w:sz="8" w:color="007CBA"/>
              <w:right w:val="single" w:sz="8" w:color="007CBA"/>
            </w:tcBorders>
            <w:gridSpan w:val="2"/>
            <w:shd w:val="clear" w:color="auto" w:fill="007CBA"/>
          </w:tcPr>
          <w:p>
            <w:pPr>
              <w:jc w:val="center"/>
              <w:spacing w:after="0"/>
              <w:rPr>
                <w:sz w:val="20"/>
                <w:szCs w:val="20"/>
                <w:color w:val="auto"/>
              </w:rPr>
            </w:pPr>
            <w:r>
              <w:rPr>
                <w:rFonts w:ascii="Arial" w:cs="Arial" w:eastAsia="Arial" w:hAnsi="Arial"/>
                <w:sz w:val="14"/>
                <w:szCs w:val="14"/>
                <w:b w:val="1"/>
                <w:bCs w:val="1"/>
                <w:color w:val="FFFFFF"/>
              </w:rPr>
              <w:t>$Proposed</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(yes/no)</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(yes/no)</w:t>
            </w:r>
          </w:p>
        </w:tc>
        <w:tc>
          <w:tcPr>
            <w:tcW w:w="62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007CBA"/>
            </w:tcBorders>
            <w:shd w:val="clear" w:color="auto" w:fill="007CBA"/>
          </w:tcPr>
          <w:p>
            <w:pPr>
              <w:jc w:val="center"/>
              <w:spacing w:after="0"/>
              <w:rPr>
                <w:sz w:val="20"/>
                <w:szCs w:val="20"/>
                <w:color w:val="auto"/>
              </w:rPr>
            </w:pPr>
            <w:r>
              <w:rPr>
                <w:rFonts w:ascii="Arial" w:cs="Arial" w:eastAsia="Arial" w:hAnsi="Arial"/>
                <w:sz w:val="14"/>
                <w:szCs w:val="14"/>
                <w:b w:val="1"/>
                <w:bCs w:val="1"/>
                <w:color w:val="FFFFFF"/>
              </w:rPr>
              <w:t>Period (#)</w:t>
            </w: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Milford Quarry Utah</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4202177</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1,255</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Parkdale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504635</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2</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1,262</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Parsons Sand Gravel</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504382</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756</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PC Portable Plant 4</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4801565</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Penrose Sand and Gravel</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504509</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269</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Portable Crushing</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503984</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Portable Plant 1</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504359</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Portable Plant 21</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504520</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Red Canyon Quarry</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504136</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1,340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Riverbend Sand Gravel</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504841</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118</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Spanish Springs Quarry Co 2</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2600803</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6</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5,772</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Spec Agg Quarry</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500860</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5</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3,561</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1</w:t>
            </w:r>
          </w:p>
        </w:tc>
        <w:tc>
          <w:tcPr>
            <w:tcW w:w="880" w:type="dxa"/>
            <w:vAlign w:val="bottom"/>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Taft Sand Gravel</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504526</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1,062</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Taft Shop</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504735</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8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Hunter Cement</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4102820</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5,829</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2</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2</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Midlothian Cement</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4100071</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2</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5,297</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3</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2</w:t>
            </w:r>
          </w:p>
        </w:tc>
        <w:tc>
          <w:tcPr>
            <w:tcW w:w="880" w:type="dxa"/>
            <w:vAlign w:val="bottom"/>
          </w:tcPr>
          <w:p>
            <w:pPr>
              <w:jc w:val="center"/>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4"/>
                <w:szCs w:val="14"/>
                <w:color w:val="auto"/>
              </w:rPr>
              <w:t>Geology and Exploration</w:t>
            </w:r>
          </w:p>
        </w:tc>
        <w:tc>
          <w:tcPr>
            <w:tcW w:w="720" w:type="dxa"/>
            <w:vAlign w:val="bottom"/>
            <w:tcBorders>
              <w:right w:val="single" w:sz="8" w:color="007CBA"/>
            </w:tcBorders>
            <w:shd w:val="clear" w:color="auto" w:fill="E5F1F8"/>
          </w:tcPr>
          <w:p>
            <w:pPr>
              <w:jc w:val="right"/>
              <w:ind w:right="8"/>
              <w:spacing w:after="0"/>
              <w:rPr>
                <w:sz w:val="20"/>
                <w:szCs w:val="20"/>
                <w:color w:val="auto"/>
              </w:rPr>
            </w:pPr>
            <w:r>
              <w:rPr>
                <w:rFonts w:ascii="Arial" w:cs="Arial" w:eastAsia="Arial" w:hAnsi="Arial"/>
                <w:sz w:val="14"/>
                <w:szCs w:val="14"/>
                <w:color w:val="auto"/>
              </w:rPr>
              <w:t>B7127</w:t>
            </w:r>
          </w:p>
        </w:tc>
        <w:tc>
          <w:tcPr>
            <w:tcW w:w="6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7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880" w:type="dxa"/>
            <w:vAlign w:val="bottom"/>
            <w:shd w:val="clear" w:color="auto" w:fill="E5F1F8"/>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8"/>
        </w:trPr>
        <w:tc>
          <w:tcPr>
            <w:tcW w:w="2180" w:type="dxa"/>
            <w:vAlign w:val="bottom"/>
            <w:tcBorders>
              <w:right w:val="single" w:sz="8" w:color="007CBA"/>
            </w:tcBorders>
            <w:shd w:val="clear" w:color="auto" w:fill="E5F1F8"/>
          </w:tcPr>
          <w:p>
            <w:pPr>
              <w:spacing w:after="0"/>
              <w:rPr>
                <w:sz w:val="5"/>
                <w:szCs w:val="5"/>
                <w:color w:val="auto"/>
              </w:rPr>
            </w:pPr>
          </w:p>
        </w:tc>
        <w:tc>
          <w:tcPr>
            <w:tcW w:w="720" w:type="dxa"/>
            <w:vAlign w:val="bottom"/>
            <w:tcBorders>
              <w:right w:val="single" w:sz="8" w:color="007CBA"/>
            </w:tcBorders>
            <w:shd w:val="clear" w:color="auto" w:fill="E5F1F8"/>
          </w:tcPr>
          <w:p>
            <w:pPr>
              <w:spacing w:after="0"/>
              <w:rPr>
                <w:sz w:val="5"/>
                <w:szCs w:val="5"/>
                <w:color w:val="auto"/>
              </w:rPr>
            </w:pPr>
          </w:p>
        </w:tc>
        <w:tc>
          <w:tcPr>
            <w:tcW w:w="66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40" w:type="dxa"/>
            <w:vAlign w:val="bottom"/>
            <w:tcBorders>
              <w:right w:val="single" w:sz="8" w:color="007CBA"/>
            </w:tcBorders>
            <w:shd w:val="clear" w:color="auto" w:fill="E5F1F8"/>
          </w:tcPr>
          <w:p>
            <w:pPr>
              <w:spacing w:after="0"/>
              <w:rPr>
                <w:sz w:val="5"/>
                <w:szCs w:val="5"/>
                <w:color w:val="auto"/>
              </w:rPr>
            </w:pPr>
          </w:p>
        </w:tc>
        <w:tc>
          <w:tcPr>
            <w:tcW w:w="580" w:type="dxa"/>
            <w:vAlign w:val="bottom"/>
            <w:tcBorders>
              <w:right w:val="single" w:sz="8" w:color="007CBA"/>
            </w:tcBorders>
            <w:shd w:val="clear" w:color="auto" w:fill="E5F1F8"/>
          </w:tcPr>
          <w:p>
            <w:pPr>
              <w:spacing w:after="0"/>
              <w:rPr>
                <w:sz w:val="5"/>
                <w:szCs w:val="5"/>
                <w:color w:val="auto"/>
              </w:rPr>
            </w:pPr>
          </w:p>
        </w:tc>
        <w:tc>
          <w:tcPr>
            <w:tcW w:w="200" w:type="dxa"/>
            <w:vAlign w:val="bottom"/>
            <w:shd w:val="clear" w:color="auto" w:fill="E5F1F8"/>
          </w:tcPr>
          <w:p>
            <w:pPr>
              <w:spacing w:after="0"/>
              <w:rPr>
                <w:sz w:val="5"/>
                <w:szCs w:val="5"/>
                <w:color w:val="auto"/>
              </w:rPr>
            </w:pPr>
          </w:p>
        </w:tc>
        <w:tc>
          <w:tcPr>
            <w:tcW w:w="80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8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620" w:type="dxa"/>
            <w:vAlign w:val="bottom"/>
            <w:tcBorders>
              <w:right w:val="single" w:sz="8" w:color="007CBA"/>
            </w:tcBorders>
            <w:shd w:val="clear" w:color="auto" w:fill="E5F1F8"/>
          </w:tcPr>
          <w:p>
            <w:pPr>
              <w:spacing w:after="0"/>
              <w:rPr>
                <w:sz w:val="5"/>
                <w:szCs w:val="5"/>
                <w:color w:val="auto"/>
              </w:rPr>
            </w:pPr>
          </w:p>
        </w:tc>
        <w:tc>
          <w:tcPr>
            <w:tcW w:w="700" w:type="dxa"/>
            <w:vAlign w:val="bottom"/>
            <w:tcBorders>
              <w:right w:val="single" w:sz="8" w:color="007CBA"/>
            </w:tcBorders>
            <w:shd w:val="clear" w:color="auto" w:fill="E5F1F8"/>
          </w:tcPr>
          <w:p>
            <w:pPr>
              <w:spacing w:after="0"/>
              <w:rPr>
                <w:sz w:val="5"/>
                <w:szCs w:val="5"/>
                <w:color w:val="auto"/>
              </w:rPr>
            </w:pPr>
          </w:p>
        </w:tc>
        <w:tc>
          <w:tcPr>
            <w:tcW w:w="880" w:type="dxa"/>
            <w:vAlign w:val="bottom"/>
            <w:shd w:val="clear" w:color="auto" w:fill="E5F1F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180" w:type="dxa"/>
            <w:vAlign w:val="bottom"/>
            <w:tcBorders>
              <w:right w:val="single" w:sz="8" w:color="007CBA"/>
            </w:tcBorders>
          </w:tcPr>
          <w:p>
            <w:pPr>
              <w:ind w:left="80"/>
              <w:spacing w:after="0"/>
              <w:rPr>
                <w:sz w:val="20"/>
                <w:szCs w:val="20"/>
                <w:color w:val="auto"/>
              </w:rPr>
            </w:pPr>
            <w:r>
              <w:rPr>
                <w:rFonts w:ascii="Arial" w:cs="Arial" w:eastAsia="Arial" w:hAnsi="Arial"/>
                <w:sz w:val="14"/>
                <w:szCs w:val="14"/>
                <w:color w:val="auto"/>
              </w:rPr>
              <w:t>Woodville Stone</w:t>
            </w:r>
          </w:p>
        </w:tc>
        <w:tc>
          <w:tcPr>
            <w:tcW w:w="720" w:type="dxa"/>
            <w:vAlign w:val="bottom"/>
            <w:tcBorders>
              <w:right w:val="single" w:sz="8" w:color="007CBA"/>
            </w:tcBorders>
          </w:tcPr>
          <w:p>
            <w:pPr>
              <w:jc w:val="right"/>
              <w:ind w:right="8"/>
              <w:spacing w:after="0"/>
              <w:rPr>
                <w:sz w:val="20"/>
                <w:szCs w:val="20"/>
                <w:color w:val="auto"/>
              </w:rPr>
            </w:pPr>
            <w:r>
              <w:rPr>
                <w:rFonts w:ascii="Arial" w:cs="Arial" w:eastAsia="Arial" w:hAnsi="Arial"/>
                <w:sz w:val="14"/>
                <w:szCs w:val="14"/>
                <w:color w:val="auto"/>
              </w:rPr>
              <w:t>3300156</w:t>
            </w:r>
          </w:p>
        </w:tc>
        <w:tc>
          <w:tcPr>
            <w:tcW w:w="66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3</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5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4"/>
                <w:szCs w:val="14"/>
                <w:b w:val="1"/>
                <w:bCs w:val="1"/>
                <w:color w:val="auto"/>
              </w:rPr>
              <w:t>3,348</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0</w:t>
            </w: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1</w:t>
            </w:r>
          </w:p>
        </w:tc>
        <w:tc>
          <w:tcPr>
            <w:tcW w:w="700" w:type="dxa"/>
            <w:vAlign w:val="bottom"/>
            <w:tcBorders>
              <w:right w:val="single" w:sz="8" w:color="007CBA"/>
            </w:tcBorders>
          </w:tcPr>
          <w:p>
            <w:pPr>
              <w:jc w:val="center"/>
              <w:spacing w:after="0"/>
              <w:rPr>
                <w:sz w:val="20"/>
                <w:szCs w:val="20"/>
                <w:color w:val="auto"/>
              </w:rPr>
            </w:pPr>
            <w:r>
              <w:rPr>
                <w:rFonts w:ascii="Arial" w:cs="Arial" w:eastAsia="Arial" w:hAnsi="Arial"/>
                <w:sz w:val="14"/>
                <w:szCs w:val="14"/>
                <w:color w:val="auto"/>
              </w:rPr>
              <w:t>2</w:t>
            </w:r>
          </w:p>
        </w:tc>
        <w:tc>
          <w:tcPr>
            <w:tcW w:w="880" w:type="dxa"/>
            <w:vAlign w:val="bottom"/>
          </w:tcPr>
          <w:p>
            <w:pPr>
              <w:jc w:val="center"/>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53"/>
        </w:trPr>
        <w:tc>
          <w:tcPr>
            <w:tcW w:w="2180" w:type="dxa"/>
            <w:vAlign w:val="bottom"/>
            <w:tcBorders>
              <w:right w:val="single" w:sz="8" w:color="007CBA"/>
            </w:tcBorders>
          </w:tcPr>
          <w:p>
            <w:pPr>
              <w:spacing w:after="0"/>
              <w:rPr>
                <w:sz w:val="4"/>
                <w:szCs w:val="4"/>
                <w:color w:val="auto"/>
              </w:rPr>
            </w:pPr>
          </w:p>
        </w:tc>
        <w:tc>
          <w:tcPr>
            <w:tcW w:w="720" w:type="dxa"/>
            <w:vAlign w:val="bottom"/>
            <w:tcBorders>
              <w:right w:val="single" w:sz="8" w:color="007CBA"/>
            </w:tcBorders>
          </w:tcPr>
          <w:p>
            <w:pPr>
              <w:spacing w:after="0"/>
              <w:rPr>
                <w:sz w:val="4"/>
                <w:szCs w:val="4"/>
                <w:color w:val="auto"/>
              </w:rPr>
            </w:pPr>
          </w:p>
        </w:tc>
        <w:tc>
          <w:tcPr>
            <w:tcW w:w="66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40" w:type="dxa"/>
            <w:vAlign w:val="bottom"/>
            <w:tcBorders>
              <w:right w:val="single" w:sz="8" w:color="007CBA"/>
            </w:tcBorders>
          </w:tcPr>
          <w:p>
            <w:pPr>
              <w:spacing w:after="0"/>
              <w:rPr>
                <w:sz w:val="4"/>
                <w:szCs w:val="4"/>
                <w:color w:val="auto"/>
              </w:rPr>
            </w:pPr>
          </w:p>
        </w:tc>
        <w:tc>
          <w:tcPr>
            <w:tcW w:w="580" w:type="dxa"/>
            <w:vAlign w:val="bottom"/>
            <w:tcBorders>
              <w:right w:val="single" w:sz="8" w:color="007CBA"/>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8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620" w:type="dxa"/>
            <w:vAlign w:val="bottom"/>
            <w:tcBorders>
              <w:right w:val="single" w:sz="8" w:color="007CBA"/>
            </w:tcBorders>
          </w:tcPr>
          <w:p>
            <w:pPr>
              <w:spacing w:after="0"/>
              <w:rPr>
                <w:sz w:val="4"/>
                <w:szCs w:val="4"/>
                <w:color w:val="auto"/>
              </w:rPr>
            </w:pPr>
          </w:p>
        </w:tc>
        <w:tc>
          <w:tcPr>
            <w:tcW w:w="700" w:type="dxa"/>
            <w:vAlign w:val="bottom"/>
            <w:tcBorders>
              <w:right w:val="single" w:sz="8" w:color="007CBA"/>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tcBorders>
              <w:bottom w:val="single" w:sz="8" w:color="007CBA"/>
              <w:right w:val="single" w:sz="8" w:color="007CBA"/>
            </w:tcBorders>
            <w:shd w:val="clear" w:color="auto" w:fill="E5F1F8"/>
          </w:tcPr>
          <w:p>
            <w:pPr>
              <w:ind w:left="300"/>
              <w:spacing w:after="0"/>
              <w:rPr>
                <w:sz w:val="20"/>
                <w:szCs w:val="20"/>
                <w:color w:val="auto"/>
              </w:rPr>
            </w:pPr>
            <w:r>
              <w:rPr>
                <w:rFonts w:ascii="Arial" w:cs="Arial" w:eastAsia="Arial" w:hAnsi="Arial"/>
                <w:sz w:val="14"/>
                <w:szCs w:val="14"/>
                <w:b w:val="1"/>
                <w:bCs w:val="1"/>
                <w:color w:val="auto"/>
              </w:rPr>
              <w:t>TOTAL</w:t>
            </w:r>
          </w:p>
        </w:tc>
        <w:tc>
          <w:tcPr>
            <w:tcW w:w="720" w:type="dxa"/>
            <w:vAlign w:val="bottom"/>
            <w:tcBorders>
              <w:bottom w:val="single" w:sz="8" w:color="007CBA"/>
              <w:right w:val="single" w:sz="8" w:color="007CBA"/>
            </w:tcBorders>
            <w:shd w:val="clear" w:color="auto" w:fill="E5F1F8"/>
          </w:tcPr>
          <w:p>
            <w:pPr>
              <w:spacing w:after="0"/>
              <w:rPr>
                <w:sz w:val="18"/>
                <w:szCs w:val="18"/>
                <w:color w:val="auto"/>
              </w:rPr>
            </w:pPr>
          </w:p>
        </w:tc>
        <w:tc>
          <w:tcPr>
            <w:tcW w:w="66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color w:val="auto"/>
              </w:rPr>
              <w:t>106</w:t>
            </w:r>
          </w:p>
        </w:tc>
        <w:tc>
          <w:tcPr>
            <w:tcW w:w="58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b w:val="1"/>
                <w:bCs w:val="1"/>
                <w:color w:val="auto"/>
              </w:rPr>
              <w:t>0</w:t>
            </w:r>
          </w:p>
        </w:tc>
        <w:tc>
          <w:tcPr>
            <w:tcW w:w="68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b w:val="1"/>
                <w:bCs w:val="1"/>
                <w:color w:val="auto"/>
              </w:rPr>
              <w:t>1</w:t>
            </w:r>
          </w:p>
        </w:tc>
        <w:tc>
          <w:tcPr>
            <w:tcW w:w="74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b w:val="1"/>
                <w:bCs w:val="1"/>
                <w:color w:val="auto"/>
              </w:rPr>
              <w:t>0</w:t>
            </w:r>
          </w:p>
        </w:tc>
        <w:tc>
          <w:tcPr>
            <w:tcW w:w="58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b w:val="1"/>
                <w:bCs w:val="1"/>
                <w:color w:val="auto"/>
              </w:rPr>
              <w:t>3</w:t>
            </w:r>
          </w:p>
        </w:tc>
        <w:tc>
          <w:tcPr>
            <w:tcW w:w="200" w:type="dxa"/>
            <w:vAlign w:val="bottom"/>
            <w:tcBorders>
              <w:bottom w:val="single" w:sz="8" w:color="007CBA"/>
            </w:tcBorders>
            <w:shd w:val="clear" w:color="auto" w:fill="E5F1F8"/>
          </w:tcPr>
          <w:p>
            <w:pPr>
              <w:ind w:left="40"/>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07CBA"/>
              <w:right w:val="single" w:sz="8" w:color="007CBA"/>
            </w:tcBorders>
            <w:shd w:val="clear" w:color="auto" w:fill="E5F1F8"/>
          </w:tcPr>
          <w:p>
            <w:pPr>
              <w:jc w:val="right"/>
              <w:spacing w:after="0"/>
              <w:rPr>
                <w:sz w:val="20"/>
                <w:szCs w:val="20"/>
                <w:color w:val="auto"/>
              </w:rPr>
            </w:pPr>
            <w:r>
              <w:rPr>
                <w:rFonts w:ascii="Arial" w:cs="Arial" w:eastAsia="Arial" w:hAnsi="Arial"/>
                <w:sz w:val="14"/>
                <w:szCs w:val="14"/>
                <w:b w:val="1"/>
                <w:bCs w:val="1"/>
                <w:color w:val="auto"/>
              </w:rPr>
              <w:t>138,877</w:t>
            </w:r>
          </w:p>
        </w:tc>
        <w:tc>
          <w:tcPr>
            <w:tcW w:w="70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b w:val="1"/>
                <w:bCs w:val="1"/>
                <w:color w:val="auto"/>
              </w:rPr>
              <w:t>0</w:t>
            </w:r>
          </w:p>
        </w:tc>
        <w:tc>
          <w:tcPr>
            <w:tcW w:w="680" w:type="dxa"/>
            <w:vAlign w:val="bottom"/>
            <w:tcBorders>
              <w:bottom w:val="single" w:sz="8" w:color="007CBA"/>
              <w:right w:val="single" w:sz="8" w:color="007CBA"/>
            </w:tcBorders>
            <w:shd w:val="clear" w:color="auto" w:fill="E5F1F8"/>
          </w:tcPr>
          <w:p>
            <w:pPr>
              <w:spacing w:after="0"/>
              <w:rPr>
                <w:sz w:val="18"/>
                <w:szCs w:val="18"/>
                <w:color w:val="auto"/>
              </w:rPr>
            </w:pPr>
          </w:p>
        </w:tc>
        <w:tc>
          <w:tcPr>
            <w:tcW w:w="700" w:type="dxa"/>
            <w:vAlign w:val="bottom"/>
            <w:tcBorders>
              <w:bottom w:val="single" w:sz="8" w:color="007CBA"/>
              <w:right w:val="single" w:sz="8" w:color="007CBA"/>
            </w:tcBorders>
            <w:shd w:val="clear" w:color="auto" w:fill="E5F1F8"/>
          </w:tcPr>
          <w:p>
            <w:pPr>
              <w:spacing w:after="0"/>
              <w:rPr>
                <w:sz w:val="18"/>
                <w:szCs w:val="18"/>
                <w:color w:val="auto"/>
              </w:rPr>
            </w:pPr>
          </w:p>
        </w:tc>
        <w:tc>
          <w:tcPr>
            <w:tcW w:w="62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b w:val="1"/>
                <w:bCs w:val="1"/>
                <w:color w:val="auto"/>
              </w:rPr>
              <w:t>17</w:t>
            </w:r>
          </w:p>
        </w:tc>
        <w:tc>
          <w:tcPr>
            <w:tcW w:w="700" w:type="dxa"/>
            <w:vAlign w:val="bottom"/>
            <w:tcBorders>
              <w:bottom w:val="single" w:sz="8" w:color="007CBA"/>
              <w:right w:val="single" w:sz="8" w:color="007CBA"/>
            </w:tcBorders>
            <w:shd w:val="clear" w:color="auto" w:fill="E5F1F8"/>
          </w:tcPr>
          <w:p>
            <w:pPr>
              <w:jc w:val="center"/>
              <w:spacing w:after="0"/>
              <w:rPr>
                <w:sz w:val="20"/>
                <w:szCs w:val="20"/>
                <w:color w:val="auto"/>
              </w:rPr>
            </w:pPr>
            <w:r>
              <w:rPr>
                <w:rFonts w:ascii="Arial" w:cs="Arial" w:eastAsia="Arial" w:hAnsi="Arial"/>
                <w:sz w:val="14"/>
                <w:szCs w:val="14"/>
                <w:b w:val="1"/>
                <w:bCs w:val="1"/>
                <w:color w:val="auto"/>
              </w:rPr>
              <w:t>30</w:t>
            </w:r>
          </w:p>
        </w:tc>
        <w:tc>
          <w:tcPr>
            <w:tcW w:w="880" w:type="dxa"/>
            <w:vAlign w:val="bottom"/>
            <w:tcBorders>
              <w:bottom w:val="single" w:sz="8" w:color="007CBA"/>
            </w:tcBorders>
            <w:shd w:val="clear" w:color="auto" w:fill="E5F1F8"/>
          </w:tcPr>
          <w:p>
            <w:pPr>
              <w:jc w:val="center"/>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ind w:left="120" w:hanging="112"/>
        <w:spacing w:after="0" w:line="247" w:lineRule="auto"/>
        <w:tabs>
          <w:tab w:leader="none" w:pos="12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Of the 17 legal actions pending on December 31, 2018, 10 were contests of citations or orders referenced in Subpart B of CFR Part 2700, which includes contests of citations and orders issued under Section 104 of the Mine Act and contests of imminent danger orders under Section 107 of the Mine Act and 7 were contests of proposed penalties referenced in Subpart C of 29 CFR Part 2700, which are administrative proceedings before the Commission challenging a civil penalty that MSHA has proposed for the violation contained in a citation or order.</w:t>
      </w:r>
    </w:p>
    <w:sectPr>
      <w:pgSz w:w="11900" w:h="16838" w:orient="portrait"/>
      <w:cols w:equalWidth="0" w:num="1">
        <w:col w:w="11420"/>
      </w:cols>
      <w:pgMar w:left="240" w:top="2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1]"/>
      <w:numFmt w:val="upperLetter"/>
      <w:start w:val="24"/>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2"/>
      <w:numFmt w:val="bullet"/>
      <w:start w:val="1"/>
    </w:lvl>
  </w:abstractNum>
  <w:abstractNum w:abstractNumId="3">
    <w:nsid w:val="374A3FE6"/>
    <w:multiLevelType w:val="hybridMultilevel"/>
    <w:lvl w:ilvl="0">
      <w:lvlJc w:val="left"/>
      <w:lvlText w:val="4"/>
      <w:numFmt w:val="bullet"/>
      <w:start w:val="1"/>
    </w:lvl>
  </w:abstractNum>
  <w:abstractNum w:abstractNumId="4">
    <w:nsid w:val="4F4EF005"/>
    <w:multiLevelType w:val="hybridMultilevel"/>
    <w:lvl w:ilvl="0">
      <w:lvlJc w:val="left"/>
      <w:lvlText w:val="6"/>
      <w:numFmt w:val="bullet"/>
      <w:start w:val="1"/>
    </w:lvl>
  </w:abstractNum>
  <w:abstractNum w:abstractNumId="5">
    <w:nsid w:val="23F9C13C"/>
    <w:multiLevelType w:val="hybridMultilevel"/>
    <w:lvl w:ilvl="0">
      <w:lvlJc w:val="left"/>
      <w:lvlText w:val="8"/>
      <w:numFmt w:val="bullet"/>
      <w:start w:val="1"/>
    </w:lvl>
  </w:abstractNum>
  <w:abstractNum w:abstractNumId="6">
    <w:nsid w:val="649BB77C"/>
    <w:multiLevelType w:val="hybridMultilevel"/>
    <w:lvl w:ilvl="0">
      <w:lvlJc w:val="left"/>
      <w:lvlText w:val="%1"/>
      <w:numFmt w:val="decimal"/>
      <w:start w:val="10"/>
    </w:lvl>
  </w:abstractNum>
  <w:abstractNum w:abstractNumId="7">
    <w:nsid w:val="275AC794"/>
    <w:multiLevelType w:val="hybridMultilevel"/>
    <w:lvl w:ilvl="0">
      <w:lvlJc w:val="left"/>
      <w:lvlText w:val="%1"/>
      <w:numFmt w:val="decimal"/>
      <w:start w:val="12"/>
    </w:lvl>
  </w:abstractNum>
  <w:abstractNum w:abstractNumId="8">
    <w:nsid w:val="39386575"/>
    <w:multiLevelType w:val="hybridMultilevel"/>
    <w:lvl w:ilvl="0">
      <w:lvlJc w:val="left"/>
      <w:lvlText w:val="%1"/>
      <w:numFmt w:val="decimal"/>
      <w:start w:val="14"/>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1"/>
      <w:numFmt w:val="decimal"/>
      <w:start w:val="16"/>
    </w:lvl>
  </w:abstractNum>
  <w:abstractNum w:abstractNumId="12">
    <w:nsid w:val="47398C89"/>
    <w:multiLevelType w:val="hybridMultilevel"/>
    <w:lvl w:ilvl="0">
      <w:lvlJc w:val="left"/>
      <w:lvlText w:val="%1"/>
      <w:numFmt w:val="decimal"/>
      <w:start w:val="18"/>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1"/>
      <w:numFmt w:val="decimal"/>
      <w:start w:val="20"/>
    </w:lvl>
  </w:abstractNum>
  <w:abstractNum w:abstractNumId="15">
    <w:nsid w:val="741226BB"/>
    <w:multiLevelType w:val="hybridMultilevel"/>
    <w:lvl w:ilvl="0">
      <w:lvlJc w:val="left"/>
      <w:lvlText w:val="%1"/>
      <w:numFmt w:val="decimal"/>
      <w:start w:val="22"/>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1"/>
      <w:numFmt w:val="decimal"/>
      <w:start w:val="24"/>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1"/>
      <w:numFmt w:val="decimal"/>
      <w:start w:val="26"/>
    </w:lvl>
  </w:abstractNum>
  <w:abstractNum w:abstractNumId="23">
    <w:nsid w:val="310C50B3"/>
    <w:multiLevelType w:val="hybridMultilevel"/>
    <w:lvl w:ilvl="0">
      <w:lvlJc w:val="left"/>
      <w:lvlText w:val="%1"/>
      <w:numFmt w:val="decimal"/>
      <w:start w:val="28"/>
    </w:lvl>
  </w:abstractNum>
  <w:abstractNum w:abstractNumId="24">
    <w:nsid w:val="5FF87E05"/>
    <w:multiLevelType w:val="hybridMultilevel"/>
    <w:lvl w:ilvl="0">
      <w:lvlJc w:val="left"/>
      <w:lvlText w:val="(%1)"/>
      <w:numFmt w:val="decimal"/>
      <w:start w:val="1"/>
    </w:lvl>
  </w:abstractNum>
  <w:abstractNum w:abstractNumId="25">
    <w:nsid w:val="2F305DEF"/>
    <w:multiLevelType w:val="hybridMultilevel"/>
    <w:lvl w:ilvl="0">
      <w:lvlJc w:val="left"/>
      <w:lvlText w:val="%1"/>
      <w:numFmt w:val="decimal"/>
      <w:start w:val="30"/>
    </w:lvl>
  </w:abstractNum>
  <w:abstractNum w:abstractNumId="26">
    <w:nsid w:val="25A70BF7"/>
    <w:multiLevelType w:val="hybridMultilevel"/>
    <w:lvl w:ilvl="0">
      <w:lvlJc w:val="left"/>
      <w:lvlText w:val="%1"/>
      <w:numFmt w:val="decimal"/>
      <w:start w:val="32"/>
    </w:lvl>
  </w:abstractNum>
  <w:abstractNum w:abstractNumId="27">
    <w:nsid w:val="1DBABF00"/>
    <w:multiLevelType w:val="hybridMultilevel"/>
    <w:lvl w:ilvl="0">
      <w:lvlJc w:val="left"/>
      <w:lvlText w:val="\endash "/>
      <w:numFmt w:val="bullet"/>
      <w:start w:val="1"/>
    </w:lvl>
  </w:abstractNum>
  <w:abstractNum w:abstractNumId="28">
    <w:nsid w:val="4AD084E9"/>
    <w:multiLevelType w:val="hybridMultilevel"/>
    <w:lvl w:ilvl="0">
      <w:lvlJc w:val="left"/>
      <w:lvlText w:val="%1"/>
      <w:numFmt w:val="decimal"/>
      <w:start w:val="34"/>
    </w:lvl>
  </w:abstractNum>
  <w:abstractNum w:abstractNumId="29">
    <w:nsid w:val="1F48EAA1"/>
    <w:multiLevelType w:val="hybridMultilevel"/>
    <w:lvl w:ilvl="0">
      <w:lvlJc w:val="left"/>
      <w:lvlText w:val="\endash "/>
      <w:numFmt w:val="bullet"/>
      <w:start w:val="1"/>
    </w:lvl>
  </w:abstractNum>
  <w:abstractNum w:abstractNumId="30">
    <w:nsid w:val="1381823A"/>
    <w:multiLevelType w:val="hybridMultilevel"/>
    <w:lvl w:ilvl="0">
      <w:lvlJc w:val="left"/>
      <w:lvlText w:val="\endash "/>
      <w:numFmt w:val="bullet"/>
      <w:start w:val="1"/>
    </w:lvl>
  </w:abstractNum>
  <w:abstractNum w:abstractNumId="31">
    <w:nsid w:val="5DB70AE5"/>
    <w:multiLevelType w:val="hybridMultilevel"/>
    <w:lvl w:ilvl="0">
      <w:lvlJc w:val="left"/>
      <w:lvlText w:val="%1"/>
      <w:numFmt w:val="decimal"/>
      <w:start w:val="36"/>
    </w:lvl>
  </w:abstractNum>
  <w:abstractNum w:abstractNumId="32">
    <w:nsid w:val="100F8FCA"/>
    <w:multiLevelType w:val="hybridMultilevel"/>
    <w:lvl w:ilvl="0">
      <w:lvlJc w:val="left"/>
      <w:lvlText w:val="\endash "/>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1)"/>
      <w:numFmt w:val="lowerLetter"/>
      <w:start w:val="3"/>
    </w:lvl>
  </w:abstractNum>
  <w:abstractNum w:abstractNumId="36">
    <w:nsid w:val="98A3148"/>
    <w:multiLevelType w:val="hybridMultilevel"/>
    <w:lvl w:ilvl="0">
      <w:lvlJc w:val="left"/>
      <w:lvlText w:val="(%1)"/>
      <w:numFmt w:val="lowerLetter"/>
      <w:start w:val="1"/>
    </w:lvl>
  </w:abstractNum>
  <w:abstractNum w:abstractNumId="37">
    <w:nsid w:val="799D0247"/>
    <w:multiLevelType w:val="hybridMultilevel"/>
    <w:lvl w:ilvl="0">
      <w:lvlJc w:val="left"/>
      <w:lvlText w:val="%1"/>
      <w:numFmt w:val="decimal"/>
      <w:start w:val="38"/>
    </w:lvl>
  </w:abstractNum>
  <w:abstractNum w:abstractNumId="38">
    <w:nsid w:val="6B94764"/>
    <w:multiLevelType w:val="hybridMultilevel"/>
    <w:lvl w:ilvl="0">
      <w:lvlJc w:val="left"/>
      <w:lvlText w:val="%1"/>
      <w:numFmt w:val="decimal"/>
      <w:start w:val="40"/>
    </w:lvl>
  </w:abstractNum>
  <w:abstractNum w:abstractNumId="39">
    <w:nsid w:val="42C296BD"/>
    <w:multiLevelType w:val="hybridMultilevel"/>
    <w:lvl w:ilvl="0">
      <w:lvlJc w:val="left"/>
      <w:lvlText w:val="%1."/>
      <w:numFmt w:val="decimal"/>
      <w:start w:val="1"/>
    </w:lvl>
  </w:abstractNum>
  <w:abstractNum w:abstractNumId="40">
    <w:nsid w:val="168E121F"/>
    <w:multiLevelType w:val="hybridMultilevel"/>
    <w:lvl w:ilvl="0">
      <w:lvlJc w:val="left"/>
      <w:lvlText w:val="%1."/>
      <w:numFmt w:val="decimal"/>
      <w:start w:val="2"/>
    </w:lvl>
  </w:abstractNum>
  <w:abstractNum w:abstractNumId="41">
    <w:nsid w:val="1EBA5D23"/>
    <w:multiLevelType w:val="hybridMultilevel"/>
    <w:lvl w:ilvl="0">
      <w:lvlJc w:val="left"/>
      <w:lvlText w:val="%1."/>
      <w:numFmt w:val="decimal"/>
      <w:start w:val="3"/>
    </w:lvl>
  </w:abstractNum>
  <w:abstractNum w:abstractNumId="42">
    <w:nsid w:val="661E3F1E"/>
    <w:multiLevelType w:val="hybridMultilevel"/>
    <w:lvl w:ilvl="0">
      <w:lvlJc w:val="left"/>
      <w:lvlText w:val="%1."/>
      <w:numFmt w:val="decimal"/>
      <w:start w:val="5"/>
    </w:lvl>
  </w:abstractNum>
  <w:abstractNum w:abstractNumId="43">
    <w:nsid w:val="5DC79EA8"/>
    <w:multiLevelType w:val="hybridMultilevel"/>
    <w:lvl w:ilvl="0">
      <w:lvlJc w:val="left"/>
      <w:lvlText w:val="%1."/>
      <w:numFmt w:val="decimal"/>
      <w:start w:val="5"/>
    </w:lvl>
  </w:abstractNum>
  <w:abstractNum w:abstractNumId="44">
    <w:nsid w:val="540A471C"/>
    <w:multiLevelType w:val="hybridMultilevel"/>
    <w:lvl w:ilvl="0">
      <w:lvlJc w:val="left"/>
      <w:lvlText w:val="(%1)"/>
      <w:numFmt w:val="lowerLetter"/>
      <w:start w:val="1"/>
    </w:lvl>
  </w:abstractNum>
  <w:abstractNum w:abstractNumId="45">
    <w:nsid w:val="7BD3EE7B"/>
    <w:multiLevelType w:val="hybridMultilevel"/>
    <w:lvl w:ilvl="0">
      <w:lvlJc w:val="left"/>
      <w:lvlText w:val="%1."/>
      <w:numFmt w:val="decimal"/>
      <w:start w:val="6"/>
    </w:lvl>
  </w:abstractNum>
  <w:abstractNum w:abstractNumId="46">
    <w:nsid w:val="51D9C564"/>
    <w:multiLevelType w:val="hybridMultilevel"/>
    <w:lvl w:ilvl="0">
      <w:lvlJc w:val="left"/>
      <w:lvlText w:val="%1."/>
      <w:numFmt w:val="decimal"/>
      <w:start w:val="7"/>
    </w:lvl>
  </w:abstractNum>
  <w:abstractNum w:abstractNumId="47">
    <w:nsid w:val="613EFDC5"/>
    <w:multiLevelType w:val="hybridMultilevel"/>
    <w:lvl w:ilvl="0">
      <w:lvlJc w:val="left"/>
      <w:lvlText w:val="%1."/>
      <w:numFmt w:val="decimal"/>
      <w:start w:val="8"/>
    </w:lvl>
  </w:abstractNum>
  <w:abstractNum w:abstractNumId="48">
    <w:nsid w:val="BF72B14"/>
    <w:multiLevelType w:val="hybridMultilevel"/>
    <w:lvl w:ilvl="0">
      <w:lvlJc w:val="left"/>
      <w:lvlText w:val="%1."/>
      <w:numFmt w:val="decimal"/>
      <w:start w:val="9"/>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1."/>
      <w:numFmt w:val="decimal"/>
      <w:start w:val="10"/>
    </w:lvl>
  </w:abstractNum>
  <w:abstractNum w:abstractNumId="51">
    <w:nsid w:val="A0382C5"/>
    <w:multiLevelType w:val="hybridMultilevel"/>
    <w:lvl w:ilvl="0">
      <w:lvlJc w:val="left"/>
      <w:lvlText w:val="%1."/>
      <w:numFmt w:val="decimal"/>
      <w:start w:val="11"/>
    </w:lvl>
  </w:abstractNum>
  <w:abstractNum w:abstractNumId="52">
    <w:nsid w:val="8F2B15E"/>
    <w:multiLevelType w:val="hybridMultilevel"/>
    <w:lvl w:ilvl="0">
      <w:lvlJc w:val="left"/>
      <w:lvlText w:val="(%1)"/>
      <w:numFmt w:val="lowerLetter"/>
      <w:start w:val="1"/>
    </w:lvl>
  </w:abstractNum>
  <w:abstractNum w:abstractNumId="53">
    <w:nsid w:val="1A32234B"/>
    <w:multiLevelType w:val="hybridMultilevel"/>
    <w:lvl w:ilvl="0">
      <w:lvlJc w:val="left"/>
      <w:lvlText w:val="%1."/>
      <w:numFmt w:val="decimal"/>
      <w:start w:val="12"/>
    </w:lvl>
  </w:abstractNum>
  <w:abstractNum w:abstractNumId="54">
    <w:nsid w:val="3B0FD379"/>
    <w:multiLevelType w:val="hybridMultilevel"/>
    <w:lvl w:ilvl="0">
      <w:lvlJc w:val="left"/>
      <w:lvlText w:val="%1."/>
      <w:numFmt w:val="decimal"/>
      <w:start w:val="13"/>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1"/>
      <w:numFmt w:val="bullet"/>
      <w:start w:val="1"/>
    </w:lvl>
  </w:abstractNum>
  <w:abstractNum w:abstractNumId="58">
    <w:nsid w:val="6A5EE64"/>
    <w:multiLevelType w:val="hybridMultilevel"/>
    <w:lvl w:ilvl="0">
      <w:lvlJc w:val="left"/>
      <w:lvlText w:val="●"/>
      <w:numFmt w:val="bullet"/>
      <w:start w:val="1"/>
    </w:lvl>
    <w:lvl w:ilvl="1">
      <w:lvlJc w:val="left"/>
      <w:lvlText w:val="-"/>
      <w:numFmt w:val="bullet"/>
      <w:start w:val="1"/>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
      <w:numFmt w:val="bullet"/>
      <w:start w:val="1"/>
    </w:lvl>
    <w:lvl w:ilvl="1">
      <w:lvlJc w:val="left"/>
      <w:lvlText w:val="-"/>
      <w:numFmt w:val="bullet"/>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
      <w:numFmt w:val="bullet"/>
      <w:start w:val="1"/>
    </w:lvl>
    <w:lvl w:ilvl="1">
      <w:lvlJc w:val="left"/>
      <w:lvlText w:val="-"/>
      <w:numFmt w:val="bullet"/>
      <w:start w:val="1"/>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1"/>
      <w:numFmt w:val="bullet"/>
      <w:start w:val="1"/>
    </w:lvl>
  </w:abstractNum>
  <w:abstractNum w:abstractNumId="66">
    <w:nsid w:val="6F6DD9AC"/>
    <w:multiLevelType w:val="hybridMultilevel"/>
    <w:lvl w:ilvl="0">
      <w:lvlJc w:val="left"/>
      <w:lvlText w:val="2"/>
      <w:numFmt w:val="bullet"/>
      <w:start w:val="1"/>
    </w:lvl>
  </w:abstractNum>
  <w:abstractNum w:abstractNumId="67">
    <w:nsid w:val="94211F2"/>
    <w:multiLevelType w:val="hybridMultilevel"/>
    <w:lvl w:ilvl="0">
      <w:lvlJc w:val="left"/>
      <w:lvlText w:val="1"/>
      <w:numFmt w:val="bullet"/>
      <w:start w:val="1"/>
    </w:lvl>
  </w:abstractNum>
  <w:abstractNum w:abstractNumId="68">
    <w:nsid w:val="885E1B"/>
    <w:multiLevelType w:val="hybridMultilevel"/>
    <w:lvl w:ilvl="0">
      <w:lvlJc w:val="left"/>
      <w:lvlText w:val="2"/>
      <w:numFmt w:val="bullet"/>
      <w:start w:val="1"/>
    </w:lvl>
  </w:abstractNum>
  <w:abstractNum w:abstractNumId="69">
    <w:nsid w:val="76272110"/>
    <w:multiLevelType w:val="hybridMultilevel"/>
    <w:lvl w:ilvl="0">
      <w:lvlJc w:val="left"/>
      <w:lvlText w:val="•"/>
      <w:numFmt w:val="bullet"/>
      <w:start w:val="1"/>
    </w:lvl>
  </w:abstractNum>
  <w:abstractNum w:abstractNumId="70">
    <w:nsid w:val="4C04A8AF"/>
    <w:multiLevelType w:val="hybridMultilevel"/>
    <w:lvl w:ilvl="0">
      <w:lvlJc w:val="left"/>
      <w:lvlText w:val="•"/>
      <w:numFmt w:val="bullet"/>
      <w:start w:val="1"/>
    </w:lvl>
  </w:abstractNum>
  <w:abstractNum w:abstractNumId="71">
    <w:nsid w:val="1716703B"/>
    <w:multiLevelType w:val="hybridMultilevel"/>
    <w:lvl w:ilvl="0">
      <w:lvlJc w:val="left"/>
      <w:lvlText w:val="•"/>
      <w:numFmt w:val="bullet"/>
      <w:start w:val="1"/>
    </w:lvl>
  </w:abstractNum>
  <w:abstractNum w:abstractNumId="72">
    <w:nsid w:val="14E17E33"/>
    <w:multiLevelType w:val="hybridMultilevel"/>
    <w:lvl w:ilvl="0">
      <w:lvlJc w:val="left"/>
      <w:lvlText w:val="•"/>
      <w:numFmt w:val="bullet"/>
      <w:start w:val="1"/>
    </w:lvl>
  </w:abstractNum>
  <w:abstractNum w:abstractNumId="73">
    <w:nsid w:val="3222E7CD"/>
    <w:multiLevelType w:val="hybridMultilevel"/>
    <w:lvl w:ilvl="0">
      <w:lvlJc w:val="left"/>
      <w:lvlText w:val="•"/>
      <w:numFmt w:val="bullet"/>
      <w:start w:val="1"/>
    </w:lvl>
  </w:abstractNum>
  <w:abstractNum w:abstractNumId="74">
    <w:nsid w:val="74DE0EE3"/>
    <w:multiLevelType w:val="hybridMultilevel"/>
    <w:lvl w:ilvl="0">
      <w:lvlJc w:val="left"/>
      <w:lvlText w:val="•"/>
      <w:numFmt w:val="bullet"/>
      <w:start w:val="1"/>
    </w:lvl>
  </w:abstractNum>
  <w:abstractNum w:abstractNumId="75">
    <w:nsid w:val="68EBC550"/>
    <w:multiLevelType w:val="hybridMultilevel"/>
    <w:lvl w:ilvl="0">
      <w:lvlJc w:val="left"/>
      <w:lvlText w:val="•"/>
      <w:numFmt w:val="bullet"/>
      <w:start w:val="1"/>
    </w:lvl>
  </w:abstractNum>
  <w:abstractNum w:abstractNumId="76">
    <w:nsid w:val="2DF6D648"/>
    <w:multiLevelType w:val="hybridMultilevel"/>
    <w:lvl w:ilvl="0">
      <w:lvlJc w:val="left"/>
      <w:lvlText w:val="●"/>
      <w:numFmt w:val="bullet"/>
      <w:start w:val="1"/>
    </w:lvl>
  </w:abstractNum>
  <w:abstractNum w:abstractNumId="77">
    <w:nsid w:val="46B7D447"/>
    <w:multiLevelType w:val="hybridMultilevel"/>
    <w:lvl w:ilvl="0">
      <w:lvlJc w:val="left"/>
      <w:lvlText w:val="●"/>
      <w:numFmt w:val="bullet"/>
      <w:start w:val="1"/>
    </w:lvl>
  </w:abstractNum>
  <w:abstractNum w:abstractNumId="78">
    <w:nsid w:val="4A2AC315"/>
    <w:multiLevelType w:val="hybridMultilevel"/>
    <w:lvl w:ilvl="0">
      <w:lvlJc w:val="left"/>
      <w:lvlText w:val="●"/>
      <w:numFmt w:val="bullet"/>
      <w:start w:val="1"/>
    </w:lvl>
    <w:lvl w:ilvl="1">
      <w:lvlJc w:val="left"/>
      <w:lvlText w:val="-"/>
      <w:numFmt w:val="bullet"/>
      <w:start w:val="1"/>
    </w:lvl>
  </w:abstractNum>
  <w:abstractNum w:abstractNumId="79">
    <w:nsid w:val="39EE015C"/>
    <w:multiLevelType w:val="hybridMultilevel"/>
    <w:lvl w:ilvl="0">
      <w:lvlJc w:val="left"/>
      <w:lvlText w:val="1"/>
      <w:numFmt w:val="bullet"/>
      <w:start w:val="1"/>
    </w:lvl>
  </w:abstractNum>
  <w:abstractNum w:abstractNumId="80">
    <w:nsid w:val="57FC4FBB"/>
    <w:multiLevelType w:val="hybridMultilevel"/>
    <w:lvl w:ilvl="0">
      <w:lvlJc w:val="left"/>
      <w:lvlText w:val="1"/>
      <w:numFmt w:val="bullet"/>
      <w:start w:val="1"/>
    </w:lvl>
  </w:abstractNum>
  <w:abstractNum w:abstractNumId="81">
    <w:nsid w:val="CC1016F"/>
    <w:multiLevelType w:val="hybridMultilevel"/>
    <w:lvl w:ilvl="0">
      <w:lvlJc w:val="left"/>
      <w:lvlText w:val="2"/>
      <w:numFmt w:val="bullet"/>
      <w:start w:val="1"/>
    </w:lvl>
  </w:abstractNum>
  <w:abstractNum w:abstractNumId="82">
    <w:nsid w:val="43F18422"/>
    <w:multiLevelType w:val="hybridMultilevel"/>
    <w:lvl w:ilvl="0">
      <w:lvlJc w:val="left"/>
      <w:lvlText w:val="3"/>
      <w:numFmt w:val="bullet"/>
      <w:start w:val="1"/>
    </w:lvl>
  </w:abstractNum>
  <w:abstractNum w:abstractNumId="83">
    <w:nsid w:val="60EF0119"/>
    <w:multiLevelType w:val="hybridMultilevel"/>
    <w:lvl w:ilvl="0">
      <w:lvlJc w:val="left"/>
      <w:lvlText w:val="4"/>
      <w:numFmt w:val="bullet"/>
      <w:start w:val="1"/>
    </w:lvl>
  </w:abstractNum>
  <w:abstractNum w:abstractNumId="84">
    <w:nsid w:val="26F324BA"/>
    <w:multiLevelType w:val="hybridMultilevel"/>
    <w:lvl w:ilvl="0">
      <w:lvlJc w:val="left"/>
      <w:lvlText w:val="5"/>
      <w:numFmt w:val="bullet"/>
      <w:start w:val="1"/>
    </w:lvl>
  </w:abstractNum>
  <w:abstractNum w:abstractNumId="85">
    <w:nsid w:val="7F01579B"/>
    <w:multiLevelType w:val="hybridMultilevel"/>
    <w:lvl w:ilvl="0">
      <w:lvlJc w:val="left"/>
      <w:lvlText w:val="6"/>
      <w:numFmt w:val="bullet"/>
      <w:start w:val="1"/>
    </w:lvl>
  </w:abstractNum>
  <w:abstractNum w:abstractNumId="86">
    <w:nsid w:val="49DA307D"/>
    <w:multiLevelType w:val="hybridMultilevel"/>
    <w:lvl w:ilvl="0">
      <w:lvlJc w:val="left"/>
      <w:lvlText w:val="7"/>
      <w:numFmt w:val="bullet"/>
      <w:start w:val="1"/>
    </w:lvl>
  </w:abstractNum>
  <w:abstractNum w:abstractNumId="87">
    <w:nsid w:val="7055A5F5"/>
    <w:multiLevelType w:val="hybridMultilevel"/>
    <w:lvl w:ilvl="0">
      <w:lvlJc w:val="left"/>
      <w:lvlText w:val="8"/>
      <w:numFmt w:val="bullet"/>
      <w:start w:val="1"/>
    </w:lvl>
  </w:abstractNum>
  <w:abstractNum w:abstractNumId="88">
    <w:nsid w:val="5FB8370B"/>
    <w:multiLevelType w:val="hybridMultilevel"/>
    <w:lvl w:ilvl="0">
      <w:lvlJc w:val="left"/>
      <w:lvlText w:val="1"/>
      <w:numFmt w:val="bullet"/>
      <w:start w:val="1"/>
    </w:lvl>
  </w:abstractNum>
  <w:abstractNum w:abstractNumId="89">
    <w:nsid w:val="50801EE1"/>
    <w:multiLevelType w:val="hybridMultilevel"/>
    <w:lvl w:ilvl="0">
      <w:lvlJc w:val="left"/>
      <w:lvlText w:val="2"/>
      <w:numFmt w:val="bullet"/>
      <w:start w:val="1"/>
    </w:lvl>
  </w:abstractNum>
  <w:abstractNum w:abstractNumId="90">
    <w:nsid w:val="488AC1A"/>
    <w:multiLevelType w:val="hybridMultilevel"/>
    <w:lvl w:ilvl="0">
      <w:lvlJc w:val="left"/>
      <w:lvlText w:val="3"/>
      <w:numFmt w:val="bullet"/>
      <w:start w:val="1"/>
    </w:lvl>
  </w:abstractNum>
  <w:abstractNum w:abstractNumId="91">
    <w:nsid w:val="5FB8011C"/>
    <w:multiLevelType w:val="hybridMultilevel"/>
    <w:lvl w:ilvl="0">
      <w:lvlJc w:val="left"/>
      <w:lvlText w:val="4"/>
      <w:numFmt w:val="bullet"/>
      <w:start w:val="1"/>
    </w:lvl>
  </w:abstractNum>
  <w:abstractNum w:abstractNumId="92">
    <w:nsid w:val="6AA78F7F"/>
    <w:multiLevelType w:val="hybridMultilevel"/>
    <w:lvl w:ilvl="0">
      <w:lvlJc w:val="left"/>
      <w:lvlText w:val="1"/>
      <w:numFmt w:val="bullet"/>
      <w:start w:val="1"/>
    </w:lvl>
  </w:abstractNum>
  <w:abstractNum w:abstractNumId="93">
    <w:nsid w:val="7672BD23"/>
    <w:multiLevelType w:val="hybridMultilevel"/>
    <w:lvl w:ilvl="0">
      <w:lvlJc w:val="left"/>
      <w:lvlText w:val="1"/>
      <w:numFmt w:val="bullet"/>
      <w:start w:val="1"/>
    </w:lvl>
  </w:abstractNum>
  <w:abstractNum w:abstractNumId="94">
    <w:nsid w:val="6FC75AF8"/>
    <w:multiLevelType w:val="hybridMultilevel"/>
    <w:lvl w:ilvl="0">
      <w:lvlJc w:val="left"/>
      <w:lvlText w:val="%1"/>
      <w:numFmt w:val="decimal"/>
      <w:start w:val="16"/>
    </w:lvl>
  </w:abstractNum>
  <w:abstractNum w:abstractNumId="95">
    <w:nsid w:val="6A5F7029"/>
    <w:multiLevelType w:val="hybridMultilevel"/>
    <w:lvl w:ilvl="0">
      <w:lvlJc w:val="left"/>
      <w:lvlText w:val="%1"/>
      <w:numFmt w:val="decimal"/>
      <w:start w:val="31"/>
    </w:lvl>
  </w:abstractNum>
  <w:abstractNum w:abstractNumId="96">
    <w:nsid w:val="7D5E18F8"/>
    <w:multiLevelType w:val="hybridMultilevel"/>
    <w:lvl w:ilvl="0">
      <w:lvlJc w:val="left"/>
      <w:lvlText w:val="%1"/>
      <w:numFmt w:val="decimal"/>
      <w:start w:val="49"/>
    </w:lvl>
  </w:abstractNum>
  <w:abstractNum w:abstractNumId="97">
    <w:nsid w:val="5F3534A4"/>
    <w:multiLevelType w:val="hybridMultilevel"/>
    <w:lvl w:ilvl="0">
      <w:lvlJc w:val="left"/>
      <w:lvlText w:val="%1."/>
      <w:numFmt w:val="decimal"/>
      <w:start w:val="1"/>
    </w:lvl>
    <w:lvl w:ilvl="1">
      <w:lvlJc w:val="left"/>
      <w:lvlText w:val="(%2)"/>
      <w:numFmt w:val="lowerLetter"/>
      <w:start w:val="1"/>
    </w:lvl>
  </w:abstractNum>
  <w:abstractNum w:abstractNumId="98">
    <w:nsid w:val="73A1821B"/>
    <w:multiLevelType w:val="hybridMultilevel"/>
    <w:lvl w:ilvl="0">
      <w:lvlJc w:val="left"/>
      <w:lvlText w:val="%1."/>
      <w:numFmt w:val="decimal"/>
      <w:start w:val="1"/>
    </w:lvl>
    <w:lvl w:ilvl="1">
      <w:lvlJc w:val="left"/>
      <w:lvlText w:val="(%2)"/>
      <w:numFmt w:val="lowerLetter"/>
      <w:start w:val="1"/>
    </w:lvl>
  </w:abstractNum>
  <w:abstractNum w:abstractNumId="99">
    <w:nsid w:val="7DE67713"/>
    <w:multiLevelType w:val="hybridMultilevel"/>
    <w:lvl w:ilvl="0">
      <w:lvlJc w:val="left"/>
      <w:lvlText w:val="(%1)"/>
      <w:numFmt w:val="decimal"/>
      <w:start w:val="1"/>
    </w:lvl>
  </w:abstractNum>
  <w:abstractNum w:abstractNumId="100">
    <w:nsid w:val="555C55B5"/>
    <w:multiLevelType w:val="hybridMultilevel"/>
    <w:lvl w:ilvl="0">
      <w:lvlJc w:val="left"/>
      <w:lvlText w:val="(%1)"/>
      <w:numFmt w:val="decimal"/>
      <w:start w:val="1"/>
    </w:lvl>
  </w:abstractNum>
  <w:abstractNum w:abstractNumId="101">
    <w:nsid w:val="3FA62ACA"/>
    <w:multiLevelType w:val="hybridMultilevel"/>
    <w:lvl w:ilvl="0">
      <w:lvlJc w:val="left"/>
      <w:lvlText w:val="•"/>
      <w:numFmt w:val="bullet"/>
      <w:start w:val="1"/>
    </w:lvl>
  </w:abstractNum>
  <w:abstractNum w:abstractNumId="102">
    <w:nsid w:val="14FCE74E"/>
    <w:multiLevelType w:val="hybridMultilevel"/>
    <w:lvl w:ilvl="0">
      <w:lvlJc w:val="left"/>
      <w:lvlText w:val="•"/>
      <w:numFmt w:val="bullet"/>
      <w:start w:val="1"/>
    </w:lvl>
  </w:abstractNum>
  <w:abstractNum w:abstractNumId="103">
    <w:nsid w:val="6A3DD3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105" Type="http://schemas.openxmlformats.org/officeDocument/2006/relationships/image" Target="media/image78.jpeg"/><Relationship Id="rId106" Type="http://schemas.openxmlformats.org/officeDocument/2006/relationships/image" Target="media/image79.png"/><Relationship Id="rId107" Type="http://schemas.openxmlformats.org/officeDocument/2006/relationships/image" Target="media/image80.png"/><Relationship Id="rId122" Type="http://schemas.openxmlformats.org/officeDocument/2006/relationships/image" Target="media/image81.png"/><Relationship Id="rId123" Type="http://schemas.openxmlformats.org/officeDocument/2006/relationships/image" Target="media/image82.png"/><Relationship Id="rId124" Type="http://schemas.openxmlformats.org/officeDocument/2006/relationships/image" Target="media/image83.png"/><Relationship Id="rId125" Type="http://schemas.openxmlformats.org/officeDocument/2006/relationships/image" Target="media/image84.jpeg"/><Relationship Id="rId126" Type="http://schemas.openxmlformats.org/officeDocument/2006/relationships/image" Target="media/image85.png"/><Relationship Id="rId127" Type="http://schemas.openxmlformats.org/officeDocument/2006/relationships/image" Target="media/image86.png"/><Relationship Id="rId128" Type="http://schemas.openxmlformats.org/officeDocument/2006/relationships/image" Target="media/image87.png"/><Relationship Id="rId129" Type="http://schemas.openxmlformats.org/officeDocument/2006/relationships/image" Target="media/image88.png"/><Relationship Id="rId130" Type="http://schemas.openxmlformats.org/officeDocument/2006/relationships/image" Target="media/image89.jpeg"/><Relationship Id="rId131" Type="http://schemas.openxmlformats.org/officeDocument/2006/relationships/image" Target="media/image90.png"/><Relationship Id="rId132" Type="http://schemas.openxmlformats.org/officeDocument/2006/relationships/image" Target="media/image91.png"/><Relationship Id="rId133" Type="http://schemas.openxmlformats.org/officeDocument/2006/relationships/image" Target="media/image92.jpeg"/><Relationship Id="rId134" Type="http://schemas.openxmlformats.org/officeDocument/2006/relationships/image" Target="media/image93.png"/><Relationship Id="rId135" Type="http://schemas.openxmlformats.org/officeDocument/2006/relationships/image" Target="media/image94.jpeg"/><Relationship Id="rId136" Type="http://schemas.openxmlformats.org/officeDocument/2006/relationships/image" Target="media/image95.png"/><Relationship Id="rId137" Type="http://schemas.openxmlformats.org/officeDocument/2006/relationships/image" Target="media/image96.png"/><Relationship Id="rId138" Type="http://schemas.openxmlformats.org/officeDocument/2006/relationships/image" Target="media/image97.png"/><Relationship Id="rId139" Type="http://schemas.openxmlformats.org/officeDocument/2006/relationships/image" Target="media/image98.png"/><Relationship Id="rId140" Type="http://schemas.openxmlformats.org/officeDocument/2006/relationships/image" Target="media/image99.jpeg"/><Relationship Id="rId141" Type="http://schemas.openxmlformats.org/officeDocument/2006/relationships/image" Target="media/image100.jpeg"/><Relationship Id="rId142" Type="http://schemas.openxmlformats.org/officeDocument/2006/relationships/image" Target="media/image101.png"/><Relationship Id="rId143" Type="http://schemas.openxmlformats.org/officeDocument/2006/relationships/image" Target="media/image102.png"/><Relationship Id="rId144" Type="http://schemas.openxmlformats.org/officeDocument/2006/relationships/image" Target="media/image103.png"/><Relationship Id="rId145" Type="http://schemas.openxmlformats.org/officeDocument/2006/relationships/image" Target="media/image104.png"/><Relationship Id="rId146" Type="http://schemas.openxmlformats.org/officeDocument/2006/relationships/image" Target="media/image105.png"/><Relationship Id="rId147" Type="http://schemas.openxmlformats.org/officeDocument/2006/relationships/image" Target="media/image106.png"/><Relationship Id="rId148" Type="http://schemas.openxmlformats.org/officeDocument/2006/relationships/image" Target="media/image107.png"/><Relationship Id="rId149" Type="http://schemas.openxmlformats.org/officeDocument/2006/relationships/image" Target="media/image108.png"/><Relationship Id="rId150" Type="http://schemas.openxmlformats.org/officeDocument/2006/relationships/image" Target="media/image109.png"/><Relationship Id="rId151" Type="http://schemas.openxmlformats.org/officeDocument/2006/relationships/image" Target="media/image110.png"/><Relationship Id="rId152" Type="http://schemas.openxmlformats.org/officeDocument/2006/relationships/image" Target="media/image111.png"/><Relationship Id="rId153" Type="http://schemas.openxmlformats.org/officeDocument/2006/relationships/image" Target="media/image112.png"/><Relationship Id="rId154" Type="http://schemas.openxmlformats.org/officeDocument/2006/relationships/image" Target="media/image113.png"/><Relationship Id="rId155" Type="http://schemas.openxmlformats.org/officeDocument/2006/relationships/image" Target="media/image114.png"/><Relationship Id="rId156" Type="http://schemas.openxmlformats.org/officeDocument/2006/relationships/image" Target="media/image115.png"/><Relationship Id="rId157"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0" Type="http://schemas.openxmlformats.org/officeDocument/2006/relationships/image" Target="media/image119.png"/><Relationship Id="rId161" Type="http://schemas.openxmlformats.org/officeDocument/2006/relationships/image" Target="media/image120.png"/><Relationship Id="rId162" Type="http://schemas.openxmlformats.org/officeDocument/2006/relationships/image" Target="media/image121.png"/><Relationship Id="rId163" Type="http://schemas.openxmlformats.org/officeDocument/2006/relationships/image" Target="media/image122.png"/><Relationship Id="rId164" Type="http://schemas.openxmlformats.org/officeDocument/2006/relationships/image" Target="media/image123.png"/><Relationship Id="rId165" Type="http://schemas.openxmlformats.org/officeDocument/2006/relationships/image" Target="media/image124.png"/><Relationship Id="rId166" Type="http://schemas.openxmlformats.org/officeDocument/2006/relationships/image" Target="media/image125.png"/><Relationship Id="rId167" Type="http://schemas.openxmlformats.org/officeDocument/2006/relationships/image" Target="media/image126.png"/><Relationship Id="rId168" Type="http://schemas.openxmlformats.org/officeDocument/2006/relationships/image" Target="media/image127.png"/><Relationship Id="rId169" Type="http://schemas.openxmlformats.org/officeDocument/2006/relationships/image" Target="media/image128.png"/><Relationship Id="rId170" Type="http://schemas.openxmlformats.org/officeDocument/2006/relationships/image" Target="media/image129.png"/><Relationship Id="rId171" Type="http://schemas.openxmlformats.org/officeDocument/2006/relationships/image" Target="media/image130.png"/><Relationship Id="rId172"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180" Type="http://schemas.openxmlformats.org/officeDocument/2006/relationships/image" Target="media/image139.png"/><Relationship Id="rId181" Type="http://schemas.openxmlformats.org/officeDocument/2006/relationships/image" Target="media/image140.png"/><Relationship Id="rId182" Type="http://schemas.openxmlformats.org/officeDocument/2006/relationships/image" Target="media/image141.png"/><Relationship Id="rId183"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png"/><Relationship Id="rId186" Type="http://schemas.openxmlformats.org/officeDocument/2006/relationships/image" Target="media/image145.png"/><Relationship Id="rId187" Type="http://schemas.openxmlformats.org/officeDocument/2006/relationships/image" Target="media/image146.png"/><Relationship Id="rId188" Type="http://schemas.openxmlformats.org/officeDocument/2006/relationships/image" Target="media/image147.png"/><Relationship Id="rId189" Type="http://schemas.openxmlformats.org/officeDocument/2006/relationships/image" Target="media/image148.png"/><Relationship Id="rId190" Type="http://schemas.openxmlformats.org/officeDocument/2006/relationships/image" Target="media/image149.png"/><Relationship Id="rId191" Type="http://schemas.openxmlformats.org/officeDocument/2006/relationships/image" Target="media/image150.png"/><Relationship Id="rId192" Type="http://schemas.openxmlformats.org/officeDocument/2006/relationships/image" Target="media/image151.png"/><Relationship Id="rId193" Type="http://schemas.openxmlformats.org/officeDocument/2006/relationships/image" Target="media/image152.jpeg"/><Relationship Id="rId194" Type="http://schemas.openxmlformats.org/officeDocument/2006/relationships/image" Target="media/image153.jpeg"/><Relationship Id="rId195" Type="http://schemas.openxmlformats.org/officeDocument/2006/relationships/image" Target="media/image154.png"/><Relationship Id="rId196" Type="http://schemas.openxmlformats.org/officeDocument/2006/relationships/image" Target="media/image155.jpeg"/><Relationship Id="rId197" Type="http://schemas.openxmlformats.org/officeDocument/2006/relationships/image" Target="media/image156.png"/><Relationship Id="rId198" Type="http://schemas.openxmlformats.org/officeDocument/2006/relationships/image" Target="media/image157.jpeg"/><Relationship Id="rId199" Type="http://schemas.openxmlformats.org/officeDocument/2006/relationships/image" Target="media/image158.png"/><Relationship Id="rId200" Type="http://schemas.openxmlformats.org/officeDocument/2006/relationships/image" Target="media/image159.png"/><Relationship Id="rId201" Type="http://schemas.openxmlformats.org/officeDocument/2006/relationships/image" Target="media/image160.jpeg"/><Relationship Id="rId202" Type="http://schemas.openxmlformats.org/officeDocument/2006/relationships/image" Target="media/image161.png"/><Relationship Id="rId203" Type="http://schemas.openxmlformats.org/officeDocument/2006/relationships/image" Target="media/image162.png"/><Relationship Id="rId204" Type="http://schemas.openxmlformats.org/officeDocument/2006/relationships/image" Target="media/image163.jpeg"/><Relationship Id="rId205" Type="http://schemas.openxmlformats.org/officeDocument/2006/relationships/image" Target="media/image164.png"/><Relationship Id="rId206" Type="http://schemas.openxmlformats.org/officeDocument/2006/relationships/image" Target="media/image165.png"/><Relationship Id="rId207" Type="http://schemas.openxmlformats.org/officeDocument/2006/relationships/image" Target="media/image166.png"/><Relationship Id="rId208" Type="http://schemas.openxmlformats.org/officeDocument/2006/relationships/image" Target="media/image167.jpeg"/><Relationship Id="rId209" Type="http://schemas.openxmlformats.org/officeDocument/2006/relationships/image" Target="media/image168.png"/><Relationship Id="rId210" Type="http://schemas.openxmlformats.org/officeDocument/2006/relationships/image" Target="media/image169.jpeg"/><Relationship Id="rId211" Type="http://schemas.openxmlformats.org/officeDocument/2006/relationships/image" Target="media/image170.png"/><Relationship Id="rId212" Type="http://schemas.openxmlformats.org/officeDocument/2006/relationships/image" Target="media/image171.jpeg"/><Relationship Id="rId213" Type="http://schemas.openxmlformats.org/officeDocument/2006/relationships/image" Target="media/image172.png"/><Relationship Id="rId214" Type="http://schemas.openxmlformats.org/officeDocument/2006/relationships/image" Target="media/image173.png"/><Relationship Id="rId215" Type="http://schemas.openxmlformats.org/officeDocument/2006/relationships/image" Target="media/image174.png"/><Relationship Id="rId216" Type="http://schemas.openxmlformats.org/officeDocument/2006/relationships/image" Target="media/image175.png"/><Relationship Id="rId217" Type="http://schemas.openxmlformats.org/officeDocument/2006/relationships/image" Target="media/image176.jpeg"/><Relationship Id="rId218" Type="http://schemas.openxmlformats.org/officeDocument/2006/relationships/image" Target="media/image177.png"/><Relationship Id="rId219" Type="http://schemas.openxmlformats.org/officeDocument/2006/relationships/image" Target="media/image178.jpeg"/><Relationship Id="rId220" Type="http://schemas.openxmlformats.org/officeDocument/2006/relationships/image" Target="media/image179.png"/><Relationship Id="rId221" Type="http://schemas.openxmlformats.org/officeDocument/2006/relationships/image" Target="media/image180.png"/><Relationship Id="rId222" Type="http://schemas.openxmlformats.org/officeDocument/2006/relationships/image" Target="media/image181.jpeg"/><Relationship Id="rId223" Type="http://schemas.openxmlformats.org/officeDocument/2006/relationships/image" Target="media/image182.png"/><Relationship Id="rId224" Type="http://schemas.openxmlformats.org/officeDocument/2006/relationships/image" Target="media/image183.jpeg"/><Relationship Id="rId225" Type="http://schemas.openxmlformats.org/officeDocument/2006/relationships/image" Target="media/image184.jpeg"/><Relationship Id="rId226" Type="http://schemas.openxmlformats.org/officeDocument/2006/relationships/image" Target="media/image185.png"/><Relationship Id="rId227" Type="http://schemas.openxmlformats.org/officeDocument/2006/relationships/image" Target="media/image186.png"/><Relationship Id="rId228" Type="http://schemas.openxmlformats.org/officeDocument/2006/relationships/image" Target="media/image187.png"/><Relationship Id="rId229" Type="http://schemas.openxmlformats.org/officeDocument/2006/relationships/image" Target="media/image188.png"/><Relationship Id="rId230" Type="http://schemas.openxmlformats.org/officeDocument/2006/relationships/image" Target="media/image189.png"/><Relationship Id="rId231" Type="http://schemas.openxmlformats.org/officeDocument/2006/relationships/image" Target="media/image190.png"/><Relationship Id="rId232" Type="http://schemas.openxmlformats.org/officeDocument/2006/relationships/image" Target="media/image191.png"/><Relationship Id="rId233" Type="http://schemas.openxmlformats.org/officeDocument/2006/relationships/image" Target="media/image192.png"/><Relationship Id="rId234" Type="http://schemas.openxmlformats.org/officeDocument/2006/relationships/image" Target="media/image193.png"/><Relationship Id="rId235" Type="http://schemas.openxmlformats.org/officeDocument/2006/relationships/image" Target="media/image194.png"/><Relationship Id="rId236" Type="http://schemas.openxmlformats.org/officeDocument/2006/relationships/image" Target="media/image195.png"/><Relationship Id="rId237" Type="http://schemas.openxmlformats.org/officeDocument/2006/relationships/image" Target="media/image196.png"/><Relationship Id="rId238" Type="http://schemas.openxmlformats.org/officeDocument/2006/relationships/image" Target="media/image197.png"/><Relationship Id="rId239" Type="http://schemas.openxmlformats.org/officeDocument/2006/relationships/image" Target="media/image198.jpeg"/><Relationship Id="rId240" Type="http://schemas.openxmlformats.org/officeDocument/2006/relationships/image" Target="media/image199.png"/><Relationship Id="rId241" Type="http://schemas.openxmlformats.org/officeDocument/2006/relationships/image" Target="media/image200.png"/><Relationship Id="rId242" Type="http://schemas.openxmlformats.org/officeDocument/2006/relationships/image" Target="media/image201.png"/><Relationship Id="rId243" Type="http://schemas.openxmlformats.org/officeDocument/2006/relationships/image" Target="media/image202.png"/><Relationship Id="rId244" Type="http://schemas.openxmlformats.org/officeDocument/2006/relationships/image" Target="media/image203.png"/><Relationship Id="rId245" Type="http://schemas.openxmlformats.org/officeDocument/2006/relationships/image" Target="media/image204.png"/><Relationship Id="rId246" Type="http://schemas.openxmlformats.org/officeDocument/2006/relationships/image" Target="media/image205.png"/><Relationship Id="rId247" Type="http://schemas.openxmlformats.org/officeDocument/2006/relationships/image" Target="media/image206.png"/><Relationship Id="rId248" Type="http://schemas.openxmlformats.org/officeDocument/2006/relationships/image" Target="media/image207.png"/><Relationship Id="rId249" Type="http://schemas.openxmlformats.org/officeDocument/2006/relationships/image" Target="media/image208.png"/><Relationship Id="rId250" Type="http://schemas.openxmlformats.org/officeDocument/2006/relationships/image" Target="media/image209.png"/><Relationship Id="rId251" Type="http://schemas.openxmlformats.org/officeDocument/2006/relationships/image" Target="media/image210.png"/><Relationship Id="rId252" Type="http://schemas.openxmlformats.org/officeDocument/2006/relationships/image" Target="media/image211.png"/><Relationship Id="rId253" Type="http://schemas.openxmlformats.org/officeDocument/2006/relationships/image" Target="media/image212.jpeg"/><Relationship Id="rId254" Type="http://schemas.openxmlformats.org/officeDocument/2006/relationships/image" Target="media/image213.png"/><Relationship Id="rId255" Type="http://schemas.openxmlformats.org/officeDocument/2006/relationships/image" Target="media/image214.png"/><Relationship Id="rId256" Type="http://schemas.openxmlformats.org/officeDocument/2006/relationships/image" Target="media/image215.png"/><Relationship Id="rId257" Type="http://schemas.openxmlformats.org/officeDocument/2006/relationships/image" Target="media/image216.png"/><Relationship Id="rId258" Type="http://schemas.openxmlformats.org/officeDocument/2006/relationships/image" Target="media/image217.png"/><Relationship Id="rId259" Type="http://schemas.openxmlformats.org/officeDocument/2006/relationships/image" Target="media/image218.png"/><Relationship Id="rId260" Type="http://schemas.openxmlformats.org/officeDocument/2006/relationships/image" Target="media/image219.png"/><Relationship Id="rId261" Type="http://schemas.openxmlformats.org/officeDocument/2006/relationships/image" Target="media/image220.png"/><Relationship Id="rId262" Type="http://schemas.openxmlformats.org/officeDocument/2006/relationships/image" Target="media/image221.png"/><Relationship Id="rId263" Type="http://schemas.openxmlformats.org/officeDocument/2006/relationships/image" Target="media/image222.png"/><Relationship Id="rId264" Type="http://schemas.openxmlformats.org/officeDocument/2006/relationships/image" Target="media/image223.png"/><Relationship Id="rId265" Type="http://schemas.openxmlformats.org/officeDocument/2006/relationships/image" Target="media/image224.png"/><Relationship Id="rId266" Type="http://schemas.openxmlformats.org/officeDocument/2006/relationships/image" Target="media/image225.png"/><Relationship Id="rId267" Type="http://schemas.openxmlformats.org/officeDocument/2006/relationships/image" Target="media/image226.jpeg"/><Relationship Id="rId268" Type="http://schemas.openxmlformats.org/officeDocument/2006/relationships/image" Target="media/image227.png"/><Relationship Id="rId269" Type="http://schemas.openxmlformats.org/officeDocument/2006/relationships/image" Target="media/image228.png"/><Relationship Id="rId270" Type="http://schemas.openxmlformats.org/officeDocument/2006/relationships/image" Target="media/image229.png"/><Relationship Id="rId271" Type="http://schemas.openxmlformats.org/officeDocument/2006/relationships/image" Target="media/image230.png"/><Relationship Id="rId272" Type="http://schemas.openxmlformats.org/officeDocument/2006/relationships/image" Target="media/image231.png"/><Relationship Id="rId273" Type="http://schemas.openxmlformats.org/officeDocument/2006/relationships/image" Target="media/image232.png"/><Relationship Id="rId274" Type="http://schemas.openxmlformats.org/officeDocument/2006/relationships/image" Target="media/image233.png"/><Relationship Id="rId275" Type="http://schemas.openxmlformats.org/officeDocument/2006/relationships/image" Target="media/image234.png"/><Relationship Id="rId276" Type="http://schemas.openxmlformats.org/officeDocument/2006/relationships/image" Target="media/image235.png"/><Relationship Id="rId277" Type="http://schemas.openxmlformats.org/officeDocument/2006/relationships/image" Target="media/image236.png"/><Relationship Id="rId278" Type="http://schemas.openxmlformats.org/officeDocument/2006/relationships/image" Target="media/image237.png"/><Relationship Id="rId279" Type="http://schemas.openxmlformats.org/officeDocument/2006/relationships/image" Target="media/image238.png"/><Relationship Id="rId280" Type="http://schemas.openxmlformats.org/officeDocument/2006/relationships/image" Target="media/image239.png"/><Relationship Id="rId281" Type="http://schemas.openxmlformats.org/officeDocument/2006/relationships/image" Target="media/image240.png"/><Relationship Id="rId282" Type="http://schemas.openxmlformats.org/officeDocument/2006/relationships/image" Target="media/image241.png"/><Relationship Id="rId283" Type="http://schemas.openxmlformats.org/officeDocument/2006/relationships/image" Target="media/image242.png"/><Relationship Id="rId284" Type="http://schemas.openxmlformats.org/officeDocument/2006/relationships/image" Target="media/image243.png"/><Relationship Id="rId285" Type="http://schemas.openxmlformats.org/officeDocument/2006/relationships/image" Target="media/image244.png"/><Relationship Id="rId286" Type="http://schemas.openxmlformats.org/officeDocument/2006/relationships/image" Target="media/image245.png"/><Relationship Id="rId287" Type="http://schemas.openxmlformats.org/officeDocument/2006/relationships/image" Target="media/image246.png"/><Relationship Id="rId288" Type="http://schemas.openxmlformats.org/officeDocument/2006/relationships/image" Target="media/image247.png"/><Relationship Id="rId289" Type="http://schemas.openxmlformats.org/officeDocument/2006/relationships/image" Target="media/image248.png"/><Relationship Id="rId290" Type="http://schemas.openxmlformats.org/officeDocument/2006/relationships/image" Target="media/image249.png"/><Relationship Id="rId291" Type="http://schemas.openxmlformats.org/officeDocument/2006/relationships/image" Target="media/image250.png"/><Relationship Id="rId292" Type="http://schemas.openxmlformats.org/officeDocument/2006/relationships/image" Target="media/image251.png"/><Relationship Id="rId293" Type="http://schemas.openxmlformats.org/officeDocument/2006/relationships/image" Target="media/image252.png"/><Relationship Id="rId294" Type="http://schemas.openxmlformats.org/officeDocument/2006/relationships/image" Target="media/image253.png"/><Relationship Id="rId295" Type="http://schemas.openxmlformats.org/officeDocument/2006/relationships/image" Target="media/image254.png"/><Relationship Id="rId296" Type="http://schemas.openxmlformats.org/officeDocument/2006/relationships/image" Target="media/image255.png"/><Relationship Id="rId297" Type="http://schemas.openxmlformats.org/officeDocument/2006/relationships/image" Target="media/image256.png"/><Relationship Id="rId298" Type="http://schemas.openxmlformats.org/officeDocument/2006/relationships/image" Target="media/image257.png"/><Relationship Id="rId82" Type="http://schemas.openxmlformats.org/officeDocument/2006/relationships/hyperlink" Target="http://www.sec.gov/Archives/edgar/data/916076/000119312517056282/d344578dex301.htm" TargetMode="External"/><Relationship Id="rId83" Type="http://schemas.openxmlformats.org/officeDocument/2006/relationships/hyperlink" Target="http://www.sec.gov/Archives/edgar/data/916076/000095015718000241/ex3-2.htm" TargetMode="External"/><Relationship Id="rId84" Type="http://schemas.openxmlformats.org/officeDocument/2006/relationships/hyperlink" Target="http://www.sec.gov/Archives/edgar/data/916076/000095014407003966/g07010exv4w1.htm" TargetMode="External"/><Relationship Id="rId85" Type="http://schemas.openxmlformats.org/officeDocument/2006/relationships/hyperlink" Target="http://www.sec.gov/Archives/edgar/data/916076/000095014407003966/g07010exv4w3.htm" TargetMode="External"/><Relationship Id="rId86" Type="http://schemas.openxmlformats.org/officeDocument/2006/relationships/hyperlink" Target="http://www.sec.gov/Archives/edgar/data/916076/000095015714000679/ex10-1.htm" TargetMode="External"/><Relationship Id="rId87" Type="http://schemas.openxmlformats.org/officeDocument/2006/relationships/hyperlink" Target="http://www.sec.gov/Archives/edgar/data/916076/000095015714000736/ex4-1.htm" TargetMode="External"/><Relationship Id="rId88" Type="http://schemas.openxmlformats.org/officeDocument/2006/relationships/hyperlink" Target="http://www.sec.gov/Archives/edgar/data/916076/000119312517178064/d401743dex41.htm" TargetMode="External"/><Relationship Id="rId89" Type="http://schemas.openxmlformats.org/officeDocument/2006/relationships/hyperlink" Target="http://www.sec.gov/Archives/edgar/data/916076/000119312517178064/d401743dex42.htm" TargetMode="External"/><Relationship Id="rId90" Type="http://schemas.openxmlformats.org/officeDocument/2006/relationships/hyperlink" Target="http://www.sec.gov/Archives/edgar/data/916076/000119312517374738/d499713dex42.htm" TargetMode="External"/><Relationship Id="rId94" Type="http://schemas.openxmlformats.org/officeDocument/2006/relationships/hyperlink" Target="http://www.sec.gov/Archives/edgar/data/916076/000156459016029917/mlm-ex1001_6.htm" TargetMode="External"/><Relationship Id="rId95" Type="http://schemas.openxmlformats.org/officeDocument/2006/relationships/hyperlink" Target="http://www.sec.gov/Archives/edgar/data/916076/000119312513169367/d524115dex1001.htm" TargetMode="External"/><Relationship Id="rId96" Type="http://schemas.openxmlformats.org/officeDocument/2006/relationships/hyperlink" Target="http://www.sec.gov/Archives/edgar/data/916076/000095015714000705/ex10-1.htm" TargetMode="External"/><Relationship Id="rId97" Type="http://schemas.openxmlformats.org/officeDocument/2006/relationships/hyperlink" Target="http://www.sec.gov/Archives/edgar/data/916076/000119312514156286/d714228dex1001.htm" TargetMode="External"/><Relationship Id="rId98" Type="http://schemas.openxmlformats.org/officeDocument/2006/relationships/hyperlink" Target="http://www.sec.gov/Archives/edgar/data/916076/000119312514363178/d799882dex1001.htm" TargetMode="External"/><Relationship Id="rId99" Type="http://schemas.openxmlformats.org/officeDocument/2006/relationships/hyperlink" Target="http://www.sec.gov/Archives/edgar/data/916076/000156459016025538/mlm-ex1001_6.htm" TargetMode="External"/><Relationship Id="rId100" Type="http://schemas.openxmlformats.org/officeDocument/2006/relationships/hyperlink" Target="http://www.sec.gov/Archives/edgar/data/916076/000095015718000431/ex10-1.htm" TargetMode="External"/><Relationship Id="rId101" Type="http://schemas.openxmlformats.org/officeDocument/2006/relationships/hyperlink" Target="http://www.sec.gov/Archives/edgar/data/916076/000095015718001002/ex10-1.htm" TargetMode="External"/><Relationship Id="rId102" Type="http://schemas.openxmlformats.org/officeDocument/2006/relationships/hyperlink" Target="http://www.sec.gov/Archives/edgar/data/916076/000119312513169367/d524115dex1002.htm" TargetMode="External"/><Relationship Id="rId103" Type="http://schemas.openxmlformats.org/officeDocument/2006/relationships/hyperlink" Target="http://www.sec.gov/Archives/edgar/data/916076/000095014408006590/g14828k1exv10w1.htm" TargetMode="External"/><Relationship Id="rId104" Type="http://schemas.openxmlformats.org/officeDocument/2006/relationships/hyperlink" Target="http://www.sec.gov/Archives/edgar/data/916076/000095014409001377/g17638exv10w05.htm" TargetMode="External"/><Relationship Id="rId108" Type="http://schemas.openxmlformats.org/officeDocument/2006/relationships/hyperlink" Target="http://www.sec.gov/Archives/edgar/data/916076/000095014409001377/g17638exv10w06.htm" TargetMode="External"/><Relationship Id="rId109" Type="http://schemas.openxmlformats.org/officeDocument/2006/relationships/hyperlink" Target="http://www.sec.gov/Archives/edgar/data/916076/000156459016022616/mlm-ex1001_10.htm" TargetMode="External"/><Relationship Id="rId110" Type="http://schemas.openxmlformats.org/officeDocument/2006/relationships/hyperlink" Target="http://www.sec.gov/Archives/edgar/data/916076/000156459016022616/mlm-ex1002_8.htm" TargetMode="External"/><Relationship Id="rId111" Type="http://schemas.openxmlformats.org/officeDocument/2006/relationships/hyperlink" Target="http://www.sec.gov/Archives/edgar/data/916076/000095014401003808/g67160ex10-16.txt" TargetMode="External"/><Relationship Id="rId112" Type="http://schemas.openxmlformats.org/officeDocument/2006/relationships/hyperlink" Target="http://www.sec.gov/Archives/edgar/data/916076/000119312512337410/d367571dex10.htm" TargetMode="External"/><Relationship Id="rId113" Type="http://schemas.openxmlformats.org/officeDocument/2006/relationships/hyperlink" Target="http://www.sec.gov/Archives/edgar/data/916076/000095014409001377/g17638exv10w11.htm" TargetMode="External"/><Relationship Id="rId114" Type="http://schemas.openxmlformats.org/officeDocument/2006/relationships/hyperlink" Target="http://www.sec.gov/Archives/edgar/data/916076/000095014409001377/g17638exv10w13.htm" TargetMode="External"/><Relationship Id="rId115" Type="http://schemas.openxmlformats.org/officeDocument/2006/relationships/hyperlink" Target="http://www.sec.gov/Archives/edgar/data/916076/000119312514064999/d654417dex1014.htm" TargetMode="External"/><Relationship Id="rId116" Type="http://schemas.openxmlformats.org/officeDocument/2006/relationships/hyperlink" Target="http://www.sec.gov/Archives/edgar/data/916076/000119312515060008/d877241dex1019.htm" TargetMode="External"/><Relationship Id="rId117" Type="http://schemas.openxmlformats.org/officeDocument/2006/relationships/hyperlink" Target="http://www.sec.gov/Archives/edgar/data/916076/000156459017010260/mlm-ex1001_100.htm" TargetMode="External"/><Relationship Id="rId118" Type="http://schemas.openxmlformats.org/officeDocument/2006/relationships/hyperlink" Target="http://www.sec.gov/Archives/edgar/data/916076/000156459017014636/mlm-ex1001_243.htm" TargetMode="External"/><Relationship Id="rId119" Type="http://schemas.openxmlformats.org/officeDocument/2006/relationships/hyperlink" Target="http://www.sec.gov/Archives/edgar/data/916076/000095015718001227/ex10_1.htm" TargetMode="External"/><Relationship Id="rId120" Type="http://schemas.openxmlformats.org/officeDocument/2006/relationships/hyperlink" Target="http://www.sec.gov/Archives/edgar/data/916076/000095015718001227/ex10_2.htm" TargetMode="External"/><Relationship Id="rId121" Type="http://schemas.openxmlformats.org/officeDocument/2006/relationships/hyperlink" Target="http://www.sec.gov/Archives/edgar/data/916076/000095015718001227/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2019-12-28T16:03:43Z</dcterms:created>
  <dcterms:modified xsi:type="dcterms:W3CDTF">2019-12-28T16:03:43Z</dcterms:modified>
</cp:coreProperties>
</file>