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5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15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68" w:lineRule="auto"/>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-4121785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-3701415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-3143885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-2338070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-1883410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546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Notice of 2013</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464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100"/>
        <w:spacing w:after="0"/>
        <w:tabs>
          <w:tab w:leader="none" w:pos="200" w:val="left"/>
        </w:tabs>
        <w:rPr>
          <w:sz w:val="20"/>
          <w:szCs w:val="20"/>
          <w:color w:val="auto"/>
        </w:rPr>
      </w:pPr>
      <w:r>
        <w:rPr>
          <w:rFonts w:ascii="Arial" w:cs="Arial" w:eastAsia="Arial" w:hAnsi="Arial"/>
          <w:sz w:val="18"/>
          <w:szCs w:val="18"/>
          <w:color w:val="auto"/>
        </w:rPr>
        <w:t>April</w:t>
        <w:tab/>
        <w:t>,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Directors and Officers of Martin Marietta Materials, Inc. join us in inviting you to attend Martin Marietta’s Annual Meeting of Shareholders on May 23, 2013. The formal notice of this meeting and the proxy statement describing the matters to be acted upon at the meeting accompany this letter.</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vote is important. Whether or not you plan to attend the Annual Meeting in person, we encourage you to vote so that your shares will be represented and voted at the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Martin Marietta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060"/>
          </w:cols>
          <w:pgMar w:left="4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Stephen P. Zelnak, Jr.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140" w:space="720"/>
            <w:col w:w="5200"/>
          </w:cols>
          <w:pgMar w:left="460" w:top="1440"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22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022340"/>
                    </a:xfrm>
                    <a:prstGeom prst="rect">
                      <a:avLst/>
                    </a:prstGeom>
                    <a:noFill/>
                  </pic:spPr>
                </pic:pic>
              </a:graphicData>
            </a:graphic>
          </wp:anchor>
        </w:drawing>
        <w:t>MARTIN MARIETTA MATERIALS, INC.</w:t>
      </w:r>
    </w:p>
    <w:p>
      <w:pPr>
        <w:spacing w:after="0" w:line="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2710 Wycliff Road, Raleigh, North Carolina 27607</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23,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Annual Meeting of Shareholders of Martin Marietta Materials, Inc. will be held on Thursday, May 23, 2013, at 11:30 a.m. at our principal office located at 2710 Wycliff Road, Raleigh, North Carolina. At the meeting, the holders of our outstanding common stock will act on the following matters:</w:t>
      </w:r>
    </w:p>
    <w:p>
      <w:pPr>
        <w:spacing w:after="0" w:line="59" w:lineRule="exact"/>
        <w:rPr>
          <w:sz w:val="20"/>
          <w:szCs w:val="20"/>
          <w:color w:val="auto"/>
        </w:rPr>
      </w:pPr>
    </w:p>
    <w:p>
      <w:pPr>
        <w:ind w:left="1300" w:hanging="533"/>
        <w:spacing w:after="0" w:line="26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(3) years until the Annual Meeting of Shareholders in 2016, and until their successors are duly elected and qualified;</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amend Martin Marietta’s Articles of Incorporation to provide for majority voting in director elections other than contested elections.</w:t>
      </w:r>
    </w:p>
    <w:p>
      <w:pPr>
        <w:spacing w:after="0" w:line="113" w:lineRule="exact"/>
        <w:rPr>
          <w:rFonts w:ascii="Arial" w:cs="Arial" w:eastAsia="Arial" w:hAnsi="Arial"/>
          <w:sz w:val="16"/>
          <w:szCs w:val="16"/>
          <w:color w:val="auto"/>
        </w:rPr>
      </w:pPr>
    </w:p>
    <w:p>
      <w:pPr>
        <w:ind w:left="1300" w:hanging="53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2013;</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and</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meeting.</w:t>
      </w:r>
    </w:p>
    <w:p>
      <w:pPr>
        <w:spacing w:after="0" w:line="171"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All holders of record of Martin Marietta Materials common stock (NYSE: MLM) at the close of business on March 15, 2013 are entitled to notice of and to vote at the annual meeting and any adjournments or postponements of the meeting.</w:t>
      </w:r>
    </w:p>
    <w:p>
      <w:pPr>
        <w:spacing w:after="0" w:line="132"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Whether or not you expect to attend the meeting, we hope you will date and sign the enclosed proxy card and mail it promptly in the enclosed stamped envelope.</w:t>
      </w:r>
    </w:p>
    <w:p>
      <w:pPr>
        <w:spacing w:after="0" w:line="1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Roselyn R. Bar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Senior Vice President, General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April</w:t>
        <w:tab/>
        <w:t>, 2013</w:t>
      </w:r>
    </w:p>
    <w:p>
      <w:pPr>
        <w:spacing w:after="0" w:line="1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SHAREHOLDER MEETING TO BE HELD ON MAY 23, 2013</w:t>
      </w:r>
    </w:p>
    <w:p>
      <w:pPr>
        <w:spacing w:after="0" w:line="126"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 xml:space="preserve">Martin Marietta’s proxy statement, form of proxy card and 2012 Annual Report to Shareholders are also available for review on the Internet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ectPr>
          <w:pgSz w:w="11900" w:h="16838" w:orient="portrait"/>
          <w:cols w:equalWidth="0" w:num="1">
            <w:col w:w="11060"/>
          </w:cols>
          <w:pgMar w:left="440" w:top="449"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464810"/>
                    </a:xfrm>
                    <a:prstGeom prst="rect">
                      <a:avLst/>
                    </a:prstGeom>
                    <a:noFill/>
                  </pic:spPr>
                </pic:pic>
              </a:graphicData>
            </a:graphic>
          </wp:anchor>
        </w:drawing>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GENERAL INFORMATION</w:t>
      </w:r>
    </w:p>
    <w:p>
      <w:pPr>
        <w:spacing w:after="0" w:line="1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(referred to as the “Corporation” or “Martin Marietta”), to be held on Thursday, May 23, 2013, at 11:30 a.m. at Martin Marietta’s principal office, 2710 Wycliff Road, Raleigh, North Carolina. Martin Marietta’s audited financial statements and portions of the Annual Report on Form 10-K for the fiscal year ended December 31, 2012 are being mailed to shareholders with this proxy statement.</w:t>
      </w:r>
    </w:p>
    <w:p>
      <w:pPr>
        <w:spacing w:after="0" w:line="143"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This proxy statement, the proxy card, and the notice of meeting are being sent commencing on approximately April , 2013 to shareholders of record on March 15,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Whether or not you plan to attend the meeting, we encourage you to date, sign, and return your proxy in the enclosed envelope.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Only shareholders of record at the close of business on March 15, 2013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the holders of Martin Marietta Materials common stock?</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share of Martin Marietta Materials common stock is entitled to one vote on each matter considered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presence at the meeting, in person or by proxy, of the holders of a majority of the common stock outstanding on the record date constitutes a</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quorum, permitting shareholders to take action at the meeting. On March 15, 2013, there were shares outstanding of Martin Marietta’s common stock, $.01 par value per share.</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440" w:top="436"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99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899025"/>
                    </a:xfrm>
                    <a:prstGeom prst="rect">
                      <a:avLst/>
                    </a:prstGeom>
                    <a:noFill/>
                  </pic:spPr>
                </pic:pic>
              </a:graphicData>
            </a:graphic>
          </wp:anchor>
        </w:drawing>
        <w:t>Who will oversee the voting results?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401(k) shares?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Each participant in Martin Marietta’s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brokers required to vote? What are “broker non-votes”?</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the approval of the proposed amendments to the Articles of Incorporation, or the approval on an advisory basis of the compensation of our named executive officers, you must provide specific</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440" w:top="469" w:right="39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93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293360"/>
                    </a:xfrm>
                    <a:prstGeom prst="rect">
                      <a:avLst/>
                    </a:prstGeom>
                    <a:noFill/>
                  </pic:spPr>
                </pic:pic>
              </a:graphicData>
            </a:graphic>
          </wp:anchor>
        </w:drawing>
        <w:t>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broker vote my shares for me on the election of Directors?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Under the New York Stock Exchange rules, the election of Directors, the approval of the amendments to the Articles of Incorporation, and the advisory vote on executive compensation are not considered routine matters and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your shares with respect to those matters if you have not provided directions to your broker. We strongly encourage you to submit your proxy card and exercise your right to vote as a shareholder.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election of Directors requires a plurality of the votes cast. “Withheld” votes are not counted in determining whether a plurality of votes was received by a Director nominee.</w:t>
      </w:r>
    </w:p>
    <w:p>
      <w:pPr>
        <w:spacing w:after="0" w:line="132" w:lineRule="exact"/>
        <w:rPr>
          <w:sz w:val="20"/>
          <w:szCs w:val="20"/>
          <w:color w:val="auto"/>
        </w:rPr>
      </w:pPr>
    </w:p>
    <w:p>
      <w:pPr>
        <w:jc w:val="both"/>
        <w:ind w:firstLine="775"/>
        <w:spacing w:after="0" w:line="335" w:lineRule="auto"/>
        <w:rPr>
          <w:sz w:val="20"/>
          <w:szCs w:val="20"/>
          <w:color w:val="auto"/>
        </w:rPr>
      </w:pPr>
      <w:r>
        <w:rPr>
          <w:rFonts w:ascii="Arial" w:cs="Arial" w:eastAsia="Arial" w:hAnsi="Arial"/>
          <w:sz w:val="15"/>
          <w:szCs w:val="15"/>
          <w:color w:val="auto"/>
        </w:rPr>
        <w:t>Approval of the amendments to the Articles of Incorporation, 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the proposal.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 for the Annual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out more information about Martin Marietta Materials?</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 xml:space="preserve">Martin Marietta maintains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16"/>
          <w:szCs w:val="16"/>
          <w:i w:val="1"/>
          <w:iCs w:val="1"/>
          <w:color w:val="auto"/>
        </w:rPr>
        <w:t>Code of Ethics and Standards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are all available through the website. Alternatively,</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our shareholders and other interested parties may obtain, without charge, copies of all 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these documents by writing to the Corporate Secretary, Martin Marietta Materials, Inc., 2710 Wycliff Road, Raleigh, NC 27607</w:t>
      </w:r>
      <w:r>
        <w:rPr>
          <w:rFonts w:ascii="Arial" w:cs="Arial" w:eastAsia="Arial" w:hAnsi="Arial"/>
          <w:sz w:val="16"/>
          <w:szCs w:val="16"/>
          <w:color w:val="auto"/>
        </w:rPr>
        <w:t>. Please note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contained on Martin Marietta’s website is not incorporated by reference in, or considered to be a part of, this document.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statement?</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mails, proxies may be solicited by officers, Directors, and other regular employees of Martin Marietta by telephone, facsimile, or personal</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440" w:top="469" w:right="39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90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590415"/>
                    </a:xfrm>
                    <a:prstGeom prst="rect">
                      <a:avLst/>
                    </a:prstGeom>
                    <a:noFill/>
                  </pic:spPr>
                </pic:pic>
              </a:graphicData>
            </a:graphic>
          </wp:anchor>
        </w:drawing>
        <w:t>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$15,000. Martin Marietta will, if requested, reimburse banks, brokerage houses and other custodians, nominees and certain fiduciaries for their reasonable expenses incurred in mailing proxy materials to their principals.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matters be presented at the annual meeting?</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interests of Martin Marietta. It is also intended that discretionary authority will be exercised with respect to the vote on any matters incident to the conduct of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53" w:lineRule="exact"/>
        <w:rPr>
          <w:sz w:val="20"/>
          <w:szCs w:val="20"/>
          <w:color w:val="auto"/>
        </w:rPr>
      </w:pPr>
    </w:p>
    <w:p>
      <w:pPr>
        <w:ind w:left="980" w:hanging="21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nominated slate of Directors;</w:t>
      </w:r>
    </w:p>
    <w:p>
      <w:pPr>
        <w:spacing w:after="0" w:line="90" w:lineRule="exact"/>
        <w:rPr>
          <w:rFonts w:ascii="Arial" w:cs="Arial" w:eastAsia="Arial" w:hAnsi="Arial"/>
          <w:sz w:val="18"/>
          <w:szCs w:val="18"/>
          <w:color w:val="auto"/>
        </w:rPr>
      </w:pPr>
    </w:p>
    <w:p>
      <w:pPr>
        <w:ind w:left="980" w:hanging="213"/>
        <w:spacing w:after="0" w:line="27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amendments to Martin Marietta’s Articles of Incorporation to provide for majority voting in director elections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contested;</w:t>
      </w:r>
    </w:p>
    <w:p>
      <w:pPr>
        <w:spacing w:after="0" w:line="38" w:lineRule="exact"/>
        <w:rPr>
          <w:rFonts w:ascii="Arial" w:cs="Arial" w:eastAsia="Arial" w:hAnsi="Arial"/>
          <w:sz w:val="18"/>
          <w:szCs w:val="18"/>
          <w:color w:val="auto"/>
        </w:rPr>
      </w:pPr>
    </w:p>
    <w:p>
      <w:pPr>
        <w:ind w:left="980" w:hanging="21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independent auditors; and</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a non-binding advisory vote, of the compensation of our named executive officers as described in this Proxy Statement.</w:t>
      </w:r>
    </w:p>
    <w:p>
      <w:pPr>
        <w:spacing w:after="0" w:line="200"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20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FOR THE ANNUAL MEETING OF SHAREHOLDERS TO BE HELD ON MAY 23, 2013</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This proxy statement, form of proxy card and the accompanying annual report are also available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440" w:top="469" w:right="399" w:bottom="1440" w:gutter="0" w:footer="0" w:header="0"/>
        </w:sectPr>
      </w:pPr>
    </w:p>
    <w:bookmarkStart w:id="8" w:name="page9"/>
    <w:bookmarkEnd w:id="8"/>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68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76846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Who are the largest owners of Martin Marietta’s stock?</w:t>
      </w:r>
    </w:p>
    <w:p>
      <w:pPr>
        <w:spacing w:after="0" w:line="90" w:lineRule="exact"/>
        <w:rPr>
          <w:sz w:val="20"/>
          <w:szCs w:val="20"/>
          <w:color w:val="auto"/>
        </w:rPr>
      </w:pPr>
    </w:p>
    <w:p>
      <w:pPr>
        <w:jc w:val="both"/>
        <w:ind w:left="3" w:right="20" w:firstLine="775"/>
        <w:spacing w:after="0" w:line="256" w:lineRule="auto"/>
        <w:rPr>
          <w:sz w:val="20"/>
          <w:szCs w:val="20"/>
          <w:color w:val="auto"/>
        </w:rPr>
      </w:pPr>
      <w:r>
        <w:rPr>
          <w:rFonts w:ascii="Arial" w:cs="Arial" w:eastAsia="Arial" w:hAnsi="Arial"/>
          <w:sz w:val="18"/>
          <w:szCs w:val="18"/>
          <w:color w:val="auto"/>
        </w:rPr>
        <w:t>The following table sets forth information with respect to the shares of common stock which are held by persons known to Martin Marietta to be the beneficial owners of more than 5% of such stock as of March 15, 2013. To the best of Martin Marietta’s knowledge, based on filings with the Securities and Exchange Commission as noted below, no person beneficially owned more than 5% of any class of Martin Marietta’s outstanding voting securities at the close of business on March 15, 2013, except for those shown below.</w:t>
      </w:r>
    </w:p>
    <w:p>
      <w:pPr>
        <w:spacing w:after="0" w:line="172"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E0E0E0"/>
          </w:tcPr>
          <w:p>
            <w:pPr>
              <w:spacing w:after="0"/>
              <w:rPr>
                <w:sz w:val="12"/>
                <w:szCs w:val="12"/>
                <w:color w:val="auto"/>
              </w:rPr>
            </w:pPr>
          </w:p>
        </w:tc>
        <w:tc>
          <w:tcPr>
            <w:tcW w:w="980" w:type="dxa"/>
            <w:vAlign w:val="bottom"/>
            <w:tcBorders>
              <w:top w:val="single" w:sz="8" w:color="auto"/>
            </w:tcBorders>
            <w:shd w:val="clear" w:color="auto" w:fill="E0E0E0"/>
          </w:tcPr>
          <w:p>
            <w:pPr>
              <w:spacing w:after="0"/>
              <w:rPr>
                <w:sz w:val="12"/>
                <w:szCs w:val="12"/>
                <w:color w:val="auto"/>
              </w:rPr>
            </w:pPr>
          </w:p>
        </w:tc>
        <w:tc>
          <w:tcPr>
            <w:tcW w:w="4640" w:type="dxa"/>
            <w:vAlign w:val="bottom"/>
            <w:tcBorders>
              <w:top w:val="single" w:sz="8" w:color="auto"/>
            </w:tcBorders>
            <w:shd w:val="clear" w:color="auto" w:fill="E0E0E0"/>
          </w:tcPr>
          <w:p>
            <w:pPr>
              <w:spacing w:after="0"/>
              <w:rPr>
                <w:sz w:val="12"/>
                <w:szCs w:val="12"/>
                <w:color w:val="auto"/>
              </w:rPr>
            </w:pPr>
          </w:p>
        </w:tc>
        <w:tc>
          <w:tcPr>
            <w:tcW w:w="3860" w:type="dxa"/>
            <w:vAlign w:val="bottom"/>
            <w:tcBorders>
              <w:top w:val="single" w:sz="8" w:color="auto"/>
            </w:tcBorders>
            <w:shd w:val="clear" w:color="auto" w:fill="E0E0E0"/>
          </w:tcPr>
          <w:p>
            <w:pPr>
              <w:jc w:val="center"/>
              <w:ind w:left="1780"/>
              <w:spacing w:after="0" w:line="149" w:lineRule="exact"/>
              <w:rPr>
                <w:sz w:val="20"/>
                <w:szCs w:val="20"/>
                <w:color w:val="auto"/>
              </w:rPr>
            </w:pPr>
            <w:r>
              <w:rPr>
                <w:rFonts w:ascii="Arial" w:cs="Arial" w:eastAsia="Arial" w:hAnsi="Arial"/>
                <w:sz w:val="14"/>
                <w:szCs w:val="14"/>
                <w:b w:val="1"/>
                <w:bCs w:val="1"/>
                <w:color w:val="auto"/>
                <w:w w:val="89"/>
              </w:rPr>
              <w:t>Amount and Nature</w:t>
            </w:r>
          </w:p>
        </w:tc>
        <w:tc>
          <w:tcPr>
            <w:tcW w:w="148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4640" w:type="dxa"/>
            <w:vAlign w:val="bottom"/>
            <w:shd w:val="clear" w:color="auto" w:fill="E0E0E0"/>
          </w:tcPr>
          <w:p>
            <w:pPr>
              <w:spacing w:after="0"/>
              <w:rPr>
                <w:sz w:val="12"/>
                <w:szCs w:val="12"/>
                <w:color w:val="auto"/>
              </w:rPr>
            </w:pPr>
          </w:p>
        </w:tc>
        <w:tc>
          <w:tcPr>
            <w:tcW w:w="3860" w:type="dxa"/>
            <w:vAlign w:val="bottom"/>
            <w:shd w:val="clear" w:color="auto" w:fill="E0E0E0"/>
          </w:tcPr>
          <w:p>
            <w:pPr>
              <w:jc w:val="center"/>
              <w:ind w:left="1820"/>
              <w:spacing w:after="0" w:line="149" w:lineRule="exact"/>
              <w:rPr>
                <w:sz w:val="20"/>
                <w:szCs w:val="20"/>
                <w:color w:val="auto"/>
              </w:rPr>
            </w:pPr>
            <w:r>
              <w:rPr>
                <w:rFonts w:ascii="Arial" w:cs="Arial" w:eastAsia="Arial" w:hAnsi="Arial"/>
                <w:sz w:val="14"/>
                <w:szCs w:val="14"/>
                <w:b w:val="1"/>
                <w:bCs w:val="1"/>
                <w:color w:val="auto"/>
                <w:w w:val="90"/>
              </w:rPr>
              <w:t>of</w:t>
            </w:r>
          </w:p>
        </w:tc>
        <w:tc>
          <w:tcPr>
            <w:tcW w:w="14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5620" w:type="dxa"/>
            <w:vAlign w:val="bottom"/>
            <w:gridSpan w:val="2"/>
            <w:vMerge w:val="restart"/>
            <w:shd w:val="clear" w:color="auto" w:fill="E0E0E0"/>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860" w:type="dxa"/>
            <w:vAlign w:val="bottom"/>
            <w:shd w:val="clear" w:color="auto" w:fill="E0E0E0"/>
          </w:tcPr>
          <w:p>
            <w:pPr>
              <w:jc w:val="center"/>
              <w:ind w:left="18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1480" w:type="dxa"/>
            <w:vAlign w:val="bottom"/>
            <w:tcBorders>
              <w:right w:val="single" w:sz="8" w:color="auto"/>
            </w:tcBorders>
            <w:shd w:val="clear" w:color="auto" w:fill="E0E0E0"/>
          </w:tcPr>
          <w:p>
            <w:pPr>
              <w:jc w:val="right"/>
              <w:ind w:right="597"/>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120" w:type="dxa"/>
            <w:vAlign w:val="bottom"/>
            <w:tcBorders>
              <w:left w:val="single" w:sz="8" w:color="auto"/>
              <w:bottom w:val="single" w:sz="8" w:color="auto"/>
            </w:tcBorders>
            <w:shd w:val="clear" w:color="auto" w:fill="E0E0E0"/>
          </w:tcPr>
          <w:p>
            <w:pPr>
              <w:spacing w:after="0"/>
              <w:rPr>
                <w:sz w:val="13"/>
                <w:szCs w:val="13"/>
                <w:color w:val="auto"/>
              </w:rPr>
            </w:pPr>
          </w:p>
        </w:tc>
        <w:tc>
          <w:tcPr>
            <w:tcW w:w="5620" w:type="dxa"/>
            <w:vAlign w:val="bottom"/>
            <w:tcBorders>
              <w:bottom w:val="single" w:sz="8" w:color="auto"/>
            </w:tcBorders>
            <w:gridSpan w:val="2"/>
            <w:vMerge w:val="continue"/>
            <w:shd w:val="clear" w:color="auto" w:fill="E0E0E0"/>
          </w:tcPr>
          <w:p>
            <w:pPr>
              <w:spacing w:after="0"/>
              <w:rPr>
                <w:sz w:val="13"/>
                <w:szCs w:val="13"/>
                <w:color w:val="auto"/>
              </w:rPr>
            </w:pPr>
          </w:p>
        </w:tc>
        <w:tc>
          <w:tcPr>
            <w:tcW w:w="3860" w:type="dxa"/>
            <w:vAlign w:val="bottom"/>
            <w:tcBorders>
              <w:bottom w:val="single" w:sz="8" w:color="auto"/>
            </w:tcBorders>
            <w:shd w:val="clear" w:color="auto" w:fill="E0E0E0"/>
          </w:tcPr>
          <w:p>
            <w:pPr>
              <w:jc w:val="center"/>
              <w:ind w:left="1820"/>
              <w:spacing w:after="0" w:line="148" w:lineRule="exact"/>
              <w:rPr>
                <w:sz w:val="20"/>
                <w:szCs w:val="20"/>
                <w:color w:val="auto"/>
              </w:rPr>
            </w:pPr>
            <w:r>
              <w:rPr>
                <w:rFonts w:ascii="Arial" w:cs="Arial" w:eastAsia="Arial" w:hAnsi="Arial"/>
                <w:sz w:val="14"/>
                <w:szCs w:val="14"/>
                <w:b w:val="1"/>
                <w:bCs w:val="1"/>
                <w:color w:val="auto"/>
                <w:w w:val="88"/>
              </w:rPr>
              <w:t>Ownership</w:t>
            </w:r>
          </w:p>
        </w:tc>
        <w:tc>
          <w:tcPr>
            <w:tcW w:w="1480" w:type="dxa"/>
            <w:vAlign w:val="bottom"/>
            <w:tcBorders>
              <w:bottom w:val="single" w:sz="8" w:color="auto"/>
              <w:right w:val="single" w:sz="8" w:color="auto"/>
            </w:tcBorders>
            <w:shd w:val="clear" w:color="auto" w:fill="E0E0E0"/>
          </w:tcPr>
          <w:p>
            <w:pPr>
              <w:jc w:val="right"/>
              <w:ind w:right="577"/>
              <w:spacing w:after="0" w:line="14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451"/>
        </w:trPr>
        <w:tc>
          <w:tcPr>
            <w:tcW w:w="120" w:type="dxa"/>
            <w:vAlign w:val="bottom"/>
            <w:tcBorders>
              <w:left w:val="single" w:sz="8" w:color="auto"/>
            </w:tcBorders>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Southeastern Asset Management, Inc.</w:t>
            </w:r>
            <w:r>
              <w:rPr>
                <w:rFonts w:ascii="Arial" w:cs="Arial" w:eastAsia="Arial" w:hAnsi="Arial"/>
                <w:sz w:val="11"/>
                <w:szCs w:val="11"/>
                <w:color w:val="auto"/>
              </w:rPr>
              <w:t>1</w:t>
            </w:r>
          </w:p>
        </w:tc>
        <w:tc>
          <w:tcPr>
            <w:tcW w:w="3860" w:type="dxa"/>
            <w:vAlign w:val="bottom"/>
          </w:tcPr>
          <w:p>
            <w:pPr>
              <w:jc w:val="right"/>
              <w:ind w:right="300"/>
              <w:spacing w:after="0"/>
              <w:rPr>
                <w:sz w:val="20"/>
                <w:szCs w:val="20"/>
                <w:color w:val="auto"/>
              </w:rPr>
            </w:pPr>
            <w:r>
              <w:rPr>
                <w:rFonts w:ascii="Arial" w:cs="Arial" w:eastAsia="Arial" w:hAnsi="Arial"/>
                <w:sz w:val="18"/>
                <w:szCs w:val="18"/>
                <w:color w:val="auto"/>
              </w:rPr>
              <w:t>5,589,889</w:t>
            </w:r>
          </w:p>
        </w:tc>
        <w:tc>
          <w:tcPr>
            <w:tcW w:w="1480" w:type="dxa"/>
            <w:vAlign w:val="bottom"/>
            <w:tcBorders>
              <w:right w:val="single" w:sz="8" w:color="auto"/>
            </w:tcBorders>
          </w:tcPr>
          <w:p>
            <w:pPr>
              <w:jc w:val="right"/>
              <w:ind w:right="437"/>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6410 Poplar Ave., Suite 900</w:t>
            </w:r>
          </w:p>
        </w:tc>
        <w:tc>
          <w:tcPr>
            <w:tcW w:w="38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tcBorders>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Memphis, TN 38119</w:t>
            </w:r>
          </w:p>
        </w:tc>
        <w:tc>
          <w:tcPr>
            <w:tcW w:w="38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RS Investment Management Co. LLC</w:t>
            </w:r>
            <w:r>
              <w:rPr>
                <w:rFonts w:ascii="Arial" w:cs="Arial" w:eastAsia="Arial" w:hAnsi="Arial"/>
                <w:sz w:val="11"/>
                <w:szCs w:val="11"/>
                <w:color w:val="auto"/>
              </w:rPr>
              <w:t>2</w:t>
            </w:r>
          </w:p>
        </w:tc>
        <w:tc>
          <w:tcPr>
            <w:tcW w:w="386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3,358,353</w:t>
            </w:r>
          </w:p>
        </w:tc>
        <w:tc>
          <w:tcPr>
            <w:tcW w:w="1480" w:type="dxa"/>
            <w:vAlign w:val="bottom"/>
            <w:tcBorders>
              <w:right w:val="single" w:sz="8" w:color="auto"/>
            </w:tcBorders>
            <w:shd w:val="clear" w:color="auto" w:fill="E0E0E0"/>
          </w:tcPr>
          <w:p>
            <w:pPr>
              <w:jc w:val="right"/>
              <w:ind w:right="437"/>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388 Market Street, Suite 1700</w:t>
            </w:r>
          </w:p>
        </w:tc>
        <w:tc>
          <w:tcPr>
            <w:tcW w:w="3860" w:type="dxa"/>
            <w:vAlign w:val="bottom"/>
            <w:shd w:val="clear" w:color="auto" w:fill="E0E0E0"/>
          </w:tcPr>
          <w:p>
            <w:pPr>
              <w:spacing w:after="0"/>
              <w:rPr>
                <w:sz w:val="18"/>
                <w:szCs w:val="18"/>
                <w:color w:val="auto"/>
              </w:rPr>
            </w:pPr>
          </w:p>
        </w:tc>
        <w:tc>
          <w:tcPr>
            <w:tcW w:w="14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Borders>
              <w:left w:val="single" w:sz="8" w:color="auto"/>
            </w:tcBorders>
            <w:shd w:val="clear" w:color="auto" w:fill="E0E0E0"/>
          </w:tcPr>
          <w:p>
            <w:pPr>
              <w:spacing w:after="0"/>
              <w:rPr>
                <w:sz w:val="20"/>
                <w:szCs w:val="20"/>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San Francisco, CA 94111</w:t>
            </w:r>
          </w:p>
        </w:tc>
        <w:tc>
          <w:tcPr>
            <w:tcW w:w="3860" w:type="dxa"/>
            <w:vAlign w:val="bottom"/>
            <w:shd w:val="clear" w:color="auto" w:fill="E0E0E0"/>
          </w:tcPr>
          <w:p>
            <w:pPr>
              <w:spacing w:after="0"/>
              <w:rPr>
                <w:sz w:val="20"/>
                <w:szCs w:val="20"/>
                <w:color w:val="auto"/>
              </w:rPr>
            </w:pPr>
          </w:p>
        </w:tc>
        <w:tc>
          <w:tcPr>
            <w:tcW w:w="14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120" w:type="dxa"/>
            <w:vAlign w:val="bottom"/>
            <w:tcBorders>
              <w:left w:val="single" w:sz="8" w:color="auto"/>
            </w:tcBorders>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3</w:t>
            </w:r>
          </w:p>
        </w:tc>
        <w:tc>
          <w:tcPr>
            <w:tcW w:w="3860" w:type="dxa"/>
            <w:vAlign w:val="bottom"/>
          </w:tcPr>
          <w:p>
            <w:pPr>
              <w:jc w:val="right"/>
              <w:ind w:right="300"/>
              <w:spacing w:after="0"/>
              <w:rPr>
                <w:sz w:val="20"/>
                <w:szCs w:val="20"/>
                <w:color w:val="auto"/>
              </w:rPr>
            </w:pPr>
            <w:r>
              <w:rPr>
                <w:rFonts w:ascii="Arial" w:cs="Arial" w:eastAsia="Arial" w:hAnsi="Arial"/>
                <w:sz w:val="18"/>
                <w:szCs w:val="18"/>
                <w:color w:val="auto"/>
              </w:rPr>
              <w:t>2,826,652</w:t>
            </w:r>
          </w:p>
        </w:tc>
        <w:tc>
          <w:tcPr>
            <w:tcW w:w="1480" w:type="dxa"/>
            <w:vAlign w:val="bottom"/>
            <w:tcBorders>
              <w:right w:val="single" w:sz="8" w:color="auto"/>
            </w:tcBorders>
          </w:tcPr>
          <w:p>
            <w:pPr>
              <w:jc w:val="right"/>
              <w:ind w:right="437"/>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8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tcBorders>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38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Morgan Stanley Investment Management, Inc.</w:t>
            </w:r>
            <w:r>
              <w:rPr>
                <w:rFonts w:ascii="Arial" w:cs="Arial" w:eastAsia="Arial" w:hAnsi="Arial"/>
                <w:sz w:val="11"/>
                <w:szCs w:val="11"/>
                <w:color w:val="auto"/>
              </w:rPr>
              <w:t>4</w:t>
            </w:r>
          </w:p>
        </w:tc>
        <w:tc>
          <w:tcPr>
            <w:tcW w:w="386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2,576,188</w:t>
            </w:r>
          </w:p>
        </w:tc>
        <w:tc>
          <w:tcPr>
            <w:tcW w:w="1480" w:type="dxa"/>
            <w:vAlign w:val="bottom"/>
            <w:tcBorders>
              <w:right w:val="single" w:sz="8" w:color="auto"/>
            </w:tcBorders>
            <w:shd w:val="clear" w:color="auto" w:fill="E0E0E0"/>
          </w:tcPr>
          <w:p>
            <w:pPr>
              <w:jc w:val="right"/>
              <w:ind w:right="437"/>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522 Fifth Avenue</w:t>
            </w:r>
          </w:p>
        </w:tc>
        <w:tc>
          <w:tcPr>
            <w:tcW w:w="3860" w:type="dxa"/>
            <w:vAlign w:val="bottom"/>
            <w:shd w:val="clear" w:color="auto" w:fill="E0E0E0"/>
          </w:tcPr>
          <w:p>
            <w:pPr>
              <w:spacing w:after="0"/>
              <w:rPr>
                <w:sz w:val="18"/>
                <w:szCs w:val="18"/>
                <w:color w:val="auto"/>
              </w:rPr>
            </w:pPr>
          </w:p>
        </w:tc>
        <w:tc>
          <w:tcPr>
            <w:tcW w:w="14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Borders>
              <w:left w:val="single" w:sz="8" w:color="auto"/>
            </w:tcBorders>
            <w:shd w:val="clear" w:color="auto" w:fill="E0E0E0"/>
          </w:tcPr>
          <w:p>
            <w:pPr>
              <w:spacing w:after="0"/>
              <w:rPr>
                <w:sz w:val="20"/>
                <w:szCs w:val="20"/>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New York, NY 10036</w:t>
            </w:r>
          </w:p>
        </w:tc>
        <w:tc>
          <w:tcPr>
            <w:tcW w:w="3860" w:type="dxa"/>
            <w:vAlign w:val="bottom"/>
            <w:shd w:val="clear" w:color="auto" w:fill="E0E0E0"/>
          </w:tcPr>
          <w:p>
            <w:pPr>
              <w:spacing w:after="0"/>
              <w:rPr>
                <w:sz w:val="20"/>
                <w:szCs w:val="20"/>
                <w:color w:val="auto"/>
              </w:rPr>
            </w:pPr>
          </w:p>
        </w:tc>
        <w:tc>
          <w:tcPr>
            <w:tcW w:w="14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120" w:type="dxa"/>
            <w:vAlign w:val="bottom"/>
            <w:tcBorders>
              <w:left w:val="single" w:sz="8" w:color="auto"/>
            </w:tcBorders>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Eagle Investment Management, LLC</w:t>
            </w:r>
            <w:r>
              <w:rPr>
                <w:rFonts w:ascii="Arial" w:cs="Arial" w:eastAsia="Arial" w:hAnsi="Arial"/>
                <w:sz w:val="11"/>
                <w:szCs w:val="11"/>
                <w:color w:val="auto"/>
              </w:rPr>
              <w:t>5</w:t>
            </w:r>
          </w:p>
        </w:tc>
        <w:tc>
          <w:tcPr>
            <w:tcW w:w="3860" w:type="dxa"/>
            <w:vAlign w:val="bottom"/>
          </w:tcPr>
          <w:p>
            <w:pPr>
              <w:jc w:val="right"/>
              <w:ind w:right="300"/>
              <w:spacing w:after="0"/>
              <w:rPr>
                <w:sz w:val="20"/>
                <w:szCs w:val="20"/>
                <w:color w:val="auto"/>
              </w:rPr>
            </w:pPr>
            <w:r>
              <w:rPr>
                <w:rFonts w:ascii="Arial" w:cs="Arial" w:eastAsia="Arial" w:hAnsi="Arial"/>
                <w:sz w:val="18"/>
                <w:szCs w:val="18"/>
                <w:color w:val="auto"/>
              </w:rPr>
              <w:t>2,427,291</w:t>
            </w:r>
          </w:p>
        </w:tc>
        <w:tc>
          <w:tcPr>
            <w:tcW w:w="1480" w:type="dxa"/>
            <w:vAlign w:val="bottom"/>
            <w:tcBorders>
              <w:right w:val="single" w:sz="8" w:color="auto"/>
            </w:tcBorders>
          </w:tcPr>
          <w:p>
            <w:pPr>
              <w:jc w:val="right"/>
              <w:ind w:right="437"/>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1345 Avenue of the Americas</w:t>
            </w:r>
          </w:p>
        </w:tc>
        <w:tc>
          <w:tcPr>
            <w:tcW w:w="38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tcBorders>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New York, NY 10105</w:t>
            </w:r>
          </w:p>
        </w:tc>
        <w:tc>
          <w:tcPr>
            <w:tcW w:w="38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0" w:type="dxa"/>
            <w:vAlign w:val="bottom"/>
            <w:tcBorders>
              <w:lef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SPO Advisory Corp.</w:t>
            </w:r>
            <w:r>
              <w:rPr>
                <w:rFonts w:ascii="Arial" w:cs="Arial" w:eastAsia="Arial" w:hAnsi="Arial"/>
                <w:sz w:val="11"/>
                <w:szCs w:val="11"/>
                <w:color w:val="auto"/>
              </w:rPr>
              <w:t>6</w:t>
            </w:r>
          </w:p>
        </w:tc>
        <w:tc>
          <w:tcPr>
            <w:tcW w:w="386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2,292,751</w:t>
            </w:r>
          </w:p>
        </w:tc>
        <w:tc>
          <w:tcPr>
            <w:tcW w:w="1480" w:type="dxa"/>
            <w:vAlign w:val="bottom"/>
            <w:tcBorders>
              <w:right w:val="single" w:sz="8" w:color="auto"/>
            </w:tcBorders>
            <w:shd w:val="clear" w:color="auto" w:fill="E0E0E0"/>
          </w:tcPr>
          <w:p>
            <w:pPr>
              <w:jc w:val="right"/>
              <w:ind w:right="43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shd w:val="clear" w:color="auto" w:fill="E0E0E0"/>
          </w:tcPr>
          <w:p>
            <w:pPr>
              <w:spacing w:after="0"/>
              <w:rPr>
                <w:sz w:val="18"/>
                <w:szCs w:val="18"/>
                <w:color w:val="auto"/>
              </w:rPr>
            </w:pPr>
          </w:p>
        </w:tc>
        <w:tc>
          <w:tcPr>
            <w:tcW w:w="5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591 Redwood Highway, Suite 3215</w:t>
            </w:r>
          </w:p>
        </w:tc>
        <w:tc>
          <w:tcPr>
            <w:tcW w:w="3860" w:type="dxa"/>
            <w:vAlign w:val="bottom"/>
            <w:shd w:val="clear" w:color="auto" w:fill="E0E0E0"/>
          </w:tcPr>
          <w:p>
            <w:pPr>
              <w:spacing w:after="0"/>
              <w:rPr>
                <w:sz w:val="18"/>
                <w:szCs w:val="18"/>
                <w:color w:val="auto"/>
              </w:rPr>
            </w:pPr>
          </w:p>
        </w:tc>
        <w:tc>
          <w:tcPr>
            <w:tcW w:w="14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auto"/>
              <w:bottom w:val="single" w:sz="8" w:color="auto"/>
            </w:tcBorders>
            <w:shd w:val="clear" w:color="auto" w:fill="E0E0E0"/>
          </w:tcPr>
          <w:p>
            <w:pPr>
              <w:spacing w:after="0"/>
              <w:rPr>
                <w:sz w:val="20"/>
                <w:szCs w:val="20"/>
                <w:color w:val="auto"/>
              </w:rPr>
            </w:pPr>
          </w:p>
        </w:tc>
        <w:tc>
          <w:tcPr>
            <w:tcW w:w="5620" w:type="dxa"/>
            <w:vAlign w:val="bottom"/>
            <w:tcBorders>
              <w:bottom w:val="single" w:sz="8" w:color="auto"/>
            </w:tcBorders>
            <w:gridSpan w:val="2"/>
            <w:shd w:val="clear" w:color="auto" w:fill="E0E0E0"/>
          </w:tcPr>
          <w:p>
            <w:pPr>
              <w:spacing w:after="0"/>
              <w:rPr>
                <w:sz w:val="20"/>
                <w:szCs w:val="20"/>
                <w:color w:val="auto"/>
              </w:rPr>
            </w:pPr>
            <w:r>
              <w:rPr>
                <w:rFonts w:ascii="Arial" w:cs="Arial" w:eastAsia="Arial" w:hAnsi="Arial"/>
                <w:sz w:val="18"/>
                <w:szCs w:val="18"/>
                <w:color w:val="auto"/>
              </w:rPr>
              <w:t>Mill Valley, CA 94941</w:t>
            </w:r>
          </w:p>
        </w:tc>
        <w:tc>
          <w:tcPr>
            <w:tcW w:w="3860" w:type="dxa"/>
            <w:vAlign w:val="bottom"/>
            <w:tcBorders>
              <w:bottom w:val="single" w:sz="8" w:color="auto"/>
            </w:tcBorders>
            <w:shd w:val="clear" w:color="auto" w:fill="E0E0E0"/>
          </w:tcPr>
          <w:p>
            <w:pPr>
              <w:spacing w:after="0"/>
              <w:rPr>
                <w:sz w:val="20"/>
                <w:szCs w:val="20"/>
                <w:color w:val="auto"/>
              </w:rPr>
            </w:pPr>
          </w:p>
        </w:tc>
        <w:tc>
          <w:tcPr>
            <w:tcW w:w="148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hanging="323"/>
        <w:spacing w:after="0"/>
        <w:tabs>
          <w:tab w:leader="none" w:pos="32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reported in Schedule 13D/A dated February 6, 2013 filed with the Securities and Exchange Commission on February 11, 2013.</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As reported in Schedule 13G dated December 31, 2012 filed with the Securities and Exchange Commission on February 15, 2013.</w:t>
      </w:r>
    </w:p>
    <w:p>
      <w:pPr>
        <w:spacing w:after="0" w:line="68" w:lineRule="exact"/>
        <w:rPr>
          <w:rFonts w:ascii="Arial" w:cs="Arial" w:eastAsia="Arial" w:hAnsi="Arial"/>
          <w:sz w:val="14"/>
          <w:szCs w:val="14"/>
          <w:color w:val="auto"/>
        </w:rPr>
      </w:pPr>
    </w:p>
    <w:p>
      <w:pPr>
        <w:ind w:left="3" w:right="3640"/>
        <w:spacing w:after="0" w:line="399" w:lineRule="auto"/>
        <w:rPr>
          <w:rFonts w:ascii="Arial" w:cs="Arial" w:eastAsia="Arial" w:hAnsi="Arial"/>
          <w:sz w:val="14"/>
          <w:szCs w:val="14"/>
          <w:color w:val="auto"/>
        </w:rPr>
      </w:pPr>
      <w:r>
        <w:rPr>
          <w:rFonts w:ascii="Arial" w:cs="Arial" w:eastAsia="Arial" w:hAnsi="Arial"/>
          <w:sz w:val="12"/>
          <w:szCs w:val="12"/>
          <w:color w:val="auto"/>
        </w:rPr>
        <w:t>3 As reported in Schedule 13G/A dated December 31, 2012 filed with the Securities and Exchange Commission on February 5, 2013. 4 As reported in Schedule 13G dated December 31, 2012 filed with the Securities and Exchange Commission on February 13, 2013.</w:t>
      </w:r>
    </w:p>
    <w:p>
      <w:pPr>
        <w:jc w:val="both"/>
        <w:ind w:left="3" w:right="3580"/>
        <w:spacing w:after="0" w:line="459" w:lineRule="auto"/>
        <w:rPr>
          <w:rFonts w:ascii="Arial" w:cs="Arial" w:eastAsia="Arial" w:hAnsi="Arial"/>
          <w:sz w:val="14"/>
          <w:szCs w:val="14"/>
          <w:color w:val="auto"/>
        </w:rPr>
      </w:pPr>
      <w:r>
        <w:rPr>
          <w:rFonts w:ascii="Arial" w:cs="Arial" w:eastAsia="Arial" w:hAnsi="Arial"/>
          <w:sz w:val="12"/>
          <w:szCs w:val="12"/>
          <w:color w:val="auto"/>
        </w:rPr>
        <w:t>5 As reported in Schedule 13G/A dated December 31, 2012 filed with the Securities and Exchange Commission on February 11, 2013. 6 As reported in Schedule 13G/A dated December 31, 2012 filed with the Securities and Exchange Commission on February 14, 2013.</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How much stock do Martin Marietta’s Directors and executive officers own?</w:t>
      </w:r>
    </w:p>
    <w:p>
      <w:pPr>
        <w:spacing w:after="0" w:line="90" w:lineRule="exact"/>
        <w:rPr>
          <w:sz w:val="20"/>
          <w:szCs w:val="20"/>
          <w:color w:val="auto"/>
        </w:rPr>
      </w:pPr>
    </w:p>
    <w:p>
      <w:pPr>
        <w:ind w:left="3" w:right="20" w:firstLine="775"/>
        <w:spacing w:after="0" w:line="268" w:lineRule="auto"/>
        <w:rPr>
          <w:sz w:val="20"/>
          <w:szCs w:val="20"/>
          <w:color w:val="auto"/>
        </w:rPr>
      </w:pPr>
      <w:r>
        <w:rPr>
          <w:rFonts w:ascii="Arial" w:cs="Arial" w:eastAsia="Arial" w:hAnsi="Arial"/>
          <w:sz w:val="18"/>
          <w:szCs w:val="18"/>
          <w:color w:val="auto"/>
        </w:rPr>
        <w:t>The following table sets forth information as of March 15, 2013 with respect to the shares of common stock that are beneficially owned by the Directors and nominees, the Chief Executive Officer,</w:t>
      </w:r>
    </w:p>
    <w:p>
      <w:pPr>
        <w:spacing w:after="0" w:line="267"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3"/>
          </w:cols>
          <w:pgMar w:left="437" w:top="463" w:right="379" w:bottom="1440" w:gutter="0" w:footer="0" w:header="0"/>
        </w:sectPr>
      </w:pPr>
    </w:p>
    <w:bookmarkStart w:id="9" w:name="page10"/>
    <w:bookmarkEnd w:id="9"/>
    <w:p>
      <w:pPr>
        <w:ind w:left="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1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318760"/>
                    </a:xfrm>
                    <a:prstGeom prst="rect">
                      <a:avLst/>
                    </a:prstGeom>
                    <a:noFill/>
                  </pic:spPr>
                </pic:pic>
              </a:graphicData>
            </a:graphic>
          </wp:anchor>
        </w:drawing>
        <w:t>the Chief Financial Officer, three other executive officers and a former executive officer who resigned on December 28 2012, who are listed in the Summary Compensation Table on page 52 of this proxy statement, individually, and by all Directors and executive officers of Martin Marietta as a group.</w:t>
      </w:r>
    </w:p>
    <w:p>
      <w:pPr>
        <w:spacing w:after="0" w:line="114"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60" w:type="dxa"/>
            <w:vAlign w:val="bottom"/>
            <w:tcBorders>
              <w:top w:val="single" w:sz="8" w:color="auto"/>
            </w:tcBorders>
            <w:shd w:val="clear" w:color="auto" w:fill="E0E0E0"/>
          </w:tcPr>
          <w:p>
            <w:pPr>
              <w:spacing w:after="0"/>
              <w:rPr>
                <w:sz w:val="12"/>
                <w:szCs w:val="12"/>
                <w:color w:val="auto"/>
              </w:rPr>
            </w:pPr>
          </w:p>
        </w:tc>
        <w:tc>
          <w:tcPr>
            <w:tcW w:w="3480" w:type="dxa"/>
            <w:vAlign w:val="bottom"/>
            <w:tcBorders>
              <w:top w:val="single" w:sz="8" w:color="auto"/>
              <w:right w:val="single" w:sz="8" w:color="auto"/>
            </w:tcBorders>
            <w:shd w:val="clear" w:color="auto" w:fill="E0E0E0"/>
          </w:tcPr>
          <w:p>
            <w:pPr>
              <w:jc w:val="center"/>
              <w:ind w:left="1197"/>
              <w:spacing w:after="0" w:line="149" w:lineRule="exact"/>
              <w:rPr>
                <w:sz w:val="20"/>
                <w:szCs w:val="20"/>
                <w:color w:val="auto"/>
              </w:rPr>
            </w:pPr>
            <w:r>
              <w:rPr>
                <w:rFonts w:ascii="Arial" w:cs="Arial" w:eastAsia="Arial" w:hAnsi="Arial"/>
                <w:sz w:val="14"/>
                <w:szCs w:val="14"/>
                <w:b w:val="1"/>
                <w:bCs w:val="1"/>
                <w:color w:val="auto"/>
                <w:w w:val="89"/>
              </w:rPr>
              <w:t>Amount and Nature</w:t>
            </w: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6060" w:type="dxa"/>
            <w:vAlign w:val="bottom"/>
            <w:shd w:val="clear" w:color="auto" w:fill="E0E0E0"/>
          </w:tcPr>
          <w:p>
            <w:pPr>
              <w:spacing w:after="0"/>
              <w:rPr>
                <w:sz w:val="12"/>
                <w:szCs w:val="12"/>
                <w:color w:val="auto"/>
              </w:rPr>
            </w:pPr>
          </w:p>
        </w:tc>
        <w:tc>
          <w:tcPr>
            <w:tcW w:w="3480" w:type="dxa"/>
            <w:vAlign w:val="bottom"/>
            <w:tcBorders>
              <w:right w:val="single" w:sz="8" w:color="auto"/>
            </w:tcBorders>
            <w:shd w:val="clear" w:color="auto" w:fill="E0E0E0"/>
          </w:tcPr>
          <w:p>
            <w:pPr>
              <w:jc w:val="center"/>
              <w:ind w:left="1217"/>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34"/>
        </w:trPr>
        <w:tc>
          <w:tcPr>
            <w:tcW w:w="460" w:type="dxa"/>
            <w:vAlign w:val="bottom"/>
            <w:tcBorders>
              <w:right w:val="single" w:sz="8" w:color="auto"/>
            </w:tcBorders>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6060" w:type="dxa"/>
            <w:vAlign w:val="bottom"/>
            <w:shd w:val="clear" w:color="auto" w:fill="E0E0E0"/>
          </w:tcPr>
          <w:p>
            <w:pPr>
              <w:spacing w:after="0"/>
              <w:rPr>
                <w:sz w:val="11"/>
                <w:szCs w:val="11"/>
                <w:color w:val="auto"/>
              </w:rPr>
            </w:pPr>
          </w:p>
        </w:tc>
        <w:tc>
          <w:tcPr>
            <w:tcW w:w="3480" w:type="dxa"/>
            <w:vAlign w:val="bottom"/>
            <w:tcBorders>
              <w:right w:val="single" w:sz="8" w:color="auto"/>
            </w:tcBorders>
            <w:shd w:val="clear" w:color="auto" w:fill="E0E0E0"/>
          </w:tcPr>
          <w:p>
            <w:pPr>
              <w:jc w:val="center"/>
              <w:ind w:left="1217"/>
              <w:spacing w:after="0" w:line="135" w:lineRule="exact"/>
              <w:rPr>
                <w:sz w:val="20"/>
                <w:szCs w:val="20"/>
                <w:color w:val="auto"/>
              </w:rPr>
            </w:pPr>
            <w:r>
              <w:rPr>
                <w:rFonts w:ascii="Arial" w:cs="Arial" w:eastAsia="Arial" w:hAnsi="Arial"/>
                <w:sz w:val="14"/>
                <w:szCs w:val="14"/>
                <w:b w:val="1"/>
                <w:bCs w:val="1"/>
                <w:color w:val="auto"/>
                <w:w w:val="87"/>
              </w:rPr>
              <w:t>Beneficial</w:t>
            </w:r>
          </w:p>
        </w:tc>
      </w:tr>
      <w:tr>
        <w:trPr>
          <w:trHeight w:val="169"/>
        </w:trPr>
        <w:tc>
          <w:tcPr>
            <w:tcW w:w="460" w:type="dxa"/>
            <w:vAlign w:val="bottom"/>
            <w:tcBorders>
              <w:right w:val="single" w:sz="8" w:color="auto"/>
            </w:tcBorders>
          </w:tcPr>
          <w:p>
            <w:pPr>
              <w:spacing w:after="0"/>
              <w:rPr>
                <w:sz w:val="14"/>
                <w:szCs w:val="14"/>
                <w:color w:val="auto"/>
              </w:rPr>
            </w:pPr>
          </w:p>
        </w:tc>
        <w:tc>
          <w:tcPr>
            <w:tcW w:w="670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3480" w:type="dxa"/>
            <w:vAlign w:val="bottom"/>
            <w:tcBorders>
              <w:bottom w:val="single" w:sz="8" w:color="auto"/>
              <w:right w:val="single" w:sz="8" w:color="auto"/>
            </w:tcBorders>
            <w:shd w:val="clear" w:color="auto" w:fill="E0E0E0"/>
          </w:tcPr>
          <w:p>
            <w:pPr>
              <w:jc w:val="center"/>
              <w:ind w:left="1217"/>
              <w:spacing w:after="0" w:line="162" w:lineRule="exact"/>
              <w:rPr>
                <w:sz w:val="20"/>
                <w:szCs w:val="20"/>
                <w:color w:val="auto"/>
              </w:rPr>
            </w:pPr>
            <w:r>
              <w:rPr>
                <w:rFonts w:ascii="Arial" w:cs="Arial" w:eastAsia="Arial" w:hAnsi="Arial"/>
                <w:sz w:val="12"/>
                <w:szCs w:val="12"/>
                <w:b w:val="1"/>
                <w:bCs w:val="1"/>
                <w:color w:val="auto"/>
              </w:rPr>
              <w:t>Ownership</w:t>
            </w:r>
            <w:r>
              <w:rPr>
                <w:rFonts w:ascii="Arial" w:cs="Arial" w:eastAsia="Arial" w:hAnsi="Arial"/>
                <w:sz w:val="18"/>
                <w:szCs w:val="18"/>
                <w:b w:val="1"/>
                <w:bCs w:val="1"/>
                <w:color w:val="auto"/>
                <w:vertAlign w:val="superscript"/>
              </w:rPr>
              <w:t>1</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Roselyn R. Bar</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73,041</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Sue W. Cole</w:t>
            </w:r>
          </w:p>
        </w:tc>
        <w:tc>
          <w:tcPr>
            <w:tcW w:w="3480" w:type="dxa"/>
            <w:vAlign w:val="bottom"/>
            <w:tcBorders>
              <w:right w:val="single" w:sz="8" w:color="auto"/>
            </w:tcBorders>
          </w:tcPr>
          <w:p>
            <w:pPr>
              <w:jc w:val="right"/>
              <w:ind w:right="257"/>
              <w:spacing w:after="0"/>
              <w:rPr>
                <w:sz w:val="20"/>
                <w:szCs w:val="20"/>
                <w:color w:val="auto"/>
              </w:rPr>
            </w:pPr>
            <w:r>
              <w:rPr>
                <w:rFonts w:ascii="Arial" w:cs="Arial" w:eastAsia="Arial" w:hAnsi="Arial"/>
                <w:sz w:val="18"/>
                <w:szCs w:val="18"/>
                <w:color w:val="auto"/>
              </w:rPr>
              <w:t>40,204</w:t>
            </w:r>
            <w:r>
              <w:rPr>
                <w:rFonts w:ascii="Arial" w:cs="Arial" w:eastAsia="Arial" w:hAnsi="Arial"/>
                <w:sz w:val="11"/>
                <w:szCs w:val="11"/>
                <w:color w:val="auto"/>
              </w:rPr>
              <w:t>3,4</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Dana F. Guzzo</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10,364</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Anne H. Lloyd</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88,858</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David G. Maffucci</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25,302</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Donald A. McCunniff</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2,242</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William E. McDonald</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34,820</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Frank H. Menaker, Jr.</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40,048</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C. Howard Nye</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117,233</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Laree E. Perez</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21,710</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Michael J. Quillen</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12,440</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Dennis L. Rediker</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22,816</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Bruce A. Vaio</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65,443</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Richard A. Vinroot</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37,010</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Stephen P. Zelnak, Jr.</w:t>
            </w:r>
          </w:p>
        </w:tc>
        <w:tc>
          <w:tcPr>
            <w:tcW w:w="3480" w:type="dxa"/>
            <w:vAlign w:val="bottom"/>
            <w:tcBorders>
              <w:right w:val="single" w:sz="8" w:color="auto"/>
            </w:tcBorders>
            <w:shd w:val="clear" w:color="auto" w:fill="E0E0E0"/>
          </w:tcPr>
          <w:p>
            <w:pPr>
              <w:jc w:val="right"/>
              <w:ind w:right="257"/>
              <w:spacing w:after="0"/>
              <w:rPr>
                <w:sz w:val="20"/>
                <w:szCs w:val="20"/>
                <w:color w:val="auto"/>
              </w:rPr>
            </w:pPr>
            <w:r>
              <w:rPr>
                <w:rFonts w:ascii="Arial" w:cs="Arial" w:eastAsia="Arial" w:hAnsi="Arial"/>
                <w:sz w:val="18"/>
                <w:szCs w:val="18"/>
                <w:color w:val="auto"/>
              </w:rPr>
              <w:t>178,892</w:t>
            </w:r>
            <w:r>
              <w:rPr>
                <w:rFonts w:ascii="Arial" w:cs="Arial" w:eastAsia="Arial" w:hAnsi="Arial"/>
                <w:sz w:val="11"/>
                <w:szCs w:val="11"/>
                <w:color w:val="auto"/>
              </w:rPr>
              <w:t>3,6</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All Directors and executive officers as a group (15 individuals including those named above)</w:t>
            </w:r>
          </w:p>
        </w:tc>
        <w:tc>
          <w:tcPr>
            <w:tcW w:w="34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8"/>
                <w:szCs w:val="18"/>
                <w:color w:val="auto"/>
              </w:rPr>
              <w:t>770,423</w:t>
            </w:r>
            <w:r>
              <w:rPr>
                <w:rFonts w:ascii="Arial" w:cs="Arial" w:eastAsia="Arial" w:hAnsi="Arial"/>
                <w:sz w:val="11"/>
                <w:szCs w:val="11"/>
                <w:color w:val="auto"/>
              </w:rPr>
              <w:t>3,4,6,7</w:t>
            </w: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3480" w:type="dxa"/>
            <w:vAlign w:val="bottom"/>
          </w:tcPr>
          <w:p>
            <w:pPr>
              <w:spacing w:after="0"/>
              <w:rPr>
                <w:sz w:val="8"/>
                <w:szCs w:val="8"/>
                <w:color w:val="auto"/>
              </w:rPr>
            </w:pPr>
          </w:p>
        </w:tc>
      </w:tr>
    </w:tbl>
    <w:p>
      <w:pPr>
        <w:spacing w:after="0" w:line="16" w:lineRule="exact"/>
        <w:rPr>
          <w:sz w:val="20"/>
          <w:szCs w:val="20"/>
          <w:color w:val="auto"/>
        </w:rPr>
      </w:pPr>
    </w:p>
    <w:p>
      <w:pPr>
        <w:jc w:val="both"/>
        <w:ind w:left="323" w:hanging="323"/>
        <w:spacing w:after="0" w:line="233" w:lineRule="auto"/>
        <w:tabs>
          <w:tab w:leader="none" w:pos="323"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1.91% of the shares of common stock outstanding as of March 15, 2013. None of the shares reported are pledged as security.</w:t>
      </w:r>
    </w:p>
    <w:p>
      <w:pPr>
        <w:spacing w:after="0" w:line="58" w:lineRule="exact"/>
        <w:rPr>
          <w:sz w:val="20"/>
          <w:szCs w:val="20"/>
          <w:color w:val="auto"/>
        </w:rPr>
      </w:pPr>
    </w:p>
    <w:p>
      <w:pPr>
        <w:jc w:val="both"/>
        <w:ind w:left="323" w:hanging="323"/>
        <w:spacing w:after="0" w:line="268" w:lineRule="auto"/>
        <w:tabs>
          <w:tab w:leader="none" w:pos="323"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number of shares owned for each of Mr. Nye, Ms. Lloyd, Ms. Bar, Mr. McCunniff, Ms. Guzzo, and Mr. Vaio, assumes that options held by each of them covering shares of common stock in the amounts indicated, which are currently exercisable within 60 days of March 15, 2013, have been exercised: Mr. Nye, 52,053; Ms. Lloyd, 49,321; Ms. Bar, 44,527; Mr. McCunniff, 0; Ms. Guzzo, 5,595; and Mr. Vaio, 43,142.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(other than with respect to Mr. Vaio), each in the following amounts: Mr. Nye, 8,433 and 27,584, respectively; Ms. Lloyd, 2,230 and 11,329, respectively; Ms. Bar, 2,107 and 9,247, respectively; Mr. McCunniff, 423 and 1,819, respectively; Ms. Guzzo, 961 and 2,055, respectively; and Mr. Vaio, 1,999 and 11,329, respectively. There are no voting rights associated with the stock units.</w:t>
      </w:r>
    </w:p>
    <w:p>
      <w:pPr>
        <w:spacing w:after="0" w:line="42" w:lineRule="exact"/>
        <w:rPr>
          <w:sz w:val="20"/>
          <w:szCs w:val="20"/>
          <w:color w:val="auto"/>
        </w:rPr>
      </w:pPr>
    </w:p>
    <w:p>
      <w:pPr>
        <w:jc w:val="both"/>
        <w:ind w:left="323" w:hanging="323"/>
        <w:spacing w:after="0" w:line="227" w:lineRule="auto"/>
        <w:tabs>
          <w:tab w:leader="none" w:pos="3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reported include (1) compensation paid on an annual basis that Directors have received in common stock units that is deferred pursuant to the Amended and Restated Martin Marietta Materials, Inc. Common Stock Purchase Plan for Directors and (2) 1,592 restricted stock units that each Director received in 2012 as part of their compensation. The Directors do not have voting or investment power for their respective share units. The number of common stock units credited to each of the Directors as of March 15, 2013 is as follows: Ms. Cole, 17,850; Mr. Maffucci, 13,302; Mr. McDonald, 19,820; Mr. Menaker, 22,444; Ms. Perez, 9,710; Mr. Quillen, 9,440; Mr. Rediker, 13,816; Mr. Vinroot, 20,010; and Mr. Zelnak, 7,948. Amounts reported also include options for common stock for each Director, as follows: Ms. Cole, 17,000; Mr. Maffucci, 12,000; Mr. McDonald, 15,000; Mr. Menaker, 15,000; Ms. Perez, 12,000; Mr. Quillen, 3,000; Mr. Rediker, 9,000; Mr. Vinroot, 17,000; and Mr. Zelnak, 151,268.</w:t>
      </w:r>
    </w:p>
    <w:p>
      <w:pPr>
        <w:spacing w:after="0" w:line="59" w:lineRule="exact"/>
        <w:rPr>
          <w:sz w:val="20"/>
          <w:szCs w:val="20"/>
          <w:color w:val="auto"/>
        </w:rPr>
      </w:pPr>
    </w:p>
    <w:p>
      <w:pPr>
        <w:ind w:left="323" w:hanging="323"/>
        <w:spacing w:after="0"/>
        <w:tabs>
          <w:tab w:leader="none" w:pos="32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spacing w:after="0" w:line="69" w:lineRule="exact"/>
        <w:rPr>
          <w:sz w:val="20"/>
          <w:szCs w:val="20"/>
          <w:color w:val="auto"/>
        </w:rPr>
      </w:pPr>
    </w:p>
    <w:p>
      <w:pPr>
        <w:ind w:left="323" w:hanging="323"/>
        <w:spacing w:after="0"/>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Vaio resigned as Executive Vice President on December 28, 2012. The amounts reported reflect ownership as of March 15, 2013.</w:t>
      </w:r>
    </w:p>
    <w:p>
      <w:pPr>
        <w:spacing w:after="0" w:line="288"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3"/>
          </w:cols>
          <w:pgMar w:left="437" w:top="469" w:right="399" w:bottom="1440" w:gutter="0" w:footer="0" w:header="0"/>
        </w:sectPr>
      </w:pPr>
    </w:p>
    <w:bookmarkStart w:id="10" w:name="page11"/>
    <w:bookmarkEnd w:id="10"/>
    <w:p>
      <w:pPr>
        <w:ind w:left="323" w:hanging="323"/>
        <w:spacing w:after="0" w:line="239" w:lineRule="auto"/>
        <w:tabs>
          <w:tab w:leader="none" w:pos="323" w:val="left"/>
        </w:tabs>
        <w:numPr>
          <w:ilvl w:val="0"/>
          <w:numId w:val="1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9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198745"/>
                    </a:xfrm>
                    <a:prstGeom prst="rect">
                      <a:avLst/>
                    </a:prstGeom>
                    <a:noFill/>
                  </pic:spPr>
                </pic:pic>
              </a:graphicData>
            </a:graphic>
          </wp:anchor>
        </w:drawing>
        <w:t>The amounts reported also include 19,676 restricted stock unit awards previously granted to Mr. Zelnak under the Martin Marietta Materials, Inc. Amended and Restated Stock-Based Award Plan when he served as Chief Executive Officer of Martin Marietta.</w:t>
      </w:r>
    </w:p>
    <w:p>
      <w:pPr>
        <w:spacing w:after="0" w:line="58" w:lineRule="exact"/>
        <w:rPr>
          <w:sz w:val="20"/>
          <w:szCs w:val="20"/>
          <w:color w:val="auto"/>
        </w:rPr>
      </w:pPr>
    </w:p>
    <w:p>
      <w:pPr>
        <w:jc w:val="both"/>
        <w:ind w:left="323" w:hanging="323"/>
        <w:spacing w:after="0" w:line="273" w:lineRule="auto"/>
        <w:tabs>
          <w:tab w:leader="none" w:pos="323" w:val="left"/>
        </w:tabs>
        <w:numPr>
          <w:ilvl w:val="0"/>
          <w:numId w:val="14"/>
        </w:numPr>
        <w:rPr>
          <w:rFonts w:ascii="Arial" w:cs="Arial" w:eastAsia="Arial" w:hAnsi="Arial"/>
          <w:sz w:val="12"/>
          <w:szCs w:val="12"/>
          <w:color w:val="auto"/>
        </w:rPr>
      </w:pPr>
      <w:r>
        <w:rPr>
          <w:rFonts w:ascii="Arial" w:cs="Arial" w:eastAsia="Arial" w:hAnsi="Arial"/>
          <w:sz w:val="12"/>
          <w:szCs w:val="12"/>
          <w:color w:val="auto"/>
        </w:rPr>
        <w:t>Amounts reported include: (1) 445,906 options held by Directors and executive officers, which are currently exercisable within 60 days of March 15, 2013; (2) 16,153 common stock units credited to executive officers in connection with their deferral of a portion of their cash bonus under the Martin Marietta Materials, Inc. Incentive Stock Plan; (3) 63,363 common stock units credited to executive officers in connection with restricted stock awards granted under the Martin Marietta Materials, Inc. Amended and Restated Stock-Based Award Plan that are subject to forfeiture in accordance with the terms of the plan (other than with respect to Mr. Vaio); and (4) 87,191 common stock units credited to the Directors in connection with restricted stock awards granted under the Martin Marietta Materials, Inc. Amended and Restated Stock-Based Award Plan. There are no voting rights associated with the stock units.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w:t>
      </w:r>
    </w:p>
    <w:p>
      <w:pPr>
        <w:spacing w:after="0" w:line="143"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Based solely on its review of the copies of reports furnished to Martin Marietta and written representations of Directors and officers that no other reports were required for the year ended December 31, 2012, Martin Marietta believes that no Director, officer, or 10% shareholder failed to timely file in 2012 any report required by Section 16(a).</w:t>
      </w:r>
    </w:p>
    <w:p>
      <w:pPr>
        <w:spacing w:after="0" w:line="215"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OF DIRECTORS</w:t>
      </w:r>
    </w:p>
    <w:p>
      <w:pPr>
        <w:spacing w:after="0" w:line="177"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Board of Directors currently consists of ten members, nine of whom are non-employee Directors. The Board is divided into three classes with three-year terms.</w:t>
      </w:r>
    </w:p>
    <w:p>
      <w:pPr>
        <w:spacing w:after="0" w:line="132" w:lineRule="exact"/>
        <w:rPr>
          <w:sz w:val="20"/>
          <w:szCs w:val="20"/>
          <w:color w:val="auto"/>
        </w:rPr>
      </w:pPr>
    </w:p>
    <w:p>
      <w:pPr>
        <w:jc w:val="both"/>
        <w:ind w:left="3" w:firstLine="775"/>
        <w:spacing w:after="0" w:line="298" w:lineRule="auto"/>
        <w:rPr>
          <w:sz w:val="20"/>
          <w:szCs w:val="20"/>
          <w:color w:val="auto"/>
        </w:rPr>
      </w:pPr>
      <w:r>
        <w:rPr>
          <w:rFonts w:ascii="Arial" w:cs="Arial" w:eastAsia="Arial" w:hAnsi="Arial"/>
          <w:sz w:val="16"/>
          <w:szCs w:val="16"/>
          <w:color w:val="auto"/>
        </w:rPr>
        <w:t>The Board of Directors has nominated three persons for election as Directors to serve three-year terms expiring in 2016.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13" w:lineRule="exact"/>
        <w:rPr>
          <w:sz w:val="20"/>
          <w:szCs w:val="20"/>
          <w:color w:val="auto"/>
        </w:rPr>
      </w:pPr>
    </w:p>
    <w:p>
      <w:pPr>
        <w:jc w:val="both"/>
        <w:ind w:left="3" w:firstLine="775"/>
        <w:spacing w:after="0" w:line="253" w:lineRule="auto"/>
        <w:rPr>
          <w:sz w:val="20"/>
          <w:szCs w:val="20"/>
          <w:color w:val="auto"/>
        </w:rPr>
      </w:pPr>
      <w:r>
        <w:rPr>
          <w:rFonts w:ascii="Arial" w:cs="Arial" w:eastAsia="Arial" w:hAnsi="Arial"/>
          <w:sz w:val="18"/>
          <w:szCs w:val="18"/>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2012 annual meeting, for a nomination to be properly made by a shareholder at the 2013 annual meeting, the shareholder’s notice must have been sent to, and received by, our Secretary at our principal executive offices between January 18, 2013 and February 17, 2013.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47"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following sets forth the age and certain other biographical information for each of the nominees for election and for each of the other members of the Board of Directors as of the date of this proxy statement.</w:t>
      </w:r>
    </w:p>
    <w:p>
      <w:pPr>
        <w:spacing w:after="0" w:line="267"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3"/>
          </w:cols>
          <w:pgMar w:left="437" w:top="466"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56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156200"/>
                    </a:xfrm>
                    <a:prstGeom prst="rect">
                      <a:avLst/>
                    </a:prstGeom>
                    <a:noFill/>
                  </pic:spPr>
                </pic:pic>
              </a:graphicData>
            </a:graphic>
          </wp:anchor>
        </w:drawing>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1 on Proxy Card)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to the Board of Directors for a Term Continuing Until 2016:</w:t>
      </w:r>
    </w:p>
    <w:p>
      <w:pPr>
        <w:spacing w:after="0" w:line="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color w:val="auto"/>
        </w:rPr>
        <w:t>(50)</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Director (since 2010)</w:t>
      </w:r>
    </w:p>
    <w:p>
      <w:pPr>
        <w:spacing w:after="0" w:line="84" w:lineRule="exact"/>
        <w:rPr>
          <w:sz w:val="20"/>
          <w:szCs w:val="20"/>
          <w:color w:val="auto"/>
        </w:rPr>
      </w:pPr>
    </w:p>
    <w:p>
      <w:pPr>
        <w:jc w:val="both"/>
        <w:ind w:left="3100"/>
        <w:spacing w:after="0" w:line="289" w:lineRule="auto"/>
        <w:rPr>
          <w:sz w:val="20"/>
          <w:szCs w:val="20"/>
          <w:color w:val="auto"/>
        </w:rPr>
      </w:pPr>
      <w:r>
        <w:rPr>
          <w:rFonts w:ascii="Arial" w:cs="Arial" w:eastAsia="Arial" w:hAnsi="Arial"/>
          <w:sz w:val="16"/>
          <w:szCs w:val="16"/>
          <w:color w:val="auto"/>
        </w:rPr>
        <w:t>Mr. Nye has served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the American Road &amp; Transportation Builders Association, and Romeo Guest Associates, Inc. Mr. Nye is also a member of the Duke University Alumni Board, as well as a former gubernatorial appointee to the North Carolina Mining Commission.</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94" w:lineRule="auto"/>
        <w:rPr>
          <w:sz w:val="20"/>
          <w:szCs w:val="20"/>
          <w:color w:val="auto"/>
        </w:rPr>
      </w:pPr>
      <w:r>
        <w:rPr>
          <w:rFonts w:ascii="Arial" w:cs="Arial" w:eastAsia="Arial" w:hAnsi="Arial"/>
          <w:sz w:val="16"/>
          <w:szCs w:val="16"/>
          <w:color w:val="auto"/>
        </w:rPr>
        <w:t>Mr. Nye has extensive knowledge of the construction aggregates industry from his 29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6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Laree E. Perez </w:t>
      </w:r>
      <w:r>
        <w:rPr>
          <w:rFonts w:ascii="Arial" w:cs="Arial" w:eastAsia="Arial" w:hAnsi="Arial"/>
          <w:sz w:val="18"/>
          <w:szCs w:val="18"/>
          <w:color w:val="auto"/>
        </w:rPr>
        <w:t>(59)</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2004), Chair of the Finance Committee and member of the Audit Committee and the Ethics,</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Environment, Safety and Health Committee.</w:t>
      </w:r>
    </w:p>
    <w:p>
      <w:pPr>
        <w:spacing w:after="0" w:line="84" w:lineRule="exact"/>
        <w:rPr>
          <w:sz w:val="20"/>
          <w:szCs w:val="20"/>
          <w:color w:val="auto"/>
        </w:rPr>
      </w:pPr>
    </w:p>
    <w:p>
      <w:pPr>
        <w:jc w:val="both"/>
        <w:ind w:left="3100"/>
        <w:spacing w:after="0" w:line="288" w:lineRule="auto"/>
        <w:rPr>
          <w:sz w:val="20"/>
          <w:szCs w:val="20"/>
          <w:color w:val="auto"/>
        </w:rPr>
      </w:pPr>
      <w:r>
        <w:rPr>
          <w:rFonts w:ascii="Arial" w:cs="Arial" w:eastAsia="Arial" w:hAnsi="Arial"/>
          <w:sz w:val="16"/>
          <w:szCs w:val="16"/>
          <w:color w:val="auto"/>
        </w:rPr>
        <w:t>Ms. Perez serves as the Managing Partner in The Medallion Company, LLC, an investment management company, since 2003 and as an independent financial consultant with that company since 2002.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December 2012. She previously served as the Chairman of the Audit Committee of GenOn Energy, Inc. from 2002 to 2007. From 1996 to 2002, she was Vice President of Loomis, Sayles &amp; Company, L.P. Ms. Perez was co-founder of Medallion Investment Company, Inc. and served as President and Chief Executive Officer from 1991 until it was acquired by Loomis Sayles in 1996. Ms. Perez recently</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440" w:top="463" w:right="399" w:bottom="1440" w:gutter="0" w:footer="0" w:header="0"/>
        </w:sectPr>
      </w:pPr>
    </w:p>
    <w:bookmarkStart w:id="12" w:name="page13"/>
    <w:bookmarkEnd w:id="12"/>
    <w:p>
      <w:pPr>
        <w:jc w:val="both"/>
        <w:ind w:left="28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8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087620"/>
                    </a:xfrm>
                    <a:prstGeom prst="rect">
                      <a:avLst/>
                    </a:prstGeom>
                    <a:noFill/>
                  </pic:spPr>
                </pic:pic>
              </a:graphicData>
            </a:graphic>
          </wp:anchor>
        </w:drawing>
        <w:t>served as Vice Chairman of the Board of Regents at Baylor University and previously served on the Board of Trustees of New Mexico State University, where she was also Chairman of the Board. Ms. Perez has also served on the Leadership Council and as Chair of the Development Committee for the Mayo Clinic Arizona. Ms. Perez has over 30 years’ experience in finance and investments.</w:t>
      </w:r>
    </w:p>
    <w:p>
      <w:pPr>
        <w:spacing w:after="0" w:line="62" w:lineRule="exact"/>
        <w:rPr>
          <w:sz w:val="20"/>
          <w:szCs w:val="20"/>
          <w:color w:val="auto"/>
        </w:rPr>
      </w:pPr>
    </w:p>
    <w:p>
      <w:pPr>
        <w:ind w:left="288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880"/>
        <w:spacing w:after="0" w:line="291" w:lineRule="auto"/>
        <w:rPr>
          <w:sz w:val="20"/>
          <w:szCs w:val="20"/>
          <w:color w:val="auto"/>
        </w:rPr>
      </w:pPr>
      <w:r>
        <w:rPr>
          <w:rFonts w:ascii="Arial" w:cs="Arial" w:eastAsia="Arial" w:hAnsi="Arial"/>
          <w:sz w:val="16"/>
          <w:szCs w:val="16"/>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18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 xml:space="preserve">Dennis L. Rediker </w:t>
      </w:r>
      <w:r>
        <w:rPr>
          <w:rFonts w:ascii="Arial" w:cs="Arial" w:eastAsia="Arial" w:hAnsi="Arial"/>
          <w:sz w:val="18"/>
          <w:szCs w:val="18"/>
          <w:color w:val="auto"/>
        </w:rPr>
        <w:t>(69)</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6"/>
          <w:szCs w:val="16"/>
          <w:i w:val="1"/>
          <w:iCs w:val="1"/>
          <w:color w:val="auto"/>
        </w:rPr>
        <w:t>Director (since 2003), Member of the Audit Committee, the Finance Committee and the Ethics, Environment,</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Safety and Health Committee.</w:t>
      </w:r>
    </w:p>
    <w:p>
      <w:pPr>
        <w:spacing w:after="0" w:line="84" w:lineRule="exact"/>
        <w:rPr>
          <w:sz w:val="20"/>
          <w:szCs w:val="20"/>
          <w:color w:val="auto"/>
        </w:rPr>
      </w:pPr>
    </w:p>
    <w:p>
      <w:pPr>
        <w:jc w:val="both"/>
        <w:ind w:left="2880"/>
        <w:spacing w:after="0" w:line="287" w:lineRule="auto"/>
        <w:rPr>
          <w:sz w:val="20"/>
          <w:szCs w:val="20"/>
          <w:color w:val="auto"/>
        </w:rPr>
      </w:pPr>
      <w:r>
        <w:rPr>
          <w:rFonts w:ascii="Arial" w:cs="Arial" w:eastAsia="Arial" w:hAnsi="Arial"/>
          <w:sz w:val="16"/>
          <w:szCs w:val="16"/>
          <w:color w:val="auto"/>
        </w:rPr>
        <w:t>Mr. Rediker serves as the President and Chief Operating Officer of Utility Composite Solutions International (UCSI), a developer and maker of composite materials for utility and municipal lighting applications. From 2009 to 2011, Mr. Rediker served as the President and Chief Operating Officer of B4C, LLC, a developer and maker of ceramic materials for defense and aerospace applications. He continues to serve as a consultant for B4C, LLC. He previously served as President and Chief Executive Officer of The Standard Register Company, a document services company, from 2000 until his retirement in 2008. Mr. Rediker was also previously the Chief Executive Officer and a Director of English China Clays, plc. During the past five years, Mr. Rediker served as Director of The Standard Register Company. Mr. Rediker is past volunteer Chairman of the Board of Trustees of the National Composites Center, and previously served on the Dayton Development Coalition and on the Board of Managers for the National Museum of the U.S. Air Force Foundation.</w:t>
      </w:r>
    </w:p>
    <w:p>
      <w:pPr>
        <w:spacing w:after="0" w:line="42" w:lineRule="exact"/>
        <w:rPr>
          <w:sz w:val="20"/>
          <w:szCs w:val="20"/>
          <w:color w:val="auto"/>
        </w:rPr>
      </w:pPr>
    </w:p>
    <w:p>
      <w:pPr>
        <w:ind w:left="288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880"/>
        <w:spacing w:after="0" w:line="294" w:lineRule="auto"/>
        <w:rPr>
          <w:sz w:val="20"/>
          <w:szCs w:val="20"/>
          <w:color w:val="auto"/>
        </w:rPr>
      </w:pPr>
      <w:r>
        <w:rPr>
          <w:rFonts w:ascii="Arial" w:cs="Arial" w:eastAsia="Arial" w:hAnsi="Arial"/>
          <w:sz w:val="16"/>
          <w:szCs w:val="16"/>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former association with McKinsey &amp; Co.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ALL NOMINEES FOR ELECTION TO THE BOARD OF DIRECTORS</w:t>
      </w:r>
    </w:p>
    <w:p>
      <w:pPr>
        <w:spacing w:after="0" w:line="313"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840"/>
          </w:cols>
          <w:pgMar w:left="660" w:top="469"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4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241925"/>
                    </a:xfrm>
                    <a:prstGeom prst="rect">
                      <a:avLst/>
                    </a:prstGeom>
                    <a:noFill/>
                  </pic:spPr>
                </pic:pic>
              </a:graphicData>
            </a:graphic>
          </wp:anchor>
        </w:drawing>
        <w:t>Directors Whose Terms Continue Until 2015:</w:t>
      </w:r>
    </w:p>
    <w:p>
      <w:pPr>
        <w:spacing w:after="0" w:line="19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David G. Maffucci </w:t>
      </w:r>
      <w:r>
        <w:rPr>
          <w:rFonts w:ascii="Arial" w:cs="Arial" w:eastAsia="Arial" w:hAnsi="Arial"/>
          <w:sz w:val="18"/>
          <w:szCs w:val="18"/>
          <w:color w:val="auto"/>
        </w:rPr>
        <w:t>(62)</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Director (since 2005), Chair of the Audit Committee and member of the Finance Committee.</w:t>
      </w:r>
    </w:p>
    <w:p>
      <w:pPr>
        <w:spacing w:after="0" w:line="84" w:lineRule="exact"/>
        <w:rPr>
          <w:sz w:val="20"/>
          <w:szCs w:val="20"/>
          <w:color w:val="auto"/>
        </w:rPr>
      </w:pPr>
    </w:p>
    <w:p>
      <w:pPr>
        <w:jc w:val="both"/>
        <w:ind w:left="3100"/>
        <w:spacing w:after="0" w:line="286" w:lineRule="auto"/>
        <w:rPr>
          <w:sz w:val="20"/>
          <w:szCs w:val="20"/>
          <w:color w:val="auto"/>
        </w:rPr>
      </w:pPr>
      <w:r>
        <w:rPr>
          <w:rFonts w:ascii="Arial" w:cs="Arial" w:eastAsia="Arial" w:hAnsi="Arial"/>
          <w:sz w:val="16"/>
          <w:szCs w:val="16"/>
          <w:color w:val="auto"/>
        </w:rPr>
        <w:t>Mr. Maffucci is a Director of Domtar Corporation, which designs, manufactures, markets and distributes a wide variety of fiber-based products, including communication papers, specialty and packaging papers, and adult incontinence products. He is currently a member of its Audit and Finance Committees. Mr. Maffucci served as Executive Vice President and Chief Financial Officer of Xerium Technologies, Inc., a manufacturer and supplier of consumable products used in paper production, from 2009 to 2010. He served on its Board of Directors from 2008 until 2010, serving on its Audit and Compensation Committees from 2008 to 2009. From 2005 to 2006, Mr. Maffucci served as Executive Vice President of Bowater Incorporated (the predecessor in interest to Resolute Forest Products (NYSE: RFP)) and President of its Newsprint Division. He served as Chief Financial Officer of Bowater Incorporated from 1995 to 2005. Resolute Forest Products produces a wide range of newsprint and commercial printing papers, market pulp and wood products.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w:t>
      </w:r>
    </w:p>
    <w:p>
      <w:pPr>
        <w:spacing w:after="0" w:line="40"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55" w:lineRule="auto"/>
        <w:rPr>
          <w:sz w:val="20"/>
          <w:szCs w:val="20"/>
          <w:color w:val="auto"/>
        </w:rPr>
      </w:pPr>
      <w:r>
        <w:rPr>
          <w:rFonts w:ascii="Arial" w:cs="Arial" w:eastAsia="Arial" w:hAnsi="Arial"/>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9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William E. McDonald </w:t>
      </w:r>
      <w:r>
        <w:rPr>
          <w:rFonts w:ascii="Arial" w:cs="Arial" w:eastAsia="Arial" w:hAnsi="Arial"/>
          <w:sz w:val="18"/>
          <w:szCs w:val="18"/>
          <w:color w:val="auto"/>
        </w:rPr>
        <w:t>(70)</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1996), Chair of the Nominating and Corporate Governance Committee, member of the Executive</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Committee and the Management Development and Compensation Committee.</w:t>
      </w:r>
    </w:p>
    <w:p>
      <w:pPr>
        <w:spacing w:after="0" w:line="84" w:lineRule="exact"/>
        <w:rPr>
          <w:sz w:val="20"/>
          <w:szCs w:val="20"/>
          <w:color w:val="auto"/>
        </w:rPr>
      </w:pPr>
    </w:p>
    <w:p>
      <w:pPr>
        <w:jc w:val="both"/>
        <w:ind w:left="3100"/>
        <w:spacing w:after="0" w:line="294" w:lineRule="auto"/>
        <w:rPr>
          <w:sz w:val="20"/>
          <w:szCs w:val="20"/>
          <w:color w:val="auto"/>
        </w:rPr>
      </w:pPr>
      <w:r>
        <w:rPr>
          <w:rFonts w:ascii="Arial" w:cs="Arial" w:eastAsia="Arial" w:hAnsi="Arial"/>
          <w:sz w:val="16"/>
          <w:szCs w:val="16"/>
          <w:color w:val="auto"/>
        </w:rPr>
        <w:t>Mr. McDonald served as President and Chief Executive Officer of Sprint Mid-Atlantic Telecom and Sprint Mid-Atlantic Operations from 1993 to 1998, and was President and Chief Executive Officer for the United Telephone-Eastern in Carlisle, Pennsylvania. Mr. McDonald began working with Sprint in 1968 when he joined Sprint United Telephone- Southeast. He progressed through various management positions until 1980, when he was named Vice President-Revenue Requirements. In 1981, he became Vice President-Operations for Sprint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60"/>
          </w:cols>
          <w:pgMar w:left="440" w:top="469" w:right="399" w:bottom="1440" w:gutter="0" w:footer="0" w:header="0"/>
        </w:sectPr>
      </w:pPr>
    </w:p>
    <w:bookmarkStart w:id="14" w:name="page15"/>
    <w:bookmarkEnd w:id="14"/>
    <w:p>
      <w:pPr>
        <w:jc w:val="both"/>
        <w:ind w:left="2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95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195445"/>
                    </a:xfrm>
                    <a:prstGeom prst="rect">
                      <a:avLst/>
                    </a:prstGeom>
                    <a:noFill/>
                  </pic:spPr>
                </pic:pic>
              </a:graphicData>
            </a:graphic>
          </wp:anchor>
        </w:drawing>
        <w:t>United Telephone-Midwest in Kansas City, Missouri. Mr. McDonald became President of Uninet in 1982 and in 1984 served as Senior Vice President-Network Development for what is now Sprint Long Distance. He was named President of Sprint United Telephone-Northwest in Hood River, Oregon, in 1986, before becoming President of Sprint United Telephone-Eastern. Mr. McDonald served as Senior Vice President, Customer Service Operations, Sprint Corporation, a telecommunications company, until his retirement in 2000.</w:t>
      </w:r>
    </w:p>
    <w:p>
      <w:pPr>
        <w:spacing w:after="0" w:line="35"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6" w:lineRule="auto"/>
        <w:rPr>
          <w:sz w:val="20"/>
          <w:szCs w:val="20"/>
          <w:color w:val="auto"/>
        </w:rPr>
      </w:pPr>
      <w:r>
        <w:rPr>
          <w:rFonts w:ascii="Arial" w:cs="Arial" w:eastAsia="Arial" w:hAnsi="Arial"/>
          <w:sz w:val="18"/>
          <w:szCs w:val="18"/>
          <w:color w:val="auto"/>
        </w:rPr>
        <w:t>Mr. McDonald brings to the Board leadership, corporate governance, executive compensation, customer service, marketing, sales, and human resources experience from his service as chief executive officer of large business regions with significant operations. His 17-year tenure on the Board gives him a valuable perspective into our business, its strategy and industry leadership.</w:t>
      </w:r>
    </w:p>
    <w:p>
      <w:pPr>
        <w:spacing w:after="0" w:line="20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Frank H. Menaker, Jr. </w:t>
      </w:r>
      <w:r>
        <w:rPr>
          <w:rFonts w:ascii="Arial" w:cs="Arial" w:eastAsia="Arial" w:hAnsi="Arial"/>
          <w:sz w:val="18"/>
          <w:szCs w:val="18"/>
          <w:color w:val="auto"/>
        </w:rPr>
        <w:t>(72)</w:t>
      </w:r>
    </w:p>
    <w:p>
      <w:pPr>
        <w:spacing w:after="0" w:line="21" w:lineRule="exact"/>
        <w:rPr>
          <w:sz w:val="20"/>
          <w:szCs w:val="20"/>
          <w:color w:val="auto"/>
        </w:rPr>
      </w:pPr>
    </w:p>
    <w:p>
      <w:pPr>
        <w:jc w:val="both"/>
        <w:ind w:left="2100"/>
        <w:spacing w:after="0" w:line="323" w:lineRule="auto"/>
        <w:rPr>
          <w:sz w:val="20"/>
          <w:szCs w:val="20"/>
          <w:color w:val="auto"/>
        </w:rPr>
      </w:pPr>
      <w:r>
        <w:rPr>
          <w:rFonts w:ascii="Arial" w:cs="Arial" w:eastAsia="Arial" w:hAnsi="Arial"/>
          <w:sz w:val="16"/>
          <w:szCs w:val="16"/>
          <w:i w:val="1"/>
          <w:iCs w:val="1"/>
          <w:color w:val="auto"/>
        </w:rPr>
        <w:t>Director (since 1993), Member of the Audit Committee, the Ethics, Environment, Safety and Health Committee, the Executive Committee and the Management Development and Compensation Committee.</w:t>
      </w:r>
    </w:p>
    <w:p>
      <w:pPr>
        <w:spacing w:after="0" w:line="12" w:lineRule="exact"/>
        <w:rPr>
          <w:sz w:val="20"/>
          <w:szCs w:val="20"/>
          <w:color w:val="auto"/>
        </w:rPr>
      </w:pPr>
    </w:p>
    <w:p>
      <w:pPr>
        <w:jc w:val="both"/>
        <w:ind w:left="2100"/>
        <w:spacing w:after="0" w:line="286" w:lineRule="auto"/>
        <w:rPr>
          <w:sz w:val="20"/>
          <w:szCs w:val="20"/>
          <w:color w:val="auto"/>
        </w:rPr>
      </w:pPr>
      <w:r>
        <w:rPr>
          <w:rFonts w:ascii="Arial" w:cs="Arial" w:eastAsia="Arial" w:hAnsi="Arial"/>
          <w:sz w:val="16"/>
          <w:szCs w:val="16"/>
          <w:color w:val="auto"/>
        </w:rPr>
        <w:t>Mr. Menaker previously served as Senior Vice President and General Counsel of Lockheed Martin Corporation, a defense, aeronautics, and aerospace company, from 1996 until 2005, and previously was General Counsel of Martin Marietta Corporation since 1981.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From 2006 to 2012, Mr. Menaker was a member, and subsequently counsel in the DLA Piper international law firm, based in Washington, D.C., and a member of the McCammon Group, a mediation, arbitration, facilitation, training and consulting group providing conflict resolution services throughout the mid-Atlantic region. Mr. Menaker’s professional activities include previously serving as past chair and fellow of the ABA Public Contract Law Section, and as a board member of the Atlantic Legal Foundation. During the past five years, Mr. Menaker served as a Director and as Member of the Audit Committee of North American Galvanizing and Coatings, Inc., which merged with AZZ Incorporated in 2010.</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060"/>
          </w:cols>
          <w:pgMar w:left="1440" w:top="469" w:right="399" w:bottom="1440" w:gutter="0" w:footer="0" w:header="0"/>
        </w:sectPr>
      </w:pPr>
    </w:p>
    <w:bookmarkStart w:id="15" w:name="page16"/>
    <w:bookmarkEnd w:id="15"/>
    <w:p>
      <w:pPr>
        <w:ind w:left="21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0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109720"/>
                    </a:xfrm>
                    <a:prstGeom prst="rect">
                      <a:avLst/>
                    </a:prstGeom>
                    <a:noFill/>
                  </pic:spPr>
                </pic:pic>
              </a:graphicData>
            </a:graphic>
          </wp:anchor>
        </w:drawing>
        <w:t>Key attributes, experience and skills:</w:t>
      </w:r>
    </w:p>
    <w:p>
      <w:pPr>
        <w:spacing w:after="0" w:line="90" w:lineRule="exact"/>
        <w:rPr>
          <w:sz w:val="20"/>
          <w:szCs w:val="20"/>
          <w:color w:val="auto"/>
        </w:rPr>
      </w:pPr>
    </w:p>
    <w:p>
      <w:pPr>
        <w:jc w:val="both"/>
        <w:ind w:left="2100"/>
        <w:spacing w:after="0" w:line="291" w:lineRule="auto"/>
        <w:rPr>
          <w:sz w:val="20"/>
          <w:szCs w:val="20"/>
          <w:color w:val="auto"/>
        </w:rPr>
      </w:pPr>
      <w:r>
        <w:rPr>
          <w:rFonts w:ascii="Arial" w:cs="Arial" w:eastAsia="Arial" w:hAnsi="Arial"/>
          <w:sz w:val="16"/>
          <w:szCs w:val="16"/>
          <w:color w:val="auto"/>
        </w:rPr>
        <w:t>Mr. Menaker brings to the Board his experience as general counsel of an S&amp;P 100 corporation, with responsibility for legal, compliance, corporate governance, among other matters, as well as his experience in management, leadership, executive compensation, financial affairs, governmental and regulatory issues, safety, health and environmental matters, and mergers and acquisitions. As one of the original members of Martin Marietta’s Board, Mr. Menaker also brings an important perspective on Martin Marietta’s business, strategy, and culture. In addition, Mr. Menaker is a recognized leader in corporate ethics programs.</w:t>
      </w:r>
    </w:p>
    <w:p>
      <w:pPr>
        <w:spacing w:after="0" w:line="18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Richard A. Vinroot </w:t>
      </w:r>
      <w:r>
        <w:rPr>
          <w:rFonts w:ascii="Arial" w:cs="Arial" w:eastAsia="Arial" w:hAnsi="Arial"/>
          <w:sz w:val="18"/>
          <w:szCs w:val="18"/>
          <w:color w:val="auto"/>
        </w:rPr>
        <w:t>(72)</w:t>
      </w:r>
    </w:p>
    <w:p>
      <w:pPr>
        <w:spacing w:after="0" w:line="21" w:lineRule="exact"/>
        <w:rPr>
          <w:sz w:val="20"/>
          <w:szCs w:val="20"/>
          <w:color w:val="auto"/>
        </w:rPr>
      </w:pPr>
    </w:p>
    <w:p>
      <w:pPr>
        <w:jc w:val="both"/>
        <w:ind w:left="2100"/>
        <w:spacing w:after="0" w:line="261" w:lineRule="auto"/>
        <w:rPr>
          <w:sz w:val="20"/>
          <w:szCs w:val="20"/>
          <w:color w:val="auto"/>
        </w:rPr>
      </w:pPr>
      <w:r>
        <w:rPr>
          <w:rFonts w:ascii="Arial" w:cs="Arial" w:eastAsia="Arial" w:hAnsi="Arial"/>
          <w:sz w:val="18"/>
          <w:szCs w:val="18"/>
          <w:i w:val="1"/>
          <w:iCs w:val="1"/>
          <w:color w:val="auto"/>
        </w:rPr>
        <w:t>Director (since 1996), Chair of the Ethics, Environment, Safety and Health Committee and member of the Nominating and Corporate Governance Committee.</w:t>
      </w:r>
    </w:p>
    <w:p>
      <w:pPr>
        <w:spacing w:after="0" w:line="57" w:lineRule="exact"/>
        <w:rPr>
          <w:sz w:val="20"/>
          <w:szCs w:val="20"/>
          <w:color w:val="auto"/>
        </w:rPr>
      </w:pPr>
    </w:p>
    <w:p>
      <w:pPr>
        <w:jc w:val="both"/>
        <w:ind w:left="2100"/>
        <w:spacing w:after="0" w:line="289" w:lineRule="auto"/>
        <w:rPr>
          <w:sz w:val="20"/>
          <w:szCs w:val="20"/>
          <w:color w:val="auto"/>
        </w:rPr>
      </w:pPr>
      <w:r>
        <w:rPr>
          <w:rFonts w:ascii="Arial" w:cs="Arial" w:eastAsia="Arial" w:hAnsi="Arial"/>
          <w:sz w:val="16"/>
          <w:szCs w:val="16"/>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 Mr. Vinroot has also been active in civic and community activities, including serving on the Board of Trustees of Sugar Creek Charter School and the Board of Trustees of the Charlotte-Mecklenburg County YMCA. From 1991 to 1995, Mr. Vinroot served as Mayor of Charlotte, North Carolina and from 1983 to 1991, he served on the Charlotte City Council.</w:t>
      </w:r>
    </w:p>
    <w:p>
      <w:pPr>
        <w:spacing w:after="0" w:line="37"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4" w:lineRule="auto"/>
        <w:rPr>
          <w:sz w:val="20"/>
          <w:szCs w:val="20"/>
          <w:color w:val="auto"/>
        </w:rPr>
      </w:pPr>
      <w:r>
        <w:rPr>
          <w:rFonts w:ascii="Arial" w:cs="Arial" w:eastAsia="Arial" w:hAnsi="Arial"/>
          <w:sz w:val="18"/>
          <w:szCs w:val="18"/>
          <w:color w:val="auto"/>
        </w:rPr>
        <w:t>Mr. Vinroot brings tremendous experience to the Board from both private practice of law and his elected position as Mayor of Charlotte, North Carolina related to leadership, corporate governance, legal, mergers and acquisitions, governmental and regulatory issues, safety, health and environmental matters. His familiarity with North Carolina, which is one of Martin Marietta’s most important states, has been very valuable to the Board, as well as his involvement with non-profit organizations to give the Board perspective on diversity and corporate citizenship.</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060"/>
          </w:cols>
          <w:pgMar w:left="1440" w:top="469"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6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964305"/>
                    </a:xfrm>
                    <a:prstGeom prst="rect">
                      <a:avLst/>
                    </a:prstGeom>
                    <a:noFill/>
                  </pic:spPr>
                </pic:pic>
              </a:graphicData>
            </a:graphic>
          </wp:anchor>
        </w:drawing>
        <w:t>Directors Whose Terms Continue Until 2014:</w:t>
      </w:r>
    </w:p>
    <w:p>
      <w:pPr>
        <w:spacing w:after="0" w:line="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Sue W. Cole </w:t>
      </w:r>
      <w:r>
        <w:rPr>
          <w:rFonts w:ascii="Arial" w:cs="Arial" w:eastAsia="Arial" w:hAnsi="Arial"/>
          <w:sz w:val="18"/>
          <w:szCs w:val="18"/>
          <w:color w:val="auto"/>
        </w:rPr>
        <w:t>(62)</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2002), Chair of the Management Development and Compensation Committee and member of the</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84" w:lineRule="exact"/>
        <w:rPr>
          <w:sz w:val="20"/>
          <w:szCs w:val="20"/>
          <w:color w:val="auto"/>
        </w:rPr>
      </w:pPr>
    </w:p>
    <w:p>
      <w:pPr>
        <w:jc w:val="both"/>
        <w:ind w:left="3100"/>
        <w:spacing w:after="0" w:line="285"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and organizations and individuals relating to strategy, governance and leadership development. Ms. Cole was previously a principal of Granville Capital Inc., a registered investment advisor, from 2006 to 2011. Ms. Cole has more than 37 years’ experience in financial services and investment management. Before joining Granville Capital, she served as Regional Chief Executive Officer of the Mid-Atlantic Region of U.S.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 served as a Director of UNIFI, Inc., and has been active in the community and charitable organizations including serving on the Investment Committees of UNC-Greensboro, the Cone Health Foundation, and the Weaver Foundation; Chair of the Management Development and Compensation Committee and member of the Executive Committee of the North Carolina Biotechnology Center; member of the Board of Directors of the North Carolina Economic Development Board; and trustee and Vice Chairman of the Board of Governors of the Center for Creative Leadership. Ms. Cole is also Chair of the Board of Directors of Biscuitville, Inc.</w:t>
      </w:r>
    </w:p>
    <w:p>
      <w:pPr>
        <w:spacing w:after="0" w:line="47"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54" w:lineRule="auto"/>
        <w:rPr>
          <w:sz w:val="20"/>
          <w:szCs w:val="20"/>
          <w:color w:val="auto"/>
        </w:rPr>
      </w:pPr>
      <w:r>
        <w:rPr>
          <w:rFonts w:ascii="Arial" w:cs="Arial" w:eastAsia="Arial" w:hAnsi="Arial"/>
          <w:sz w:val="18"/>
          <w:szCs w:val="18"/>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60"/>
          </w:cols>
          <w:pgMar w:left="440" w:top="469" w:right="399" w:bottom="1440" w:gutter="0" w:footer="0" w:header="0"/>
        </w:sectPr>
      </w:pPr>
    </w:p>
    <w:bookmarkStart w:id="17" w:name="page18"/>
    <w:bookmarkEnd w:id="17"/>
    <w:p>
      <w:pPr>
        <w:ind w:left="2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98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598670"/>
                    </a:xfrm>
                    <a:prstGeom prst="rect">
                      <a:avLst/>
                    </a:prstGeom>
                    <a:noFill/>
                  </pic:spPr>
                </pic:pic>
              </a:graphicData>
            </a:graphic>
          </wp:anchor>
        </w:drawing>
        <w:t xml:space="preserve">Michael J. Quillen </w:t>
      </w:r>
      <w:r>
        <w:rPr>
          <w:rFonts w:ascii="Arial" w:cs="Arial" w:eastAsia="Arial" w:hAnsi="Arial"/>
          <w:sz w:val="18"/>
          <w:szCs w:val="18"/>
          <w:color w:val="auto"/>
        </w:rPr>
        <w:t>(64)</w:t>
      </w:r>
    </w:p>
    <w:p>
      <w:pPr>
        <w:spacing w:after="0" w:line="21" w:lineRule="exact"/>
        <w:rPr>
          <w:sz w:val="20"/>
          <w:szCs w:val="20"/>
          <w:color w:val="auto"/>
        </w:rPr>
      </w:pPr>
    </w:p>
    <w:p>
      <w:pPr>
        <w:jc w:val="both"/>
        <w:ind w:left="2100"/>
        <w:spacing w:after="0" w:line="261" w:lineRule="auto"/>
        <w:rPr>
          <w:sz w:val="20"/>
          <w:szCs w:val="20"/>
          <w:color w:val="auto"/>
        </w:rPr>
      </w:pPr>
      <w:r>
        <w:rPr>
          <w:rFonts w:ascii="Arial" w:cs="Arial" w:eastAsia="Arial" w:hAnsi="Arial"/>
          <w:sz w:val="18"/>
          <w:szCs w:val="18"/>
          <w:i w:val="1"/>
          <w:iCs w:val="1"/>
          <w:color w:val="auto"/>
        </w:rPr>
        <w:t>Director (since 2008), Member of the Ethics, Environment, Safety and Health Committee, Finance Committee and the Management Development and Compensation Committee.</w:t>
      </w:r>
    </w:p>
    <w:p>
      <w:pPr>
        <w:spacing w:after="0" w:line="57" w:lineRule="exact"/>
        <w:rPr>
          <w:sz w:val="20"/>
          <w:szCs w:val="20"/>
          <w:color w:val="auto"/>
        </w:rPr>
      </w:pPr>
    </w:p>
    <w:p>
      <w:pPr>
        <w:jc w:val="both"/>
        <w:ind w:left="2100"/>
        <w:spacing w:after="0" w:line="284" w:lineRule="auto"/>
        <w:rPr>
          <w:sz w:val="20"/>
          <w:szCs w:val="20"/>
          <w:color w:val="auto"/>
        </w:rPr>
      </w:pPr>
      <w:r>
        <w:rPr>
          <w:rFonts w:ascii="Arial" w:cs="Arial" w:eastAsia="Arial" w:hAnsi="Arial"/>
          <w:sz w:val="16"/>
          <w:szCs w:val="16"/>
          <w:color w:val="auto"/>
        </w:rPr>
        <w:t>Mr. Quillen served as Chief Executive Officer and a member of the Board of Directors of Alpha Natural Resources, Inc., a leading Appalachian coal supplier, since its formation in 2004 until its merger with Foundation Coal Holdings, Inc. in July 2009. He continued to serve as Executive Chairman through December 2009 and served as non-Executive Chairman of the combined entity, also named Alpha Natural Resources, Inc., until May 2012 He was named Chairman of the Board of Alpha in 2006. Mr. Quillen served as President of Alpha until 2006. In 2002, Mr. Quillen joined the Alpha management team as President and the sole manager of Alpha’s operating subsidiary, Alpha Natural Resources, LLC, where he had served as Chief Executive Officer since 2003. From 2002 to 2005 he also served in senior executive capacities with other former affiliates of Alpha. From September 1998 to December 2002, Mr. Quillen was Executive Vice President – 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 Mr. Quillen has served as Chairman of the Board of Visitors of Virginia Polytechnic Institute and State University since July 2012 and as Chairman of the Audit and Finance Committee of Virginia Polytechnic Institute and State University from July 2010 to June 2012. He also served on the Virginia Port Authority from 2003 to 2012 and as Chairman from July 2011 to December 2012.</w:t>
      </w:r>
    </w:p>
    <w:p>
      <w:pPr>
        <w:spacing w:after="0" w:line="50"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3" w:lineRule="auto"/>
        <w:rPr>
          <w:sz w:val="20"/>
          <w:szCs w:val="20"/>
          <w:color w:val="auto"/>
        </w:rPr>
      </w:pPr>
      <w:r>
        <w:rPr>
          <w:rFonts w:ascii="Arial" w:cs="Arial" w:eastAsia="Arial" w:hAnsi="Arial"/>
          <w:sz w:val="18"/>
          <w:szCs w:val="18"/>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2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060"/>
          </w:cols>
          <w:pgMar w:left="1440" w:top="463" w:right="399" w:bottom="1440" w:gutter="0" w:footer="0" w:header="0"/>
        </w:sectPr>
      </w:pPr>
    </w:p>
    <w:bookmarkStart w:id="18" w:name="page19"/>
    <w:bookmarkEnd w:id="18"/>
    <w:p>
      <w:pPr>
        <w:ind w:left="3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12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512945"/>
                    </a:xfrm>
                    <a:prstGeom prst="rect">
                      <a:avLst/>
                    </a:prstGeom>
                    <a:noFill/>
                  </pic:spPr>
                </pic:pic>
              </a:graphicData>
            </a:graphic>
          </wp:anchor>
        </w:drawing>
        <w:t>Stephen P. Zelnak, Jr. (68)</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1993), Chairman of the Board of Directors and Chairman of the Executive Committee.</w:t>
      </w:r>
    </w:p>
    <w:p>
      <w:pPr>
        <w:spacing w:after="0" w:line="107" w:lineRule="exact"/>
        <w:rPr>
          <w:sz w:val="20"/>
          <w:szCs w:val="20"/>
          <w:color w:val="auto"/>
        </w:rPr>
      </w:pPr>
    </w:p>
    <w:p>
      <w:pPr>
        <w:jc w:val="both"/>
        <w:ind w:left="3100"/>
        <w:spacing w:after="0" w:line="286" w:lineRule="auto"/>
        <w:rPr>
          <w:sz w:val="20"/>
          <w:szCs w:val="20"/>
          <w:color w:val="auto"/>
        </w:rPr>
      </w:pPr>
      <w:r>
        <w:rPr>
          <w:rFonts w:ascii="Arial" w:cs="Arial" w:eastAsia="Arial" w:hAnsi="Arial"/>
          <w:sz w:val="16"/>
          <w:szCs w:val="16"/>
          <w:color w:val="auto"/>
        </w:rPr>
        <w:t>Mr. Zelnak has served as non-Executive Chairman of Martin Marietta since May 27, 2010. He served as Executive Chairman from January 1, 2010 to May 27, 2010. He previously served as Chief Executive Officer of the Corporation since 1993 and as President of the Corporation from 1993 to 2006. Mr. Zelnak joined Martin Marietta Corporation in 1981 and he had been responsible for the Aggregates operations since 1982. Mr. Zelnak is also a Director of Beazer Homes USA, Inc. Mr. Zelnak is also Chairman and majority owner of ZP Enterprises, LLC a private investment firm which he is the majority owner, which owns and manages several precision machining and specialty coatings companies in the Southeast. Mr. Zelnak has served as Chairman of the North Carolina Chamber, North Carolina Community College Foundation, National Stone, Sand and Gravel Association, Peace College Board of Trustees, North Carolina Foundation for Research and Economic Education, North Carolina Aggregates Association and the North Carolina State University Physical and Mathematical Sciences Foundation. He currently serves on the Advisory Boards of North Carolina State University and Georgia Institute of Technology.</w:t>
      </w:r>
    </w:p>
    <w:p>
      <w:pPr>
        <w:spacing w:after="0" w:line="43"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54" w:lineRule="auto"/>
        <w:rPr>
          <w:sz w:val="20"/>
          <w:szCs w:val="20"/>
          <w:color w:val="auto"/>
        </w:rPr>
      </w:pPr>
      <w:r>
        <w:rPr>
          <w:rFonts w:ascii="Arial" w:cs="Arial" w:eastAsia="Arial" w:hAnsi="Arial"/>
          <w:sz w:val="18"/>
          <w:szCs w:val="18"/>
          <w:color w:val="auto"/>
        </w:rPr>
        <w:t>As the longstanding Chairman of the Board of Martin Marietta and previous Chief Executive Officer, Mr. Zelnak brings extensive leadership, business and operating experience to the Board, as well as knowledge of all aspects of Martin Marietta and the construction aggregates industry. He also brings his broad strategic and financial experience to the Board, knowledge of the home building industry and factors that impact construction from his service on the board of a large homebuilder, and corporate governance from serving on the boards and various committees of other companies.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60"/>
          </w:cols>
          <w:pgMar w:left="440" w:top="571"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12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12590"/>
                    </a:xfrm>
                    <a:prstGeom prst="rect">
                      <a:avLst/>
                    </a:prstGeom>
                    <a:noFill/>
                  </pic:spPr>
                </pic:pic>
              </a:graphicData>
            </a:graphic>
          </wp:anchor>
        </w:drawing>
        <w:t>Cash Compensation Paid to Board Members</w:t>
      </w:r>
    </w:p>
    <w:p>
      <w:pPr>
        <w:spacing w:after="0" w:line="90"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For the fiscal year ended December 31, 2012, all of the individuals who were then Directors, except Mr. Nye, who was the Chief Executive Officer of Martin Marietta in 2012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The Chair of the Audit Committee received an additional annual fee of $15,000 in light of his increased responsibilities. Each committee chair (other than the Chairs of the Audit and the Executive Committees) received an annual fee of $8,000. Directors were also reimbursed for travel and other expenses related to attendance at Board and committee meetings. Martin Marietta’s plane was used to transport some Directors to and from Board and committee meetings, but no Directors received personal use of Martin Marietta’s plane or other perquisites and personal benefits in 2012. In his role as non-executive Chairman, Mr. Zelnak received $125,000 in addition to the annual retainer in lieu of receiving Committee meeting attendance fees.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Paid to Board Members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All of the individuals who were Directors in 2012, except Mr. Nye, were granted 1,592 restricted stock units pursuant to the Amended and Restated Stock-Based Award Plan. The restricted stock units granted to the Directors in 2012 were fully vested upon award and will be distributed upon retirement from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 for Board Members</w:t>
      </w:r>
    </w:p>
    <w:p>
      <w:pPr>
        <w:spacing w:after="0" w:line="90"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Pursuant to the Common Stock Purchase Plan for Directors, non-employee Directors may elect to receive all or a portion of their fees in the form of Martin Marietta’s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units.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60"/>
          </w:cols>
          <w:pgMar w:left="440" w:top="469" w:right="399" w:bottom="1440" w:gutter="0" w:footer="0" w:header="0"/>
        </w:sectPr>
      </w:pPr>
    </w:p>
    <w:bookmarkStart w:id="20" w:name="page21"/>
    <w:bookmarkEnd w:id="20"/>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0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950460"/>
                    </a:xfrm>
                    <a:prstGeom prst="rect">
                      <a:avLst/>
                    </a:prstGeom>
                    <a:noFill/>
                  </pic:spPr>
                </pic:pic>
              </a:graphicData>
            </a:graphic>
          </wp:anchor>
        </w:drawing>
        <w:t>Director Compensation Table</w:t>
      </w:r>
    </w:p>
    <w:p>
      <w:pPr>
        <w:spacing w:after="0" w:line="90" w:lineRule="exact"/>
        <w:rPr>
          <w:sz w:val="20"/>
          <w:szCs w:val="20"/>
          <w:color w:val="auto"/>
        </w:rPr>
      </w:pPr>
    </w:p>
    <w:p>
      <w:pPr>
        <w:ind w:left="3" w:right="20" w:firstLine="775"/>
        <w:spacing w:after="0" w:line="268" w:lineRule="auto"/>
        <w:rPr>
          <w:sz w:val="20"/>
          <w:szCs w:val="20"/>
          <w:color w:val="auto"/>
        </w:rPr>
      </w:pPr>
      <w:r>
        <w:rPr>
          <w:rFonts w:ascii="Arial" w:cs="Arial" w:eastAsia="Arial" w:hAnsi="Arial"/>
          <w:sz w:val="18"/>
          <w:szCs w:val="18"/>
          <w:color w:val="auto"/>
        </w:rPr>
        <w:t>The table below summarizes the compensation paid by Martin Marietta to each person who served as a non-employee Director during the fiscal year ended December 31, 2012.</w:t>
      </w:r>
    </w:p>
    <w:p>
      <w:pPr>
        <w:spacing w:after="0" w:line="161"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080" w:type="dxa"/>
            <w:vAlign w:val="bottom"/>
            <w:tcBorders>
              <w:top w:val="single" w:sz="8" w:color="auto"/>
              <w:left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tcBorders>
            <w:shd w:val="clear" w:color="auto" w:fill="E0E0E0"/>
          </w:tcPr>
          <w:p>
            <w:pPr>
              <w:spacing w:after="0"/>
              <w:rPr>
                <w:sz w:val="12"/>
                <w:szCs w:val="12"/>
                <w:color w:val="auto"/>
              </w:rPr>
            </w:pPr>
          </w:p>
        </w:tc>
        <w:tc>
          <w:tcPr>
            <w:tcW w:w="96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720" w:type="dxa"/>
            <w:vAlign w:val="bottom"/>
            <w:tcBorders>
              <w:top w:val="single" w:sz="8" w:color="auto"/>
            </w:tcBorders>
            <w:shd w:val="clear" w:color="auto" w:fill="E0E0E0"/>
          </w:tcPr>
          <w:p>
            <w:pPr>
              <w:spacing w:after="0"/>
              <w:rPr>
                <w:sz w:val="12"/>
                <w:szCs w:val="12"/>
                <w:color w:val="auto"/>
              </w:rPr>
            </w:pPr>
          </w:p>
        </w:tc>
        <w:tc>
          <w:tcPr>
            <w:tcW w:w="44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42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520" w:type="dxa"/>
            <w:vAlign w:val="bottom"/>
            <w:tcBorders>
              <w:top w:val="single" w:sz="8" w:color="auto"/>
            </w:tcBorders>
            <w:gridSpan w:val="2"/>
            <w:shd w:val="clear" w:color="auto" w:fill="E0E0E0"/>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Change in Pension</w:t>
            </w:r>
          </w:p>
        </w:tc>
        <w:tc>
          <w:tcPr>
            <w:tcW w:w="104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520" w:type="dxa"/>
            <w:vAlign w:val="bottom"/>
            <w:gridSpan w:val="2"/>
            <w:shd w:val="clear" w:color="auto" w:fill="E0E0E0"/>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520" w:type="dxa"/>
            <w:vAlign w:val="bottom"/>
            <w:gridSpan w:val="2"/>
            <w:shd w:val="clear" w:color="auto" w:fill="E0E0E0"/>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tcBorders>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160" w:type="dxa"/>
            <w:vAlign w:val="bottom"/>
            <w:gridSpan w:val="2"/>
            <w:shd w:val="clear" w:color="auto" w:fill="E0E0E0"/>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66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34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Non-Equity</w:t>
            </w:r>
          </w:p>
        </w:tc>
        <w:tc>
          <w:tcPr>
            <w:tcW w:w="1520" w:type="dxa"/>
            <w:vAlign w:val="bottom"/>
            <w:gridSpan w:val="2"/>
            <w:shd w:val="clear" w:color="auto" w:fill="E0E0E0"/>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Deferred</w:t>
            </w:r>
          </w:p>
        </w:tc>
        <w:tc>
          <w:tcPr>
            <w:tcW w:w="10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tcBorders>
              <w:left w:val="single" w:sz="8" w:color="auto"/>
            </w:tcBorders>
            <w:gridSpan w:val="4"/>
            <w:vMerge w:val="restart"/>
            <w:shd w:val="clear" w:color="auto" w:fill="E0E0E0"/>
          </w:tcPr>
          <w:p>
            <w:pPr>
              <w:jc w:val="center"/>
              <w:ind w:left="34"/>
              <w:spacing w:after="0"/>
              <w:rPr>
                <w:sz w:val="20"/>
                <w:szCs w:val="20"/>
                <w:color w:val="auto"/>
              </w:rPr>
            </w:pPr>
            <w:r>
              <w:rPr>
                <w:rFonts w:ascii="Arial" w:cs="Arial" w:eastAsia="Arial" w:hAnsi="Arial"/>
                <w:sz w:val="14"/>
                <w:szCs w:val="14"/>
                <w:b w:val="1"/>
                <w:bCs w:val="1"/>
                <w:color w:val="auto"/>
                <w:w w:val="82"/>
              </w:rPr>
              <w:t>Name</w:t>
            </w:r>
            <w:r>
              <w:rPr>
                <w:rFonts w:ascii="Arial" w:cs="Arial" w:eastAsia="Arial" w:hAnsi="Arial"/>
                <w:sz w:val="22"/>
                <w:szCs w:val="22"/>
                <w:b w:val="1"/>
                <w:bCs w:val="1"/>
                <w:color w:val="auto"/>
                <w:w w:val="82"/>
                <w:vertAlign w:val="superscript"/>
              </w:rPr>
              <w:t>1</w:t>
            </w:r>
          </w:p>
        </w:tc>
        <w:tc>
          <w:tcPr>
            <w:tcW w:w="340" w:type="dxa"/>
            <w:vAlign w:val="bottom"/>
            <w:shd w:val="clear" w:color="auto" w:fill="E0E0E0"/>
          </w:tcPr>
          <w:p>
            <w:pPr>
              <w:spacing w:after="0"/>
              <w:rPr>
                <w:sz w:val="11"/>
                <w:szCs w:val="11"/>
                <w:color w:val="auto"/>
              </w:rPr>
            </w:pPr>
          </w:p>
        </w:tc>
        <w:tc>
          <w:tcPr>
            <w:tcW w:w="1160" w:type="dxa"/>
            <w:vAlign w:val="bottom"/>
            <w:gridSpan w:val="2"/>
            <w:shd w:val="clear" w:color="auto" w:fill="E0E0E0"/>
          </w:tcPr>
          <w:p>
            <w:pPr>
              <w:jc w:val="center"/>
              <w:ind w:right="440"/>
              <w:spacing w:after="0" w:line="135" w:lineRule="exact"/>
              <w:rPr>
                <w:sz w:val="20"/>
                <w:szCs w:val="20"/>
                <w:color w:val="auto"/>
              </w:rPr>
            </w:pPr>
            <w:r>
              <w:rPr>
                <w:rFonts w:ascii="Arial" w:cs="Arial" w:eastAsia="Arial" w:hAnsi="Arial"/>
                <w:sz w:val="14"/>
                <w:szCs w:val="14"/>
                <w:b w:val="1"/>
                <w:bCs w:val="1"/>
                <w:color w:val="auto"/>
                <w:w w:val="87"/>
              </w:rPr>
              <w:t>or Paid in</w:t>
            </w:r>
          </w:p>
        </w:tc>
        <w:tc>
          <w:tcPr>
            <w:tcW w:w="1080" w:type="dxa"/>
            <w:vAlign w:val="bottom"/>
            <w:gridSpan w:val="2"/>
            <w:shd w:val="clear" w:color="auto" w:fill="E0E0E0"/>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shd w:val="clear" w:color="auto" w:fill="E0E0E0"/>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Option</w:t>
            </w:r>
          </w:p>
        </w:tc>
        <w:tc>
          <w:tcPr>
            <w:tcW w:w="1340" w:type="dxa"/>
            <w:vAlign w:val="bottom"/>
            <w:gridSpan w:val="2"/>
            <w:shd w:val="clear" w:color="auto" w:fill="E0E0E0"/>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520" w:type="dxa"/>
            <w:vAlign w:val="bottom"/>
            <w:gridSpan w:val="2"/>
            <w:shd w:val="clear" w:color="auto" w:fill="E0E0E0"/>
          </w:tcPr>
          <w:p>
            <w:pPr>
              <w:jc w:val="center"/>
              <w:ind w:right="4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20" w:type="dxa"/>
            <w:vAlign w:val="bottom"/>
            <w:gridSpan w:val="2"/>
            <w:shd w:val="clear" w:color="auto" w:fill="E0E0E0"/>
          </w:tcPr>
          <w:p>
            <w:pPr>
              <w:jc w:val="right"/>
              <w:ind w:right="420"/>
              <w:spacing w:after="0" w:line="135" w:lineRule="exact"/>
              <w:rPr>
                <w:sz w:val="20"/>
                <w:szCs w:val="20"/>
                <w:color w:val="auto"/>
              </w:rPr>
            </w:pPr>
            <w:r>
              <w:rPr>
                <w:rFonts w:ascii="Arial" w:cs="Arial" w:eastAsia="Arial" w:hAnsi="Arial"/>
                <w:sz w:val="14"/>
                <w:szCs w:val="14"/>
                <w:b w:val="1"/>
                <w:bCs w:val="1"/>
                <w:color w:val="auto"/>
              </w:rPr>
              <w:t>All Other</w:t>
            </w:r>
          </w:p>
        </w:tc>
        <w:tc>
          <w:tcPr>
            <w:tcW w:w="640" w:type="dxa"/>
            <w:vAlign w:val="bottom"/>
            <w:shd w:val="clear" w:color="auto" w:fill="E0E0E0"/>
          </w:tcPr>
          <w:p>
            <w:pPr>
              <w:spacing w:after="0"/>
              <w:rPr>
                <w:sz w:val="11"/>
                <w:szCs w:val="11"/>
                <w:color w:val="auto"/>
              </w:rPr>
            </w:pPr>
          </w:p>
        </w:tc>
        <w:tc>
          <w:tcPr>
            <w:tcW w:w="36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tcBorders>
            <w:gridSpan w:val="4"/>
            <w:vMerge w:val="continue"/>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160" w:type="dxa"/>
            <w:vAlign w:val="bottom"/>
            <w:gridSpan w:val="2"/>
            <w:shd w:val="clear" w:color="auto" w:fill="E0E0E0"/>
          </w:tcPr>
          <w:p>
            <w:pPr>
              <w:jc w:val="center"/>
              <w:ind w:right="440"/>
              <w:spacing w:after="0" w:line="149" w:lineRule="exact"/>
              <w:rPr>
                <w:sz w:val="20"/>
                <w:szCs w:val="20"/>
                <w:color w:val="auto"/>
              </w:rPr>
            </w:pPr>
            <w:r>
              <w:rPr>
                <w:rFonts w:ascii="Arial" w:cs="Arial" w:eastAsia="Arial" w:hAnsi="Arial"/>
                <w:sz w:val="11"/>
                <w:szCs w:val="11"/>
                <w:b w:val="1"/>
                <w:bCs w:val="1"/>
                <w:color w:val="auto"/>
              </w:rPr>
              <w:t>Cash($)</w:t>
            </w:r>
            <w:r>
              <w:rPr>
                <w:rFonts w:ascii="Arial" w:cs="Arial" w:eastAsia="Arial" w:hAnsi="Arial"/>
                <w:sz w:val="17"/>
                <w:szCs w:val="17"/>
                <w:b w:val="1"/>
                <w:bCs w:val="1"/>
                <w:color w:val="auto"/>
                <w:vertAlign w:val="superscript"/>
              </w:rPr>
              <w:t>2</w:t>
            </w:r>
          </w:p>
        </w:tc>
        <w:tc>
          <w:tcPr>
            <w:tcW w:w="1080" w:type="dxa"/>
            <w:vAlign w:val="bottom"/>
            <w:gridSpan w:val="2"/>
            <w:shd w:val="clear" w:color="auto" w:fill="E0E0E0"/>
          </w:tcPr>
          <w:p>
            <w:pPr>
              <w:jc w:val="right"/>
              <w:ind w:right="42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00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34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Compensation($)</w:t>
            </w:r>
          </w:p>
        </w:tc>
        <w:tc>
          <w:tcPr>
            <w:tcW w:w="1520" w:type="dxa"/>
            <w:vAlign w:val="bottom"/>
            <w:gridSpan w:val="2"/>
            <w:shd w:val="clear" w:color="auto" w:fill="E0E0E0"/>
          </w:tcPr>
          <w:p>
            <w:pPr>
              <w:jc w:val="center"/>
              <w:ind w:right="420"/>
              <w:spacing w:after="0" w:line="149" w:lineRule="exact"/>
              <w:rPr>
                <w:sz w:val="20"/>
                <w:szCs w:val="20"/>
                <w:color w:val="auto"/>
              </w:rPr>
            </w:pPr>
            <w:r>
              <w:rPr>
                <w:rFonts w:ascii="Arial" w:cs="Arial" w:eastAsia="Arial" w:hAnsi="Arial"/>
                <w:sz w:val="11"/>
                <w:szCs w:val="11"/>
                <w:b w:val="1"/>
                <w:bCs w:val="1"/>
                <w:color w:val="auto"/>
              </w:rPr>
              <w:t>Earnings($)</w:t>
            </w:r>
            <w:r>
              <w:rPr>
                <w:rFonts w:ascii="Arial" w:cs="Arial" w:eastAsia="Arial" w:hAnsi="Arial"/>
                <w:sz w:val="17"/>
                <w:szCs w:val="17"/>
                <w:b w:val="1"/>
                <w:bCs w:val="1"/>
                <w:color w:val="auto"/>
                <w:vertAlign w:val="superscript"/>
              </w:rPr>
              <w:t>5</w:t>
            </w:r>
          </w:p>
        </w:tc>
        <w:tc>
          <w:tcPr>
            <w:tcW w:w="1220" w:type="dxa"/>
            <w:vAlign w:val="bottom"/>
            <w:gridSpan w:val="2"/>
            <w:shd w:val="clear" w:color="auto" w:fill="E0E0E0"/>
          </w:tcPr>
          <w:p>
            <w:pPr>
              <w:jc w:val="right"/>
              <w:ind w:right="160"/>
              <w:spacing w:after="0" w:line="149"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6</w:t>
            </w:r>
          </w:p>
        </w:tc>
        <w:tc>
          <w:tcPr>
            <w:tcW w:w="1000" w:type="dxa"/>
            <w:vAlign w:val="bottom"/>
            <w:tcBorders>
              <w:right w:val="single" w:sz="8" w:color="auto"/>
            </w:tcBorders>
            <w:gridSpan w:val="2"/>
            <w:shd w:val="clear" w:color="auto" w:fill="E0E0E0"/>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320" w:type="dxa"/>
            <w:vAlign w:val="bottom"/>
            <w:gridSpan w:val="2"/>
            <w:shd w:val="clear" w:color="auto" w:fill="E0E0E0"/>
          </w:tcPr>
          <w:p>
            <w:pPr>
              <w:jc w:val="center"/>
              <w:ind w:right="980"/>
              <w:spacing w:after="0" w:line="129" w:lineRule="exact"/>
              <w:rPr>
                <w:sz w:val="20"/>
                <w:szCs w:val="20"/>
                <w:color w:val="auto"/>
              </w:rPr>
            </w:pPr>
            <w:r>
              <w:rPr>
                <w:rFonts w:ascii="Arial" w:cs="Arial" w:eastAsia="Arial" w:hAnsi="Arial"/>
                <w:sz w:val="14"/>
                <w:szCs w:val="14"/>
                <w:b w:val="1"/>
                <w:bCs w:val="1"/>
                <w:color w:val="auto"/>
                <w:w w:val="81"/>
              </w:rPr>
              <w:t>(a)</w:t>
            </w:r>
          </w:p>
        </w:tc>
        <w:tc>
          <w:tcPr>
            <w:tcW w:w="340" w:type="dxa"/>
            <w:vAlign w:val="bottom"/>
            <w:shd w:val="clear" w:color="auto" w:fill="E0E0E0"/>
          </w:tcPr>
          <w:p>
            <w:pPr>
              <w:spacing w:after="0"/>
              <w:rPr>
                <w:sz w:val="16"/>
                <w:szCs w:val="16"/>
                <w:color w:val="auto"/>
              </w:rPr>
            </w:pPr>
          </w:p>
        </w:tc>
        <w:tc>
          <w:tcPr>
            <w:tcW w:w="1160" w:type="dxa"/>
            <w:vAlign w:val="bottom"/>
            <w:gridSpan w:val="2"/>
            <w:shd w:val="clear" w:color="auto" w:fill="E0E0E0"/>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(b)</w:t>
            </w:r>
          </w:p>
        </w:tc>
        <w:tc>
          <w:tcPr>
            <w:tcW w:w="1080" w:type="dxa"/>
            <w:vAlign w:val="bottom"/>
            <w:gridSpan w:val="2"/>
            <w:shd w:val="clear" w:color="auto" w:fill="E0E0E0"/>
          </w:tcPr>
          <w:p>
            <w:pPr>
              <w:jc w:val="center"/>
              <w:ind w:right="420"/>
              <w:spacing w:after="0" w:line="129" w:lineRule="exact"/>
              <w:rPr>
                <w:sz w:val="20"/>
                <w:szCs w:val="20"/>
                <w:color w:val="auto"/>
              </w:rPr>
            </w:pPr>
            <w:r>
              <w:rPr>
                <w:rFonts w:ascii="Arial" w:cs="Arial" w:eastAsia="Arial" w:hAnsi="Arial"/>
                <w:sz w:val="14"/>
                <w:szCs w:val="14"/>
                <w:b w:val="1"/>
                <w:bCs w:val="1"/>
                <w:color w:val="auto"/>
                <w:w w:val="81"/>
              </w:rPr>
              <w:t>(c)</w:t>
            </w:r>
          </w:p>
        </w:tc>
        <w:tc>
          <w:tcPr>
            <w:tcW w:w="1000" w:type="dxa"/>
            <w:vAlign w:val="bottom"/>
            <w:gridSpan w:val="2"/>
            <w:shd w:val="clear" w:color="auto" w:fill="E0E0E0"/>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(d)</w:t>
            </w:r>
          </w:p>
        </w:tc>
        <w:tc>
          <w:tcPr>
            <w:tcW w:w="1340" w:type="dxa"/>
            <w:vAlign w:val="bottom"/>
            <w:gridSpan w:val="2"/>
            <w:shd w:val="clear" w:color="auto" w:fill="E0E0E0"/>
          </w:tcPr>
          <w:p>
            <w:pPr>
              <w:jc w:val="center"/>
              <w:ind w:right="320"/>
              <w:spacing w:after="0" w:line="129" w:lineRule="exact"/>
              <w:rPr>
                <w:sz w:val="20"/>
                <w:szCs w:val="20"/>
                <w:color w:val="auto"/>
              </w:rPr>
            </w:pPr>
            <w:r>
              <w:rPr>
                <w:rFonts w:ascii="Arial" w:cs="Arial" w:eastAsia="Arial" w:hAnsi="Arial"/>
                <w:sz w:val="14"/>
                <w:szCs w:val="14"/>
                <w:b w:val="1"/>
                <w:bCs w:val="1"/>
                <w:color w:val="auto"/>
                <w:w w:val="81"/>
              </w:rPr>
              <w:t>(e)</w:t>
            </w:r>
          </w:p>
        </w:tc>
        <w:tc>
          <w:tcPr>
            <w:tcW w:w="1520" w:type="dxa"/>
            <w:vAlign w:val="bottom"/>
            <w:gridSpan w:val="2"/>
            <w:shd w:val="clear" w:color="auto" w:fill="E0E0E0"/>
          </w:tcPr>
          <w:p>
            <w:pPr>
              <w:jc w:val="center"/>
              <w:ind w:right="420"/>
              <w:spacing w:after="0" w:line="129" w:lineRule="exact"/>
              <w:rPr>
                <w:sz w:val="20"/>
                <w:szCs w:val="20"/>
                <w:color w:val="auto"/>
              </w:rPr>
            </w:pPr>
            <w:r>
              <w:rPr>
                <w:rFonts w:ascii="Arial" w:cs="Arial" w:eastAsia="Arial" w:hAnsi="Arial"/>
                <w:sz w:val="14"/>
                <w:szCs w:val="14"/>
                <w:b w:val="1"/>
                <w:bCs w:val="1"/>
                <w:color w:val="auto"/>
                <w:w w:val="99"/>
              </w:rPr>
              <w:t>(f)</w:t>
            </w:r>
          </w:p>
        </w:tc>
        <w:tc>
          <w:tcPr>
            <w:tcW w:w="1220" w:type="dxa"/>
            <w:vAlign w:val="bottom"/>
            <w:gridSpan w:val="2"/>
            <w:shd w:val="clear" w:color="auto" w:fill="E0E0E0"/>
          </w:tcPr>
          <w:p>
            <w:pPr>
              <w:jc w:val="right"/>
              <w:ind w:right="620"/>
              <w:spacing w:after="0" w:line="129" w:lineRule="exact"/>
              <w:rPr>
                <w:sz w:val="20"/>
                <w:szCs w:val="20"/>
                <w:color w:val="auto"/>
              </w:rPr>
            </w:pPr>
            <w:r>
              <w:rPr>
                <w:rFonts w:ascii="Arial" w:cs="Arial" w:eastAsia="Arial" w:hAnsi="Arial"/>
                <w:sz w:val="14"/>
                <w:szCs w:val="14"/>
                <w:b w:val="1"/>
                <w:bCs w:val="1"/>
                <w:color w:val="auto"/>
              </w:rPr>
              <w:t>(g)</w:t>
            </w:r>
          </w:p>
        </w:tc>
        <w:tc>
          <w:tcPr>
            <w:tcW w:w="1000" w:type="dxa"/>
            <w:vAlign w:val="bottom"/>
            <w:tcBorders>
              <w:right w:val="single" w:sz="8" w:color="auto"/>
            </w:tcBorders>
            <w:gridSpan w:val="2"/>
            <w:shd w:val="clear" w:color="auto" w:fill="E0E0E0"/>
          </w:tcPr>
          <w:p>
            <w:pPr>
              <w:jc w:val="right"/>
              <w:ind w:right="600"/>
              <w:spacing w:after="0" w:line="129"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24"/>
        </w:trPr>
        <w:tc>
          <w:tcPr>
            <w:tcW w:w="108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20" w:type="dxa"/>
            <w:vAlign w:val="bottom"/>
            <w:tcBorders>
              <w:top w:val="single" w:sz="8" w:color="auto"/>
              <w:bottom w:val="single" w:sz="8" w:color="auto"/>
            </w:tcBorders>
            <w:shd w:val="clear" w:color="auto" w:fill="E0E0E0"/>
          </w:tcPr>
          <w:p>
            <w:pPr>
              <w:spacing w:after="0"/>
              <w:rPr>
                <w:sz w:val="19"/>
                <w:szCs w:val="19"/>
                <w:color w:val="auto"/>
              </w:rPr>
            </w:pPr>
          </w:p>
        </w:tc>
        <w:tc>
          <w:tcPr>
            <w:tcW w:w="360" w:type="dxa"/>
            <w:vAlign w:val="bottom"/>
            <w:tcBorders>
              <w:top w:val="single" w:sz="8" w:color="auto"/>
              <w:bottom w:val="single" w:sz="8" w:color="auto"/>
            </w:tcBorders>
            <w:shd w:val="clear" w:color="auto" w:fill="E0E0E0"/>
          </w:tcPr>
          <w:p>
            <w:pPr>
              <w:spacing w:after="0"/>
              <w:rPr>
                <w:sz w:val="19"/>
                <w:szCs w:val="19"/>
                <w:color w:val="auto"/>
              </w:rPr>
            </w:pPr>
          </w:p>
        </w:tc>
        <w:tc>
          <w:tcPr>
            <w:tcW w:w="960" w:type="dxa"/>
            <w:vAlign w:val="bottom"/>
            <w:tcBorders>
              <w:top w:val="single" w:sz="8" w:color="E0E0E0"/>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44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42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100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1080" w:type="dxa"/>
            <w:vAlign w:val="bottom"/>
            <w:tcBorders>
              <w:top w:val="single" w:sz="8" w:color="auto"/>
              <w:bottom w:val="single" w:sz="8" w:color="auto"/>
            </w:tcBorders>
            <w:shd w:val="clear" w:color="auto" w:fill="E0E0E0"/>
          </w:tcPr>
          <w:p>
            <w:pPr>
              <w:spacing w:after="0"/>
              <w:rPr>
                <w:sz w:val="19"/>
                <w:szCs w:val="19"/>
                <w:color w:val="auto"/>
              </w:rPr>
            </w:pPr>
          </w:p>
        </w:tc>
        <w:tc>
          <w:tcPr>
            <w:tcW w:w="440" w:type="dxa"/>
            <w:vAlign w:val="bottom"/>
            <w:tcBorders>
              <w:top w:val="single" w:sz="8" w:color="E0E0E0"/>
              <w:bottom w:val="single" w:sz="8" w:color="auto"/>
            </w:tcBorders>
            <w:shd w:val="clear" w:color="auto" w:fill="E0E0E0"/>
          </w:tcPr>
          <w:p>
            <w:pPr>
              <w:spacing w:after="0"/>
              <w:rPr>
                <w:sz w:val="19"/>
                <w:szCs w:val="19"/>
                <w:color w:val="auto"/>
              </w:rPr>
            </w:pPr>
          </w:p>
        </w:tc>
        <w:tc>
          <w:tcPr>
            <w:tcW w:w="1040" w:type="dxa"/>
            <w:vAlign w:val="bottom"/>
            <w:tcBorders>
              <w:top w:val="single" w:sz="8" w:color="auto"/>
              <w:bottom w:val="single" w:sz="8" w:color="auto"/>
            </w:tcBorders>
            <w:shd w:val="clear" w:color="auto" w:fill="E0E0E0"/>
          </w:tcPr>
          <w:p>
            <w:pPr>
              <w:spacing w:after="0"/>
              <w:rPr>
                <w:sz w:val="19"/>
                <w:szCs w:val="19"/>
                <w:color w:val="auto"/>
              </w:rPr>
            </w:pPr>
          </w:p>
        </w:tc>
        <w:tc>
          <w:tcPr>
            <w:tcW w:w="18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shd w:val="clear" w:color="auto" w:fill="E0E0E0"/>
          </w:tcPr>
          <w:p>
            <w:pPr>
              <w:spacing w:after="0"/>
              <w:rPr>
                <w:sz w:val="19"/>
                <w:szCs w:val="19"/>
                <w:color w:val="auto"/>
              </w:rPr>
            </w:pPr>
          </w:p>
        </w:tc>
        <w:tc>
          <w:tcPr>
            <w:tcW w:w="36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Sue W. Cole</w:t>
            </w:r>
          </w:p>
        </w:tc>
        <w:tc>
          <w:tcPr>
            <w:tcW w:w="340" w:type="dxa"/>
            <w:vAlign w:val="bottom"/>
            <w:shd w:val="clear" w:color="auto" w:fill="E0E0E0"/>
          </w:tcPr>
          <w:p>
            <w:pPr>
              <w:spacing w:after="0"/>
              <w:rPr>
                <w:sz w:val="18"/>
                <w:szCs w:val="18"/>
                <w:color w:val="auto"/>
              </w:rPr>
            </w:pPr>
          </w:p>
        </w:tc>
        <w:tc>
          <w:tcPr>
            <w:tcW w:w="1160" w:type="dxa"/>
            <w:vAlign w:val="bottom"/>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59,250</w:t>
            </w:r>
          </w:p>
        </w:tc>
        <w:tc>
          <w:tcPr>
            <w:tcW w:w="1080" w:type="dxa"/>
            <w:vAlign w:val="bottom"/>
            <w:gridSpan w:val="2"/>
            <w:shd w:val="clear" w:color="auto" w:fill="E0E0E0"/>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4,222</w:t>
            </w:r>
          </w:p>
        </w:tc>
        <w:tc>
          <w:tcPr>
            <w:tcW w:w="122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46,612</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Arial" w:cs="Arial" w:eastAsia="Arial" w:hAnsi="Arial"/>
                <w:sz w:val="18"/>
                <w:szCs w:val="18"/>
                <w:color w:val="auto"/>
                <w:w w:val="95"/>
              </w:rPr>
              <w:t>220,123</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David G. Maffucci</w:t>
            </w:r>
          </w:p>
        </w:tc>
        <w:tc>
          <w:tcPr>
            <w:tcW w:w="3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76,250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1,771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41,045</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229,105</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William E. McDonald</w:t>
            </w:r>
          </w:p>
        </w:tc>
        <w:tc>
          <w:tcPr>
            <w:tcW w:w="1500" w:type="dxa"/>
            <w:vAlign w:val="bottom"/>
            <w:gridSpan w:val="3"/>
            <w:shd w:val="clear" w:color="auto" w:fill="E0E0E0"/>
          </w:tcPr>
          <w:p>
            <w:pPr>
              <w:jc w:val="right"/>
              <w:ind w:right="440"/>
              <w:spacing w:after="0"/>
              <w:rPr>
                <w:sz w:val="20"/>
                <w:szCs w:val="20"/>
                <w:color w:val="auto"/>
              </w:rPr>
            </w:pPr>
            <w:r>
              <w:rPr>
                <w:rFonts w:ascii="Arial" w:cs="Arial" w:eastAsia="Arial" w:hAnsi="Arial"/>
                <w:sz w:val="18"/>
                <w:szCs w:val="18"/>
                <w:color w:val="auto"/>
              </w:rPr>
              <w:t>58,000</w:t>
            </w:r>
          </w:p>
        </w:tc>
        <w:tc>
          <w:tcPr>
            <w:tcW w:w="1080" w:type="dxa"/>
            <w:vAlign w:val="bottom"/>
            <w:gridSpan w:val="2"/>
            <w:shd w:val="clear" w:color="auto" w:fill="E0E0E0"/>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5,631</w:t>
            </w:r>
          </w:p>
        </w:tc>
        <w:tc>
          <w:tcPr>
            <w:tcW w:w="122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50,889</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Arial" w:cs="Arial" w:eastAsia="Arial" w:hAnsi="Arial"/>
                <w:sz w:val="18"/>
                <w:szCs w:val="18"/>
                <w:color w:val="auto"/>
                <w:w w:val="95"/>
              </w:rPr>
              <w:t>224,559</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Frank H. Menaker, Jr.</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66,250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6,753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58,106</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241,148</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Laree E. Perez</w:t>
            </w:r>
          </w:p>
        </w:tc>
        <w:tc>
          <w:tcPr>
            <w:tcW w:w="1500" w:type="dxa"/>
            <w:vAlign w:val="bottom"/>
            <w:gridSpan w:val="3"/>
            <w:shd w:val="clear" w:color="auto" w:fill="E0E0E0"/>
          </w:tcPr>
          <w:p>
            <w:pPr>
              <w:jc w:val="right"/>
              <w:ind w:right="440"/>
              <w:spacing w:after="0"/>
              <w:rPr>
                <w:sz w:val="20"/>
                <w:szCs w:val="20"/>
                <w:color w:val="auto"/>
              </w:rPr>
            </w:pPr>
            <w:r>
              <w:rPr>
                <w:rFonts w:ascii="Arial" w:cs="Arial" w:eastAsia="Arial" w:hAnsi="Arial"/>
                <w:sz w:val="18"/>
                <w:szCs w:val="18"/>
                <w:color w:val="auto"/>
              </w:rPr>
              <w:t>73,000</w:t>
            </w:r>
          </w:p>
        </w:tc>
        <w:tc>
          <w:tcPr>
            <w:tcW w:w="1080" w:type="dxa"/>
            <w:vAlign w:val="bottom"/>
            <w:gridSpan w:val="2"/>
            <w:shd w:val="clear" w:color="auto" w:fill="E0E0E0"/>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1,296</w:t>
            </w:r>
          </w:p>
        </w:tc>
        <w:tc>
          <w:tcPr>
            <w:tcW w:w="122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25,114</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Arial" w:cs="Arial" w:eastAsia="Arial" w:hAnsi="Arial"/>
                <w:sz w:val="18"/>
                <w:szCs w:val="18"/>
                <w:color w:val="auto"/>
                <w:w w:val="95"/>
              </w:rPr>
              <w:t>209,449</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Michael J. Quillen</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55,000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882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28,799</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194,720</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Dennis L. Rediker</w:t>
            </w:r>
          </w:p>
        </w:tc>
        <w:tc>
          <w:tcPr>
            <w:tcW w:w="1500" w:type="dxa"/>
            <w:vAlign w:val="bottom"/>
            <w:gridSpan w:val="3"/>
            <w:shd w:val="clear" w:color="auto" w:fill="E0E0E0"/>
          </w:tcPr>
          <w:p>
            <w:pPr>
              <w:jc w:val="right"/>
              <w:ind w:right="440"/>
              <w:spacing w:after="0"/>
              <w:rPr>
                <w:sz w:val="20"/>
                <w:szCs w:val="20"/>
                <w:color w:val="auto"/>
              </w:rPr>
            </w:pPr>
            <w:r>
              <w:rPr>
                <w:rFonts w:ascii="Arial" w:cs="Arial" w:eastAsia="Arial" w:hAnsi="Arial"/>
                <w:sz w:val="18"/>
                <w:szCs w:val="18"/>
                <w:color w:val="auto"/>
              </w:rPr>
              <w:t>63,750</w:t>
            </w:r>
          </w:p>
        </w:tc>
        <w:tc>
          <w:tcPr>
            <w:tcW w:w="1080" w:type="dxa"/>
            <w:vAlign w:val="bottom"/>
            <w:gridSpan w:val="2"/>
            <w:shd w:val="clear" w:color="auto" w:fill="E0E0E0"/>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520" w:type="dxa"/>
            <w:vAlign w:val="bottom"/>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3,143</w:t>
            </w:r>
          </w:p>
        </w:tc>
        <w:tc>
          <w:tcPr>
            <w:tcW w:w="122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40,082</w:t>
            </w:r>
          </w:p>
        </w:tc>
        <w:tc>
          <w:tcPr>
            <w:tcW w:w="1000" w:type="dxa"/>
            <w:vAlign w:val="bottom"/>
            <w:tcBorders>
              <w:right w:val="single" w:sz="8" w:color="auto"/>
            </w:tcBorders>
            <w:gridSpan w:val="2"/>
            <w:shd w:val="clear" w:color="auto" w:fill="E0E0E0"/>
          </w:tcPr>
          <w:p>
            <w:pPr>
              <w:jc w:val="right"/>
              <w:ind w:right="360"/>
              <w:spacing w:after="0"/>
              <w:rPr>
                <w:sz w:val="20"/>
                <w:szCs w:val="20"/>
                <w:color w:val="auto"/>
              </w:rPr>
            </w:pPr>
            <w:r>
              <w:rPr>
                <w:rFonts w:ascii="Arial" w:cs="Arial" w:eastAsia="Arial" w:hAnsi="Arial"/>
                <w:sz w:val="18"/>
                <w:szCs w:val="18"/>
                <w:color w:val="auto"/>
                <w:w w:val="95"/>
              </w:rPr>
              <w:t>217,014</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Richard A. Vinroot</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54,250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6,066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50,673</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221,028</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bottom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Stephen P. Zelnak, Jr.</w:t>
            </w:r>
          </w:p>
        </w:tc>
        <w:tc>
          <w:tcPr>
            <w:tcW w:w="1500" w:type="dxa"/>
            <w:vAlign w:val="bottom"/>
            <w:tcBorders>
              <w:bottom w:val="single" w:sz="8" w:color="auto"/>
            </w:tcBorders>
            <w:gridSpan w:val="3"/>
            <w:shd w:val="clear" w:color="auto" w:fill="E0E0E0"/>
          </w:tcPr>
          <w:p>
            <w:pPr>
              <w:jc w:val="right"/>
              <w:ind w:right="440"/>
              <w:spacing w:after="0"/>
              <w:rPr>
                <w:sz w:val="20"/>
                <w:szCs w:val="20"/>
                <w:color w:val="auto"/>
              </w:rPr>
            </w:pPr>
            <w:r>
              <w:rPr>
                <w:rFonts w:ascii="Arial" w:cs="Arial" w:eastAsia="Arial" w:hAnsi="Arial"/>
                <w:sz w:val="18"/>
                <w:szCs w:val="18"/>
                <w:color w:val="auto"/>
              </w:rPr>
              <w:t>173,000</w:t>
            </w:r>
          </w:p>
        </w:tc>
        <w:tc>
          <w:tcPr>
            <w:tcW w:w="1080" w:type="dxa"/>
            <w:vAlign w:val="bottom"/>
            <w:tcBorders>
              <w:bottom w:val="single" w:sz="8" w:color="auto"/>
            </w:tcBorders>
            <w:gridSpan w:val="2"/>
            <w:shd w:val="clear" w:color="auto" w:fill="E0E0E0"/>
          </w:tcPr>
          <w:p>
            <w:pPr>
              <w:jc w:val="right"/>
              <w:ind w:right="420"/>
              <w:spacing w:after="0"/>
              <w:rPr>
                <w:sz w:val="20"/>
                <w:szCs w:val="20"/>
                <w:color w:val="auto"/>
              </w:rPr>
            </w:pPr>
            <w:r>
              <w:rPr>
                <w:rFonts w:ascii="Arial" w:cs="Arial" w:eastAsia="Arial" w:hAnsi="Arial"/>
                <w:sz w:val="18"/>
                <w:szCs w:val="18"/>
                <w:color w:val="auto"/>
                <w:w w:val="98"/>
              </w:rPr>
              <w:t>110,039</w:t>
            </w:r>
          </w:p>
        </w:tc>
        <w:tc>
          <w:tcPr>
            <w:tcW w:w="660" w:type="dxa"/>
            <w:vAlign w:val="bottom"/>
            <w:tcBorders>
              <w:bottom w:val="single" w:sz="8" w:color="auto"/>
            </w:tcBorders>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520" w:type="dxa"/>
            <w:vAlign w:val="bottom"/>
            <w:tcBorders>
              <w:bottom w:val="single" w:sz="8" w:color="auto"/>
            </w:tcBorders>
            <w:gridSpan w:val="2"/>
            <w:shd w:val="clear" w:color="auto" w:fill="E0E0E0"/>
          </w:tcPr>
          <w:p>
            <w:pPr>
              <w:jc w:val="right"/>
              <w:ind w:right="440"/>
              <w:spacing w:after="0"/>
              <w:rPr>
                <w:sz w:val="20"/>
                <w:szCs w:val="20"/>
                <w:color w:val="auto"/>
              </w:rPr>
            </w:pPr>
            <w:r>
              <w:rPr>
                <w:rFonts w:ascii="Arial" w:cs="Arial" w:eastAsia="Arial" w:hAnsi="Arial"/>
                <w:sz w:val="18"/>
                <w:szCs w:val="18"/>
                <w:color w:val="auto"/>
              </w:rPr>
              <w:t>440</w:t>
            </w:r>
          </w:p>
        </w:tc>
        <w:tc>
          <w:tcPr>
            <w:tcW w:w="1220" w:type="dxa"/>
            <w:vAlign w:val="bottom"/>
            <w:tcBorders>
              <w:bottom w:val="single" w:sz="8" w:color="auto"/>
            </w:tcBorders>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33,725</w:t>
            </w:r>
          </w:p>
        </w:tc>
        <w:tc>
          <w:tcPr>
            <w:tcW w:w="1000" w:type="dxa"/>
            <w:vAlign w:val="bottom"/>
            <w:tcBorders>
              <w:bottom w:val="single" w:sz="8" w:color="auto"/>
              <w:right w:val="single" w:sz="8" w:color="auto"/>
            </w:tcBorders>
            <w:gridSpan w:val="2"/>
            <w:shd w:val="clear" w:color="auto" w:fill="E0E0E0"/>
          </w:tcPr>
          <w:p>
            <w:pPr>
              <w:jc w:val="right"/>
              <w:ind w:right="360"/>
              <w:spacing w:after="0"/>
              <w:rPr>
                <w:sz w:val="20"/>
                <w:szCs w:val="20"/>
                <w:color w:val="auto"/>
              </w:rPr>
            </w:pPr>
            <w:r>
              <w:rPr>
                <w:rFonts w:ascii="Arial" w:cs="Arial" w:eastAsia="Arial" w:hAnsi="Arial"/>
                <w:sz w:val="18"/>
                <w:szCs w:val="18"/>
                <w:color w:val="auto"/>
                <w:w w:val="95"/>
              </w:rPr>
              <w:t>317,204</w:t>
            </w:r>
          </w:p>
        </w:tc>
        <w:tc>
          <w:tcPr>
            <w:tcW w:w="0" w:type="dxa"/>
            <w:vAlign w:val="bottom"/>
          </w:tcPr>
          <w:p>
            <w:pPr>
              <w:spacing w:after="0"/>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40" w:hanging="323"/>
        <w:spacing w:after="0" w:line="239" w:lineRule="auto"/>
        <w:tabs>
          <w:tab w:leader="none" w:pos="323"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52.</w:t>
      </w:r>
    </w:p>
    <w:p>
      <w:pPr>
        <w:spacing w:after="0" w:line="58" w:lineRule="exact"/>
        <w:rPr>
          <w:sz w:val="20"/>
          <w:szCs w:val="20"/>
          <w:color w:val="auto"/>
        </w:rPr>
      </w:pPr>
    </w:p>
    <w:p>
      <w:pPr>
        <w:jc w:val="both"/>
        <w:ind w:left="323" w:right="20" w:hanging="323"/>
        <w:spacing w:after="0" w:line="266" w:lineRule="auto"/>
        <w:tabs>
          <w:tab w:leader="none" w:pos="323"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amounts in column (b) reflect fees earned in 2012. Some of these fees were deferred pursuant to the Common Stock Purchase Plan for Directors in the form of common stock units. The number of units of common stock credited in 2012 to each of the Directors under the Common Stock Purchase Plan for Directors and the grant date fair value for these awards determined in accordance with FASB ASC Topic 718, which includes the 20% discount, are as follows: Ms. Cole, 1,010 units and $58.66 value, respectively; Mr. Maffucci, 1,303 units and $58.52 value, respectively; Mr. McDonald, 992 units and $58.47 value, respectively; Mr. Menaker, 1,102 units and $60.12 value, respectively; Ms. Perez, 615 units and $59.35 value, respectively; Mr. Quillen, 922 units and $59.65 value, respectively; Mr. Rediker, 1,067 units and $59.75 value, respectively; Mr. Vinroot, 936 units and $57.96 value, respectively; and Mr. Zelnak, 1,555 units and $55.63 value, respectively. The number of units credited to each of the Directors as of December 31, 2012, including units accumulated under the plan for all years of service as a Director, is as follows: Ms. Cole, 12,458; Mr. Maffucci, 7,910; Mr. McDonald, 14,428; Mr. Menaker, 17,052; Ms. Perez, 4,318; Mr. Quillen, 4,048; Mr. Rediker, 8,424; Mr. Vinroot, 14,618; and Mr. Zelnak, 3,935. The 20% discount from the market price of Martin Marietta’s common stock used in converting to common stock is reported in column (g).</w:t>
      </w:r>
    </w:p>
    <w:p>
      <w:pPr>
        <w:spacing w:after="0" w:line="46" w:lineRule="exact"/>
        <w:rPr>
          <w:sz w:val="20"/>
          <w:szCs w:val="20"/>
          <w:color w:val="auto"/>
        </w:rPr>
      </w:pPr>
    </w:p>
    <w:p>
      <w:pPr>
        <w:ind w:left="323" w:hanging="323"/>
        <w:spacing w:after="0"/>
        <w:tabs>
          <w:tab w:leader="none" w:pos="323" w:val="left"/>
        </w:tabs>
        <w:numPr>
          <w:ilvl w:val="0"/>
          <w:numId w:val="17"/>
        </w:numPr>
        <w:rPr>
          <w:rFonts w:ascii="Arial" w:cs="Arial" w:eastAsia="Arial" w:hAnsi="Arial"/>
          <w:sz w:val="12"/>
          <w:szCs w:val="12"/>
          <w:color w:val="auto"/>
        </w:rPr>
      </w:pPr>
      <w:r>
        <w:rPr>
          <w:rFonts w:ascii="Arial" w:cs="Arial" w:eastAsia="Arial" w:hAnsi="Arial"/>
          <w:sz w:val="12"/>
          <w:szCs w:val="12"/>
          <w:color w:val="auto"/>
        </w:rPr>
        <w:t>Each Director received 1,592 restricted stock units in 2012. The amounts in column (c) reflect the grant date fair value for these awards determined in accordance with FASB ASC Topic 718.</w:t>
      </w:r>
    </w:p>
    <w:p>
      <w:pPr>
        <w:spacing w:after="0" w:line="92" w:lineRule="exact"/>
        <w:rPr>
          <w:sz w:val="20"/>
          <w:szCs w:val="20"/>
          <w:color w:val="auto"/>
        </w:rPr>
      </w:pPr>
    </w:p>
    <w:p>
      <w:pPr>
        <w:ind w:left="323" w:right="20" w:hanging="323"/>
        <w:spacing w:after="0" w:line="239" w:lineRule="auto"/>
        <w:tabs>
          <w:tab w:leader="none" w:pos="323"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2012, each Director held options for common stock in the amounts as follows: Ms. Cole, 17,000; Mr. Maffucci, 12,000; Mr. McDonald, 17,000; Mr. Menaker, 17,000; Ms. Perez, 12,000; Mr. Quillen, 3,000; Mr. Rediker, 9,000; Mr. Vinroot, 17,000; and Mr. Zelnak, 161,355, of which 151,268 are exercisable.</w:t>
      </w:r>
    </w:p>
    <w:p>
      <w:pPr>
        <w:spacing w:after="0" w:line="58" w:lineRule="exact"/>
        <w:rPr>
          <w:sz w:val="20"/>
          <w:szCs w:val="20"/>
          <w:color w:val="auto"/>
        </w:rPr>
      </w:pPr>
    </w:p>
    <w:p>
      <w:pPr>
        <w:ind w:left="323" w:hanging="323"/>
        <w:spacing w:after="0"/>
        <w:tabs>
          <w:tab w:leader="none" w:pos="32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69" w:lineRule="exact"/>
        <w:rPr>
          <w:sz w:val="20"/>
          <w:szCs w:val="20"/>
          <w:color w:val="auto"/>
        </w:rPr>
      </w:pPr>
    </w:p>
    <w:p>
      <w:pPr>
        <w:jc w:val="both"/>
        <w:ind w:left="323" w:right="20" w:hanging="323"/>
        <w:spacing w:after="0" w:line="233" w:lineRule="auto"/>
        <w:tabs>
          <w:tab w:leader="none" w:pos="323"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2012 into common stock units pursuant to the Common Stock Purchase Plan for Directors, and (ii) the dollar value of dividend equivalents paid in 2012 on common stock units held under the plan. The Directors did not receive perquisites or other personal benefits in 2012.</w:t>
      </w:r>
    </w:p>
    <w:p>
      <w:pPr>
        <w:spacing w:after="0" w:line="277"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83"/>
          </w:cols>
          <w:pgMar w:left="437" w:top="469"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70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070475"/>
                    </a:xfrm>
                    <a:prstGeom prst="rect">
                      <a:avLst/>
                    </a:prstGeom>
                    <a:noFill/>
                  </pic:spPr>
                </pic:pic>
              </a:graphicData>
            </a:graphic>
          </wp:anchor>
        </w:drawing>
        <w:t>CORPORATE GOVERNANCE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Philosophy</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The Board of Directors has long believed that good corporate governance is important to ensure Martin Marietta is managed for the long-term benefit of its shareholders. Martin Marietta’s business is managed under the direction of the Board of Directors. The Board delegates the conducting of business to Martin Marietta’s senior management team. The corporate governance standards established by the Board provide a structure within which Directors and management can effectively pursue Martin Marietta’s objectives for the benefit of its shareholders. Even before the adoption of the Sarbanes-Oxley Act of 2002, one of the most critical components that has governed the way the business affairs of Martin Marietta are conducted has been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which has been in place for more than two decades.</w:t>
      </w:r>
    </w:p>
    <w:p>
      <w:pPr>
        <w:spacing w:after="0" w:line="12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With that backdrop, the Board has endeavored to choose Board and Committee members who are distinguished by a depth of knowledge and experience, to elect a qualified and dedicated management team, and to direct the business affairs of Martin Marietta to achieve long-term value for shareholders. The Board believes this purpose is particularly important in overseeing the management of a company such as Martin Marietta that is engaged in a cyclical business where the long-term value for shareholders may not be reflected in current stock prices and which may be temporarily depressed by short-term factors, such as recessionary economies and operating markets.</w:t>
      </w:r>
    </w:p>
    <w:p>
      <w:pPr>
        <w:spacing w:after="0" w:line="116"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for Martin Marietta. The Nominating and Corporate Governance Committee is responsible for overseeing the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making recommendations to the Board relating to corporate governance matters.</w:t>
      </w:r>
    </w:p>
    <w:p>
      <w:pPr>
        <w:spacing w:after="0" w:line="143"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The New York Stock Exchange has adopted rules that require listed companies like Martin Marietta to adopt governance guidelines and comply with certain standards regarding corporate governance. Martin Marietta voluntarily implemented these corporate governance rules even prior to their effective date in 2004. Martin Marietta’s Chief Executive Officer certifies annually to the NYSE that he is not aware of any violation by Martin Marietta of the NYSE corporate governance listing standards. This certification is in addition to the certification by Martin Marietta’s Chief Executive Officer and Chief Financial Officer included with Martin Marietta’s periodic reports filed with the Securities and Exchange Commission. Martin Marietta also submits written affirmations to the NYSE annually regarding details of Martin Marietta’s compliance with the corporate governance rules of the NYSE.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are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The guidelines address a wide array of governance issues. Among other matters, the corporate governance principles of Martin</w:t>
      </w:r>
      <w:r>
        <w:rPr>
          <w:rFonts w:ascii="Arial" w:cs="Arial" w:eastAsia="Arial" w:hAnsi="Arial"/>
          <w:sz w:val="18"/>
          <w:szCs w:val="18"/>
          <w:i w:val="1"/>
          <w:iCs w:val="1"/>
          <w:color w:val="auto"/>
        </w:rPr>
        <w:t xml:space="preserve"> </w:t>
      </w:r>
      <w:r>
        <w:rPr>
          <w:rFonts w:ascii="Arial" w:cs="Arial" w:eastAsia="Arial" w:hAnsi="Arial"/>
          <w:sz w:val="18"/>
          <w:szCs w:val="18"/>
          <w:color w:val="auto"/>
        </w:rPr>
        <w:t>Marietta Materials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w:t>
      </w:r>
    </w:p>
    <w:p>
      <w:pPr>
        <w:spacing w:after="0" w:line="90" w:lineRule="exact"/>
        <w:rPr>
          <w:sz w:val="20"/>
          <w:szCs w:val="20"/>
          <w:color w:val="auto"/>
        </w:rPr>
      </w:pPr>
    </w:p>
    <w:p>
      <w:pPr>
        <w:ind w:left="980" w:hanging="213"/>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Martin Marietta, including Martin Marietta’s executive officers, has been in place since the 1980’s.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60"/>
          </w:cols>
          <w:pgMar w:left="440" w:top="463" w:right="399" w:bottom="1440" w:gutter="0" w:footer="0" w:header="0"/>
        </w:sectPr>
      </w:pPr>
    </w:p>
    <w:bookmarkStart w:id="22" w:name="page23"/>
    <w:bookmarkEnd w:id="22"/>
    <w:p>
      <w:pPr>
        <w:ind w:left="980" w:right="20" w:hanging="213"/>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1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361940"/>
                    </a:xfrm>
                    <a:prstGeom prst="rect">
                      <a:avLst/>
                    </a:prstGeom>
                    <a:noFill/>
                  </pic:spPr>
                </pic:pic>
              </a:graphicData>
            </a:graphic>
          </wp:anchor>
        </w:drawing>
        <w:t>A confidential telephone hotline for anonymous reporting of complaints and concerns was established in 1994 when Martin Marietta’s common stock became publicly traded.</w:t>
      </w:r>
    </w:p>
    <w:p>
      <w:pPr>
        <w:spacing w:after="0" w:line="50" w:lineRule="exact"/>
        <w:rPr>
          <w:rFonts w:ascii="Arial" w:cs="Arial" w:eastAsia="Arial" w:hAnsi="Arial"/>
          <w:sz w:val="18"/>
          <w:szCs w:val="18"/>
          <w:color w:val="auto"/>
        </w:rPr>
      </w:pPr>
    </w:p>
    <w:p>
      <w:pPr>
        <w:jc w:val="both"/>
        <w:ind w:left="980" w:right="20" w:hanging="213"/>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has had, since 1994, an Ethics, Environment, Safety and Health Committee that is responsible for reviewing and monitoring Martin Marietta’s program on business ethics and conduct, compliance with environmental laws and regulations and matters concerning health and safety.</w:t>
      </w:r>
    </w:p>
    <w:p>
      <w:pPr>
        <w:spacing w:after="0" w:line="59" w:lineRule="exact"/>
        <w:rPr>
          <w:rFonts w:ascii="Arial" w:cs="Arial" w:eastAsia="Arial" w:hAnsi="Arial"/>
          <w:sz w:val="18"/>
          <w:szCs w:val="18"/>
          <w:color w:val="auto"/>
        </w:rPr>
      </w:pPr>
    </w:p>
    <w:p>
      <w:pPr>
        <w:jc w:val="both"/>
        <w:ind w:left="980" w:hanging="213"/>
        <w:spacing w:after="0" w:line="30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Martin Marietta will also disclose on its website any amendments to its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waivers, if any, of such code as applicable to Martin Marietta’s Directors and executive officers. Any waiver of the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for Directors or executive officers will be made only by the full Board and promptly disclosed to shareholders within four business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90" w:lineRule="exact"/>
        <w:rPr>
          <w:sz w:val="20"/>
          <w:szCs w:val="20"/>
          <w:color w:val="auto"/>
        </w:rPr>
      </w:pPr>
    </w:p>
    <w:p>
      <w:pPr>
        <w:ind w:left="980" w:hanging="21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Nine out of ten Board members are non-employee Directors.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Eight out of ten Board members are independent Directors, as defined in the rules of the NYSE, and are not affiliated with Martin Marietta.</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reflect the Board’s belief that at least two-thirds of all Directors should consist of independent Directors.</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Board has adopted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for Martin Marietta and has determined that eight of the ten Board members are independent under these Guidelines.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has adopted a policy of regularly scheduled executive sessions where the independent Directors meet without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Board Committees</w:t>
      </w:r>
    </w:p>
    <w:p>
      <w:pPr>
        <w:spacing w:after="0" w:line="90" w:lineRule="exact"/>
        <w:rPr>
          <w:sz w:val="20"/>
          <w:szCs w:val="20"/>
          <w:color w:val="auto"/>
        </w:rPr>
      </w:pPr>
    </w:p>
    <w:p>
      <w:pPr>
        <w:jc w:val="both"/>
        <w:ind w:left="980" w:right="20" w:hanging="213"/>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Martin Marietta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2" w:lineRule="exact"/>
        <w:rPr>
          <w:rFonts w:ascii="Arial" w:cs="Arial" w:eastAsia="Arial" w:hAnsi="Arial"/>
          <w:sz w:val="18"/>
          <w:szCs w:val="18"/>
          <w:color w:val="auto"/>
        </w:rPr>
      </w:pPr>
    </w:p>
    <w:p>
      <w:pPr>
        <w:jc w:val="both"/>
        <w:ind w:left="980" w:hanging="213"/>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Martin Marietta, among other things.</w:t>
      </w:r>
    </w:p>
    <w:p>
      <w:pPr>
        <w:spacing w:after="0" w:line="62"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meets privately with each of management, representatives of Martin Marietta’s independent auditors, and Martin Marietta’s internal audit department.</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members of the Audit Committee do not receive any consulting or advisory fees or other compensation from Martin Marietta, other than Directors fees.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members of the Audit Committee have no affiliation with Martin Marietta other than as a Director of Martin Marietta.</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60"/>
          </w:cols>
          <w:pgMar w:left="440" w:top="469" w:right="399" w:bottom="1440" w:gutter="0" w:footer="0" w:header="0"/>
        </w:sectPr>
      </w:pPr>
    </w:p>
    <w:bookmarkStart w:id="23" w:name="page24"/>
    <w:bookmarkEnd w:id="23"/>
    <w:p>
      <w:pPr>
        <w:ind w:left="980" w:right="20" w:hanging="213"/>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39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139055"/>
                    </a:xfrm>
                    <a:prstGeom prst="rect">
                      <a:avLst/>
                    </a:prstGeom>
                    <a:noFill/>
                  </pic:spPr>
                </pic:pic>
              </a:graphicData>
            </a:graphic>
          </wp:anchor>
        </w:drawing>
        <w:t>The Board of Directors has determined that the Audit Committee includes at least one member who is an audit committee financial expert as defined in SEC rules.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980" w:hanging="21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Directors have access to members of Martin Marietta’s management team and, as necessary and appropriate, to independent advisors.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least annually, the Board evaluates the performance of the Chief Executive Officer.</w:t>
      </w:r>
    </w:p>
    <w:p>
      <w:pPr>
        <w:spacing w:after="0" w:line="90" w:lineRule="exact"/>
        <w:rPr>
          <w:rFonts w:ascii="Arial" w:cs="Arial" w:eastAsia="Arial" w:hAnsi="Arial"/>
          <w:sz w:val="18"/>
          <w:szCs w:val="18"/>
          <w:color w:val="auto"/>
        </w:rPr>
      </w:pPr>
    </w:p>
    <w:p>
      <w:pPr>
        <w:jc w:val="both"/>
        <w:ind w:left="980" w:right="20" w:hanging="213"/>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Martin Marietta’s Independent Directors?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All of Martin Marietta’s Directors are non-employee Directors except Mr. Nye. Mr. Nye was elected to the Board as of January 1, 2010.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14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In assessing the independence of its members, the Board has adopted for Martin Marietta a set of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The Guidelines are posted and available for public viewing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These Guidelines reflect the rules of the NYSE, applicable requirements of the SEC, and other standards determined by the Board to be important in assessing the independence of Board members. The Board has determined that all members of the Board, except Mr. Zelnak and Mr. Nye, are “independent” under these Guidelines. The Board of Directors has determined that no Director (except Mr. Zelnak and Mr. Nye), or any person or organization with which the Director has any affiliation, has a relationship with Martin Marietta that may interfere with the Director’s independence from Martin Marietta and its management.</w:t>
      </w:r>
    </w:p>
    <w:p>
      <w:pPr>
        <w:spacing w:after="0" w:line="12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In making this “independence” determination, the Board considered other entities with which the Directors were affiliated and any business Martin Marietta had done with such entities. In that regard, Mr. Vinroot is a member of the law firm of Robinson, Bradshaw &amp; Hinson, P.A. located in Charlotte, North Carolina, which provided certain legal services to Martin Marietta in 2012. Mr. Vinroot did not work on any of the legal matters for Martin Marietta. The amount of fees paid to Robinson, Bradshaw &amp; Hinson, P.A. for such services in 2012 was approximately $51,000, representing less than 0.1%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independent Directors ever meet without management?</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provide that at least two Board meetings each year will include an executive session of the non-employee Directors to</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60"/>
          </w:cols>
          <w:pgMar w:left="440" w:top="469" w:right="399" w:bottom="1440" w:gutter="0" w:footer="0" w:header="0"/>
        </w:sectPr>
      </w:pPr>
    </w:p>
    <w:bookmarkStart w:id="24" w:name="page25"/>
    <w:bookmarkEnd w:id="24"/>
    <w:p>
      <w:pPr>
        <w:jc w:val="both"/>
        <w:ind w:left="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53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053330"/>
                    </a:xfrm>
                    <a:prstGeom prst="rect">
                      <a:avLst/>
                    </a:prstGeom>
                    <a:noFill/>
                  </pic:spPr>
                </pic:pic>
              </a:graphicData>
            </a:graphic>
          </wp:anchor>
        </w:drawing>
        <w:t>discuss such topics as they may choose, including a discussion of the performance of Martin Marietta’s Chairman and its Chief Executive Officer. In 2012, Martin Marietta’s non-employee Directors met 4 times in executive session without management, in addition to executive sessions held by committees of the Board.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What is the Board’s leadership structure?</w:t>
      </w:r>
    </w:p>
    <w:p>
      <w:pPr>
        <w:spacing w:after="0" w:line="90" w:lineRule="exact"/>
        <w:rPr>
          <w:sz w:val="20"/>
          <w:szCs w:val="20"/>
          <w:color w:val="auto"/>
        </w:rPr>
      </w:pPr>
    </w:p>
    <w:p>
      <w:pPr>
        <w:jc w:val="both"/>
        <w:ind w:left="3" w:firstLine="775"/>
        <w:spacing w:after="0" w:line="290" w:lineRule="auto"/>
        <w:rPr>
          <w:sz w:val="20"/>
          <w:szCs w:val="20"/>
          <w:color w:val="auto"/>
        </w:rPr>
      </w:pPr>
      <w:r>
        <w:rPr>
          <w:rFonts w:ascii="Arial" w:cs="Arial" w:eastAsia="Arial" w:hAnsi="Arial"/>
          <w:sz w:val="16"/>
          <w:szCs w:val="16"/>
          <w:color w:val="auto"/>
        </w:rPr>
        <w:t>The roles of Chairman and Chief Executive Officer have been separate since 2010 to help provide a seamless transition in connection with the succession of Mr. Nye as Chief Executive Officer. We believe our Chief Executive Officer and our Chairman have an excellent working relationship that has allowed Mr. Nye to focus on the challenges Martin Marietta is facing in the current business environment. Martin Marietta also believes that the Board leadership structure wherein the Chairman of the Nominating and Corporate Governance Committee presides at executive sessions of the Board, at which Mr. Nye does not attend unless specifically invited, facilitates communication among the non-employee Directors. We believe Mr. Zelnak’s continuation as Chairman provides strong leadership for our Board, while also positioning our Chief Executive Officer as the leader of Martin Marietta as recognized by our customers, employees and other constituencies.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What is the Board’s role in risk oversight?</w:t>
      </w:r>
    </w:p>
    <w:p>
      <w:pPr>
        <w:spacing w:after="0" w:line="9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Our Board currently has eight independent members and only two non-independent members, the non-executive Chairman and the Chief Executive Officer.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120" w:lineRule="exact"/>
        <w:rPr>
          <w:sz w:val="20"/>
          <w:szCs w:val="20"/>
          <w:color w:val="auto"/>
        </w:rPr>
      </w:pPr>
    </w:p>
    <w:p>
      <w:pPr>
        <w:ind w:left="783"/>
        <w:spacing w:after="0"/>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w:t>
      </w:r>
    </w:p>
    <w:p>
      <w:pPr>
        <w:spacing w:after="0" w:line="38" w:lineRule="exact"/>
        <w:rPr>
          <w:sz w:val="20"/>
          <w:szCs w:val="20"/>
          <w:color w:val="auto"/>
        </w:rPr>
      </w:pPr>
    </w:p>
    <w:p>
      <w:pPr>
        <w:jc w:val="both"/>
        <w:ind w:left="3" w:hanging="3"/>
        <w:spacing w:after="0" w:line="254" w:lineRule="auto"/>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identify the material risks that Martin Marietta faces, (2) 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144" w:lineRule="exact"/>
        <w:rPr>
          <w:sz w:val="20"/>
          <w:szCs w:val="20"/>
          <w:color w:val="auto"/>
        </w:rPr>
      </w:pPr>
    </w:p>
    <w:p>
      <w:pPr>
        <w:jc w:val="both"/>
        <w:ind w:left="3" w:firstLine="775"/>
        <w:spacing w:after="0" w:line="255" w:lineRule="auto"/>
        <w:rPr>
          <w:sz w:val="20"/>
          <w:szCs w:val="20"/>
          <w:color w:val="auto"/>
        </w:rPr>
      </w:pPr>
      <w:r>
        <w:rPr>
          <w:rFonts w:ascii="Arial" w:cs="Arial" w:eastAsia="Arial" w:hAnsi="Arial"/>
          <w:sz w:val="18"/>
          <w:szCs w:val="18"/>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278"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63"/>
          </w:cols>
          <w:pgMar w:left="437" w:top="469" w:right="399" w:bottom="1440" w:gutter="0" w:footer="0" w:header="0"/>
        </w:sectPr>
      </w:pPr>
    </w:p>
    <w:bookmarkStart w:id="25" w:name="page26"/>
    <w:bookmarkEnd w:id="25"/>
    <w:p>
      <w:pPr>
        <w:jc w:val="both"/>
        <w:ind w:firstLine="775"/>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81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881880"/>
                    </a:xfrm>
                    <a:prstGeom prst="rect">
                      <a:avLst/>
                    </a:prstGeom>
                    <a:noFill/>
                  </pic:spPr>
                </pic:pic>
              </a:graphicData>
            </a:graphic>
          </wp:anchor>
        </w:drawing>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11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While the Board oversees Martin Marietta’s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would interested parties make their concerns known to the independent Directors?</w:t>
      </w:r>
    </w:p>
    <w:p>
      <w:pPr>
        <w:spacing w:after="0" w:line="90"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144"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1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its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often did the Board meet during 2012?</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Martin Marietta’s Board of Directors held 6 meetings during 2012, five of which were regularly scheduled meetings and one of which was a special meeting. There were also a total of 22 committee meetings in 2012. In addition, management confers frequently with its Directors on an informal basis to discuss Corporation affairs.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60"/>
          </w:cols>
          <w:pgMar w:left="440" w:top="469"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44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344795"/>
                    </a:xfrm>
                    <a:prstGeom prst="rect">
                      <a:avLst/>
                    </a:prstGeom>
                    <a:noFill/>
                  </pic:spPr>
                </pic:pic>
              </a:graphicData>
            </a:graphic>
          </wp:anchor>
        </w:drawing>
        <w:t>How many times did Directors attend meetings of the Board and its Committees?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In 2012, all Directors attended all of the meetings of the Board of Directors. All directors attended all of the meetings of the committees of the Board on which they served (during the periods that they served).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Directors attend the Annual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Martin Marietta’s Directors are expected to attend Martin Marietta’s Annual Meeting of Shareholders. All Directors attended the 2012 Annual Meeting of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Directors compensated?</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 xml:space="preserve">A table showing the compensation paid by Martin Marietta to the individuals serving as Directors in 2012, other than Mr. Nye, is included in the section of this proxy statement entitled “DIRECTOR COMPENSATION – </w:t>
      </w:r>
      <w:r>
        <w:rPr>
          <w:rFonts w:ascii="Arial" w:cs="Arial" w:eastAsia="Arial" w:hAnsi="Arial"/>
          <w:sz w:val="16"/>
          <w:szCs w:val="16"/>
          <w:i w:val="1"/>
          <w:iCs w:val="1"/>
          <w:color w:val="auto"/>
        </w:rPr>
        <w:t>Director Compensation Table.</w:t>
      </w:r>
      <w:r>
        <w:rPr>
          <w:rFonts w:ascii="Arial" w:cs="Arial" w:eastAsia="Arial" w:hAnsi="Arial"/>
          <w:sz w:val="16"/>
          <w:szCs w:val="16"/>
          <w:color w:val="auto"/>
        </w:rPr>
        <w:t>” Mr. Nye’s compensation as an executive officer of Martin Marietta is shown in the section entitled “EXECUTIVE COMPENSATION” and he received no additional compensation for service as a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34"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composed entirely of non-employee, independent Directors, held 8 meetings during 2012.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Among other duties, the Audit Committee:</w:t>
      </w:r>
    </w:p>
    <w:p>
      <w:pPr>
        <w:spacing w:after="0" w:line="36" w:lineRule="exact"/>
        <w:rPr>
          <w:sz w:val="20"/>
          <w:szCs w:val="20"/>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selects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pre-approves all audit and non-audit services provided to Martin Marietta by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monitors the independence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reviews and approves: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scope and timing of work to be performed by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compensation to be paid to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financial accounting and reporting principles used by Martin Marietta</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policies and procedures concerning audits, accounting, and financial controls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60"/>
          </w:cols>
          <w:pgMar w:left="440" w:top="469" w:right="399" w:bottom="1440" w:gutter="0" w:footer="0" w:header="0"/>
        </w:sectPr>
      </w:pPr>
    </w:p>
    <w:bookmarkStart w:id="27" w:name="page28"/>
    <w:bookmarkEnd w:id="27"/>
    <w:p>
      <w:pPr>
        <w:ind w:left="1420" w:hanging="437"/>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36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036185"/>
                    </a:xfrm>
                    <a:prstGeom prst="rect">
                      <a:avLst/>
                    </a:prstGeom>
                    <a:noFill/>
                  </pic:spPr>
                </pic:pic>
              </a:graphicData>
            </a:graphic>
          </wp:anchor>
        </w:drawing>
        <w:t>recommendations to improve existing practices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results of the audit and the reports of the independent auditors</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and discusses Martin Marietta’s annual audited financial statements and quarterly financial statements with management and the independent auditors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reviews and discusses management’s assessment of the effectiveness of Martin Marietta’s system of internal control over financial reporting</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discusses Martin Marietta’s earnings press releases, as well as financial information and earnings guidance provided to analysts and rating agencies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discusses matters related to risk assessment and risk management and how the process is handled by management</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considers allegations, if ever made, of possible financial fraud or other financial improprieties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sets clear hiring policies for employees or former employees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the qualifications and the plan and scope of work of the corporate internal audit function</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prepares an audit committee report as required by the SEC to be in this proxy statement</w:t>
      </w:r>
    </w:p>
    <w:p>
      <w:pPr>
        <w:spacing w:after="0" w:line="171"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w:t>
      </w:r>
    </w:p>
    <w:p>
      <w:pPr>
        <w:spacing w:after="0" w:line="137"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Ethics, Environment, Safety and Health Committee</w:t>
      </w:r>
      <w:r>
        <w:rPr>
          <w:rFonts w:ascii="Arial" w:cs="Arial" w:eastAsia="Arial" w:hAnsi="Arial"/>
          <w:sz w:val="16"/>
          <w:szCs w:val="16"/>
          <w:color w:val="auto"/>
        </w:rPr>
        <w:t xml:space="preserve"> held 2 meetings during 2012. It monitors compliance with Martin Marietta’s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Ethics and Standards of Conduct </w:t>
      </w:r>
      <w:r>
        <w:rPr>
          <w:rFonts w:ascii="Arial" w:cs="Arial" w:eastAsia="Arial" w:hAnsi="Arial"/>
          <w:sz w:val="16"/>
          <w:szCs w:val="16"/>
          <w:color w:val="auto"/>
        </w:rPr>
        <w:t>and reviews all matters presented to it by the Corporate Ethics Officer concerning the ethical practices of Martin Marietta</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111"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Executive Committee</w:t>
      </w:r>
      <w:r>
        <w:rPr>
          <w:rFonts w:ascii="Arial" w:cs="Arial" w:eastAsia="Arial" w:hAnsi="Arial"/>
          <w:sz w:val="18"/>
          <w:szCs w:val="18"/>
          <w:color w:val="auto"/>
        </w:rPr>
        <w:t xml:space="preserve"> held no meetings during 2012.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136" w:lineRule="exact"/>
        <w:rPr>
          <w:sz w:val="20"/>
          <w:szCs w:val="20"/>
          <w:color w:val="auto"/>
        </w:rPr>
      </w:pPr>
    </w:p>
    <w:p>
      <w:pPr>
        <w:jc w:val="both"/>
        <w:ind w:firstLine="775"/>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5 meetings during 2012. It has been delegated general oversight powers related to the management of the financial affairs of Martin Marietta, including but not limited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60"/>
          </w:cols>
          <w:pgMar w:left="440" w:top="469" w:right="399" w:bottom="144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9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779010"/>
                    </a:xfrm>
                    <a:prstGeom prst="rect">
                      <a:avLst/>
                    </a:prstGeom>
                    <a:noFill/>
                  </pic:spPr>
                </pic:pic>
              </a:graphicData>
            </a:graphic>
          </wp:anchor>
        </w:drawing>
        <w:t>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137"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Management Development and Compensation Committee</w:t>
      </w:r>
      <w:r>
        <w:rPr>
          <w:rFonts w:ascii="Arial" w:cs="Arial" w:eastAsia="Arial" w:hAnsi="Arial"/>
          <w:sz w:val="16"/>
          <w:szCs w:val="16"/>
          <w:color w:val="auto"/>
        </w:rPr>
        <w:t xml:space="preserve"> held 5 meetings during 2012.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36" w:lineRule="exact"/>
        <w:rPr>
          <w:sz w:val="20"/>
          <w:szCs w:val="20"/>
          <w:color w:val="auto"/>
        </w:rPr>
      </w:pPr>
    </w:p>
    <w:p>
      <w:pPr>
        <w:ind w:left="980" w:hanging="213"/>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overall strategy with respect to compensation for officers and management to enable Martin Marietta to attract and retain qualified employees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 executive succession and management development plans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Martin Marietta’s directors and elected officers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administer Martin Marietta’s equity and other compensation plans, as amended from time to time</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the Compensation Discussion and Analysis and produce a compensation committee report as required by the SEC to be included in this proxy statement</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oversight of Martin Marietta’s Benefit Plan Committee, which administers Martin Marietta’s defined benefit and contribution plans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Committee has the power, in its sole discretion, to determine the compensation and benefits to be paid for all elected officers and employees.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also approves and administers the grants of stock options and any other equity-based awards that may be granted by Martin Marietta.</w:t>
      </w:r>
    </w:p>
    <w:p>
      <w:pPr>
        <w:spacing w:after="0" w:line="188" w:lineRule="exact"/>
        <w:rPr>
          <w:sz w:val="20"/>
          <w:szCs w:val="20"/>
          <w:color w:val="auto"/>
        </w:rPr>
      </w:pPr>
    </w:p>
    <w:p>
      <w:pPr>
        <w:jc w:val="both"/>
        <w:ind w:firstLine="443"/>
        <w:spacing w:after="0" w:line="289" w:lineRule="auto"/>
        <w:rPr>
          <w:sz w:val="20"/>
          <w:szCs w:val="20"/>
          <w:color w:val="auto"/>
        </w:rPr>
      </w:pPr>
      <w:r>
        <w:rPr>
          <w:rFonts w:ascii="Arial" w:cs="Arial" w:eastAsia="Arial" w:hAnsi="Arial"/>
          <w:sz w:val="16"/>
          <w:szCs w:val="16"/>
          <w:color w:val="auto"/>
        </w:rPr>
        <w:t>The Committee reviews and approves Martin Marietta’s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60"/>
          </w:cols>
          <w:pgMar w:left="440" w:top="469" w:right="399" w:bottom="1440" w:gutter="0" w:footer="0" w:header="0"/>
        </w:sectPr>
      </w:pPr>
    </w:p>
    <w:bookmarkStart w:id="29" w:name="page30"/>
    <w:bookmarkEnd w:id="29"/>
    <w:p>
      <w:pPr>
        <w:jc w:val="both"/>
        <w:ind w:firstLine="775"/>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33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933315"/>
                    </a:xfrm>
                    <a:prstGeom prst="rect">
                      <a:avLst/>
                    </a:prstGeom>
                    <a:noFill/>
                  </pic:spPr>
                </pic:pic>
              </a:graphicData>
            </a:graphic>
          </wp:anchor>
        </w:drawing>
        <w:t xml:space="preserve">The </w:t>
      </w: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xml:space="preserve"> held 2 meetings in 2012. The Committee is composed entirely of non-employee, independent Directors, as required by the rules of the NYSE. The Committee possesses and may exercise the powers of the Board of Directors relating to the process of governance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28" w:lineRule="exact"/>
        <w:rPr>
          <w:sz w:val="20"/>
          <w:szCs w:val="20"/>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 the identification and selection of qualified Board and Committee members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director nominees for the next annual meeting of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 the development and implementation of a set of corporate governance principles applicable to Martin Marietta</w:t>
      </w:r>
    </w:p>
    <w:p>
      <w:pPr>
        <w:spacing w:after="0" w:line="171"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8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Upon the recommendation of this Committee, the Board of Directors has adopted a set of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for Martin Marietta. The Guidelines are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Nominating and Corporate Governance Committee consider any Director candidates recommended by shareholders?</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2012 annual meeting, Martin Marietta has not made any material changes to the procedures by which shareholders may recommend nominees to Martin Marietta’s Board of Directors. Additional information is contained in the section entitled “SHAREHOLDERS’ PROPOSALS FOR 2014 ANNUAL MEETING”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select nominees for the Board?</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Nominating and Corporate Governance Committee will consider candidates for Board membership suggested by its members and other Board members, as well as management and</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60"/>
          </w:cols>
          <w:pgMar w:left="440" w:top="463" w:right="399" w:bottom="1440" w:gutter="0" w:footer="0" w:header="0"/>
        </w:sectPr>
      </w:pPr>
    </w:p>
    <w:bookmarkStart w:id="30" w:name="page31"/>
    <w:bookmarkEnd w:id="30"/>
    <w:p>
      <w:pPr>
        <w:jc w:val="both"/>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69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469765"/>
                    </a:xfrm>
                    <a:prstGeom prst="rect">
                      <a:avLst/>
                    </a:prstGeom>
                    <a:noFill/>
                  </pic:spPr>
                </pic:pic>
              </a:graphicData>
            </a:graphic>
          </wp:anchor>
        </w:drawing>
        <w:t>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05"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Guidelines for Potential New Board Members</w:t>
      </w:r>
      <w:r>
        <w:rPr>
          <w:rFonts w:ascii="Arial" w:cs="Arial" w:eastAsia="Arial" w:hAnsi="Arial"/>
          <w:sz w:val="16"/>
          <w:szCs w:val="16"/>
          <w:color w:val="auto"/>
        </w:rPr>
        <w:t xml:space="preserve"> adopted by the Committee, and takes into account all other factors it considers appropriate. A copy of these Guidelines is attached to this proxy statement as Appendix A.</w:t>
      </w:r>
    </w:p>
    <w:p>
      <w:pPr>
        <w:spacing w:after="0" w:line="107"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Martin Marietta.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Martin Marietta’s which has grown through acquisitions, leadership experience, public company Board membership or executive officer experience, and relevant geographical experience.</w:t>
      </w:r>
    </w:p>
    <w:p>
      <w:pPr>
        <w:spacing w:after="0" w:line="118"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 xml:space="preserve">Although the Committee does not have a formal policy regarding Board diversity, matters of diversity (including diversity in professional experience, geographic background reflecting Martin Marietta’s geographic base, education, ethnic background and gender) are included in the many characteristics considered by the Committee in evaluating nominees for election as directors as reflected in Martin Marietta’s </w:t>
      </w:r>
      <w:r>
        <w:rPr>
          <w:rFonts w:ascii="Arial" w:cs="Arial" w:eastAsia="Arial" w:hAnsi="Arial"/>
          <w:sz w:val="16"/>
          <w:szCs w:val="16"/>
          <w:i w:val="1"/>
          <w:iCs w:val="1"/>
          <w:color w:val="auto"/>
        </w:rPr>
        <w:t>Guidelines for Potential New</w:t>
      </w:r>
      <w:r>
        <w:rPr>
          <w:rFonts w:ascii="Arial" w:cs="Arial" w:eastAsia="Arial" w:hAnsi="Arial"/>
          <w:sz w:val="16"/>
          <w:szCs w:val="16"/>
          <w:color w:val="auto"/>
        </w:rPr>
        <w:t xml:space="preserve"> </w:t>
      </w:r>
      <w:r>
        <w:rPr>
          <w:rFonts w:ascii="Arial" w:cs="Arial" w:eastAsia="Arial" w:hAnsi="Arial"/>
          <w:sz w:val="16"/>
          <w:szCs w:val="16"/>
          <w:i w:val="1"/>
          <w:iCs w:val="1"/>
          <w:color w:val="auto"/>
        </w:rPr>
        <w:t>Board Members</w:t>
      </w:r>
      <w:r>
        <w:rPr>
          <w:rFonts w:ascii="Arial" w:cs="Arial" w:eastAsia="Arial" w:hAnsi="Arial"/>
          <w:sz w:val="16"/>
          <w:szCs w:val="16"/>
          <w:color w:val="auto"/>
        </w:rPr>
        <w:t>. The Committee considers all candidates in the context of the qualifications enumerated above, as well as their complementary experiences,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6"/>
          <w:szCs w:val="16"/>
          <w:i w:val="1"/>
          <w:iCs w:val="1"/>
          <w:color w:val="auto"/>
        </w:rPr>
        <w:t xml:space="preserve">Guidelines for Potential New Board Members </w:t>
      </w:r>
      <w:r>
        <w:rPr>
          <w:rFonts w:ascii="Arial" w:cs="Arial" w:eastAsia="Arial" w:hAnsi="Arial"/>
          <w:sz w:val="16"/>
          <w:szCs w:val="16"/>
          <w:color w:val="auto"/>
        </w:rPr>
        <w:t>when it periodically reviews the overall composition of the Board and as part of its self-evaluation process.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these qualities, the Committee has considered the special characteristics outlined in the Directors’ biographies on pages 8-15 of this Proxy Statement, which has led the Committee to conclude that the current Board members, including the nominees for election, have the appropriate characteristics to serve as members of the Board of Directors.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60"/>
          </w:cols>
          <w:pgMar w:left="440" w:top="469" w:right="399" w:bottom="1440" w:gutter="0" w:footer="0" w:header="0"/>
        </w:sectPr>
      </w:pPr>
    </w:p>
    <w:bookmarkStart w:id="31" w:name="page32"/>
    <w:bookmarkEnd w:id="31"/>
    <w:p>
      <w:pPr>
        <w:jc w:val="both"/>
        <w:ind w:firstLine="77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332605"/>
                    </a:xfrm>
                    <a:prstGeom prst="rect">
                      <a:avLst/>
                    </a:prstGeom>
                    <a:noFill/>
                  </pic:spPr>
                </pic:pic>
              </a:graphicData>
            </a:graphic>
          </wp:anchor>
        </w:drawing>
        <w:t>Each nominee approved by the Nominating and Corporate Governance Committee and recommended for election at the 2013 Annual Meeting is a current Director standing for re-election. The Committee received no additional recommendations for Director nominees for consideration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Board Committees have charters? How can shareholders obtain them?</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along with copies of Martin Marietta’s </w:t>
      </w:r>
      <w:r>
        <w:rPr>
          <w:rFonts w:ascii="Arial" w:cs="Arial" w:eastAsia="Arial" w:hAnsi="Arial"/>
          <w:sz w:val="18"/>
          <w:szCs w:val="18"/>
          <w:i w:val="1"/>
          <w:iCs w:val="1"/>
          <w:color w:val="auto"/>
        </w:rPr>
        <w:t>Corporate Governance Guidelines, Code of Ethics</w:t>
      </w:r>
      <w:r>
        <w:rPr>
          <w:rFonts w:ascii="Arial" w:cs="Arial" w:eastAsia="Arial" w:hAnsi="Arial"/>
          <w:sz w:val="18"/>
          <w:szCs w:val="18"/>
          <w:color w:val="auto"/>
        </w:rPr>
        <w:t xml:space="preserve"> </w:t>
      </w:r>
      <w:r>
        <w:rPr>
          <w:rFonts w:ascii="Arial" w:cs="Arial" w:eastAsia="Arial" w:hAnsi="Arial"/>
          <w:sz w:val="18"/>
          <w:szCs w:val="18"/>
          <w:i w:val="1"/>
          <w:iCs w:val="1"/>
          <w:color w:val="auto"/>
        </w:rPr>
        <w:t>and Standards of Conduct</w:t>
      </w:r>
      <w:r>
        <w:rPr>
          <w:rFonts w:ascii="Arial" w:cs="Arial" w:eastAsia="Arial" w:hAnsi="Arial"/>
          <w:sz w:val="18"/>
          <w:szCs w:val="18"/>
          <w:color w:val="auto"/>
        </w:rPr>
        <w:t>, and</w:t>
      </w:r>
      <w:r>
        <w:rPr>
          <w:rFonts w:ascii="Arial" w:cs="Arial" w:eastAsia="Arial" w:hAnsi="Arial"/>
          <w:sz w:val="18"/>
          <w:szCs w:val="18"/>
          <w:i w:val="1"/>
          <w:iCs w:val="1"/>
          <w:color w:val="auto"/>
        </w:rPr>
        <w:t xml:space="preserve"> Guidelines for Director’s Independence</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transactions with persons related to Martin Marietta reviewed?</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107"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Ethics and</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of Conduct</w:t>
      </w:r>
      <w:r>
        <w:rPr>
          <w:rFonts w:ascii="Arial" w:cs="Arial" w:eastAsia="Arial" w:hAnsi="Arial"/>
          <w:sz w:val="16"/>
          <w:szCs w:val="16"/>
          <w:color w:val="auto"/>
        </w:rPr>
        <w:t>. Martin Marietta considers that any transaction in which Martin Marietta participates and in which any related person of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 has a direct or indirect material interest will be subject to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 Ethics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of Conduct. </w:t>
      </w:r>
      <w:r>
        <w:rPr>
          <w:rFonts w:ascii="Arial" w:cs="Arial" w:eastAsia="Arial" w:hAnsi="Arial"/>
          <w:sz w:val="16"/>
          <w:szCs w:val="16"/>
          <w:color w:val="auto"/>
        </w:rPr>
        <w:t>If a proposed transaction is one in which a Director of Martin Marietta has an actual or potential conflict of interest, it will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review by the Chairman of the Board of Directors and the Chairman of the Nominating and Corporate Governance Committee.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Any waivers of the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8"/>
          <w:szCs w:val="18"/>
          <w:i w:val="1"/>
          <w:iCs w:val="1"/>
          <w:color w:val="auto"/>
        </w:rPr>
        <w:t>Code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Ethics and Standards of Conduct </w:t>
      </w:r>
      <w:r>
        <w:rPr>
          <w:rFonts w:ascii="Arial" w:cs="Arial" w:eastAsia="Arial" w:hAnsi="Arial"/>
          <w:sz w:val="18"/>
          <w:szCs w:val="18"/>
          <w:color w:val="auto"/>
        </w:rPr>
        <w:t>will be promptly disclosed to Martin Marietta’s shareholders.</w:t>
      </w:r>
    </w:p>
    <w:p>
      <w:pPr>
        <w:spacing w:after="0" w:line="140" w:lineRule="exact"/>
        <w:rPr>
          <w:sz w:val="20"/>
          <w:szCs w:val="20"/>
          <w:color w:val="auto"/>
        </w:rPr>
      </w:pPr>
    </w:p>
    <w:p>
      <w:pPr>
        <w:jc w:val="both"/>
        <w:ind w:firstLine="775"/>
        <w:spacing w:after="0" w:line="370" w:lineRule="auto"/>
        <w:rPr>
          <w:sz w:val="20"/>
          <w:szCs w:val="20"/>
          <w:color w:val="auto"/>
        </w:rPr>
      </w:pPr>
      <w:r>
        <w:rPr>
          <w:rFonts w:ascii="Arial" w:cs="Arial" w:eastAsia="Arial" w:hAnsi="Arial"/>
          <w:sz w:val="15"/>
          <w:szCs w:val="15"/>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60"/>
          </w:cols>
          <w:pgMar w:left="440" w:top="469" w:right="3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PROPOSAL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MARTIN MARIETTA’S AMENDED ARTICLES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INCORPORATION TO IMPLEMENT A MAJORITY VOTING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FOR DIRECTOR ELECTIONS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2 on Proxy Card)</w:t>
      </w:r>
    </w:p>
    <w:p>
      <w:pPr>
        <w:spacing w:after="0" w:line="165"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Board of Directors has approved, and recommends that shareholders approve, amendments to Article 5 of the Corporation’s Amended Articles of Incorporation (the “Articles of Incorporation”) to implement a majority vote standard for uncontested elections of Directors.</w:t>
      </w:r>
    </w:p>
    <w:p>
      <w:pPr>
        <w:spacing w:after="0" w:line="85"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North Carolina Business Corporation Act provides that, unless otherwise specified in a company’s articles of incorporation, a director is elected by a plurality of the votes cast by the shares entitled to vote in the election at a meeting at which a quorum is present. Currently, Martin Marietta’s Articles of Incorporation provide that Directors are elected by a plurality vote in contested and uncontested elections. The Board of Directors believes this change in the standard for electing directors in uncontested elections (which under North Carolina law can only be effected by amending Martin Marietta’s Articles of Incorporation) is in the best interests of Martin Marietta and its shareholders. Under the proposed majority voting standard, in order for a director to be elected in an uncontested election, the number of votes cast “for” the election of the director must exceed the number of votes cast “against” that director’s election. A plurality voting standard will continue to apply in contested elections.</w:t>
      </w:r>
    </w:p>
    <w:p>
      <w:pPr>
        <w:spacing w:after="0" w:line="118"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The proposed amendments also include authority for the Board of Directors to address the possibility of a “holdover” director. 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the proposed amendments to Martin Marietta’s Articles of Incorporation provide that if a director fails to receive the required majority vote, the Board of Directors may decrease the number of directors, fill any vacancy, or take other appropriate action.</w:t>
      </w:r>
    </w:p>
    <w:p>
      <w:pPr>
        <w:spacing w:after="0" w:line="12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Under North Carolina law, amendments to the Articles of Incorporation to provide for majority voting in uncontested director elections must be approved by the shareholders. The amendments will be approved by the shareholders if more votes are cast at the annual meeting in favor of approving the proposed amendments than are cast against the proposal. The text of the proposed amendments to Article 5 of the Corporation’s Articles of Incorporation is set forth in the attached </w:t>
      </w:r>
      <w:r>
        <w:rPr>
          <w:rFonts w:ascii="Arial" w:cs="Arial" w:eastAsia="Arial" w:hAnsi="Arial"/>
          <w:sz w:val="18"/>
          <w:szCs w:val="18"/>
          <w:i w:val="1"/>
          <w:iCs w:val="1"/>
          <w:color w:val="auto"/>
        </w:rPr>
        <w:t>Appendix C</w:t>
      </w:r>
      <w:r>
        <w:rPr>
          <w:rFonts w:ascii="Arial" w:cs="Arial" w:eastAsia="Arial" w:hAnsi="Arial"/>
          <w:sz w:val="18"/>
          <w:szCs w:val="18"/>
          <w:color w:val="auto"/>
        </w:rPr>
        <w:t xml:space="preserve"> to this proxy statement. </w:t>
      </w:r>
      <w:r>
        <w:rPr>
          <w:rFonts w:ascii="Arial" w:cs="Arial" w:eastAsia="Arial" w:hAnsi="Arial"/>
          <w:sz w:val="18"/>
          <w:szCs w:val="18"/>
          <w:i w:val="1"/>
          <w:iCs w:val="1"/>
          <w:color w:val="auto"/>
        </w:rPr>
        <w:t>Appendix C</w:t>
      </w:r>
      <w:r>
        <w:rPr>
          <w:rFonts w:ascii="Arial" w:cs="Arial" w:eastAsia="Arial" w:hAnsi="Arial"/>
          <w:sz w:val="18"/>
          <w:szCs w:val="18"/>
          <w:color w:val="auto"/>
        </w:rPr>
        <w:t xml:space="preserve"> is incorporated herein by reference and shareholders are encouraged to read </w:t>
      </w:r>
      <w:r>
        <w:rPr>
          <w:rFonts w:ascii="Arial" w:cs="Arial" w:eastAsia="Arial" w:hAnsi="Arial"/>
          <w:sz w:val="18"/>
          <w:szCs w:val="18"/>
          <w:i w:val="1"/>
          <w:iCs w:val="1"/>
          <w:color w:val="auto"/>
        </w:rPr>
        <w:t xml:space="preserve">Appendix C </w:t>
      </w:r>
      <w:r>
        <w:rPr>
          <w:rFonts w:ascii="Arial" w:cs="Arial" w:eastAsia="Arial" w:hAnsi="Arial"/>
          <w:sz w:val="18"/>
          <w:szCs w:val="18"/>
          <w:color w:val="auto"/>
        </w:rPr>
        <w:t>in its entirety.</w:t>
      </w:r>
    </w:p>
    <w:p>
      <w:pPr>
        <w:spacing w:after="0" w:line="14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If approved, the amendments will become effective upon the filing of Articles of Amendment to Martin Marietta’s Articles of Incorporation with the Secretary of State of North Carolina, which Martin Marietta would intend to do promptly after the annual meeting. The new majority voting standard would then be applicable to the election of directors at the 2014 annual meeting of shareholders.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60"/>
          </w:cols>
          <w:pgMar w:left="440" w:top="463" w:right="399" w:bottom="1440" w:gutter="0" w:footer="0" w:header="0"/>
        </w:sectPr>
      </w:pPr>
    </w:p>
    <w:bookmarkStart w:id="33" w:name="page34"/>
    <w:bookmarkEnd w:id="33"/>
    <w:p>
      <w:pPr>
        <w:jc w:val="both"/>
        <w:ind w:firstLine="775"/>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5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435475"/>
                    </a:xfrm>
                    <a:prstGeom prst="rect">
                      <a:avLst/>
                    </a:prstGeom>
                    <a:noFill/>
                  </pic:spPr>
                </pic:pic>
              </a:graphicData>
            </a:graphic>
          </wp:anchor>
        </w:drawing>
        <w:t>Martin Marietta’s Board of Directors has determined that the proposal to amend the Articles of Incorporation to provide for majority voting in uncontested director elections is in Martin Marietta’s and our shareholders’ best interests. Accordingly, Martin Marietta’s Board of Directors has approved these amendments and recommends that the shareholders approve these amendments by voting “FOR” this proposal.</w:t>
      </w:r>
    </w:p>
    <w:p>
      <w:pPr>
        <w:spacing w:after="0" w:line="18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THE PROPOSAL TO AMEND THE CORPORATION’S ARTICLES OF INCORPORATION TO IMPLEMENT A MAJORITY VOTING STANDARD IN UNCONTESTED DIRECTOR ELECTIONS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3 on Proxy Card)</w:t>
      </w:r>
    </w:p>
    <w:p>
      <w:pPr>
        <w:spacing w:after="0" w:line="165"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Board of Directors recommends that the shareholders ratify the appointment of Ernst &amp; Young LLP, an independent registered public accounting firm, to audit the consolidated financial statements of Martin Marietta and the effectiveness of Martin Marietta’s internal control over financial reporting for the 2013 fiscal year.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43"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Ernst &amp; Young LLP served as Martin Marietta’s independent auditors for 2012 and audited the consolidated financial statements of Martin Marietta for the year ended December 31, 2012 and the effectiveness of Martin Marietta’s internal control over financial reporting as of December 31, 2012. In connection with the audit of Martin Marietta’s 2012 financial statements, Martin Marietta entered into an engagement letter with Ernst &amp; Young LLP that sets forth the terms by which Ernst &amp; Young LLP would perform audit services for Martin Marietta. Ernst &amp; Young LLP required that the audit engagement agreement be subject to alternative dispute resolution procedures and an exclusion of punitive damages.</w:t>
      </w:r>
    </w:p>
    <w:p>
      <w:pPr>
        <w:spacing w:after="0" w:line="116"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Audit Committee is solely responsible for retaining or terminating Martin Marietta’s independent auditors in 2013. Representatives of Ernst &amp; Young LLP are expected to attend the annual meeting, will have the opportunity to make a statement if they so desire, and will be available to respond to questions from shareholders.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UNANIMOUSLY RECOMMENDS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RATIFICATION OF THE SELECTION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ERNST &amp; YOUNG LLP AS INDEPENDENT AUDITORS.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60"/>
          </w:cols>
          <w:pgMar w:left="440" w:top="469"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67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967605"/>
                    </a:xfrm>
                    <a:prstGeom prst="rect">
                      <a:avLst/>
                    </a:prstGeom>
                    <a:noFill/>
                  </pic:spPr>
                </pic:pic>
              </a:graphicData>
            </a:graphic>
          </wp:anchor>
        </w:drawing>
        <w:t>Summary of Fees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following table summarizes the aggregate fees billed for professional services rendered to Martin Marietta by Ernst &amp; Young LLP in 2012 and 2011. A description of these various fees and services follows the table.</w:t>
      </w:r>
    </w:p>
    <w:p>
      <w:pPr>
        <w:spacing w:after="0" w:line="161" w:lineRule="exact"/>
        <w:rPr>
          <w:sz w:val="20"/>
          <w:szCs w:val="20"/>
          <w:color w:val="auto"/>
        </w:rPr>
      </w:pPr>
    </w:p>
    <w:tbl>
      <w:tblPr>
        <w:tblLayout w:type="fixed"/>
        <w:tblInd w:w="450" w:type="dxa"/>
        <w:tblCellMar>
          <w:top w:w="0" w:type="dxa"/>
          <w:left w:w="0" w:type="dxa"/>
          <w:bottom w:w="0" w:type="dxa"/>
          <w:right w:w="0" w:type="dxa"/>
        </w:tblCellMar>
      </w:tblPr>
      <w:tr>
        <w:trPr>
          <w:trHeight w:val="302"/>
        </w:trPr>
        <w:tc>
          <w:tcPr>
            <w:tcW w:w="7080" w:type="dxa"/>
            <w:vAlign w:val="bottom"/>
            <w:tcBorders>
              <w:top w:val="single" w:sz="8" w:color="auto"/>
              <w:left w:val="single" w:sz="8" w:color="auto"/>
              <w:bottom w:val="single" w:sz="8" w:color="E0E0E0"/>
            </w:tcBorders>
            <w:shd w:val="clear" w:color="auto" w:fill="E0E0E0"/>
          </w:tcPr>
          <w:p>
            <w:pPr>
              <w:spacing w:after="0"/>
              <w:rPr>
                <w:sz w:val="24"/>
                <w:szCs w:val="24"/>
                <w:color w:val="auto"/>
              </w:rPr>
            </w:pPr>
          </w:p>
        </w:tc>
        <w:tc>
          <w:tcPr>
            <w:tcW w:w="60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E0E0E0"/>
              <w:right w:val="single" w:sz="8" w:color="auto"/>
            </w:tcBorders>
            <w:shd w:val="clear" w:color="auto" w:fill="E0E0E0"/>
          </w:tcPr>
          <w:p>
            <w:pPr>
              <w:spacing w:after="0"/>
              <w:rPr>
                <w:sz w:val="24"/>
                <w:szCs w:val="24"/>
                <w:color w:val="auto"/>
              </w:rPr>
            </w:pPr>
          </w:p>
        </w:tc>
      </w:tr>
      <w:tr>
        <w:trPr>
          <w:trHeight w:val="197"/>
        </w:trPr>
        <w:tc>
          <w:tcPr>
            <w:tcW w:w="7080" w:type="dxa"/>
            <w:vAlign w:val="bottom"/>
            <w:tcBorders>
              <w:top w:val="single" w:sz="8" w:color="auto"/>
              <w:left w:val="single" w:sz="8" w:color="auto"/>
            </w:tcBorders>
            <w:shd w:val="clear" w:color="auto" w:fill="E0E0E0"/>
          </w:tcPr>
          <w:p>
            <w:pPr>
              <w:ind w:left="120"/>
              <w:spacing w:after="0" w:line="196" w:lineRule="exact"/>
              <w:rPr>
                <w:sz w:val="20"/>
                <w:szCs w:val="20"/>
                <w:color w:val="auto"/>
              </w:rPr>
            </w:pPr>
            <w:r>
              <w:rPr>
                <w:rFonts w:ascii="Arial" w:cs="Arial" w:eastAsia="Arial" w:hAnsi="Arial"/>
                <w:sz w:val="18"/>
                <w:szCs w:val="18"/>
                <w:color w:val="auto"/>
              </w:rPr>
              <w:t>Audit Fees</w:t>
            </w:r>
          </w:p>
        </w:tc>
        <w:tc>
          <w:tcPr>
            <w:tcW w:w="1400" w:type="dxa"/>
            <w:vAlign w:val="bottom"/>
            <w:tcBorders>
              <w:top w:val="single" w:sz="8" w:color="auto"/>
            </w:tcBorders>
            <w:gridSpan w:val="2"/>
            <w:shd w:val="clear" w:color="auto" w:fill="E0E0E0"/>
          </w:tcPr>
          <w:p>
            <w:pPr>
              <w:jc w:val="right"/>
              <w:spacing w:after="0" w:line="196" w:lineRule="exact"/>
              <w:rPr>
                <w:sz w:val="20"/>
                <w:szCs w:val="20"/>
                <w:color w:val="auto"/>
              </w:rPr>
            </w:pPr>
            <w:r>
              <w:rPr>
                <w:rFonts w:ascii="Arial" w:cs="Arial" w:eastAsia="Arial" w:hAnsi="Arial"/>
                <w:sz w:val="18"/>
                <w:szCs w:val="18"/>
                <w:color w:val="auto"/>
              </w:rPr>
              <w:t>$1,498,000</w:t>
            </w:r>
          </w:p>
        </w:tc>
        <w:tc>
          <w:tcPr>
            <w:tcW w:w="1500" w:type="dxa"/>
            <w:vAlign w:val="bottom"/>
            <w:tcBorders>
              <w:top w:val="single" w:sz="8" w:color="auto"/>
            </w:tcBorders>
            <w:gridSpan w:val="2"/>
            <w:shd w:val="clear" w:color="auto" w:fill="E0E0E0"/>
          </w:tcPr>
          <w:p>
            <w:pPr>
              <w:jc w:val="right"/>
              <w:spacing w:after="0" w:line="196" w:lineRule="exact"/>
              <w:rPr>
                <w:sz w:val="20"/>
                <w:szCs w:val="20"/>
                <w:color w:val="auto"/>
              </w:rPr>
            </w:pPr>
            <w:r>
              <w:rPr>
                <w:rFonts w:ascii="Arial" w:cs="Arial" w:eastAsia="Arial" w:hAnsi="Arial"/>
                <w:sz w:val="18"/>
                <w:szCs w:val="18"/>
                <w:color w:val="auto"/>
              </w:rPr>
              <w:t>$1,813,000</w:t>
            </w:r>
          </w:p>
        </w:tc>
        <w:tc>
          <w:tcPr>
            <w:tcW w:w="220" w:type="dxa"/>
            <w:vAlign w:val="bottom"/>
            <w:tcBorders>
              <w:top w:val="single" w:sz="8" w:color="auto"/>
              <w:right w:val="single" w:sz="8" w:color="auto"/>
            </w:tcBorders>
            <w:shd w:val="clear" w:color="auto" w:fill="E0E0E0"/>
          </w:tcPr>
          <w:p>
            <w:pPr>
              <w:spacing w:after="0"/>
              <w:rPr>
                <w:sz w:val="17"/>
                <w:szCs w:val="17"/>
                <w:color w:val="auto"/>
              </w:rPr>
            </w:pPr>
          </w:p>
        </w:tc>
      </w:tr>
      <w:tr>
        <w:trPr>
          <w:trHeight w:val="216"/>
        </w:trPr>
        <w:tc>
          <w:tcPr>
            <w:tcW w:w="70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Audit-Related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220" w:type="dxa"/>
            <w:vAlign w:val="bottom"/>
            <w:tcBorders>
              <w:right w:val="single" w:sz="8" w:color="auto"/>
            </w:tcBorders>
          </w:tcPr>
          <w:p>
            <w:pPr>
              <w:spacing w:after="0"/>
              <w:rPr>
                <w:sz w:val="18"/>
                <w:szCs w:val="18"/>
                <w:color w:val="auto"/>
              </w:rPr>
            </w:pPr>
          </w:p>
        </w:tc>
      </w:tr>
      <w:tr>
        <w:trPr>
          <w:trHeight w:val="216"/>
        </w:trPr>
        <w:tc>
          <w:tcPr>
            <w:tcW w:w="708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Tax Fees</w:t>
            </w:r>
          </w:p>
        </w:tc>
        <w:tc>
          <w:tcPr>
            <w:tcW w:w="140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259,000</w:t>
            </w:r>
          </w:p>
        </w:tc>
        <w:tc>
          <w:tcPr>
            <w:tcW w:w="150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Borders>
              <w:right w:val="single" w:sz="8" w:color="auto"/>
            </w:tcBorders>
            <w:shd w:val="clear" w:color="auto" w:fill="E0E0E0"/>
          </w:tcPr>
          <w:p>
            <w:pPr>
              <w:spacing w:after="0"/>
              <w:rPr>
                <w:sz w:val="18"/>
                <w:szCs w:val="18"/>
                <w:color w:val="auto"/>
              </w:rPr>
            </w:pPr>
          </w:p>
        </w:tc>
      </w:tr>
      <w:tr>
        <w:trPr>
          <w:trHeight w:val="216"/>
        </w:trPr>
        <w:tc>
          <w:tcPr>
            <w:tcW w:w="70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All Other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8"/>
                <w:szCs w:val="18"/>
                <w:color w:val="auto"/>
              </w:rPr>
            </w:pPr>
          </w:p>
        </w:tc>
      </w:tr>
      <w:tr>
        <w:trPr>
          <w:trHeight w:val="27"/>
        </w:trPr>
        <w:tc>
          <w:tcPr>
            <w:tcW w:w="7080" w:type="dxa"/>
            <w:vAlign w:val="bottom"/>
            <w:tcBorders>
              <w:left w:val="single" w:sz="8" w:color="auto"/>
            </w:tcBorders>
          </w:tcPr>
          <w:p>
            <w:pPr>
              <w:spacing w:after="0"/>
              <w:rPr>
                <w:sz w:val="2"/>
                <w:szCs w:val="2"/>
                <w:color w:val="auto"/>
              </w:rPr>
            </w:pPr>
          </w:p>
        </w:tc>
        <w:tc>
          <w:tcPr>
            <w:tcW w:w="14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r>
      <w:tr>
        <w:trPr>
          <w:trHeight w:val="216"/>
        </w:trPr>
        <w:tc>
          <w:tcPr>
            <w:tcW w:w="7080" w:type="dxa"/>
            <w:vAlign w:val="bottom"/>
            <w:tcBorders>
              <w:left w:val="single" w:sz="8" w:color="auto"/>
            </w:tcBorders>
            <w:shd w:val="clear" w:color="auto" w:fill="E0E0E0"/>
          </w:tcPr>
          <w:p>
            <w:pPr>
              <w:ind w:left="34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$1,859,000</w:t>
            </w:r>
          </w:p>
        </w:tc>
        <w:tc>
          <w:tcPr>
            <w:tcW w:w="150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$1,985,000</w:t>
            </w:r>
          </w:p>
        </w:tc>
        <w:tc>
          <w:tcPr>
            <w:tcW w:w="220" w:type="dxa"/>
            <w:vAlign w:val="bottom"/>
            <w:tcBorders>
              <w:right w:val="single" w:sz="8" w:color="auto"/>
            </w:tcBorders>
            <w:shd w:val="clear" w:color="auto" w:fill="E0E0E0"/>
          </w:tcPr>
          <w:p>
            <w:pPr>
              <w:spacing w:after="0"/>
              <w:rPr>
                <w:sz w:val="18"/>
                <w:szCs w:val="18"/>
                <w:color w:val="auto"/>
              </w:rPr>
            </w:pPr>
          </w:p>
        </w:tc>
      </w:tr>
      <w:tr>
        <w:trPr>
          <w:trHeight w:val="216"/>
        </w:trPr>
        <w:tc>
          <w:tcPr>
            <w:tcW w:w="70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Percentage of Audit &amp; Audit-Related Fees to Total Fees</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Borders>
              <w:bottom w:val="single" w:sz="8" w:color="auto"/>
              <w:right w:val="single" w:sz="8" w:color="auto"/>
            </w:tcBorders>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2012 and 2011 in connection with the annual financial statement audit, the annual internal controls audit, and reviews of Martin Marietta’s financial statements included in the quarterly reports on Form 10-Q were $1,264,000 and $1,483,000, respectively. During 2012 and 2011, Ernst &amp; Young LLP also billed Martin Marietta $234,000 and $330,000, respectively, related to the filing of the S-4 registration statement related to a proposed significant business combination that was not consummated.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2012 and 2011 in connection with audit-related services, including subsidiary audits and continuing education, were $102,000.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2012 and 2011 in connection with tax advice, including consultation on transfer pricing issues and pending tangible property regulations, and other tax-related activities were $259,000 and $70,000,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There were no other fees billed for other professional services rendered or products provided by Ernst &amp; Young LLP to Martin Marietta for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2011.</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60"/>
          </w:cols>
          <w:pgMar w:left="440" w:top="469"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8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087620"/>
                    </a:xfrm>
                    <a:prstGeom prst="rect">
                      <a:avLst/>
                    </a:prstGeom>
                    <a:noFill/>
                  </pic:spPr>
                </pic:pic>
              </a:graphicData>
            </a:graphic>
          </wp:anchor>
        </w:drawing>
        <w:t>Pre-Approval Policies and Procedures</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Review</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COMMITTEE REPORT</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Director’s Independence </w:t>
      </w:r>
      <w:r>
        <w:rPr>
          <w:rFonts w:ascii="Arial" w:cs="Arial" w:eastAsia="Arial" w:hAnsi="Arial"/>
          <w:sz w:val="16"/>
          <w:szCs w:val="16"/>
          <w:color w:val="auto"/>
        </w:rPr>
        <w:t>can be viewed on Martin Marietta’s website at</w:t>
      </w:r>
      <w:r>
        <w:rPr>
          <w:rFonts w:ascii="Arial" w:cs="Arial" w:eastAsia="Arial" w:hAnsi="Arial"/>
          <w:sz w:val="16"/>
          <w:szCs w:val="16"/>
          <w:i w:val="1"/>
          <w:iCs w:val="1"/>
          <w:color w:val="auto"/>
        </w:rPr>
        <w:t xml:space="preserve"> www.martinmarietta.com.</w:t>
      </w:r>
    </w:p>
    <w:p>
      <w:pPr>
        <w:spacing w:after="0" w:line="11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4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In the discharge of its responsibilities, the Audit Committee has reviewed and discussed with management and the independent auditors Martin Marietta’s audited financial statements for fiscal year 2012. In addition, the Committee has discussed with the independent auditors matters such as the quality (in addition to acceptability), clarity, consistency, and completeness of Martin Marietta’s financial reporting, as required by Statement on Auditing Standards No. 61, as amended and as adopted by the Public Company Accounting Oversight Board.</w:t>
      </w:r>
    </w:p>
    <w:p>
      <w:pPr>
        <w:spacing w:after="0" w:line="113"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Concerning Independence</w:t>
      </w:r>
      <w:r>
        <w:rPr>
          <w:rFonts w:ascii="Arial" w:cs="Arial" w:eastAsia="Arial" w:hAnsi="Arial"/>
          <w:sz w:val="18"/>
          <w:szCs w:val="18"/>
          <w:color w:val="auto"/>
        </w:rPr>
        <w:t>, and has discussed with the independent auditors the independent auditors’ independence. The Audit Committee also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independent auditors a letter indicating</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60"/>
          </w:cols>
          <w:pgMar w:left="440" w:top="469" w:right="39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276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5327650"/>
                    </a:xfrm>
                    <a:prstGeom prst="rect">
                      <a:avLst/>
                    </a:prstGeom>
                    <a:noFill/>
                  </pic:spPr>
                </pic:pic>
              </a:graphicData>
            </a:graphic>
          </wp:anchor>
        </w:drawing>
        <w:t>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14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Based on these reviews and discussions, the Audit Committee has recommended to the Board that the audited financial statements be included in Martin Marietta’s 2012 Annual Report on Form 10-K for filing with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Dennis L. Rediker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177"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34 of this proxy statement. Based on this review and discussion, the Management Development and Compensation Committee recommended to the Board of Directors that the Compensation Discussion and Analysis be included in Martin Marietta’s Annual Report on Form 10-K and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MANAGEMENT DEVELOPMENT AND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COMPENSATION COMMITTEE</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Sue W. Cole,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William E. McDonald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Michael J. Quillen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IN COMPENSATION DECISIONS</w:t>
      </w:r>
    </w:p>
    <w:p>
      <w:pPr>
        <w:spacing w:after="0" w:line="16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60"/>
          </w:cols>
          <w:pgMar w:left="440" w:top="469" w:right="3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This Executive Summary provides an overview of our performance in 2012, the factors influencing it, and how executive compensation in 2012 was tied to our performance. Our compensation philosophy and programs are described in more detail below in this Compensation Discussion and Analysis.</w:t>
      </w:r>
    </w:p>
    <w:p>
      <w:pPr>
        <w:spacing w:after="0" w:line="85"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Our shareholders expressed their continued support of our executive compensation programs by approving our non-binding advisory vote on executive compensation at our 2012 annual meeting of shareholders. More than 90% of votes cast supported our executive compensation policies and practices. During 2012, we reviewed our programs in conjunction with business results and our shareholder support. Following such review and consideration, we continue to believe that our executive compensation programs are designed to support our company and our business strategies in concert with our compensation philosophy.</w:t>
      </w:r>
    </w:p>
    <w:p>
      <w:pPr>
        <w:spacing w:after="0" w:line="14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 xml:space="preserve">The economic recession affecting the construction materials industry for several years continued in 2012. Although Martin Marietta experienced volume recovery in certain of its markets as overall aggregates shipments increased 2.6% from 2011 levels, total aggregates shipments of 128.3 million tons represents only 63% of shipments at our peak in 2005. Prior to 2010, the economic recession resulted in unprecedented reductions in aggregates shipments, as evidenced by United States aggregates consumption declining by almost 40% from peak volumes in 2006. Federal highway legislation funding was provided under a series of nine continuing resolutions from October 2009 through September 30, 2012. Effective October 1, 2012, a new federal surface transportation bill, </w:t>
      </w:r>
      <w:r>
        <w:rPr>
          <w:rFonts w:ascii="Arial" w:cs="Arial" w:eastAsia="Arial" w:hAnsi="Arial"/>
          <w:sz w:val="16"/>
          <w:szCs w:val="16"/>
          <w:i w:val="1"/>
          <w:iCs w:val="1"/>
          <w:color w:val="auto"/>
        </w:rPr>
        <w:t>Moving Ahead for Progress in the 21</w:t>
      </w:r>
      <w:r>
        <w:rPr>
          <w:rFonts w:ascii="Arial" w:cs="Arial" w:eastAsia="Arial" w:hAnsi="Arial"/>
          <w:sz w:val="10"/>
          <w:szCs w:val="10"/>
          <w:i w:val="1"/>
          <w:iCs w:val="1"/>
          <w:color w:val="auto"/>
        </w:rPr>
        <w:t>st</w:t>
      </w:r>
      <w:r>
        <w:rPr>
          <w:rFonts w:ascii="Arial" w:cs="Arial" w:eastAsia="Arial" w:hAnsi="Arial"/>
          <w:sz w:val="16"/>
          <w:szCs w:val="16"/>
          <w:color w:val="auto"/>
        </w:rPr>
        <w:t xml:space="preserve"> </w:t>
      </w:r>
      <w:r>
        <w:rPr>
          <w:rFonts w:ascii="Arial" w:cs="Arial" w:eastAsia="Arial" w:hAnsi="Arial"/>
          <w:sz w:val="16"/>
          <w:szCs w:val="16"/>
          <w:i w:val="1"/>
          <w:iCs w:val="1"/>
          <w:color w:val="auto"/>
        </w:rPr>
        <w:t>Century Act</w:t>
      </w:r>
      <w:r>
        <w:rPr>
          <w:rFonts w:ascii="Arial" w:cs="Arial" w:eastAsia="Arial" w:hAnsi="Arial"/>
          <w:sz w:val="16"/>
          <w:szCs w:val="16"/>
          <w:color w:val="auto"/>
        </w:rPr>
        <w:t xml:space="preserve">, or MAP-21, was enacted. This two-year bill, in addition to an expansion of federal credit assistance for nationally or regionally significant surface transportation projects available under </w:t>
      </w:r>
      <w:r>
        <w:rPr>
          <w:rFonts w:ascii="Arial" w:cs="Arial" w:eastAsia="Arial" w:hAnsi="Arial"/>
          <w:sz w:val="16"/>
          <w:szCs w:val="16"/>
          <w:i w:val="1"/>
          <w:iCs w:val="1"/>
          <w:color w:val="auto"/>
        </w:rPr>
        <w:t>Transportation Infrastructure Finance and Innovation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(“TIFIA”), led to signs of stability during 2012, but significant growth was impeded by economic and political uncertainty.</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Against this background, Martin Marietta continued to execute on its strategic plan while delivering strong performance in 2012:</w:t>
      </w:r>
    </w:p>
    <w:p>
      <w:pPr>
        <w:spacing w:after="0" w:line="90" w:lineRule="exact"/>
        <w:rPr>
          <w:sz w:val="20"/>
          <w:szCs w:val="20"/>
          <w:color w:val="auto"/>
        </w:rPr>
      </w:pPr>
    </w:p>
    <w:p>
      <w:pPr>
        <w:ind w:left="980" w:right="20" w:hanging="213"/>
        <w:spacing w:after="0" w:line="268"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earnings per diluted share of $2.29 in 2012 compared with $2.03 in 2011, excluding business development expenses of $0.46 and $0.25 per diluted share in 2012 and 2011, respectively</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Return on shareholders’ equity of 6.0% in 2012</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sales of $1.839 billion, a 21.0% increase, compared with net sales of $1.520 billion in 2011</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Heritage aggregates product line volume growth of 2.9% and pricing increase of 2.5%</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Contribution of $237.6 million in net sales and $8.1 million in gross profit from Denver, Colorado, operations acquired in December 2011</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Record financial results by the Specialty Products segment, which provided earnings from operations of $68.5 million</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payment of an annual cash dividend of $1.60 per share to shareholders, which has not been reduced from previous levels</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60"/>
          </w:cols>
          <w:pgMar w:left="440" w:top="463" w:right="399" w:bottom="1440" w:gutter="0" w:footer="0" w:header="0"/>
        </w:sectPr>
      </w:pPr>
    </w:p>
    <w:bookmarkStart w:id="38" w:name="page39"/>
    <w:bookmarkEnd w:id="38"/>
    <w:p>
      <w:pPr>
        <w:jc w:val="both"/>
        <w:ind w:firstLine="775"/>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76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276215"/>
                    </a:xfrm>
                    <a:prstGeom prst="rect">
                      <a:avLst/>
                    </a:prstGeom>
                    <a:noFill/>
                  </pic:spPr>
                </pic:pic>
              </a:graphicData>
            </a:graphic>
          </wp:anchor>
        </w:drawing>
        <w:t>Management was able to achieve these performance results in 2012 by effectively improving Martin Marietta’s cost structure without jeopardizing the long-term value of the business, allowing us to become more profitable as volumes recover. The number of employees has remained at a reduced level since 2008 (even considering the additional approximately 600 employees that were added net in 2011 due to acquisitions) and is nearly identical to the number of employees in 1997. However, we managed nearly three times more assets and produced nearly 40% greater gross profit in 2012 than in 1997, which reflects the greater efficiencies we have been able to successfully achieve in the business in addition to reducing costs. These actions have contributed to the following results:</w:t>
      </w:r>
    </w:p>
    <w:p>
      <w:pPr>
        <w:spacing w:after="0" w:line="63" w:lineRule="exact"/>
        <w:rPr>
          <w:sz w:val="20"/>
          <w:szCs w:val="20"/>
          <w:color w:val="auto"/>
        </w:rPr>
      </w:pPr>
    </w:p>
    <w:p>
      <w:pPr>
        <w:ind w:left="980" w:right="20" w:hanging="213"/>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general and administrative costs were 7.5% of net sales, an improvement of 70 basis points from 2011, which followed declines in the percentage of net sales in each of 2011 and 2010.</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ratio of consolidated debt-to-consolidated EBITDA, as provided for in our $600 million credit agreement, was 3.21 times for the trailing twelve months ended December 31, 2012, in compliance with the credit agreement’s limit of 3.75 times.</w:t>
      </w:r>
    </w:p>
    <w:p>
      <w:pPr>
        <w:spacing w:after="0" w:line="50"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of $151.0 million were made in 2012, focusing on the preservation of capital while maintaining safe, environmentally-sound operations, along with a continuing investment in land with long-term mineral reserves to serve high-growth markets and expansion of our Specialty Products business.</w:t>
      </w:r>
    </w:p>
    <w:p>
      <w:pPr>
        <w:spacing w:after="0" w:line="14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strong financial results for 2012 are accompanied by other achievements in 2012 that are reflective of the discipline of our executive management team. Mr. Nye and the other executive officers demonstrated solid execution of our business plan and the promotion of our strategic objectives focusing on long-term growth, which was reflected by the following initiatives:</w:t>
      </w:r>
    </w:p>
    <w:p>
      <w:pPr>
        <w:spacing w:after="0" w:line="59" w:lineRule="exact"/>
        <w:rPr>
          <w:sz w:val="20"/>
          <w:szCs w:val="20"/>
          <w:color w:val="auto"/>
        </w:rPr>
      </w:pPr>
    </w:p>
    <w:p>
      <w:pPr>
        <w:jc w:val="both"/>
        <w:ind w:left="980" w:hanging="213"/>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Construction of a new dolomitic lime kiln at the Specialty Products’ Woodville, Ohio facility was completed on budget and ahead of schedule. This kiln is expected to add over 275,000 additional tons of capacity and $22 million to $25 million of annual net sales to the Specialty Products segment. Operation of the kiln started during the fourth quarter of 2012.</w:t>
      </w:r>
    </w:p>
    <w:p>
      <w:pPr>
        <w:spacing w:after="0" w:line="59"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continued our focus on employee safety performance, environmental and other regulatory compliance and a robust ethics program.</w:t>
      </w:r>
    </w:p>
    <w:p>
      <w:pPr>
        <w:spacing w:after="0" w:line="113"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continued our focus on running our business efficiently and profitably while pursuing a proposed significant business combination that was not consummated.</w:t>
      </w:r>
    </w:p>
    <w:p>
      <w:pPr>
        <w:spacing w:after="0" w:line="132"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Management Development and Compensation Committee (the “Committee”) reviewed executive compensation in 2012 in light of these factors. The Committee used data from a variety of sources, including its independent compensation consultant, to achieve its goal of attracting and retaining qualified executives who will make decisions that achieve long-term success for Martin Marietta without sacrificing integrity, safety and other important principles. The Committee also was mindful of pay-for-performance objectives and sought to avoid practices that would encourage excessive risk-taking. In furtherance of these goals, the main elements of our compensation program are base salary, annual cash bonus, and long-term equity incentive awards. The Committee took into account a number of factors in determining compensation for 2012, including our financial results, individual performance, competitive data, and other factors, as detailed in the Compensation Discussion and Analysis. In light of these considerations, the Committee made the following compensation decisions for 2012:</w:t>
      </w:r>
    </w:p>
    <w:p>
      <w:pPr>
        <w:spacing w:after="0" w:line="37" w:lineRule="exact"/>
        <w:rPr>
          <w:sz w:val="20"/>
          <w:szCs w:val="20"/>
          <w:color w:val="auto"/>
        </w:rPr>
      </w:pPr>
    </w:p>
    <w:p>
      <w:pPr>
        <w:ind w:left="980" w:hanging="213"/>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Awarded merit pay increases in the range of 2.5% to 7.4% to our named executive officers, which were lower than historical increases in light of the recessionary economy, despite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60"/>
          </w:cols>
          <w:pgMar w:left="440" w:top="469" w:right="399" w:bottom="1440" w:gutter="0" w:footer="0" w:header="0"/>
        </w:sectPr>
      </w:pPr>
    </w:p>
    <w:bookmarkStart w:id="39" w:name="page40"/>
    <w:bookmarkEnd w:id="39"/>
    <w:p>
      <w:pPr>
        <w:ind w:left="9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48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5748020"/>
                    </a:xfrm>
                    <a:prstGeom prst="rect">
                      <a:avLst/>
                    </a:prstGeom>
                    <a:noFill/>
                  </pic:spPr>
                </pic:pic>
              </a:graphicData>
            </a:graphic>
          </wp:anchor>
        </w:drawing>
        <w:t xml:space="preserve">strong satisfaction of individual performance goals. Mr. Nye was awarded </w:t>
      </w:r>
      <w:r>
        <w:rPr>
          <w:rFonts w:ascii="Arial" w:cs="Arial" w:eastAsia="Arial" w:hAnsi="Arial"/>
          <w:sz w:val="18"/>
          <w:szCs w:val="18"/>
          <w:i w:val="1"/>
          <w:iCs w:val="1"/>
          <w:color w:val="auto"/>
        </w:rPr>
        <w:t>a merit pay increase of 3.03%.</w:t>
      </w:r>
      <w:r>
        <w:rPr>
          <w:rFonts w:ascii="Arial" w:cs="Arial" w:eastAsia="Arial" w:hAnsi="Arial"/>
          <w:sz w:val="18"/>
          <w:szCs w:val="18"/>
          <w:color w:val="auto"/>
        </w:rPr>
        <w:t xml:space="preserve"> The Committee received data indicating that Mr. Nye’s base salary was at or below median for executives in comparable positions.</w:t>
      </w:r>
    </w:p>
    <w:p>
      <w:pPr>
        <w:spacing w:after="0" w:line="51" w:lineRule="exact"/>
        <w:rPr>
          <w:sz w:val="20"/>
          <w:szCs w:val="20"/>
          <w:color w:val="auto"/>
        </w:rPr>
      </w:pPr>
    </w:p>
    <w:p>
      <w:pPr>
        <w:jc w:val="both"/>
        <w:ind w:left="980" w:hanging="213"/>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Approved cash bonus payouts in the range of 66% to 76% of target to the named executive officers for 2012, consistent with the achievement of the performance metrics at or above that level. Mr. Nye’s </w:t>
      </w:r>
      <w:r>
        <w:rPr>
          <w:rFonts w:ascii="Arial" w:cs="Arial" w:eastAsia="Arial" w:hAnsi="Arial"/>
          <w:sz w:val="18"/>
          <w:szCs w:val="18"/>
          <w:i w:val="1"/>
          <w:iCs w:val="1"/>
          <w:color w:val="auto"/>
        </w:rPr>
        <w:t>cash bonus in 2012 was approximately 71% of base salary</w:t>
      </w:r>
      <w:r>
        <w:rPr>
          <w:rFonts w:ascii="Arial" w:cs="Arial" w:eastAsia="Arial" w:hAnsi="Arial"/>
          <w:sz w:val="18"/>
          <w:szCs w:val="18"/>
          <w:color w:val="auto"/>
        </w:rPr>
        <w:t>, although he does not have a target.</w:t>
      </w:r>
    </w:p>
    <w:p>
      <w:pPr>
        <w:spacing w:after="0" w:line="59"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Granted performance-based long-term equity incentives to our continuing named executive officers in 2012 at </w:t>
      </w:r>
      <w:r>
        <w:rPr>
          <w:rFonts w:ascii="Arial" w:cs="Arial" w:eastAsia="Arial" w:hAnsi="Arial"/>
          <w:sz w:val="18"/>
          <w:szCs w:val="18"/>
          <w:i w:val="1"/>
          <w:iCs w:val="1"/>
          <w:color w:val="auto"/>
        </w:rPr>
        <w:t>50% of target</w:t>
      </w:r>
      <w:r>
        <w:rPr>
          <w:rFonts w:ascii="Arial" w:cs="Arial" w:eastAsia="Arial" w:hAnsi="Arial"/>
          <w:sz w:val="18"/>
          <w:szCs w:val="18"/>
          <w:color w:val="auto"/>
        </w:rPr>
        <w:t xml:space="preserve"> for the performance-based LTIP Awards (discussed on pages 46 to 48).</w:t>
      </w:r>
    </w:p>
    <w:p>
      <w:pPr>
        <w:spacing w:after="0" w:line="132"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pay-for-performance component of compensation in 2012 consisting of annual and long-term compensation, which comprises most of the compensation in 2012 for the named executive officers, are shown below with respect to (1) Mr. Nye and (2) all the named executive officers other than Mr. Nye.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We believe that our executive compensation program is reasonable, competitive, and strongly focused on pay-for-performance. The compensation of our named executive officers varies depending upon the achievement of pre-established performance goals, both corporate and individual. The majority of the target compensation opportunities for our named executive officers in 2012 were performance-based. Through equity incentives and mandatory investment of a portion of the annual bonus award in common stock units through the Incentive Stock Plan (discussed on pages 46 to 48), we also align the interests of our executives with those of our shareholders and Martin Marietta’s long-term interests, and also help retain executives over time. Our executive compensation policies have enabled us to attract and retain talented and experienced senior executives. We believe that the compensation of our named executive officers in 2012 was consistent with Martin Marietta’s performance in 2012 and appropriate to align it with Martin Marietta’s growth in future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We believe that our employees are Martin Marietta’s most important resource. In developing our executive compensation policies, the Board of Directors, through the Management Development and Compensation Committee, focuses on two primary objectives: compensating our executive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60"/>
          </w:cols>
          <w:pgMar w:left="440" w:top="469" w:right="399" w:bottom="1440" w:gutter="0" w:footer="0" w:header="0"/>
        </w:sectPr>
      </w:pPr>
    </w:p>
    <w:bookmarkStart w:id="40" w:name="page41"/>
    <w:bookmarkEnd w:id="40"/>
    <w:p>
      <w:pPr>
        <w:jc w:val="both"/>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61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761865"/>
                    </a:xfrm>
                    <a:prstGeom prst="rect">
                      <a:avLst/>
                    </a:prstGeom>
                    <a:noFill/>
                  </pic:spPr>
                </pic:pic>
              </a:graphicData>
            </a:graphic>
          </wp:anchor>
        </w:drawing>
        <w:t>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2012,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Martin Marietta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Committee considers the following objectives in setting executive compensation:</w:t>
      </w:r>
    </w:p>
    <w:p>
      <w:pPr>
        <w:spacing w:after="0" w:line="90" w:lineRule="exact"/>
        <w:rPr>
          <w:sz w:val="20"/>
          <w:szCs w:val="20"/>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Attract and retain knowledgeable and experienced senior executives.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Motivate our executives to achieve superior results on both annual and long-term bases to build long-term value for shareholders.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Reward performance that exceeds established performance goals consistent with our strategic goals and upholding integrity.</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Align individual objectives with company objectives without encouraging excessive risk-taking.</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Encourage ownership mentality and align the long-term financial interest of our executives with those of our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competitive with our peers.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reward systems that are measurable and easily understood by our managers and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the Management Development and Compensation Committee</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43"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60"/>
          </w:cols>
          <w:pgMar w:left="440" w:top="469" w:right="39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7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607560"/>
                    </a:xfrm>
                    <a:prstGeom prst="rect">
                      <a:avLst/>
                    </a:prstGeom>
                    <a:noFill/>
                  </pic:spPr>
                </pic:pic>
              </a:graphicData>
            </a:graphic>
          </wp:anchor>
        </w:drawing>
        <w:t>Officer are based in part on recommendations by the Chief Executive Officer, with input from the Senior Vice President—Human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Martin Marietta and any executive officer of Martin Marietta, including the Chief Executive Officer.</w:t>
      </w:r>
    </w:p>
    <w:p>
      <w:pPr>
        <w:spacing w:after="0" w:line="143"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Committee uses a mix of annual and long-term compensation to provide a total compensation structure that is designed to motivate executives to achieve the business goals set by Martin Marietta and reward Martin Marietta’s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 consultants. In 2012, in light of Martin Marietta’s positive performance despite the lengthy economic recession, the Committee reevaluated its compensation philosophy to ensure that it appropriately compensated its executive officers based on Martin Marietta’s performance but also allowed Martin Marietta to attract and retain excellent leaders. In the Committee’s view, this was especially important given the decreased bonus and long-term equity grants being made due to Martin Marietta’s lower operating performance despite significant efforts being made by executive officers that will better position the Company for growth when the economy improves. In this regard, the Committee reaffirmed its philosophy of looking at total compensation, with long-term equity targets at or about median, although actual pay would be below median.</w:t>
      </w:r>
    </w:p>
    <w:p>
      <w:pPr>
        <w:spacing w:after="0" w:line="124"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Committee in 2012 was advised by Towers Watson &amp; Co. pursuant to an engagement as the Committee’s independent compensation consultant to assist it in reviewing Martin Marietta’s executive compensation program to ensure that the program is consistent with the Board’s philosophy and to provide valuable information and insight as to market pay practices. Towers Watson conducted an extensive review and benchmarking study of Martin Marietta’s compensation program in 2007. In addition, it reviews and provides comments on management’s annual competitive analysis of each component of compensation and total compensation for the Chief Executive Officer and executive officers of Martin Marietta. Towers Watson provides the Committee with relevant market data and alternatives to consider when making compensation decisions for the Chief Executive Officer. Towers Watson also provides feedback to management on proxy information and published compensation surveys, which are then used by the Chief Executive Officer in making recommendations to the Committee with respect to compensation for executive officers other than the Chief Executive Officer. The Committee and/or the Committee Chairman from time to time in 2012 met with Towers Watson in private sessions without management present.</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Committee assessed and discussed the performance and independence of its executive compensation consultant in 2012 and whether the work performed by the executive compensation consultants at Towers Watson raised a conflict of interest that would prevent Towers Watson from independently advising the Committee. As part of this assessment, the Committee considered the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60"/>
          </w:cols>
          <w:pgMar w:left="440" w:top="469" w:right="399" w:bottom="1440" w:gutter="0" w:footer="0" w:header="0"/>
        </w:sectPr>
      </w:pPr>
    </w:p>
    <w:bookmarkStart w:id="42" w:name="page43"/>
    <w:bookmarkEnd w:id="42"/>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56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556125"/>
                    </a:xfrm>
                    <a:prstGeom prst="rect">
                      <a:avLst/>
                    </a:prstGeom>
                    <a:noFill/>
                  </pic:spPr>
                </pic:pic>
              </a:graphicData>
            </a:graphic>
          </wp:anchor>
        </w:drawing>
        <w:t>extent of other business that Towers Watson performed for Martin Marietta and reviewed the safeguards that were in place to ensure the independence of the advice they received. The Committee also considered that Towers Watson provides other services to Martin Marietta, the amount of fees received by Towers Watson from Martin Marietta as a percentage of its total revenue, Towers Watson’s policies and procedures that are designed to prevent conflicts of interest, no personal or business relationship of the compensation consultant with a member of the Committee, no Martin Marietta stock owned by the compensation consultant, and no business or personal relationship between our executive officers and Towers Watson or the compensation consultant. The Committee considered that Towers Watson performed actuarial, retirement plan, welfare plan and benefits consulting services for Martin Marietta from a different office and individuals than those who provided compensation advice to the Committee. Martin Marietta paid $676,779 to Towers Watson for such other business in 2012. The engagement of Towers Watson (then Towers Perrin) for these other services was recommended by management, and approved by the Board of Directors, in 1995. The Committee had engaged Watson Wyatt for compensation consultant advice in 1995, and continued with the same group of compensation consultants from time to time. After the merger of Towers Perrin and Watson Wyatt in 2010, Martin Marietta used both groups of Towers Watson, namely the compensation consultants from the former Watson Wyatt firm and the actuarial, retirement plan, welfare plan and benefits consulting services from the former Towers Perrin firm. In contrast to the actuarial, retirement plan, welfare plan and benefits consulting services, Towers Watson’s fees to Martin Marietta for executive compensation services in 2012 were $160,454. The total fees Towers Watson received from Martin Marietta were less than 0.05% of its total revenue. The Committee also reviewed Towers Watson’s protocols and policies with regard to ensuring the objectivity of its consulting on compensation, including rigorous peer reviews by qualified reviewers who do not regularly perform work for Martin Marietta, a comprehensive Code of Conduct and Ethics that addresses issues relating to conflicts of interest, periodic compliance reviews, the compensation consultants who advise Martin Marietta on the compensation of executive officers and directors may not serve in broader relationship-management roles for us, individuals who are not part of the executive compensation consulting team (other than designated quality reviewers) are precluded from involvement in the development of recommendations regarding the compensation of Martin Marietta’s executive officers and directors, and the compensation paid to Towers Watson executive compensation consultants is not directly tied to the fees paid, or to the expansion of the fees paid, by that client. Based on these considerations, the Committee determined that adequate safeguards were in place to assure that the engagement of Towers Watson to provide actuarial, retirement plan, welfare plan and benefits consulting services would not cause Towers Watson to be unduly influenced by management and that Towers Watson provided objective and independent executive compensation advice to the Committee.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Risk-Taking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59" w:lineRule="exact"/>
        <w:rPr>
          <w:sz w:val="20"/>
          <w:szCs w:val="20"/>
          <w:color w:val="auto"/>
        </w:rPr>
      </w:pPr>
    </w:p>
    <w:p>
      <w:pPr>
        <w:ind w:left="98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bonus plan does not provide payment for poor individual or corporate performance, regardless of whether the failure to achieve target was outside management’s control.</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60"/>
          </w:cols>
          <w:pgMar w:left="440" w:top="469" w:right="399" w:bottom="1440" w:gutter="0" w:footer="0" w:header="0"/>
        </w:sectPr>
      </w:pPr>
    </w:p>
    <w:bookmarkStart w:id="43" w:name="page44"/>
    <w:bookmarkEnd w:id="43"/>
    <w:p>
      <w:pPr>
        <w:ind w:left="980" w:hanging="213"/>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64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864735"/>
                    </a:xfrm>
                    <a:prstGeom prst="rect">
                      <a:avLst/>
                    </a:prstGeom>
                    <a:noFill/>
                  </pic:spPr>
                </pic:pic>
              </a:graphicData>
            </a:graphic>
          </wp:anchor>
        </w:drawing>
        <w:t>There is a cap on the annual bonus, even for spectacular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caps on the long-term equity awards, even if the required performance-related criteria are exceeded.</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majority of the named executive officers’ compensation is long-term, with equity grants vesting over three to five years, depending on the plan.</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compensation is not based on highly-leveraged short-term incentives that encourage high risk investments at the expense of long-term value.</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113"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Committee uses benchmarking data and the advice of its independent compensation consultant to keep compensation in line with typical market practices and appropriate to Martin Marietta’s needs.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Benchmarking Information</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Committee reviews compensation information drawn from various sources, including proxy statements of a peer group of the following companies that we selected primarily from the Standard and Poor’s 1500 Basic Materials Index with other companies added to the group, that are in the aggregates, cement, natural resources and specialty chemical industries based on similarities in revenue and business characteristics: Albermarle Corporation, Alpha Natural Resources, Inc., Amcol International Corporation, Arch Coal, Inc., FMC Corporation, Georgia Gulf Corporation, Granite Construction Inc., Kansas City Southern, Louisiana- Pacific Corporation, Packaging Corporation of America, Patriot Coal Corporation, Universal Forest Products Inc., The Valspar Corporation and Vulcan Materials Company (the “Compensation Peer Group”). The Committee reviews these peer companies annually to ensure that the companies included in the group are comparable to Martin Marietta as to size and mix, and other factors (such as removing companies that have undergone bankruptcy or other significant financial issues). The Compensation Peer Group was used by the Committee for data related to base, bonus and long-term incentive compensation because of the Committee’s view that it competes for executive officers and employees from companies that are represented by this group. In 2012 the Committee used a different peer group for comparisons related to performance based on its view that investors consider the performance of these public companies when deciding to make an investment in the construction materials sector. This peer group consists of Cemex, S.A.B. de C.V., CRH PLC, Heidelberger Druckmaschinen AG/Heidelberg USA, Holcim Ltd., Lafarge S.A. and Vulcan Materials Company (the “Performance Peer Group”).</w:t>
      </w:r>
    </w:p>
    <w:p>
      <w:pPr>
        <w:spacing w:after="0" w:line="121"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Because the information in the proxy statements or other reports of these companies generally does not provide precise comparisons by position to our executive officers, the Committee also takes into consideration published independent compensation surveys of companies with revenue in the range of $1.5 billion to $2.0 billion as to median levels for each executive officer. As to the Chief Executive Officer’s compensation, the Committee reviews compensation information derived from both the Compensation Peer Group described above and the published surveys described in the preceding sentence, as well as the advice of Towers Watson. The Committee considered this benchmarking information in November 2011 in setting Mr. Nye’s base salary and for the other components of his 2012 compensation.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60"/>
          </w:cols>
          <w:pgMar w:left="440" w:top="469" w:right="399" w:bottom="1440" w:gutter="0" w:footer="0" w:header="0"/>
        </w:sectPr>
      </w:pPr>
    </w:p>
    <w:bookmarkStart w:id="44" w:name="page45"/>
    <w:bookmarkEnd w:id="44"/>
    <w:p>
      <w:pPr>
        <w:jc w:val="both"/>
        <w:ind w:firstLine="77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99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899025"/>
                    </a:xfrm>
                    <a:prstGeom prst="rect">
                      <a:avLst/>
                    </a:prstGeom>
                    <a:noFill/>
                  </pic:spPr>
                </pic:pic>
              </a:graphicData>
            </a:graphic>
          </wp:anchor>
        </w:drawing>
        <w:t>In general, the Committee compares annual base salaries to the median compensation levels or the 50</w:t>
      </w:r>
      <w:r>
        <w:rPr>
          <w:rFonts w:ascii="Arial" w:cs="Arial" w:eastAsia="Arial" w:hAnsi="Arial"/>
          <w:sz w:val="10"/>
          <w:szCs w:val="10"/>
          <w:color w:val="auto"/>
        </w:rPr>
        <w:t>th</w:t>
      </w:r>
      <w:r>
        <w:rPr>
          <w:rFonts w:ascii="Arial" w:cs="Arial" w:eastAsia="Arial" w:hAnsi="Arial"/>
          <w:sz w:val="16"/>
          <w:szCs w:val="16"/>
          <w:color w:val="auto"/>
        </w:rPr>
        <w:t xml:space="preserve"> percentile and 75</w:t>
      </w:r>
      <w:r>
        <w:rPr>
          <w:rFonts w:ascii="Arial" w:cs="Arial" w:eastAsia="Arial" w:hAnsi="Arial"/>
          <w:sz w:val="10"/>
          <w:szCs w:val="10"/>
          <w:color w:val="auto"/>
        </w:rPr>
        <w:t>th</w:t>
      </w:r>
      <w:r>
        <w:rPr>
          <w:rFonts w:ascii="Arial" w:cs="Arial" w:eastAsia="Arial" w:hAnsi="Arial"/>
          <w:sz w:val="16"/>
          <w:szCs w:val="16"/>
          <w:color w:val="auto"/>
        </w:rPr>
        <w:t xml:space="preserve"> percentile of executive officers performing similar job functions at the companies in both the peer group survey and the published surveys described above that were reviewed. The same peer group survey was used to consider compensation for the Chief Executive Officer, the Chief Financial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which can be difficult to achieve. The Committee uses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124"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Structure and Awards for 2012</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Committee periodically reviews the components of Martin Marietta’s executive compensation program to ensure that pay levels are competitive and that incentive opportunities are effective in attracting and retaining talented employees. Consistent with the Committee’s approach in prior years, the 2012 executive compensation program was based on the following principles:</w:t>
      </w:r>
    </w:p>
    <w:p>
      <w:pPr>
        <w:spacing w:after="0" w:line="59" w:lineRule="exact"/>
        <w:rPr>
          <w:sz w:val="20"/>
          <w:szCs w:val="20"/>
          <w:color w:val="auto"/>
        </w:rPr>
      </w:pPr>
    </w:p>
    <w:p>
      <w:pPr>
        <w:ind w:left="98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 salaries that provide a base level of compensation targeted to the median level of salaries paid to officers in comparable companies with perceived comparable responsibilities, adjusted for each individual to reflect the factors discussed above.</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cash bonuses that reward recipients if they achieve or exceed performance results against established targeted corporate and personal goals.</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purchase awards that encourage stock ownership and reward future stock price appreciation by permitting the recipients to purchase stock at a discount with cash from bonus awards.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60"/>
          </w:cols>
          <w:pgMar w:left="440" w:top="469" w:right="399" w:bottom="1440" w:gutter="0" w:footer="0" w:header="0"/>
        </w:sectPr>
      </w:pPr>
    </w:p>
    <w:bookmarkStart w:id="45" w:name="page46"/>
    <w:bookmarkEnd w:id="45"/>
    <w:p>
      <w:pPr>
        <w:ind w:left="980" w:right="20" w:hanging="213"/>
        <w:spacing w:after="0" w:line="33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86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486910"/>
                    </a:xfrm>
                    <a:prstGeom prst="rect">
                      <a:avLst/>
                    </a:prstGeom>
                    <a:noFill/>
                  </pic:spPr>
                </pic:pic>
              </a:graphicData>
            </a:graphic>
          </wp:anchor>
        </w:drawing>
        <w:t>Long-term equity compensation that links officers’ rewards directly to the return realized by Martin Marietta’s shareholders. This component includes both stock options and restricted stock awards, both of which are based on Martin Marietta’s performance.</w:t>
      </w:r>
    </w:p>
    <w:p>
      <w:pPr>
        <w:spacing w:after="0" w:line="4"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Retirement and other benefits that are designed to attract and retain employees. The level of retirement payments reward employees who remain with Martin Marietta for longer periods of employment.</w:t>
      </w:r>
    </w:p>
    <w:p>
      <w:pPr>
        <w:spacing w:after="0" w:line="132" w:lineRule="exact"/>
        <w:rPr>
          <w:sz w:val="20"/>
          <w:szCs w:val="20"/>
          <w:color w:val="auto"/>
        </w:rPr>
      </w:pPr>
    </w:p>
    <w:p>
      <w:pPr>
        <w:jc w:val="both"/>
        <w:ind w:firstLine="775"/>
        <w:spacing w:after="0" w:line="318" w:lineRule="auto"/>
        <w:rPr>
          <w:sz w:val="20"/>
          <w:szCs w:val="20"/>
          <w:color w:val="auto"/>
        </w:rPr>
      </w:pPr>
      <w:r>
        <w:rPr>
          <w:rFonts w:ascii="Arial" w:cs="Arial" w:eastAsia="Arial" w:hAnsi="Arial"/>
          <w:sz w:val="15"/>
          <w:szCs w:val="15"/>
          <w:color w:val="auto"/>
        </w:rPr>
        <w:t>When setting total compensation for each of the named executive officers, the Committee reviewed in 2012 tally sheets that showed the executive’s total current compensation, including equity and non-equity based compensation. In establishing specific award levels in 2012,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Martin Marietta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Martin Marietta,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2012, an increase in the range of 2.5% to 3.26% from 2011 base salaries was awarded to each executive officer, other than Mr. Nye and Mr. Vaio, in furtherance of executive management’s efforts to manage costs. The 2012 increase was lower than previous base salary increases given to the executive officers. Mr. Vaio received a salary increase of 7.37% in 2012 in light of his expanded responsibilities related to the recently-acquired Colorado business. Base salary in 2012 for executive officers other than Mr. Nye was at approximately the median range of the compensation peer group in 2012.</w:t>
      </w:r>
    </w:p>
    <w:p>
      <w:pPr>
        <w:spacing w:after="0" w:line="123"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In assessing the Chief Executive Officer’s base salary for 2012, the Committee approved a base salary of $850,000 for Mr. Nye in November 2011. This 3.03% increase was awarded based on his excellent achievements as Chief Executive Officer since 2010 in a challenging economic environment. The Committee also considered the increase in the number of managers reporting directly to Mr. Nye as a result of management reorganization. In addition, the Committee considered whether this increase would further its objective in aligning Mr. Nye’s compensation with the interests of the company’s shareholders. The Committee reviewed base salary data and total compensation data for chief executive officers in the compensation studies described above. It also considered the advice of Towers Watson. Mr. Nye’s base salary and annual incentive bonus compensation for 2012 were below the median range of peers in the Compensation Peer Group.</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60"/>
          </w:cols>
          <w:pgMar w:left="440" w:top="469"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24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624705"/>
                    </a:xfrm>
                    <a:prstGeom prst="rect">
                      <a:avLst/>
                    </a:prstGeom>
                    <a:noFill/>
                  </pic:spPr>
                </pic:pic>
              </a:graphicData>
            </a:graphic>
          </wp:anchor>
        </w:drawing>
        <w:t>Annual Bonus Compensation</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We award annual cash bonuses based on corporate performance objectives and the achievement of individualized targeted goals. This furthers Martin Marietta’s compensation philosophy in that it encourages superior performance and rewards the achievement of Martin Marietta’s annual goals. In 2012, under Martin Marietta’s Executive Incentive Plan, the amount of bonus that an executive could receive was based upon a percentage of that executive’s base salary. In 2012, all of the executive officers participated in the plan, except for Mr. Nye, for whom bonus compensation was awarded outside of the plan.</w:t>
      </w:r>
    </w:p>
    <w:p>
      <w:pPr>
        <w:spacing w:after="0" w:line="143"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Martin Marietta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11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Martin Marietta as a whole and for individual business units, and subjective measures, such as the individual’s overall contribution to Martin Marietta,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2012, the target bonus level set for each of the named executive officers was a percentage of such officer’s base salary: 80% for Ms. Lloyd and Mr. Vaio and 70% for Ms. Bar and Mr. McCunniff, and 60% for Ms. Guzzo. The maximum is 150% of target commensurate with performance at that “stretch” level. There is no threshold since there is no guaranteed bonus if the performance goals are not met.</w:t>
      </w:r>
    </w:p>
    <w:p>
      <w:pPr>
        <w:spacing w:after="0" w:line="118"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objective goals vary by the position of the executive officer. They are established at the beginning of each plan year and are based upon Martin Marietta’s Long Range Operating Plan, which is set at the end of the previous year. For executives in corporate staff positions, 50% of the determination is made with respect to Martin Marietta’s performance and 50% is based on the individual’s performance against established objectives. For named executive officers with operating unit responsibility, 40% of the determination is made with respect to the operating unit’s performance, 25% is based on Martin Marietta’s performance and 35% is based on the individual’s performance against established objectives.</w:t>
      </w:r>
    </w:p>
    <w:p>
      <w:pPr>
        <w:spacing w:after="0" w:line="116"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 term goals of Martin Marietta. In addition, achievement of the goals typically is in part dependent on conditions outside the control of each of the named executive officer. For example, we have a strong focus on safety in our business. Regardless of the achievement of other targets, incentive awards are reduced for all employees in the event of any workplace fatality in Martin Marietta. Similarly, our business may be adversely affected by hurricanes or other weather-related conditions, which could have the result of impeding the achievement of certain performance-based goals.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0"/>
          </w:cols>
          <w:pgMar w:left="440" w:top="469" w:right="399" w:bottom="1440" w:gutter="0" w:footer="0" w:header="0"/>
        </w:sectPr>
      </w:pPr>
    </w:p>
    <w:bookmarkStart w:id="47" w:name="page48"/>
    <w:bookmarkEnd w:id="47"/>
    <w:p>
      <w:pPr>
        <w:jc w:val="both"/>
        <w:ind w:firstLine="775"/>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41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641850"/>
                    </a:xfrm>
                    <a:prstGeom prst="rect">
                      <a:avLst/>
                    </a:prstGeom>
                    <a:noFill/>
                  </pic:spPr>
                </pic:pic>
              </a:graphicData>
            </a:graphic>
          </wp:anchor>
        </w:drawing>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107"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bonus level for 2012 for the named executive officers was in the range of 66% to 75.5% of target as a result of Martin Marietta’s lower financial performance in 2012 than historical levels even though the named executive officers achieved near their target levels on the individualized personal goals. The factors that the Committee took into account in determining Martin Marietta’s performance in 2012 included a detailed assessment of Martin Marietta’s overall financial performance and each segment’s financial performance, Martin Marietta’s continuing successful cost management and automation initiatives in a challenging economic environment, a safety performance improvement of 6.5% in total case incident rate over the prior year’s record low rate, outstanding environmental and regulatory compliance results, continuing achievement of excellent management of working capital, and the successful organic and inorganic growth of Martin Marietta.</w:t>
      </w:r>
    </w:p>
    <w:p>
      <w:pPr>
        <w:spacing w:after="0" w:line="118"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Chief Executive Officer does not participate in Martin Marietta’s Executive Incentive Plan and his bonus, if any, is determined at the discretion of the Committee. Generally, his bonus level is approximately 100% of his base salary although there is no specific target for the Chief Executive Officer’s bonus. The Committee did not attempt to set Mr. Nye’s 2012 bonus in any particular relationship to peer compensation survey data. The Committee awarded him an annual incentive bonus of $600,000 for 2012, which was 70.6% of his base salary, after considering many diverse factors, including the advice of Towers Watson.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2012, the Committee took into account the same type of objective performance measures and qualitative measures, such as the effectiveness and quality of Mr. Nye’s leadership of Martin Marietta, as it would typically consider for executive officers who receive awards under the plan.</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achievements were considered by the Committee in determining Mr. Nye’s 2012 bonus:</w:t>
      </w:r>
    </w:p>
    <w:p>
      <w:pPr>
        <w:spacing w:after="0" w:line="90" w:lineRule="exact"/>
        <w:rPr>
          <w:sz w:val="20"/>
          <w:szCs w:val="20"/>
          <w:color w:val="auto"/>
        </w:rPr>
      </w:pPr>
    </w:p>
    <w:p>
      <w:pPr>
        <w:ind w:left="980" w:hanging="213"/>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Total shareholder returns in 2012 of 27.58% that outpaced the S&amp;P 500 return of 15.99% and the S&amp;P 500 Materials return of 15.20%.</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Consolidated net sales of $1.839 billion in 2012 that exceeded 2011 sales by $319 million or 21%, including a $238 million contribution from the newly-acquired Colorado business resulting from the integration of that division.</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performance in 2012 that exceeded market expectations, reporting:</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Earnings per diluted share of $1.83 in 2012 compared with $1.78 in 2011</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Adjusted earnings per diluted share of $2.29, an increase of $.26 per share, or 13% over 2011</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Adjusted net earnings attributable to Martin Marietta of $105.7 million, an increase of 13% over 2011</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060"/>
          </w:cols>
          <w:pgMar w:left="440" w:top="469" w:right="399" w:bottom="1440" w:gutter="0" w:footer="0" w:header="0"/>
        </w:sectPr>
      </w:pPr>
    </w:p>
    <w:bookmarkStart w:id="48" w:name="page49"/>
    <w:bookmarkEnd w:id="48"/>
    <w:p>
      <w:pPr>
        <w:ind w:left="980" w:hanging="213"/>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Specialty Products record earnings from operations of $68.5 million compared with $66.3 million in 2011.</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successful completion of the capital project to construct a new kiln at the Specialty Products’ Woodville, Ohio facility, which was accomplished on budget and ahead of schedule.</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stringent focus on controlling costs and improving efficiencies, which differentiated us from others in the industry, as reflected by:</w:t>
      </w:r>
    </w:p>
    <w:p>
      <w:pPr>
        <w:spacing w:after="0" w:line="113" w:lineRule="exact"/>
        <w:rPr>
          <w:rFonts w:ascii="Arial" w:cs="Arial" w:eastAsia="Arial" w:hAnsi="Arial"/>
          <w:sz w:val="16"/>
          <w:szCs w:val="16"/>
          <w:color w:val="auto"/>
        </w:rPr>
      </w:pPr>
    </w:p>
    <w:p>
      <w:pPr>
        <w:ind w:left="1420" w:hanging="437"/>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productivity increase of 5.6%, as measured by tons produced by per working man hour</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Gross profit margin in 2012 of 17.7%</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Selling, general and administrative expenses of 7.5% of net sales in 2012, down 70 basis points from 2011</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$223 million in cash was generated from our operations, representing 12% of net sales in 2012</w:t>
      </w:r>
    </w:p>
    <w:p>
      <w:pPr>
        <w:spacing w:after="0" w:line="15" w:lineRule="exact"/>
        <w:rPr>
          <w:rFonts w:ascii="Arial" w:cs="Arial" w:eastAsia="Arial" w:hAnsi="Arial"/>
          <w:sz w:val="18"/>
          <w:szCs w:val="18"/>
          <w:color w:val="auto"/>
        </w:rPr>
      </w:pPr>
    </w:p>
    <w:p>
      <w:pPr>
        <w:ind w:left="1420" w:hanging="437"/>
        <w:spacing w:after="0" w:line="261"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Further reorganization of the management structure, which allowed us to realign our divisional composition and is expected to reduce ongoing annual overhead costs by approximately $3.1 million</w:t>
      </w:r>
    </w:p>
    <w:p>
      <w:pPr>
        <w:spacing w:after="0" w:line="56" w:lineRule="exact"/>
        <w:rPr>
          <w:rFonts w:ascii="Arial" w:cs="Arial" w:eastAsia="Arial" w:hAnsi="Arial"/>
          <w:sz w:val="18"/>
          <w:szCs w:val="18"/>
          <w:color w:val="auto"/>
        </w:rPr>
      </w:pPr>
    </w:p>
    <w:p>
      <w:pPr>
        <w:ind w:left="980" w:hanging="21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Achievement of excellent regulatory performance, including further safety performance improvement in total injury incidence rates.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generation of sufficient cash flow to continue paying dividends to shareholders at the unreduced annual rate of $1.60 per share.</w:t>
      </w:r>
    </w:p>
    <w:p>
      <w:pPr>
        <w:spacing w:after="0" w:line="113" w:lineRule="exact"/>
        <w:rPr>
          <w:rFonts w:ascii="Arial" w:cs="Arial" w:eastAsia="Arial" w:hAnsi="Arial"/>
          <w:sz w:val="16"/>
          <w:szCs w:val="16"/>
          <w:color w:val="auto"/>
        </w:rPr>
      </w:pPr>
    </w:p>
    <w:p>
      <w:pPr>
        <w:jc w:val="both"/>
        <w:ind w:left="980" w:hanging="213"/>
        <w:spacing w:after="0" w:line="30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Excellent balance sheet management that allowed Martin Marietta to consider marketplace opportunities, pay its debt obligations as they matured, maintain the annual cash dividend of $1.60 per share to shareholders, and reduce outstanding debt by $13 million, thereby achieving a year-end debt-to-EBITDA ratio of 3.2 times, in compliance with the 3.75 ratio provided for in the company’s senior credit agreement.</w:t>
      </w:r>
    </w:p>
    <w:p>
      <w:pPr>
        <w:spacing w:after="0" w:line="25" w:lineRule="exact"/>
        <w:rPr>
          <w:rFonts w:ascii="Arial" w:cs="Arial" w:eastAsia="Arial" w:hAnsi="Arial"/>
          <w:sz w:val="16"/>
          <w:szCs w:val="16"/>
          <w:color w:val="auto"/>
        </w:rPr>
      </w:pPr>
    </w:p>
    <w:p>
      <w:pPr>
        <w:jc w:val="both"/>
        <w:ind w:left="980" w:hanging="213"/>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innovative use of Martin Marietta’s information systems to achieve new and improved applications to enhance customer service and further management’s ability to analyze and manage the business. Martin Marietta was the only company in its industry to be selected (now for the 11</w:t>
      </w:r>
      <w:r>
        <w:rPr>
          <w:rFonts w:ascii="Arial" w:cs="Arial" w:eastAsia="Arial" w:hAnsi="Arial"/>
          <w:sz w:val="11"/>
          <w:szCs w:val="11"/>
          <w:color w:val="auto"/>
        </w:rPr>
        <w:t>th</w:t>
      </w:r>
      <w:r>
        <w:rPr>
          <w:rFonts w:ascii="Arial" w:cs="Arial" w:eastAsia="Arial" w:hAnsi="Arial"/>
          <w:sz w:val="18"/>
          <w:szCs w:val="18"/>
          <w:color w:val="auto"/>
        </w:rPr>
        <w:t xml:space="preserve"> straight year) to the </w:t>
      </w:r>
      <w:r>
        <w:rPr>
          <w:rFonts w:ascii="Arial" w:cs="Arial" w:eastAsia="Arial" w:hAnsi="Arial"/>
          <w:sz w:val="18"/>
          <w:szCs w:val="18"/>
          <w:i w:val="1"/>
          <w:iCs w:val="1"/>
          <w:color w:val="auto"/>
        </w:rPr>
        <w:t>Information Week 500.</w:t>
      </w:r>
    </w:p>
    <w:p>
      <w:pPr>
        <w:spacing w:after="0" w:line="59" w:lineRule="exact"/>
        <w:rPr>
          <w:rFonts w:ascii="Arial" w:cs="Arial" w:eastAsia="Arial" w:hAnsi="Arial"/>
          <w:sz w:val="18"/>
          <w:szCs w:val="18"/>
          <w:color w:val="auto"/>
        </w:rPr>
      </w:pPr>
    </w:p>
    <w:p>
      <w:pPr>
        <w:ind w:left="980" w:hanging="21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significant deficiencies or material weaknesses in the design or operation of Martin Marietta’s internal control over financial reporting.</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efforts made to propose a significant business combination that was not consummated, including the response from the company’s shareholders.</w:t>
      </w:r>
    </w:p>
    <w:p>
      <w:pPr>
        <w:spacing w:after="0" w:line="132"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Committee also considered the performance of Martin Marietta as compared to its peers and bonuses awarded to executives in comparable positions in the compensation studies discussed above, as well as the bonuses awarded to the other named executives in 2012.</w:t>
      </w:r>
    </w:p>
    <w:p>
      <w:pPr>
        <w:spacing w:after="0" w:line="85"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Because a subjective analysis of performance criteria was used in determining the bonus compensation paid under the Executive Incentive Plan and the bonus compensation paid to Mr. Nye, the bonus compensation does not qualify for the performance-based exception to the $1,000,000 limit on deductibility of executive officer compensation under Section 162(m) of the Internal Revenue Code of 1986.</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60"/>
          </w:cols>
          <w:pgMar w:left="440" w:top="469" w:right="399" w:bottom="1440" w:gutter="0" w:footer="0" w:header="0"/>
        </w:sectPr>
      </w:pPr>
    </w:p>
    <w:bookmarkStart w:id="49" w:name="page50"/>
    <w:bookmarkEnd w:id="49"/>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61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761865"/>
                    </a:xfrm>
                    <a:prstGeom prst="rect">
                      <a:avLst/>
                    </a:prstGeom>
                    <a:noFill/>
                  </pic:spPr>
                </pic:pic>
              </a:graphicData>
            </a:graphic>
          </wp:anchor>
        </w:drawing>
        <w:t>Performance-Based Stock Purchase Awards</w:t>
      </w:r>
    </w:p>
    <w:p>
      <w:pPr>
        <w:spacing w:after="0" w:line="90" w:lineRule="exact"/>
        <w:rPr>
          <w:sz w:val="20"/>
          <w:szCs w:val="20"/>
          <w:color w:val="auto"/>
        </w:rPr>
      </w:pPr>
    </w:p>
    <w:p>
      <w:pPr>
        <w:jc w:val="both"/>
        <w:ind w:left="3" w:firstLine="775"/>
        <w:spacing w:after="0" w:line="289" w:lineRule="auto"/>
        <w:rPr>
          <w:sz w:val="20"/>
          <w:szCs w:val="20"/>
          <w:color w:val="auto"/>
        </w:rPr>
      </w:pPr>
      <w:r>
        <w:rPr>
          <w:rFonts w:ascii="Arial" w:cs="Arial" w:eastAsia="Arial" w:hAnsi="Arial"/>
          <w:sz w:val="16"/>
          <w:szCs w:val="16"/>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Participation in the plan is elective, except that all senior officers of Martin Marietta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lesser of the cash that was invested or the fair value of the share units on the day of termination.</w:t>
      </w:r>
    </w:p>
    <w:p>
      <w:pPr>
        <w:spacing w:after="0" w:line="118" w:lineRule="exact"/>
        <w:rPr>
          <w:sz w:val="20"/>
          <w:szCs w:val="20"/>
          <w:color w:val="auto"/>
        </w:rPr>
      </w:pPr>
    </w:p>
    <w:p>
      <w:pPr>
        <w:jc w:val="both"/>
        <w:ind w:left="3" w:firstLine="443"/>
        <w:spacing w:after="0" w:line="256" w:lineRule="auto"/>
        <w:rPr>
          <w:sz w:val="20"/>
          <w:szCs w:val="20"/>
          <w:color w:val="auto"/>
        </w:rPr>
      </w:pPr>
      <w:r>
        <w:rPr>
          <w:rFonts w:ascii="Arial" w:cs="Arial" w:eastAsia="Arial" w:hAnsi="Arial"/>
          <w:sz w:val="18"/>
          <w:szCs w:val="18"/>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90" w:lineRule="exact"/>
        <w:rPr>
          <w:sz w:val="20"/>
          <w:szCs w:val="20"/>
          <w:color w:val="auto"/>
        </w:rPr>
      </w:pPr>
    </w:p>
    <w:p>
      <w:pPr>
        <w:jc w:val="both"/>
        <w:ind w:left="3" w:firstLine="775"/>
        <w:spacing w:after="0" w:line="289" w:lineRule="auto"/>
        <w:rPr>
          <w:sz w:val="20"/>
          <w:szCs w:val="20"/>
          <w:color w:val="auto"/>
        </w:rPr>
      </w:pPr>
      <w:r>
        <w:rPr>
          <w:rFonts w:ascii="Arial" w:cs="Arial" w:eastAsia="Arial" w:hAnsi="Arial"/>
          <w:sz w:val="16"/>
          <w:szCs w:val="16"/>
          <w:color w:val="auto"/>
        </w:rPr>
        <w:t>Martin Marietta’s long-term compensation in 2012 consisted of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in the Performance Peer Group and the Committee has designed the awards to give the participants an opportunity to exceed the median level with high performance. Accordingly, these components of the executive compensation program encourage participants to focus on the long-term performance of Martin Marietta and provide an opportunity for executive officers to increase their stake in Martin Marietta. The long-term incentive compensation program delivers more value to executive officers if the value of Martin Marietta’s stock increases.</w:t>
      </w:r>
    </w:p>
    <w:p>
      <w:pPr>
        <w:spacing w:after="0" w:line="118" w:lineRule="exact"/>
        <w:rPr>
          <w:sz w:val="20"/>
          <w:szCs w:val="20"/>
          <w:color w:val="auto"/>
        </w:rPr>
      </w:pPr>
    </w:p>
    <w:p>
      <w:pPr>
        <w:ind w:left="443"/>
        <w:spacing w:after="0"/>
        <w:tabs>
          <w:tab w:leader="none" w:pos="1602" w:val="left"/>
        </w:tabs>
        <w:rPr>
          <w:sz w:val="20"/>
          <w:szCs w:val="20"/>
          <w:color w:val="auto"/>
        </w:rPr>
      </w:pPr>
      <w:r>
        <w:rPr>
          <w:rFonts w:ascii="Arial" w:cs="Arial" w:eastAsia="Arial" w:hAnsi="Arial"/>
          <w:sz w:val="18"/>
          <w:szCs w:val="18"/>
          <w:u w:val="single" w:color="auto"/>
          <w:color w:val="auto"/>
        </w:rPr>
        <w:t>LTIP Awards.</w:t>
      </w:r>
      <w:r>
        <w:rPr>
          <w:sz w:val="20"/>
          <w:szCs w:val="20"/>
          <w:color w:val="auto"/>
        </w:rPr>
        <w:tab/>
      </w:r>
      <w:r>
        <w:rPr>
          <w:rFonts w:ascii="Arial" w:cs="Arial" w:eastAsia="Arial" w:hAnsi="Arial"/>
          <w:sz w:val="16"/>
          <w:szCs w:val="16"/>
          <w:color w:val="auto"/>
        </w:rPr>
        <w:t>Martin Marietta’s long-term incentive program (LTIP Awards) consists of (1) granting a mix of options and restricted stock units and</w:t>
      </w:r>
    </w:p>
    <w:p>
      <w:pPr>
        <w:spacing w:after="0" w:line="15" w:lineRule="exact"/>
        <w:rPr>
          <w:sz w:val="20"/>
          <w:szCs w:val="20"/>
          <w:color w:val="auto"/>
        </w:rPr>
      </w:pPr>
    </w:p>
    <w:p>
      <w:pPr>
        <w:jc w:val="both"/>
        <w:ind w:left="3" w:hanging="3"/>
        <w:spacing w:after="0" w:line="290" w:lineRule="auto"/>
        <w:tabs>
          <w:tab w:leader="none" w:pos="2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basing the amount of the award on the performance of Martin Marietta. The Committee believes that the mix provides better incentives to executive officers than either options or restricted stock units alone. Stock options link the compensation provided to the named executive officers with gains realized by the shareholders and therefore serve to confer on recipients an ownership interest in Martin Marietta. These awards also assist Martin Marietta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w:t>
      </w:r>
    </w:p>
    <w:p>
      <w:pPr>
        <w:spacing w:after="0" w:line="254"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63"/>
          </w:cols>
          <w:pgMar w:left="437" w:top="469" w:right="399" w:bottom="1440" w:gutter="0" w:footer="0" w:header="0"/>
        </w:sectPr>
      </w:pPr>
    </w:p>
    <w:bookmarkStart w:id="50" w:name="page51"/>
    <w:bookmarkEnd w:id="50"/>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85"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For each named executive officer, other than the Chief Executive Officer, the Committee derived a target dollar value for this component of compensation based on a review of equity award data in the compensation studies described above and input from Towers Watson. The target is increased each year by an amount equal to the average percentage increase in base pay for salaried employees and relevant subjective considerations, such as a promotion or expanded responsibilities. The maximum award (200%) is a stretch goal based on the Committee’s subjective determination that such level of shareholder value created by Martin Marietta is outstanding, and for 2012 would be achieved when Martin Marietta’s return on invested capital is at least 6% higher than the weighted average cost of capital.</w:t>
      </w:r>
    </w:p>
    <w:p>
      <w:pPr>
        <w:spacing w:after="0" w:line="144"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In 2012, the Committee considered Martin Marietta’s performance in light of the severe nature and duration of the recession. The Committee considered Martin Marietta’s profitability, financial position, growth, regulatory and compliance results, other financial data and other factors relating to the performance of Martin Marietta and its competitors, including share price performance, operating performance, margin performance, the continued unreduced payment of dividends to shareholders, outstanding cost management, strong capital structure, excellent cash flow results, achievement of a world class safety record, and other factors. It reaffirmed its compensation philosophy of utilizing long-term awards to incentivize executive officers, recognize superior job performance under the extenuating circumstances of the current recession, and retain talented managers. It also considered the significantly lower level of annual bonuses paid starting in 2009, the grant of LTIP awards at 50% of target in 2011, and the elimination of certain performance-based restricted stock unit awards to the executive officers granted in previous years as part of Martin Marietta’s compensation program. The Committee considered advice from Towers Watson that an award based on these metrics was appropriate to reward performance that the Committee viewed as extraordinary during the harsh economic climate.</w:t>
      </w:r>
    </w:p>
    <w:p>
      <w:pPr>
        <w:spacing w:after="0" w:line="123"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In light of these considerations, awards were granted in 2012 at 50% of each officer’s target. One-third of the dollar value was then converted to stock options and two-thirds of the dollar value was converted to restricted stock units using the closing price on the date of grant.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43"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In 2012, the Committee awarded Mr. Nye 16,317 options and 8,159 shares of restricted stock units that are subject to vesting, which the Committee believes will align this portion of Mr. Nye’s compensation directly with Martin Marietta’s performance over the long term. In exercising its discretion for Mr. Nye, the Committee generally follows the same procedures as are followed in determining the amount of annual bonus compensation discussed above. The Committee determined the dollar value for this component of Mr. Nye’s compensation by starting with the median level of long-term compensation identified in the compensation studies reviewed. The Committee then adjusted the amount as it deemed appropriate based on its subjective determination of the Chief Executive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60"/>
          </w:cols>
          <w:pgMar w:left="440" w:top="469" w:right="399" w:bottom="1440" w:gutter="0" w:footer="0" w:header="0"/>
        </w:sectPr>
      </w:pPr>
    </w:p>
    <w:bookmarkStart w:id="51" w:name="page52"/>
    <w:bookmarkEnd w:id="51"/>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383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538345"/>
                    </a:xfrm>
                    <a:prstGeom prst="rect">
                      <a:avLst/>
                    </a:prstGeom>
                    <a:noFill/>
                  </pic:spPr>
                </pic:pic>
              </a:graphicData>
            </a:graphic>
          </wp:anchor>
        </w:drawing>
        <w:t>Officer’s performance. The dollar value was converted to a mix of one-third stock options and two-thirds restricted stock units, as are the long-term stock option and restricted stock unit awards for the other named executive officers. The award granted was 50% of the target for Mr. Nye.</w:t>
      </w:r>
    </w:p>
    <w:p>
      <w:pPr>
        <w:spacing w:after="0" w:line="85"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stock options granted in 2012 vest ratably over 4 years and the restricted stock units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118"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u w:val="single" w:color="auto"/>
          <w:color w:val="auto"/>
        </w:rPr>
        <w:t>Stock-Based Awards Generally.</w:t>
      </w:r>
      <w:r>
        <w:rPr>
          <w:rFonts w:ascii="Arial" w:cs="Arial" w:eastAsia="Arial" w:hAnsi="Arial"/>
          <w:sz w:val="16"/>
          <w:szCs w:val="16"/>
          <w:color w:val="auto"/>
        </w:rPr>
        <w:t xml:space="preserve"> All stock purchase awards under our Incentive Stock Plan and restricted stock unit awards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is equal to, and the number of restricted stock units is based on, the New York Stock Exchange closing price of Martin Marietta’s common stock on the date of the grant. The Committee has never granted stock options with an exercise price that is less than the closing price of Martin Marietta’s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of Martin Marietta’s equity-based award plans have been approved by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Martin Marietta generally requires that executive officers, other than the Chief Executive Officer, invest a minimum of 20%, and that the Chief Executive Officer invest a minimum of 35%, of each year’s cash bonus award in common stock units of Martin Marietta that are purchased at a 20% discount to the price on the date of grant through the Incentive Stock Plan, which awards vest generally after three years of additional employment with Martin Marietta. In addition, a significant portion of the executive compensation program is in the form of equity awards that vest over various periods. There is no required holding period beyond the vesting period. Martin Marietta does not have formal ownership guidelines for the named executive officers. The Committee believes that the equity components of the compensation program appropriately align the interests of executive officers with the interests of our shareholders, as more fully described above.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60"/>
          </w:cols>
          <w:pgMar w:left="440" w:top="469"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933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5293360"/>
                    </a:xfrm>
                    <a:prstGeom prst="rect">
                      <a:avLst/>
                    </a:prstGeom>
                    <a:noFill/>
                  </pic:spPr>
                </pic:pic>
              </a:graphicData>
            </a:graphic>
          </wp:anchor>
        </w:drawing>
        <w:t>Perquisites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43"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perquisites provided in 2012 to the named executive officers included personal use of leased automobiles and, for some executive officers, personal use of Martin Marietta’s plane. Martin Marietta also provides to executive officers and other employees certain other fringe benefits such as tuition reimbursement, airline club dues, professional society dues, and food and recreational fees incidental to official company functions. Martin Marietta did not provide country club or dinner club memberships to its executive officers in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90"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 Additional information regarding these benefits is under the heading Pension Benefits Table on page 58 and the accompanying narrative.</w:t>
      </w:r>
    </w:p>
    <w:p>
      <w:pPr>
        <w:spacing w:after="0" w:line="147"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u w:val="single" w:color="auto"/>
          <w:color w:val="auto"/>
        </w:rPr>
        <w:t>Pension Plan.</w:t>
      </w:r>
      <w:r>
        <w:rPr>
          <w:rFonts w:ascii="Arial" w:cs="Arial" w:eastAsia="Arial" w:hAnsi="Arial"/>
          <w:sz w:val="16"/>
          <w:szCs w:val="16"/>
          <w:color w:val="auto"/>
        </w:rPr>
        <w:t xml:space="preserve"> We have a defined benefit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35" w:lineRule="exact"/>
        <w:rPr>
          <w:sz w:val="20"/>
          <w:szCs w:val="20"/>
          <w:color w:val="auto"/>
        </w:rPr>
      </w:pPr>
    </w:p>
    <w:p>
      <w:pPr>
        <w:ind w:left="1300" w:right="20" w:hanging="533"/>
        <w:spacing w:after="0" w:line="268"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1.165% of the participant’s final average eligible pay up to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hanging="533"/>
        <w:spacing w:after="0" w:line="268"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1.50% of the participant’s final average eligible pay in excess of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94"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u w:val="single" w:color="auto"/>
          <w:color w:val="auto"/>
        </w:rPr>
        <w:t>Supplemental Excess Retirement Plan.</w:t>
      </w:r>
      <w:r>
        <w:rPr>
          <w:rFonts w:ascii="Arial" w:cs="Arial" w:eastAsia="Arial" w:hAnsi="Arial"/>
          <w:sz w:val="18"/>
          <w:szCs w:val="18"/>
          <w:color w:val="auto"/>
        </w:rPr>
        <w:t xml:space="preserve"> 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60"/>
          </w:cols>
          <w:pgMar w:left="440" w:top="469" w:right="399" w:bottom="1440" w:gutter="0" w:footer="0" w:header="0"/>
        </w:sectPr>
      </w:pPr>
    </w:p>
    <w:bookmarkStart w:id="53" w:name="page54"/>
    <w:bookmarkEnd w:id="53"/>
    <w:p>
      <w:pPr>
        <w:jc w:val="both"/>
        <w:ind w:firstLine="775"/>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90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779010"/>
                    </a:xfrm>
                    <a:prstGeom prst="rect">
                      <a:avLst/>
                    </a:prstGeom>
                    <a:noFill/>
                  </pic:spPr>
                </pic:pic>
              </a:graphicData>
            </a:graphic>
          </wp:anchor>
        </w:drawing>
        <w:t>Performance Sharing Plan.</w:t>
      </w:r>
      <w:r>
        <w:rPr>
          <w:rFonts w:ascii="Arial" w:cs="Arial" w:eastAsia="Arial" w:hAnsi="Arial"/>
          <w:sz w:val="16"/>
          <w:szCs w:val="16"/>
          <w:color w:val="auto"/>
        </w:rPr>
        <w:t xml:space="preserve"> The Performance Sharing Plan is a tax-qualified defined contribution retirement savings plan pursuant to which all salaried employees in the United States, including the named executive officers, are eligible to contribute up to 25% or the limit prescribed by the Internal Revenue Service on a ROTH individual retirement account or a before-tax basis and up to an additional 17% on an after-tax basis not to exceed a total of 25%. We match 50% of the first 7% of pay that is contributed by employees to the Performance Sharing Plan up to Internal Revenue Service limitations. All contributions as well as any matching contributions are fully vested upon contribution.</w:t>
      </w:r>
    </w:p>
    <w:p>
      <w:pPr>
        <w:spacing w:after="0" w:line="116"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u w:val="single" w:color="auto"/>
          <w:color w:val="auto"/>
        </w:rPr>
        <w:t>Retiree Medical.</w:t>
      </w:r>
      <w:r>
        <w:rPr>
          <w:rFonts w:ascii="Arial" w:cs="Arial" w:eastAsia="Arial" w:hAnsi="Arial"/>
          <w:sz w:val="16"/>
          <w:szCs w:val="16"/>
          <w:color w:val="auto"/>
        </w:rPr>
        <w:t xml:space="preserve"> Eligible salaried employees who commenced 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is not eligible for retiree medical benefits as he commenced employment with Martin Marietta in 2006.</w:t>
      </w:r>
    </w:p>
    <w:p>
      <w:pPr>
        <w:spacing w:after="0" w:line="12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u w:val="single" w:color="auto"/>
          <w:color w:val="auto"/>
        </w:rPr>
        <w:t>Medical Insurance.</w:t>
      </w:r>
      <w:r>
        <w:rPr>
          <w:rFonts w:ascii="Arial" w:cs="Arial" w:eastAsia="Arial" w:hAnsi="Arial"/>
          <w:sz w:val="16"/>
          <w:szCs w:val="16"/>
          <w:color w:val="auto"/>
        </w:rPr>
        <w:t xml:space="preserve"> Martin Marietta provides an opportunity to all of its salaried employees in the United States and the employees’ immediate family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07"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u w:val="single" w:color="auto"/>
          <w:color w:val="auto"/>
        </w:rPr>
        <w:t>Life and Disability Insurance.</w:t>
      </w:r>
      <w:r>
        <w:rPr>
          <w:rFonts w:ascii="Arial" w:cs="Arial" w:eastAsia="Arial" w:hAnsi="Arial"/>
          <w:sz w:val="16"/>
          <w:szCs w:val="16"/>
          <w:color w:val="auto"/>
        </w:rPr>
        <w:t xml:space="preserve"> Martin Marietta provides to all of its 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month base salary in the event of death of any active salaried employee.</w:t>
      </w:r>
    </w:p>
    <w:p>
      <w:pPr>
        <w:spacing w:after="0" w:line="113"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u w:val="single" w:color="auto"/>
          <w:color w:val="auto"/>
        </w:rPr>
        <w:t>Housing Allowance and Relocation Costs.</w:t>
      </w:r>
      <w:r>
        <w:rPr>
          <w:rFonts w:ascii="Arial" w:cs="Arial" w:eastAsia="Arial" w:hAnsi="Arial"/>
          <w:sz w:val="18"/>
          <w:szCs w:val="18"/>
          <w:color w:val="auto"/>
        </w:rPr>
        <w:t xml:space="preserve"> Martin Marietta provides relocation benefits, including a housing allowance, to certain employees upon their employment with Martin Marietta or in conjunction with a job relocation or promotion.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Martin Marietta has entered into an Employment Protection Agreement with each of the named executive officers that provides for certain payments and benefits upon a qualifying termination of employment following a change of control. Martin Marietta’s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Martin Marietta, including the named executive officers. The Employment Protection Agreement is described on pages 60 to 61 of this Proxy Statement.</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60"/>
          </w:cols>
          <w:pgMar w:left="440" w:top="469" w:right="399" w:bottom="1440" w:gutter="0" w:footer="0" w:header="0"/>
        </w:sectPr>
      </w:pPr>
    </w:p>
    <w:bookmarkStart w:id="54" w:name="page55"/>
    <w:bookmarkEnd w:id="54"/>
    <w:p>
      <w:pPr>
        <w:jc w:val="both"/>
        <w:ind w:firstLine="775"/>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95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595370"/>
                    </a:xfrm>
                    <a:prstGeom prst="rect">
                      <a:avLst/>
                    </a:prstGeom>
                    <a:noFill/>
                  </pic:spPr>
                </pic:pic>
              </a:graphicData>
            </a:graphic>
          </wp:anchor>
        </w:drawing>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Section 162(m) of the Internal Revenue Code of 1986 makes certain compensation to the named executives in excess of $1 million non-deductible to Martin Marietta unless it is based on objectively determined performance criteria pursuant to a plan approved by shareholders. One of the named executive officers received annual compensation exceeding $1 million in 2012 that is not deductible pursuant to Section 162(m).</w:t>
      </w:r>
    </w:p>
    <w:p>
      <w:pPr>
        <w:spacing w:after="0" w:line="107"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Martin Marietta’s general compensation policies and objectives that are currently in place best serves shareholder interests.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Martin Marietta, earned by the Chief Executive Officer, the Chief Financial Officer, three other executive officers serving as such on December 31, 2012, and a former executive officer who resigned during 2012, which we refer to collectively as the “named executive officers.” These tables and the accompanying narratives should be read in conjunction with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of this proxy statement, which provides a detailed overview of the methods used by Martin Marietta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its officers, including the named executive officers.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440" w:top="469"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36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5036185"/>
                    </a:xfrm>
                    <a:prstGeom prst="rect">
                      <a:avLst/>
                    </a:prstGeom>
                    <a:noFill/>
                  </pic:spPr>
                </pic:pic>
              </a:graphicData>
            </a:graphic>
          </wp:anchor>
        </w:drawing>
        <w:t>Summary Compensation Table</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table below summarizes the total compensation paid or earned by each of the named executive officers for the fiscal years set forth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has not entered into any employment agreements with any of the named executive officers.</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760" w:type="dxa"/>
            <w:vAlign w:val="bottom"/>
            <w:tcBorders>
              <w:top w:val="single" w:sz="8" w:color="auto"/>
              <w:left w:val="single" w:sz="8" w:color="auto"/>
            </w:tcBorders>
            <w:shd w:val="clear" w:color="auto" w:fill="E0E0E0"/>
          </w:tcPr>
          <w:p>
            <w:pPr>
              <w:spacing w:after="0"/>
              <w:rPr>
                <w:sz w:val="12"/>
                <w:szCs w:val="12"/>
                <w:color w:val="auto"/>
              </w:rPr>
            </w:pPr>
          </w:p>
        </w:tc>
        <w:tc>
          <w:tcPr>
            <w:tcW w:w="15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680" w:type="dxa"/>
            <w:vAlign w:val="bottom"/>
            <w:tcBorders>
              <w:top w:val="single" w:sz="8" w:color="auto"/>
            </w:tcBorders>
            <w:shd w:val="clear" w:color="auto" w:fill="E0E0E0"/>
          </w:tcPr>
          <w:p>
            <w:pPr>
              <w:spacing w:after="0"/>
              <w:rPr>
                <w:sz w:val="12"/>
                <w:szCs w:val="12"/>
                <w:color w:val="auto"/>
              </w:rPr>
            </w:pPr>
          </w:p>
        </w:tc>
        <w:tc>
          <w:tcPr>
            <w:tcW w:w="84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82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1060" w:type="dxa"/>
            <w:vAlign w:val="bottom"/>
            <w:tcBorders>
              <w:top w:val="single" w:sz="8" w:color="auto"/>
            </w:tcBorders>
            <w:shd w:val="clear" w:color="auto" w:fill="E0E0E0"/>
          </w:tcPr>
          <w:p>
            <w:pPr>
              <w:spacing w:after="0"/>
              <w:rPr>
                <w:sz w:val="12"/>
                <w:szCs w:val="12"/>
                <w:color w:val="auto"/>
              </w:rPr>
            </w:pPr>
          </w:p>
        </w:tc>
        <w:tc>
          <w:tcPr>
            <w:tcW w:w="104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tcBorders>
            <w:shd w:val="clear" w:color="auto" w:fill="E0E0E0"/>
          </w:tcPr>
          <w:p>
            <w:pPr>
              <w:spacing w:after="0"/>
              <w:rPr>
                <w:sz w:val="12"/>
                <w:szCs w:val="12"/>
                <w:color w:val="auto"/>
              </w:rPr>
            </w:pPr>
          </w:p>
        </w:tc>
        <w:tc>
          <w:tcPr>
            <w:tcW w:w="15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tcBorders>
            <w:shd w:val="clear" w:color="auto" w:fill="E0E0E0"/>
          </w:tcPr>
          <w:p>
            <w:pPr>
              <w:spacing w:after="0"/>
              <w:rPr>
                <w:sz w:val="12"/>
                <w:szCs w:val="12"/>
                <w:color w:val="auto"/>
              </w:rPr>
            </w:pPr>
          </w:p>
        </w:tc>
        <w:tc>
          <w:tcPr>
            <w:tcW w:w="15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and Non-</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tcBorders>
            <w:shd w:val="clear" w:color="auto" w:fill="E0E0E0"/>
          </w:tcPr>
          <w:p>
            <w:pPr>
              <w:spacing w:after="0"/>
              <w:rPr>
                <w:sz w:val="12"/>
                <w:szCs w:val="12"/>
                <w:color w:val="auto"/>
              </w:rPr>
            </w:pPr>
          </w:p>
        </w:tc>
        <w:tc>
          <w:tcPr>
            <w:tcW w:w="15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Qualified</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tcBorders>
            <w:shd w:val="clear" w:color="auto" w:fill="E0E0E0"/>
          </w:tcPr>
          <w:p>
            <w:pPr>
              <w:spacing w:after="0"/>
              <w:rPr>
                <w:sz w:val="12"/>
                <w:szCs w:val="12"/>
                <w:color w:val="auto"/>
              </w:rPr>
            </w:pPr>
          </w:p>
        </w:tc>
        <w:tc>
          <w:tcPr>
            <w:tcW w:w="15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06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tcBorders>
            <w:shd w:val="clear" w:color="auto" w:fill="E0E0E0"/>
          </w:tcPr>
          <w:p>
            <w:pPr>
              <w:spacing w:after="0"/>
              <w:rPr>
                <w:sz w:val="12"/>
                <w:szCs w:val="12"/>
                <w:color w:val="auto"/>
              </w:rPr>
            </w:pPr>
          </w:p>
        </w:tc>
        <w:tc>
          <w:tcPr>
            <w:tcW w:w="15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8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0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20" w:type="dxa"/>
            <w:vAlign w:val="bottom"/>
            <w:tcBorders>
              <w:left w:val="single" w:sz="8" w:color="auto"/>
            </w:tcBorders>
            <w:gridSpan w:val="3"/>
            <w:vMerge w:val="restart"/>
            <w:shd w:val="clear" w:color="auto" w:fill="E0E0E0"/>
          </w:tcPr>
          <w:p>
            <w:pPr>
              <w:jc w:val="center"/>
              <w:ind w:left="53"/>
              <w:spacing w:after="0"/>
              <w:rPr>
                <w:sz w:val="20"/>
                <w:szCs w:val="20"/>
                <w:color w:val="auto"/>
              </w:rPr>
            </w:pPr>
            <w:r>
              <w:rPr>
                <w:rFonts w:ascii="Arial" w:cs="Arial" w:eastAsia="Arial" w:hAnsi="Arial"/>
                <w:sz w:val="14"/>
                <w:szCs w:val="14"/>
                <w:b w:val="1"/>
                <w:bCs w:val="1"/>
                <w:color w:val="auto"/>
                <w:w w:val="87"/>
              </w:rPr>
              <w:t>Name and Principal Position</w:t>
            </w:r>
          </w:p>
        </w:tc>
        <w:tc>
          <w:tcPr>
            <w:tcW w:w="680" w:type="dxa"/>
            <w:vAlign w:val="bottom"/>
            <w:shd w:val="clear" w:color="auto" w:fill="E0E0E0"/>
          </w:tcPr>
          <w:p>
            <w:pPr>
              <w:spacing w:after="0"/>
              <w:rPr>
                <w:sz w:val="11"/>
                <w:szCs w:val="11"/>
                <w:color w:val="auto"/>
              </w:rPr>
            </w:pPr>
          </w:p>
        </w:tc>
        <w:tc>
          <w:tcPr>
            <w:tcW w:w="840" w:type="dxa"/>
            <w:vAlign w:val="bottom"/>
            <w:shd w:val="clear" w:color="auto" w:fill="E0E0E0"/>
          </w:tcPr>
          <w:p>
            <w:pPr>
              <w:jc w:val="right"/>
              <w:ind w:right="176"/>
              <w:spacing w:after="0" w:line="135" w:lineRule="exact"/>
              <w:rPr>
                <w:sz w:val="20"/>
                <w:szCs w:val="20"/>
                <w:color w:val="auto"/>
              </w:rPr>
            </w:pPr>
            <w:r>
              <w:rPr>
                <w:rFonts w:ascii="Arial" w:cs="Arial" w:eastAsia="Arial" w:hAnsi="Arial"/>
                <w:sz w:val="14"/>
                <w:szCs w:val="14"/>
                <w:b w:val="1"/>
                <w:bCs w:val="1"/>
                <w:color w:val="auto"/>
              </w:rPr>
              <w:t>Salary</w:t>
            </w:r>
          </w:p>
        </w:tc>
        <w:tc>
          <w:tcPr>
            <w:tcW w:w="8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2"/>
              </w:rPr>
              <w:t>Bonus</w:t>
            </w:r>
          </w:p>
        </w:tc>
        <w:tc>
          <w:tcPr>
            <w:tcW w:w="8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10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tcBorders>
              <w:right w:val="single" w:sz="8" w:color="auto"/>
            </w:tcBorders>
            <w:shd w:val="clear" w:color="auto" w:fill="E0E0E0"/>
          </w:tcPr>
          <w:p>
            <w:pPr>
              <w:jc w:val="center"/>
              <w:ind w:right="76"/>
              <w:spacing w:after="0" w:line="135"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920" w:type="dxa"/>
            <w:vAlign w:val="bottom"/>
            <w:tcBorders>
              <w:left w:val="single" w:sz="8" w:color="auto"/>
            </w:tcBorders>
            <w:gridSpan w:val="3"/>
            <w:vMerge w:val="continue"/>
            <w:shd w:val="clear" w:color="auto" w:fill="E0E0E0"/>
          </w:tcPr>
          <w:p>
            <w:pPr>
              <w:spacing w:after="0"/>
              <w:rPr>
                <w:sz w:val="12"/>
                <w:szCs w:val="12"/>
                <w:color w:val="auto"/>
              </w:rPr>
            </w:pPr>
          </w:p>
        </w:tc>
        <w:tc>
          <w:tcPr>
            <w:tcW w:w="680" w:type="dxa"/>
            <w:vAlign w:val="bottom"/>
            <w:shd w:val="clear" w:color="auto" w:fill="E0E0E0"/>
          </w:tcPr>
          <w:p>
            <w:pPr>
              <w:ind w:left="200"/>
              <w:spacing w:after="0" w:line="149" w:lineRule="exact"/>
              <w:rPr>
                <w:sz w:val="20"/>
                <w:szCs w:val="20"/>
                <w:color w:val="auto"/>
              </w:rPr>
            </w:pPr>
            <w:r>
              <w:rPr>
                <w:rFonts w:ascii="Arial" w:cs="Arial" w:eastAsia="Arial" w:hAnsi="Arial"/>
                <w:sz w:val="14"/>
                <w:szCs w:val="14"/>
                <w:b w:val="1"/>
                <w:bCs w:val="1"/>
                <w:color w:val="auto"/>
              </w:rPr>
              <w:t>Year</w:t>
            </w:r>
          </w:p>
        </w:tc>
        <w:tc>
          <w:tcPr>
            <w:tcW w:w="840" w:type="dxa"/>
            <w:vAlign w:val="bottom"/>
            <w:shd w:val="clear" w:color="auto" w:fill="E0E0E0"/>
          </w:tcPr>
          <w:p>
            <w:pPr>
              <w:jc w:val="right"/>
              <w:ind w:right="276"/>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86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2</w:t>
            </w:r>
          </w:p>
        </w:tc>
        <w:tc>
          <w:tcPr>
            <w:tcW w:w="82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3</w:t>
            </w: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4</w:t>
            </w: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5</w:t>
            </w:r>
          </w:p>
        </w:tc>
        <w:tc>
          <w:tcPr>
            <w:tcW w:w="1040" w:type="dxa"/>
            <w:vAlign w:val="bottom"/>
            <w:tcBorders>
              <w:right w:val="single" w:sz="8" w:color="auto"/>
            </w:tcBorders>
            <w:shd w:val="clear" w:color="auto" w:fill="E0E0E0"/>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4"/>
        </w:trPr>
        <w:tc>
          <w:tcPr>
            <w:tcW w:w="760" w:type="dxa"/>
            <w:vAlign w:val="bottom"/>
            <w:tcBorders>
              <w:left w:val="single" w:sz="8" w:color="auto"/>
              <w:bottom w:val="single" w:sz="8" w:color="E0E0E0"/>
            </w:tcBorders>
            <w:shd w:val="clear" w:color="auto" w:fill="E0E0E0"/>
          </w:tcPr>
          <w:p>
            <w:pPr>
              <w:spacing w:after="0"/>
              <w:rPr>
                <w:sz w:val="16"/>
                <w:szCs w:val="16"/>
                <w:color w:val="auto"/>
              </w:rPr>
            </w:pPr>
          </w:p>
        </w:tc>
        <w:tc>
          <w:tcPr>
            <w:tcW w:w="1540" w:type="dxa"/>
            <w:vAlign w:val="bottom"/>
            <w:tcBorders>
              <w:bottom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62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ind w:left="260"/>
              <w:spacing w:after="0" w:line="129" w:lineRule="exact"/>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E0E0E0"/>
            </w:tcBorders>
            <w:shd w:val="clear" w:color="auto" w:fill="E0E0E0"/>
          </w:tcPr>
          <w:p>
            <w:pPr>
              <w:jc w:val="right"/>
              <w:ind w:right="296"/>
              <w:spacing w:after="0" w:line="129" w:lineRule="exact"/>
              <w:rPr>
                <w:sz w:val="20"/>
                <w:szCs w:val="20"/>
                <w:color w:val="auto"/>
              </w:rPr>
            </w:pPr>
            <w:r>
              <w:rPr>
                <w:rFonts w:ascii="Arial" w:cs="Arial" w:eastAsia="Arial" w:hAnsi="Arial"/>
                <w:sz w:val="14"/>
                <w:szCs w:val="14"/>
                <w:b w:val="1"/>
                <w:bCs w:val="1"/>
                <w:color w:val="auto"/>
              </w:rPr>
              <w:t>(c)</w:t>
            </w:r>
          </w:p>
        </w:tc>
        <w:tc>
          <w:tcPr>
            <w:tcW w:w="8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8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1"/>
              </w:rPr>
              <w:t>(e)</w:t>
            </w:r>
          </w:p>
        </w:tc>
        <w:tc>
          <w:tcPr>
            <w:tcW w:w="82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100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(g)</w:t>
            </w:r>
          </w:p>
        </w:tc>
        <w:tc>
          <w:tcPr>
            <w:tcW w:w="100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10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1040" w:type="dxa"/>
            <w:vAlign w:val="bottom"/>
            <w:tcBorders>
              <w:bottom w:val="single" w:sz="8" w:color="E0E0E0"/>
              <w:right w:val="single" w:sz="8" w:color="auto"/>
            </w:tcBorders>
            <w:shd w:val="clear" w:color="auto" w:fill="E0E0E0"/>
          </w:tcPr>
          <w:p>
            <w:pPr>
              <w:jc w:val="center"/>
              <w:ind w:right="76"/>
              <w:spacing w:after="0" w:line="129"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97"/>
        </w:trPr>
        <w:tc>
          <w:tcPr>
            <w:tcW w:w="2920" w:type="dxa"/>
            <w:vAlign w:val="bottom"/>
            <w:tcBorders>
              <w:top w:val="single" w:sz="8" w:color="auto"/>
              <w:left w:val="single" w:sz="8" w:color="auto"/>
            </w:tcBorders>
            <w:gridSpan w:val="3"/>
            <w:shd w:val="clear" w:color="auto" w:fill="E0E0E0"/>
          </w:tcPr>
          <w:p>
            <w:pPr>
              <w:ind w:left="120"/>
              <w:spacing w:after="0" w:line="196" w:lineRule="exact"/>
              <w:rPr>
                <w:sz w:val="20"/>
                <w:szCs w:val="20"/>
                <w:color w:val="auto"/>
              </w:rPr>
            </w:pPr>
            <w:r>
              <w:rPr>
                <w:rFonts w:ascii="Arial" w:cs="Arial" w:eastAsia="Arial" w:hAnsi="Arial"/>
                <w:sz w:val="18"/>
                <w:szCs w:val="18"/>
                <w:b w:val="1"/>
                <w:bCs w:val="1"/>
                <w:color w:val="auto"/>
              </w:rPr>
              <w:t>C. Howard Nye</w:t>
            </w:r>
          </w:p>
        </w:tc>
        <w:tc>
          <w:tcPr>
            <w:tcW w:w="680" w:type="dxa"/>
            <w:vAlign w:val="bottom"/>
            <w:tcBorders>
              <w:top w:val="single" w:sz="8" w:color="auto"/>
            </w:tcBorders>
            <w:shd w:val="clear" w:color="auto" w:fill="E0E0E0"/>
          </w:tcPr>
          <w:p>
            <w:pPr>
              <w:ind w:left="180"/>
              <w:spacing w:after="0" w:line="196" w:lineRule="exact"/>
              <w:rPr>
                <w:sz w:val="20"/>
                <w:szCs w:val="20"/>
                <w:color w:val="auto"/>
              </w:rPr>
            </w:pPr>
            <w:r>
              <w:rPr>
                <w:rFonts w:ascii="Arial" w:cs="Arial" w:eastAsia="Arial" w:hAnsi="Arial"/>
                <w:sz w:val="18"/>
                <w:szCs w:val="18"/>
                <w:color w:val="auto"/>
              </w:rPr>
              <w:t>2012</w:t>
            </w:r>
          </w:p>
        </w:tc>
        <w:tc>
          <w:tcPr>
            <w:tcW w:w="840" w:type="dxa"/>
            <w:vAlign w:val="bottom"/>
            <w:tcBorders>
              <w:top w:val="single" w:sz="8" w:color="auto"/>
            </w:tcBorders>
            <w:shd w:val="clear" w:color="auto" w:fill="E0E0E0"/>
          </w:tcPr>
          <w:p>
            <w:pPr>
              <w:jc w:val="right"/>
              <w:ind w:right="56"/>
              <w:spacing w:after="0" w:line="196" w:lineRule="exact"/>
              <w:rPr>
                <w:sz w:val="20"/>
                <w:szCs w:val="20"/>
                <w:color w:val="auto"/>
              </w:rPr>
            </w:pPr>
            <w:r>
              <w:rPr>
                <w:rFonts w:ascii="Arial" w:cs="Arial" w:eastAsia="Arial" w:hAnsi="Arial"/>
                <w:sz w:val="18"/>
                <w:szCs w:val="18"/>
                <w:color w:val="auto"/>
              </w:rPr>
              <w:t>850,000</w:t>
            </w:r>
          </w:p>
        </w:tc>
        <w:tc>
          <w:tcPr>
            <w:tcW w:w="860" w:type="dxa"/>
            <w:vAlign w:val="bottom"/>
            <w:tcBorders>
              <w:top w:val="single" w:sz="8" w:color="auto"/>
            </w:tcBorders>
            <w:shd w:val="clear" w:color="auto" w:fill="E0E0E0"/>
          </w:tcPr>
          <w:p>
            <w:pPr>
              <w:jc w:val="right"/>
              <w:ind w:right="57"/>
              <w:spacing w:after="0" w:line="196" w:lineRule="exact"/>
              <w:rPr>
                <w:sz w:val="20"/>
                <w:szCs w:val="20"/>
                <w:color w:val="auto"/>
              </w:rPr>
            </w:pPr>
            <w:r>
              <w:rPr>
                <w:rFonts w:ascii="Arial" w:cs="Arial" w:eastAsia="Arial" w:hAnsi="Arial"/>
                <w:sz w:val="18"/>
                <w:szCs w:val="18"/>
                <w:color w:val="auto"/>
              </w:rPr>
              <w:t>390,000</w:t>
            </w:r>
          </w:p>
        </w:tc>
        <w:tc>
          <w:tcPr>
            <w:tcW w:w="860" w:type="dxa"/>
            <w:vAlign w:val="bottom"/>
            <w:tcBorders>
              <w:top w:val="single" w:sz="8" w:color="auto"/>
            </w:tcBorders>
            <w:shd w:val="clear" w:color="auto" w:fill="E0E0E0"/>
          </w:tcPr>
          <w:p>
            <w:pPr>
              <w:jc w:val="right"/>
              <w:ind w:right="58"/>
              <w:spacing w:after="0" w:line="196" w:lineRule="exact"/>
              <w:rPr>
                <w:sz w:val="20"/>
                <w:szCs w:val="20"/>
                <w:color w:val="auto"/>
              </w:rPr>
            </w:pPr>
            <w:r>
              <w:rPr>
                <w:rFonts w:ascii="Arial" w:cs="Arial" w:eastAsia="Arial" w:hAnsi="Arial"/>
                <w:sz w:val="18"/>
                <w:szCs w:val="18"/>
                <w:color w:val="auto"/>
              </w:rPr>
              <w:t>773,950</w:t>
            </w:r>
          </w:p>
        </w:tc>
        <w:tc>
          <w:tcPr>
            <w:tcW w:w="820" w:type="dxa"/>
            <w:vAlign w:val="bottom"/>
            <w:tcBorders>
              <w:top w:val="single" w:sz="8" w:color="auto"/>
            </w:tcBorders>
            <w:shd w:val="clear" w:color="auto" w:fill="E0E0E0"/>
          </w:tcPr>
          <w:p>
            <w:pPr>
              <w:jc w:val="right"/>
              <w:ind w:right="38"/>
              <w:spacing w:after="0" w:line="196" w:lineRule="exact"/>
              <w:rPr>
                <w:sz w:val="20"/>
                <w:szCs w:val="20"/>
                <w:color w:val="auto"/>
              </w:rPr>
            </w:pPr>
            <w:r>
              <w:rPr>
                <w:rFonts w:ascii="Arial" w:cs="Arial" w:eastAsia="Arial" w:hAnsi="Arial"/>
                <w:sz w:val="18"/>
                <w:szCs w:val="18"/>
                <w:color w:val="auto"/>
              </w:rPr>
              <w:t>363,543</w:t>
            </w:r>
          </w:p>
        </w:tc>
        <w:tc>
          <w:tcPr>
            <w:tcW w:w="1000" w:type="dxa"/>
            <w:vAlign w:val="bottom"/>
            <w:tcBorders>
              <w:top w:val="single" w:sz="8" w:color="auto"/>
            </w:tcBorders>
            <w:shd w:val="clear" w:color="auto" w:fill="E0E0E0"/>
          </w:tcPr>
          <w:p>
            <w:pPr>
              <w:spacing w:after="0"/>
              <w:rPr>
                <w:sz w:val="17"/>
                <w:szCs w:val="17"/>
                <w:color w:val="auto"/>
              </w:rPr>
            </w:pPr>
          </w:p>
        </w:tc>
        <w:tc>
          <w:tcPr>
            <w:tcW w:w="1000" w:type="dxa"/>
            <w:vAlign w:val="bottom"/>
            <w:tcBorders>
              <w:top w:val="single" w:sz="8" w:color="auto"/>
            </w:tcBorders>
            <w:shd w:val="clear" w:color="auto" w:fill="E0E0E0"/>
          </w:tcPr>
          <w:p>
            <w:pPr>
              <w:jc w:val="right"/>
              <w:ind w:right="21"/>
              <w:spacing w:after="0" w:line="196" w:lineRule="exact"/>
              <w:rPr>
                <w:sz w:val="20"/>
                <w:szCs w:val="20"/>
                <w:color w:val="auto"/>
              </w:rPr>
            </w:pPr>
            <w:r>
              <w:rPr>
                <w:rFonts w:ascii="Arial" w:cs="Arial" w:eastAsia="Arial" w:hAnsi="Arial"/>
                <w:sz w:val="18"/>
                <w:szCs w:val="18"/>
                <w:color w:val="auto"/>
              </w:rPr>
              <w:t>520,648</w:t>
            </w:r>
          </w:p>
        </w:tc>
        <w:tc>
          <w:tcPr>
            <w:tcW w:w="1060" w:type="dxa"/>
            <w:vAlign w:val="bottom"/>
            <w:tcBorders>
              <w:top w:val="single" w:sz="8" w:color="auto"/>
            </w:tcBorders>
            <w:shd w:val="clear" w:color="auto" w:fill="E0E0E0"/>
          </w:tcPr>
          <w:p>
            <w:pPr>
              <w:jc w:val="right"/>
              <w:ind w:right="38"/>
              <w:spacing w:after="0" w:line="196" w:lineRule="exact"/>
              <w:rPr>
                <w:sz w:val="20"/>
                <w:szCs w:val="20"/>
                <w:color w:val="auto"/>
              </w:rPr>
            </w:pPr>
            <w:r>
              <w:rPr>
                <w:rFonts w:ascii="Arial" w:cs="Arial" w:eastAsia="Arial" w:hAnsi="Arial"/>
                <w:sz w:val="18"/>
                <w:szCs w:val="18"/>
                <w:color w:val="auto"/>
              </w:rPr>
              <w:t>128,368</w:t>
            </w:r>
          </w:p>
        </w:tc>
        <w:tc>
          <w:tcPr>
            <w:tcW w:w="1040" w:type="dxa"/>
            <w:vAlign w:val="bottom"/>
            <w:tcBorders>
              <w:top w:val="single" w:sz="8" w:color="auto"/>
              <w:right w:val="single" w:sz="8" w:color="auto"/>
            </w:tcBorders>
            <w:shd w:val="clear" w:color="auto" w:fill="E0E0E0"/>
          </w:tcPr>
          <w:p>
            <w:pPr>
              <w:jc w:val="right"/>
              <w:ind w:right="136"/>
              <w:spacing w:after="0" w:line="196" w:lineRule="exact"/>
              <w:rPr>
                <w:sz w:val="20"/>
                <w:szCs w:val="20"/>
                <w:color w:val="auto"/>
              </w:rPr>
            </w:pPr>
            <w:r>
              <w:rPr>
                <w:rFonts w:ascii="Arial" w:cs="Arial" w:eastAsia="Arial" w:hAnsi="Arial"/>
                <w:sz w:val="18"/>
                <w:szCs w:val="18"/>
                <w:color w:val="auto"/>
                <w:w w:val="99"/>
              </w:rPr>
              <w:t>3,026,509</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President and CEO</w:t>
            </w:r>
          </w:p>
        </w:tc>
        <w:tc>
          <w:tcPr>
            <w:tcW w:w="680" w:type="dxa"/>
            <w:vAlign w:val="bottom"/>
            <w:shd w:val="clear" w:color="auto" w:fill="E0E0E0"/>
          </w:tcPr>
          <w:p>
            <w:pPr>
              <w:ind w:left="200"/>
              <w:spacing w:after="0"/>
              <w:rPr>
                <w:sz w:val="20"/>
                <w:szCs w:val="20"/>
                <w:color w:val="auto"/>
              </w:rPr>
            </w:pPr>
            <w:r>
              <w:rPr>
                <w:rFonts w:ascii="Arial" w:cs="Arial" w:eastAsia="Arial" w:hAnsi="Arial"/>
                <w:sz w:val="18"/>
                <w:szCs w:val="18"/>
                <w:color w:val="auto"/>
              </w:rPr>
              <w:t>2011</w:t>
            </w:r>
          </w:p>
        </w:tc>
        <w:tc>
          <w:tcPr>
            <w:tcW w:w="840" w:type="dxa"/>
            <w:vAlign w:val="bottom"/>
            <w:shd w:val="clear" w:color="auto" w:fill="E0E0E0"/>
          </w:tcPr>
          <w:p>
            <w:pPr>
              <w:jc w:val="right"/>
              <w:ind w:right="56"/>
              <w:spacing w:after="0"/>
              <w:rPr>
                <w:sz w:val="20"/>
                <w:szCs w:val="20"/>
                <w:color w:val="auto"/>
              </w:rPr>
            </w:pPr>
            <w:r>
              <w:rPr>
                <w:rFonts w:ascii="Arial" w:cs="Arial" w:eastAsia="Arial" w:hAnsi="Arial"/>
                <w:sz w:val="18"/>
                <w:szCs w:val="18"/>
                <w:color w:val="auto"/>
              </w:rPr>
              <w:t>825,000</w:t>
            </w:r>
          </w:p>
        </w:tc>
        <w:tc>
          <w:tcPr>
            <w:tcW w:w="86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325,000</w:t>
            </w:r>
          </w:p>
        </w:tc>
        <w:tc>
          <w:tcPr>
            <w:tcW w:w="860" w:type="dxa"/>
            <w:vAlign w:val="bottom"/>
            <w:shd w:val="clear" w:color="auto" w:fill="E0E0E0"/>
          </w:tcPr>
          <w:p>
            <w:pPr>
              <w:jc w:val="right"/>
              <w:ind w:right="58"/>
              <w:spacing w:after="0"/>
              <w:rPr>
                <w:sz w:val="20"/>
                <w:szCs w:val="20"/>
                <w:color w:val="auto"/>
              </w:rPr>
            </w:pPr>
            <w:r>
              <w:rPr>
                <w:rFonts w:ascii="Arial" w:cs="Arial" w:eastAsia="Arial" w:hAnsi="Arial"/>
                <w:sz w:val="18"/>
                <w:szCs w:val="18"/>
                <w:color w:val="auto"/>
              </w:rPr>
              <w:t>723,078</w:t>
            </w:r>
          </w:p>
        </w:tc>
        <w:tc>
          <w:tcPr>
            <w:tcW w:w="82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379,279</w:t>
            </w: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21"/>
              <w:spacing w:after="0"/>
              <w:rPr>
                <w:sz w:val="20"/>
                <w:szCs w:val="20"/>
                <w:color w:val="auto"/>
              </w:rPr>
            </w:pPr>
            <w:r>
              <w:rPr>
                <w:rFonts w:ascii="Arial" w:cs="Arial" w:eastAsia="Arial" w:hAnsi="Arial"/>
                <w:sz w:val="18"/>
                <w:szCs w:val="18"/>
                <w:color w:val="auto"/>
              </w:rPr>
              <w:t>269,055</w:t>
            </w:r>
          </w:p>
        </w:tc>
        <w:tc>
          <w:tcPr>
            <w:tcW w:w="106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139,188</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9"/>
              </w:rPr>
              <w:t>2,660,600</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shd w:val="clear" w:color="auto" w:fill="E0E0E0"/>
          </w:tcPr>
          <w:p>
            <w:pPr>
              <w:spacing w:after="0"/>
              <w:rPr>
                <w:sz w:val="18"/>
                <w:szCs w:val="18"/>
                <w:color w:val="auto"/>
              </w:rPr>
            </w:pPr>
          </w:p>
        </w:tc>
        <w:tc>
          <w:tcPr>
            <w:tcW w:w="1540" w:type="dxa"/>
            <w:vAlign w:val="bottom"/>
            <w:shd w:val="clear" w:color="auto" w:fill="E0E0E0"/>
          </w:tcPr>
          <w:p>
            <w:pPr>
              <w:spacing w:after="0"/>
              <w:rPr>
                <w:sz w:val="18"/>
                <w:szCs w:val="18"/>
                <w:color w:val="auto"/>
              </w:rPr>
            </w:pPr>
          </w:p>
        </w:tc>
        <w:tc>
          <w:tcPr>
            <w:tcW w:w="620" w:type="dxa"/>
            <w:vAlign w:val="bottom"/>
            <w:shd w:val="clear" w:color="auto" w:fill="E0E0E0"/>
          </w:tcPr>
          <w:p>
            <w:pPr>
              <w:spacing w:after="0"/>
              <w:rPr>
                <w:sz w:val="18"/>
                <w:szCs w:val="18"/>
                <w:color w:val="auto"/>
              </w:rPr>
            </w:pPr>
          </w:p>
        </w:tc>
        <w:tc>
          <w:tcPr>
            <w:tcW w:w="680" w:type="dxa"/>
            <w:vAlign w:val="bottom"/>
            <w:shd w:val="clear" w:color="auto" w:fill="E0E0E0"/>
          </w:tcPr>
          <w:p>
            <w:pPr>
              <w:ind w:left="180"/>
              <w:spacing w:after="0"/>
              <w:rPr>
                <w:sz w:val="20"/>
                <w:szCs w:val="20"/>
                <w:color w:val="auto"/>
              </w:rPr>
            </w:pPr>
            <w:r>
              <w:rPr>
                <w:rFonts w:ascii="Arial" w:cs="Arial" w:eastAsia="Arial" w:hAnsi="Arial"/>
                <w:sz w:val="18"/>
                <w:szCs w:val="18"/>
                <w:color w:val="auto"/>
              </w:rPr>
              <w:t>2010</w:t>
            </w:r>
          </w:p>
        </w:tc>
        <w:tc>
          <w:tcPr>
            <w:tcW w:w="840" w:type="dxa"/>
            <w:vAlign w:val="bottom"/>
            <w:shd w:val="clear" w:color="auto" w:fill="E0E0E0"/>
          </w:tcPr>
          <w:p>
            <w:pPr>
              <w:jc w:val="right"/>
              <w:ind w:right="56"/>
              <w:spacing w:after="0"/>
              <w:rPr>
                <w:sz w:val="20"/>
                <w:szCs w:val="20"/>
                <w:color w:val="auto"/>
              </w:rPr>
            </w:pPr>
            <w:r>
              <w:rPr>
                <w:rFonts w:ascii="Arial" w:cs="Arial" w:eastAsia="Arial" w:hAnsi="Arial"/>
                <w:sz w:val="18"/>
                <w:szCs w:val="18"/>
                <w:color w:val="auto"/>
              </w:rPr>
              <w:t>800,000</w:t>
            </w:r>
          </w:p>
        </w:tc>
        <w:tc>
          <w:tcPr>
            <w:tcW w:w="86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390,000</w:t>
            </w:r>
          </w:p>
        </w:tc>
        <w:tc>
          <w:tcPr>
            <w:tcW w:w="860" w:type="dxa"/>
            <w:vAlign w:val="bottom"/>
            <w:shd w:val="clear" w:color="auto" w:fill="E0E0E0"/>
          </w:tcPr>
          <w:p>
            <w:pPr>
              <w:jc w:val="right"/>
              <w:ind w:right="58"/>
              <w:spacing w:after="0"/>
              <w:rPr>
                <w:sz w:val="20"/>
                <w:szCs w:val="20"/>
                <w:color w:val="auto"/>
              </w:rPr>
            </w:pPr>
            <w:r>
              <w:rPr>
                <w:rFonts w:ascii="Arial" w:cs="Arial" w:eastAsia="Arial" w:hAnsi="Arial"/>
                <w:sz w:val="18"/>
                <w:szCs w:val="18"/>
                <w:color w:val="auto"/>
              </w:rPr>
              <w:t>967,503</w:t>
            </w:r>
          </w:p>
        </w:tc>
        <w:tc>
          <w:tcPr>
            <w:tcW w:w="82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382,008</w:t>
            </w: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21"/>
              <w:spacing w:after="0"/>
              <w:rPr>
                <w:sz w:val="20"/>
                <w:szCs w:val="20"/>
                <w:color w:val="auto"/>
              </w:rPr>
            </w:pPr>
            <w:r>
              <w:rPr>
                <w:rFonts w:ascii="Arial" w:cs="Arial" w:eastAsia="Arial" w:hAnsi="Arial"/>
                <w:sz w:val="18"/>
                <w:szCs w:val="18"/>
                <w:color w:val="auto"/>
              </w:rPr>
              <w:t>143,656</w:t>
            </w:r>
          </w:p>
        </w:tc>
        <w:tc>
          <w:tcPr>
            <w:tcW w:w="106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157,167</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9"/>
              </w:rPr>
              <w:t>2,840,334</w:t>
            </w:r>
          </w:p>
        </w:tc>
        <w:tc>
          <w:tcPr>
            <w:tcW w:w="0" w:type="dxa"/>
            <w:vAlign w:val="bottom"/>
          </w:tcPr>
          <w:p>
            <w:pPr>
              <w:spacing w:after="0"/>
              <w:rPr>
                <w:sz w:val="1"/>
                <w:szCs w:val="1"/>
                <w:color w:val="auto"/>
              </w:rPr>
            </w:pPr>
          </w:p>
        </w:tc>
      </w:tr>
      <w:tr>
        <w:trPr>
          <w:trHeight w:val="208"/>
        </w:trPr>
        <w:tc>
          <w:tcPr>
            <w:tcW w:w="292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Anne H. Lloyd</w:t>
            </w:r>
          </w:p>
        </w:tc>
        <w:tc>
          <w:tcPr>
            <w:tcW w:w="680" w:type="dxa"/>
            <w:vAlign w:val="bottom"/>
          </w:tcPr>
          <w:p>
            <w:pPr>
              <w:ind w:left="180"/>
              <w:spacing w:after="0"/>
              <w:rPr>
                <w:sz w:val="20"/>
                <w:szCs w:val="20"/>
                <w:color w:val="auto"/>
              </w:rPr>
            </w:pPr>
            <w:r>
              <w:rPr>
                <w:rFonts w:ascii="Arial" w:cs="Arial" w:eastAsia="Arial" w:hAnsi="Arial"/>
                <w:sz w:val="18"/>
                <w:szCs w:val="18"/>
                <w:color w:val="auto"/>
              </w:rPr>
              <w:t>2012</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481,067</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232,451</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249,230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123,208</w:t>
            </w:r>
          </w:p>
        </w:tc>
        <w:tc>
          <w:tcPr>
            <w:tcW w:w="100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445,594</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59,331</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1,590,881</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680" w:type="dxa"/>
            <w:vAlign w:val="bottom"/>
          </w:tcPr>
          <w:p>
            <w:pPr>
              <w:ind w:left="200"/>
              <w:spacing w:after="0"/>
              <w:rPr>
                <w:sz w:val="20"/>
                <w:szCs w:val="20"/>
                <w:color w:val="auto"/>
              </w:rPr>
            </w:pPr>
            <w:r>
              <w:rPr>
                <w:rFonts w:ascii="Arial" w:cs="Arial" w:eastAsia="Arial" w:hAnsi="Arial"/>
                <w:sz w:val="18"/>
                <w:szCs w:val="18"/>
                <w:color w:val="auto"/>
              </w:rPr>
              <w:t>2011</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467,767</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180,221</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230,760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128,562</w:t>
            </w:r>
          </w:p>
        </w:tc>
        <w:tc>
          <w:tcPr>
            <w:tcW w:w="100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332,881</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66,087</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1,406,278</w:t>
            </w: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CFO and Treasurer</w:t>
            </w:r>
          </w:p>
        </w:tc>
        <w:tc>
          <w:tcPr>
            <w:tcW w:w="680" w:type="dxa"/>
            <w:vAlign w:val="bottom"/>
          </w:tcPr>
          <w:p>
            <w:pPr>
              <w:ind w:left="180"/>
              <w:spacing w:after="0"/>
              <w:rPr>
                <w:sz w:val="20"/>
                <w:szCs w:val="20"/>
                <w:color w:val="auto"/>
              </w:rPr>
            </w:pPr>
            <w:r>
              <w:rPr>
                <w:rFonts w:ascii="Arial" w:cs="Arial" w:eastAsia="Arial" w:hAnsi="Arial"/>
                <w:sz w:val="18"/>
                <w:szCs w:val="18"/>
                <w:color w:val="auto"/>
              </w:rPr>
              <w:t>2010</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463,500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218,160</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361,399</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129,451</w:t>
            </w:r>
          </w:p>
        </w:tc>
        <w:tc>
          <w:tcPr>
            <w:tcW w:w="100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202,496</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78,001</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1,444,008</w:t>
            </w:r>
          </w:p>
        </w:tc>
        <w:tc>
          <w:tcPr>
            <w:tcW w:w="0" w:type="dxa"/>
            <w:vAlign w:val="bottom"/>
          </w:tcPr>
          <w:p>
            <w:pPr>
              <w:spacing w:after="0"/>
              <w:rPr>
                <w:sz w:val="1"/>
                <w:szCs w:val="1"/>
                <w:color w:val="auto"/>
              </w:rPr>
            </w:pPr>
          </w:p>
        </w:tc>
      </w:tr>
      <w:tr>
        <w:trPr>
          <w:trHeight w:val="209"/>
        </w:trPr>
        <w:tc>
          <w:tcPr>
            <w:tcW w:w="2920" w:type="dxa"/>
            <w:vAlign w:val="bottom"/>
            <w:tcBorders>
              <w:left w:val="single" w:sz="8" w:color="auto"/>
            </w:tcBorders>
            <w:gridSpan w:val="3"/>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r>
              <w:rPr>
                <w:rFonts w:ascii="Arial" w:cs="Arial" w:eastAsia="Arial" w:hAnsi="Arial"/>
                <w:sz w:val="11"/>
                <w:szCs w:val="11"/>
                <w:b w:val="1"/>
                <w:bCs w:val="1"/>
                <w:color w:val="auto"/>
              </w:rPr>
              <w:t>6</w:t>
            </w:r>
          </w:p>
        </w:tc>
        <w:tc>
          <w:tcPr>
            <w:tcW w:w="680" w:type="dxa"/>
            <w:vAlign w:val="bottom"/>
            <w:shd w:val="clear" w:color="auto" w:fill="E0E0E0"/>
          </w:tcPr>
          <w:p>
            <w:pPr>
              <w:ind w:left="180"/>
              <w:spacing w:after="0"/>
              <w:rPr>
                <w:sz w:val="20"/>
                <w:szCs w:val="20"/>
                <w:color w:val="auto"/>
              </w:rPr>
            </w:pPr>
            <w:r>
              <w:rPr>
                <w:rFonts w:ascii="Arial" w:cs="Arial" w:eastAsia="Arial" w:hAnsi="Arial"/>
                <w:sz w:val="18"/>
                <w:szCs w:val="18"/>
                <w:color w:val="auto"/>
              </w:rPr>
              <w:t>2012</w:t>
            </w:r>
          </w:p>
        </w:tc>
        <w:tc>
          <w:tcPr>
            <w:tcW w:w="840" w:type="dxa"/>
            <w:vAlign w:val="bottom"/>
            <w:shd w:val="clear" w:color="auto" w:fill="E0E0E0"/>
          </w:tcPr>
          <w:p>
            <w:pPr>
              <w:jc w:val="right"/>
              <w:ind w:right="56"/>
              <w:spacing w:after="0"/>
              <w:rPr>
                <w:sz w:val="20"/>
                <w:szCs w:val="20"/>
                <w:color w:val="auto"/>
              </w:rPr>
            </w:pPr>
            <w:r>
              <w:rPr>
                <w:rFonts w:ascii="Arial" w:cs="Arial" w:eastAsia="Arial" w:hAnsi="Arial"/>
                <w:sz w:val="18"/>
                <w:szCs w:val="18"/>
                <w:color w:val="auto"/>
              </w:rPr>
              <w:t>402,619</w:t>
            </w:r>
          </w:p>
        </w:tc>
        <w:tc>
          <w:tcPr>
            <w:tcW w:w="86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148,808</w:t>
            </w:r>
          </w:p>
        </w:tc>
        <w:tc>
          <w:tcPr>
            <w:tcW w:w="860" w:type="dxa"/>
            <w:vAlign w:val="bottom"/>
            <w:shd w:val="clear" w:color="auto" w:fill="E0E0E0"/>
          </w:tcPr>
          <w:p>
            <w:pPr>
              <w:jc w:val="right"/>
              <w:ind w:right="58"/>
              <w:spacing w:after="0"/>
              <w:rPr>
                <w:sz w:val="20"/>
                <w:szCs w:val="20"/>
                <w:color w:val="auto"/>
              </w:rPr>
            </w:pPr>
            <w:r>
              <w:rPr>
                <w:rFonts w:ascii="Arial" w:cs="Arial" w:eastAsia="Arial" w:hAnsi="Arial"/>
                <w:sz w:val="18"/>
                <w:szCs w:val="18"/>
                <w:color w:val="auto"/>
              </w:rPr>
              <w:t>193,206</w:t>
            </w:r>
          </w:p>
        </w:tc>
        <w:tc>
          <w:tcPr>
            <w:tcW w:w="82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100,550</w:t>
            </w: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21"/>
              <w:spacing w:after="0"/>
              <w:rPr>
                <w:sz w:val="20"/>
                <w:szCs w:val="20"/>
                <w:color w:val="auto"/>
              </w:rPr>
            </w:pPr>
            <w:r>
              <w:rPr>
                <w:rFonts w:ascii="Arial" w:cs="Arial" w:eastAsia="Arial" w:hAnsi="Arial"/>
                <w:sz w:val="18"/>
                <w:szCs w:val="18"/>
                <w:color w:val="auto"/>
              </w:rPr>
              <w:t>422,274</w:t>
            </w:r>
          </w:p>
        </w:tc>
        <w:tc>
          <w:tcPr>
            <w:tcW w:w="106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55,621</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9"/>
              </w:rPr>
              <w:t>1,323,078</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Senior Vice President,</w:t>
            </w:r>
          </w:p>
        </w:tc>
        <w:tc>
          <w:tcPr>
            <w:tcW w:w="680" w:type="dxa"/>
            <w:vAlign w:val="bottom"/>
            <w:shd w:val="clear" w:color="auto" w:fill="E0E0E0"/>
          </w:tcPr>
          <w:p>
            <w:pPr>
              <w:ind w:left="200"/>
              <w:spacing w:after="0"/>
              <w:rPr>
                <w:sz w:val="20"/>
                <w:szCs w:val="20"/>
                <w:color w:val="auto"/>
              </w:rPr>
            </w:pPr>
            <w:r>
              <w:rPr>
                <w:rFonts w:ascii="Arial" w:cs="Arial" w:eastAsia="Arial" w:hAnsi="Arial"/>
                <w:sz w:val="18"/>
                <w:szCs w:val="18"/>
                <w:color w:val="auto"/>
              </w:rPr>
              <w:t>2011</w:t>
            </w:r>
          </w:p>
        </w:tc>
        <w:tc>
          <w:tcPr>
            <w:tcW w:w="840" w:type="dxa"/>
            <w:vAlign w:val="bottom"/>
            <w:shd w:val="clear" w:color="auto" w:fill="E0E0E0"/>
          </w:tcPr>
          <w:p>
            <w:pPr>
              <w:jc w:val="right"/>
              <w:ind w:right="56"/>
              <w:spacing w:after="0"/>
              <w:rPr>
                <w:sz w:val="20"/>
                <w:szCs w:val="20"/>
                <w:color w:val="auto"/>
              </w:rPr>
            </w:pPr>
            <w:r>
              <w:rPr>
                <w:rFonts w:ascii="Arial" w:cs="Arial" w:eastAsia="Arial" w:hAnsi="Arial"/>
                <w:sz w:val="18"/>
                <w:szCs w:val="18"/>
                <w:color w:val="auto"/>
              </w:rPr>
              <w:t>392,300</w:t>
            </w:r>
          </w:p>
        </w:tc>
        <w:tc>
          <w:tcPr>
            <w:tcW w:w="86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132,252</w:t>
            </w:r>
          </w:p>
        </w:tc>
        <w:tc>
          <w:tcPr>
            <w:tcW w:w="860" w:type="dxa"/>
            <w:vAlign w:val="bottom"/>
            <w:shd w:val="clear" w:color="auto" w:fill="E0E0E0"/>
          </w:tcPr>
          <w:p>
            <w:pPr>
              <w:jc w:val="right"/>
              <w:ind w:right="58"/>
              <w:spacing w:after="0"/>
              <w:rPr>
                <w:sz w:val="20"/>
                <w:szCs w:val="20"/>
                <w:color w:val="auto"/>
              </w:rPr>
            </w:pPr>
            <w:r>
              <w:rPr>
                <w:rFonts w:ascii="Arial" w:cs="Arial" w:eastAsia="Arial" w:hAnsi="Arial"/>
                <w:sz w:val="18"/>
                <w:szCs w:val="18"/>
                <w:color w:val="auto"/>
              </w:rPr>
              <w:t>184,704</w:t>
            </w:r>
          </w:p>
        </w:tc>
        <w:tc>
          <w:tcPr>
            <w:tcW w:w="82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104,829</w:t>
            </w: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21"/>
              <w:spacing w:after="0"/>
              <w:rPr>
                <w:sz w:val="20"/>
                <w:szCs w:val="20"/>
                <w:color w:val="auto"/>
              </w:rPr>
            </w:pPr>
            <w:r>
              <w:rPr>
                <w:rFonts w:ascii="Arial" w:cs="Arial" w:eastAsia="Arial" w:hAnsi="Arial"/>
                <w:sz w:val="18"/>
                <w:szCs w:val="18"/>
                <w:color w:val="auto"/>
              </w:rPr>
              <w:t>317,101</w:t>
            </w:r>
          </w:p>
        </w:tc>
        <w:tc>
          <w:tcPr>
            <w:tcW w:w="106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62,973</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9"/>
              </w:rPr>
              <w:t>1,194,159</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General Counsel and</w:t>
            </w:r>
          </w:p>
        </w:tc>
        <w:tc>
          <w:tcPr>
            <w:tcW w:w="68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Corporate Secretary</w:t>
            </w:r>
          </w:p>
        </w:tc>
        <w:tc>
          <w:tcPr>
            <w:tcW w:w="68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04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2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Donald A. McCunniff</w:t>
            </w:r>
            <w:r>
              <w:rPr>
                <w:rFonts w:ascii="Arial" w:cs="Arial" w:eastAsia="Arial" w:hAnsi="Arial"/>
                <w:sz w:val="11"/>
                <w:szCs w:val="11"/>
                <w:b w:val="1"/>
                <w:bCs w:val="1"/>
                <w:color w:val="auto"/>
              </w:rPr>
              <w:t>7</w:t>
            </w:r>
          </w:p>
        </w:tc>
        <w:tc>
          <w:tcPr>
            <w:tcW w:w="680" w:type="dxa"/>
            <w:vAlign w:val="bottom"/>
          </w:tcPr>
          <w:p>
            <w:pPr>
              <w:ind w:left="180"/>
              <w:spacing w:after="0"/>
              <w:rPr>
                <w:sz w:val="20"/>
                <w:szCs w:val="20"/>
                <w:color w:val="auto"/>
              </w:rPr>
            </w:pPr>
            <w:r>
              <w:rPr>
                <w:rFonts w:ascii="Arial" w:cs="Arial" w:eastAsia="Arial" w:hAnsi="Arial"/>
                <w:sz w:val="18"/>
                <w:szCs w:val="18"/>
                <w:color w:val="auto"/>
              </w:rPr>
              <w:t>2012</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328,533</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134,305</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159,305</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81,032</w:t>
            </w:r>
          </w:p>
        </w:tc>
        <w:tc>
          <w:tcPr>
            <w:tcW w:w="100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81,311</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31,310</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815,796</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Senior Vice President,</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Borders>
              <w:left w:val="single" w:sz="8" w:color="auto"/>
            </w:tcBorders>
            <w:gridSpan w:val="3"/>
          </w:tcPr>
          <w:p>
            <w:pPr>
              <w:ind w:left="340"/>
              <w:spacing w:after="0"/>
              <w:rPr>
                <w:sz w:val="20"/>
                <w:szCs w:val="20"/>
                <w:color w:val="auto"/>
              </w:rPr>
            </w:pPr>
            <w:r>
              <w:rPr>
                <w:rFonts w:ascii="Arial" w:cs="Arial" w:eastAsia="Arial" w:hAnsi="Arial"/>
                <w:sz w:val="18"/>
                <w:szCs w:val="18"/>
                <w:color w:val="auto"/>
              </w:rPr>
              <w:t>Human Resources</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Borders>
              <w:left w:val="single" w:sz="8" w:color="auto"/>
            </w:tcBorders>
            <w:gridSpan w:val="3"/>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r>
              <w:rPr>
                <w:rFonts w:ascii="Arial" w:cs="Arial" w:eastAsia="Arial" w:hAnsi="Arial"/>
                <w:sz w:val="11"/>
                <w:szCs w:val="11"/>
                <w:b w:val="1"/>
                <w:bCs w:val="1"/>
                <w:color w:val="auto"/>
              </w:rPr>
              <w:t>7</w:t>
            </w:r>
          </w:p>
        </w:tc>
        <w:tc>
          <w:tcPr>
            <w:tcW w:w="680" w:type="dxa"/>
            <w:vAlign w:val="bottom"/>
            <w:shd w:val="clear" w:color="auto" w:fill="E0E0E0"/>
          </w:tcPr>
          <w:p>
            <w:pPr>
              <w:ind w:left="180"/>
              <w:spacing w:after="0"/>
              <w:rPr>
                <w:sz w:val="20"/>
                <w:szCs w:val="20"/>
                <w:color w:val="auto"/>
              </w:rPr>
            </w:pPr>
            <w:r>
              <w:rPr>
                <w:rFonts w:ascii="Arial" w:cs="Arial" w:eastAsia="Arial" w:hAnsi="Arial"/>
                <w:sz w:val="18"/>
                <w:szCs w:val="18"/>
                <w:color w:val="auto"/>
              </w:rPr>
              <w:t>2012</w:t>
            </w:r>
          </w:p>
        </w:tc>
        <w:tc>
          <w:tcPr>
            <w:tcW w:w="840" w:type="dxa"/>
            <w:vAlign w:val="bottom"/>
            <w:shd w:val="clear" w:color="auto" w:fill="E0E0E0"/>
          </w:tcPr>
          <w:p>
            <w:pPr>
              <w:jc w:val="right"/>
              <w:ind w:right="56"/>
              <w:spacing w:after="0"/>
              <w:rPr>
                <w:sz w:val="20"/>
                <w:szCs w:val="20"/>
                <w:color w:val="auto"/>
              </w:rPr>
            </w:pPr>
            <w:r>
              <w:rPr>
                <w:rFonts w:ascii="Arial" w:cs="Arial" w:eastAsia="Arial" w:hAnsi="Arial"/>
                <w:sz w:val="18"/>
                <w:szCs w:val="18"/>
                <w:color w:val="auto"/>
              </w:rPr>
              <w:t>292,970</w:t>
            </w:r>
          </w:p>
        </w:tc>
        <w:tc>
          <w:tcPr>
            <w:tcW w:w="86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98,438</w:t>
            </w:r>
          </w:p>
        </w:tc>
        <w:tc>
          <w:tcPr>
            <w:tcW w:w="860" w:type="dxa"/>
            <w:vAlign w:val="bottom"/>
            <w:shd w:val="clear" w:color="auto" w:fill="E0E0E0"/>
          </w:tcPr>
          <w:p>
            <w:pPr>
              <w:jc w:val="right"/>
              <w:ind w:right="58"/>
              <w:spacing w:after="0"/>
              <w:rPr>
                <w:sz w:val="20"/>
                <w:szCs w:val="20"/>
                <w:color w:val="auto"/>
              </w:rPr>
            </w:pPr>
            <w:r>
              <w:rPr>
                <w:rFonts w:ascii="Arial" w:cs="Arial" w:eastAsia="Arial" w:hAnsi="Arial"/>
                <w:sz w:val="18"/>
                <w:szCs w:val="18"/>
                <w:color w:val="auto"/>
              </w:rPr>
              <w:t>92,347</w:t>
            </w:r>
          </w:p>
        </w:tc>
        <w:tc>
          <w:tcPr>
            <w:tcW w:w="82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43,647</w:t>
            </w: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21"/>
              <w:spacing w:after="0"/>
              <w:rPr>
                <w:sz w:val="20"/>
                <w:szCs w:val="20"/>
                <w:color w:val="auto"/>
              </w:rPr>
            </w:pPr>
            <w:r>
              <w:rPr>
                <w:rFonts w:ascii="Arial" w:cs="Arial" w:eastAsia="Arial" w:hAnsi="Arial"/>
                <w:sz w:val="18"/>
                <w:szCs w:val="18"/>
                <w:color w:val="auto"/>
              </w:rPr>
              <w:t>122,625</w:t>
            </w:r>
          </w:p>
        </w:tc>
        <w:tc>
          <w:tcPr>
            <w:tcW w:w="106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21,658</w:t>
            </w:r>
          </w:p>
        </w:tc>
        <w:tc>
          <w:tcPr>
            <w:tcW w:w="104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rPr>
              <w:t>671,685</w:t>
            </w: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Senior Vice President,</w:t>
            </w:r>
          </w:p>
        </w:tc>
        <w:tc>
          <w:tcPr>
            <w:tcW w:w="68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Controller, Chief Accounting</w:t>
            </w:r>
          </w:p>
        </w:tc>
        <w:tc>
          <w:tcPr>
            <w:tcW w:w="68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Officer and Chief Information</w:t>
            </w:r>
          </w:p>
        </w:tc>
        <w:tc>
          <w:tcPr>
            <w:tcW w:w="68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Borders>
              <w:left w:val="single" w:sz="8" w:color="auto"/>
            </w:tcBorders>
            <w:gridSpan w:val="3"/>
            <w:shd w:val="clear" w:color="auto" w:fill="E0E0E0"/>
          </w:tcPr>
          <w:p>
            <w:pPr>
              <w:ind w:left="340"/>
              <w:spacing w:after="0"/>
              <w:rPr>
                <w:sz w:val="20"/>
                <w:szCs w:val="20"/>
                <w:color w:val="auto"/>
              </w:rPr>
            </w:pPr>
            <w:r>
              <w:rPr>
                <w:rFonts w:ascii="Arial" w:cs="Arial" w:eastAsia="Arial" w:hAnsi="Arial"/>
                <w:sz w:val="18"/>
                <w:szCs w:val="18"/>
                <w:color w:val="auto"/>
              </w:rPr>
              <w:t>Officer</w:t>
            </w:r>
          </w:p>
        </w:tc>
        <w:tc>
          <w:tcPr>
            <w:tcW w:w="68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04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2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i w:val="1"/>
                <w:iCs w:val="1"/>
                <w:color w:val="auto"/>
              </w:rPr>
              <w:t>Former Executive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2012</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500,000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281,401</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191,117</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123,208</w:t>
            </w:r>
          </w:p>
        </w:tc>
        <w:tc>
          <w:tcPr>
            <w:tcW w:w="100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474,282</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102,365</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1,672,373</w:t>
            </w:r>
          </w:p>
        </w:tc>
        <w:tc>
          <w:tcPr>
            <w:tcW w:w="0" w:type="dxa"/>
            <w:vAlign w:val="bottom"/>
          </w:tcPr>
          <w:p>
            <w:pPr>
              <w:spacing w:after="0"/>
              <w:rPr>
                <w:sz w:val="1"/>
                <w:szCs w:val="1"/>
                <w:color w:val="auto"/>
              </w:rPr>
            </w:pPr>
          </w:p>
        </w:tc>
      </w:tr>
      <w:tr>
        <w:trPr>
          <w:trHeight w:val="270"/>
        </w:trPr>
        <w:tc>
          <w:tcPr>
            <w:tcW w:w="292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Bruce A. Vaio</w:t>
            </w:r>
          </w:p>
        </w:tc>
        <w:tc>
          <w:tcPr>
            <w:tcW w:w="680" w:type="dxa"/>
            <w:vAlign w:val="bottom"/>
          </w:tcPr>
          <w:p>
            <w:pPr>
              <w:ind w:left="200"/>
              <w:spacing w:after="0"/>
              <w:rPr>
                <w:sz w:val="20"/>
                <w:szCs w:val="20"/>
                <w:color w:val="auto"/>
              </w:rPr>
            </w:pPr>
            <w:r>
              <w:rPr>
                <w:rFonts w:ascii="Arial" w:cs="Arial" w:eastAsia="Arial" w:hAnsi="Arial"/>
                <w:sz w:val="18"/>
                <w:szCs w:val="18"/>
                <w:color w:val="auto"/>
              </w:rPr>
              <w:t>2011</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457,367</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170,360</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228,295</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128,562</w:t>
            </w:r>
          </w:p>
        </w:tc>
        <w:tc>
          <w:tcPr>
            <w:tcW w:w="100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343,274</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68,753</w:t>
            </w:r>
          </w:p>
        </w:tc>
        <w:tc>
          <w:tcPr>
            <w:tcW w:w="104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1,396,611</w:t>
            </w: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bottom w:val="single" w:sz="8" w:color="auto"/>
            </w:tcBorders>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2010</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453,200</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213,312</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357,395</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129,451</w:t>
            </w: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208,790</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81,612</w:t>
            </w:r>
          </w:p>
        </w:tc>
        <w:tc>
          <w:tcPr>
            <w:tcW w:w="10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w w:val="99"/>
              </w:rPr>
              <w:t>1,434,960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80"/>
          </w:cols>
          <w:pgMar w:left="440" w:top="469" w:right="379" w:bottom="1440" w:gutter="0" w:footer="0" w:header="0"/>
        </w:sectPr>
      </w:pPr>
    </w:p>
    <w:bookmarkStart w:id="56" w:name="page57"/>
    <w:bookmarkEnd w:id="56"/>
    <w:p>
      <w:pPr>
        <w:jc w:val="both"/>
        <w:ind w:left="323" w:hanging="323"/>
        <w:spacing w:after="0" w:line="270" w:lineRule="auto"/>
        <w:tabs>
          <w:tab w:leader="none" w:pos="323" w:val="left"/>
        </w:tabs>
        <w:numPr>
          <w:ilvl w:val="0"/>
          <w:numId w:val="4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93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693285"/>
                    </a:xfrm>
                    <a:prstGeom prst="rect">
                      <a:avLst/>
                    </a:prstGeom>
                    <a:noFill/>
                  </pic:spPr>
                </pic:pic>
              </a:graphicData>
            </a:graphic>
          </wp:anchor>
        </w:drawing>
        <w:t>The amounts in column (d) for 2012 reflect the cash bonuses to the named individuals earned in 2012 and paid in 2013 under the Executive Incentive Plan, which is discussed in further detail on pages 43 to 45 under the heading “Annual Bonus Compensation.” The amounts in this column also include the amounts of bonus irrevocably deferred in common stock units at the election of each named executive officer pursuant to Martin Marietta’s Incentive Stock Plan, which is discussed in further detail on page 46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number of stock units and the related grant date fair value attributable to the amounts of bonus so deferred by the named executive officers appear in column (i) and (l), respectively, of the Grants of Plan-Based Awards Table on page 54. The amounts mandatorily deferred in 2012 are included in column (e). The amounts deferred in 2012 for each of the named executive officers at his or her election, which are included in column (d), are as follows: Mr. Nye, $0; Ms. Lloyd, $0; Ms. Bar $9,301; Mr. McCunniff, $0; Ms. Guzzo, $6,153; and Mr. Vaio, $0.</w:t>
      </w:r>
    </w:p>
    <w:p>
      <w:pPr>
        <w:spacing w:after="0" w:line="41" w:lineRule="exact"/>
        <w:rPr>
          <w:sz w:val="20"/>
          <w:szCs w:val="20"/>
          <w:color w:val="auto"/>
        </w:rPr>
      </w:pPr>
    </w:p>
    <w:p>
      <w:pPr>
        <w:jc w:val="both"/>
        <w:ind w:left="323" w:hanging="323"/>
        <w:spacing w:after="0" w:line="265" w:lineRule="auto"/>
        <w:tabs>
          <w:tab w:leader="none" w:pos="323"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2012) and awards related to the amount of cash bonus irrevocably and mandatorily deferred in common stock units by each named executive officer pursuant to Martin Marietta’s Incentive Stock Plan, which is discussed in further detail on page 46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amount included in the table for performance-based restricted stock unit awards granted in 2012 reflects the value of the units granted, which is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forfeiture if the executive does not remain in the employment of Martin Marietta for the requisite time period (generally three or four years). The amounts in column (e) do not include the 20% discount on the Incentive Stock Plan units, which is reported in column (i). Assumptions used in the calculation of these amounts are included in Note A to Martin Marietta’s audited financial statements for the fiscal year ended December 31, 2012, included in Martin Marietta’s Annual Report on Form 10-K filed with the Securities and Exchange Commission on February 22, 2013. The amounts of cash bonus deferred in 2012 at the election of each named executive officer are included in column (d). The amounts of cash bonus mandatorily deferred in 2012 for each of the named executive officers are as follows: Mr. Nye, $210,000; Ms. Lloyd, $58,113; Ms. Bar, $37,202; Mr. McCunniff, $33,576; Ms. Guzzo, $24,609; and Mr. Vaio, $0.</w:t>
      </w:r>
    </w:p>
    <w:p>
      <w:pPr>
        <w:spacing w:after="0" w:line="47" w:lineRule="exact"/>
        <w:rPr>
          <w:sz w:val="20"/>
          <w:szCs w:val="20"/>
          <w:color w:val="auto"/>
        </w:rPr>
      </w:pPr>
    </w:p>
    <w:p>
      <w:pPr>
        <w:jc w:val="both"/>
        <w:ind w:left="323" w:hanging="323"/>
        <w:spacing w:after="0" w:line="288" w:lineRule="auto"/>
        <w:tabs>
          <w:tab w:leader="none" w:pos="323"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amounts in column (f) reflect the grant date fair value, determined in accordance with FASB ASC Topic 718 (but excluding the effect of estimated forfeitures), of option awards made in the year reported. Assumptions used in the calculation of these amounts for the fiscal year ended December 31, 2012 are included in Note A to Martin Marietta’s audited financial statements for the fiscal year ended December 31, 2012, included in Martin Marietta’s Annual Report on Form 10-K filed with the Securities and Exchange Commission on February 22, 2013.</w:t>
      </w:r>
    </w:p>
    <w:p>
      <w:pPr>
        <w:spacing w:after="0" w:line="30" w:lineRule="exact"/>
        <w:rPr>
          <w:sz w:val="20"/>
          <w:szCs w:val="20"/>
          <w:color w:val="auto"/>
        </w:rPr>
      </w:pPr>
    </w:p>
    <w:p>
      <w:pPr>
        <w:jc w:val="both"/>
        <w:ind w:left="323" w:hanging="323"/>
        <w:spacing w:after="0" w:line="288" w:lineRule="auto"/>
        <w:tabs>
          <w:tab w:leader="none" w:pos="323"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in column (h) reflect the aggregate increase in the actuarial present value of the named executive officer’s accumulated benefits during 2012, 2011 and 2010,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30" w:lineRule="exact"/>
        <w:rPr>
          <w:sz w:val="20"/>
          <w:szCs w:val="20"/>
          <w:color w:val="auto"/>
        </w:rPr>
      </w:pPr>
    </w:p>
    <w:p>
      <w:pPr>
        <w:jc w:val="both"/>
        <w:ind w:left="323" w:hanging="323"/>
        <w:spacing w:after="0" w:line="265" w:lineRule="auto"/>
        <w:tabs>
          <w:tab w:leader="none" w:pos="323"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amount shown in column (i) reflects for each named executive officer: matching contributions allocated by Martin Marietta to each of the named executive officers pursuant to the Performance Sharing Plan, which is more fully described on page 49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the value attributable to life insurance benefits provided to the named executive officers, which is more fully described on page 49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and the value attributable to personal use of leased automobiles provided by Martin Marietta, and, for some executive officers, Martin Marietta’s plane. The personal use of the plane in 2012 was related to spouses accompanying executive officers on business trips. These values are included as compensation on the W-2 of named executive officers who receive such benefits. Each such named executive officer is responsible for paying income tax on such amount. Except with regard to Mr. Vaio,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2012, 2011 and 2010, and the dollar value of dividend equivalents on units credited under the Incentive Stock Plan and on restricted stock units as computed for financial statement reporting purposes for each fiscal year ended December 31, 2012, 2011 and 2010 in accordance with FASB ASC Topic 718.</w:t>
      </w:r>
    </w:p>
    <w:p>
      <w:pPr>
        <w:spacing w:after="0" w:line="195" w:lineRule="exact"/>
        <w:rPr>
          <w:sz w:val="20"/>
          <w:szCs w:val="20"/>
          <w:color w:val="auto"/>
        </w:rPr>
      </w:pPr>
    </w:p>
    <w:p>
      <w:pPr>
        <w:ind w:left="323" w:hanging="323"/>
        <w:spacing w:after="0"/>
        <w:tabs>
          <w:tab w:leader="none" w:pos="323" w:val="left"/>
        </w:tabs>
        <w:numPr>
          <w:ilvl w:val="0"/>
          <w:numId w:val="51"/>
        </w:numPr>
        <w:rPr>
          <w:rFonts w:ascii="Arial" w:cs="Arial" w:eastAsia="Arial" w:hAnsi="Arial"/>
          <w:sz w:val="14"/>
          <w:szCs w:val="14"/>
          <w:color w:val="auto"/>
        </w:rPr>
      </w:pPr>
      <w:r>
        <w:rPr>
          <w:rFonts w:ascii="Arial" w:cs="Arial" w:eastAsia="Arial" w:hAnsi="Arial"/>
          <w:sz w:val="14"/>
          <w:szCs w:val="14"/>
          <w:color w:val="auto"/>
        </w:rPr>
        <w:t>Ms. Bar was not a named executive officer for purposes of the Summary Compensation Table in 2010.</w:t>
      </w:r>
    </w:p>
    <w:p>
      <w:pPr>
        <w:spacing w:after="0" w:line="69" w:lineRule="exact"/>
        <w:rPr>
          <w:sz w:val="20"/>
          <w:szCs w:val="20"/>
          <w:color w:val="auto"/>
        </w:rPr>
      </w:pPr>
    </w:p>
    <w:p>
      <w:pPr>
        <w:ind w:left="323" w:hanging="323"/>
        <w:spacing w:after="0"/>
        <w:tabs>
          <w:tab w:leader="none" w:pos="323"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McCunniff and Ms. Guzzo were not named executive officers for purposes of the Summary Compensation Table in 2011 or 2010.</w:t>
      </w:r>
    </w:p>
    <w:p>
      <w:pPr>
        <w:spacing w:after="0" w:line="69" w:lineRule="exact"/>
        <w:rPr>
          <w:sz w:val="20"/>
          <w:szCs w:val="20"/>
          <w:color w:val="auto"/>
        </w:rPr>
      </w:pPr>
    </w:p>
    <w:p>
      <w:pPr>
        <w:ind w:left="323" w:hanging="323"/>
        <w:spacing w:after="0" w:line="239" w:lineRule="auto"/>
        <w:tabs>
          <w:tab w:leader="none" w:pos="323"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Vaio resigned from Martin Marietta on December 28, 2012. The amounts reflected in column (i) include $43,269 paid to him for his unused earned vacation upon his termination of employment. Mr. Vaio’s entitlements upon his resignation are described on page 62 of this Proxy Statement.</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3" w:firstLine="775"/>
        <w:spacing w:after="0" w:line="332"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2012. This includes equity awards made to the named executive officers under Martin Marietta’s Stock-Based Award Plan and the Incentive Stock Plan.</w:t>
      </w:r>
    </w:p>
    <w:p>
      <w:pPr>
        <w:spacing w:after="0" w:line="221"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63"/>
          </w:cols>
          <w:pgMar w:left="437" w:top="615" w:right="399" w:bottom="1440" w:gutter="0" w:footer="0" w:header="0"/>
        </w:sectPr>
      </w:pPr>
    </w:p>
    <w:bookmarkStart w:id="57" w:name="page58"/>
    <w:bookmarkEnd w:id="57"/>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01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5601970"/>
                    </a:xfrm>
                    <a:prstGeom prst="rect">
                      <a:avLst/>
                    </a:prstGeom>
                    <a:noFill/>
                  </pic:spPr>
                </pic:pic>
              </a:graphicData>
            </a:graphic>
          </wp:anchor>
        </w:drawing>
        <w:t>GRANTS OF PLAN-BASED AWARDS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80" w:type="dxa"/>
            <w:vAlign w:val="bottom"/>
            <w:tcBorders>
              <w:top w:val="single" w:sz="8" w:color="auto"/>
              <w:left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52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5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2120" w:type="dxa"/>
            <w:vAlign w:val="bottom"/>
            <w:gridSpan w:val="8"/>
            <w:vMerge w:val="restart"/>
            <w:shd w:val="clear" w:color="auto" w:fill="E0E0E0"/>
          </w:tcPr>
          <w:p>
            <w:pPr>
              <w:jc w:val="center"/>
              <w:ind w:right="60"/>
              <w:spacing w:after="0"/>
              <w:rPr>
                <w:sz w:val="20"/>
                <w:szCs w:val="20"/>
                <w:color w:val="auto"/>
              </w:rPr>
            </w:pPr>
            <w:r>
              <w:rPr>
                <w:rFonts w:ascii="Arial" w:cs="Arial" w:eastAsia="Arial" w:hAnsi="Arial"/>
                <w:sz w:val="14"/>
                <w:szCs w:val="14"/>
                <w:b w:val="1"/>
                <w:bCs w:val="1"/>
                <w:color w:val="auto"/>
                <w:w w:val="86"/>
              </w:rPr>
              <w:t>Estimated Future Payouts</w:t>
            </w:r>
          </w:p>
        </w:tc>
        <w:tc>
          <w:tcPr>
            <w:tcW w:w="140" w:type="dxa"/>
            <w:vAlign w:val="bottom"/>
            <w:shd w:val="clear" w:color="auto" w:fill="E0E0E0"/>
          </w:tcPr>
          <w:p>
            <w:pPr>
              <w:spacing w:after="0"/>
              <w:rPr>
                <w:sz w:val="12"/>
                <w:szCs w:val="12"/>
                <w:color w:val="auto"/>
              </w:rPr>
            </w:pPr>
          </w:p>
        </w:tc>
        <w:tc>
          <w:tcPr>
            <w:tcW w:w="1980" w:type="dxa"/>
            <w:vAlign w:val="bottom"/>
            <w:gridSpan w:val="6"/>
            <w:vMerge w:val="restart"/>
            <w:shd w:val="clear" w:color="auto" w:fill="E0E0E0"/>
          </w:tcPr>
          <w:p>
            <w:pPr>
              <w:jc w:val="center"/>
              <w:ind w:right="140"/>
              <w:spacing w:after="0"/>
              <w:rPr>
                <w:sz w:val="20"/>
                <w:szCs w:val="20"/>
                <w:color w:val="auto"/>
              </w:rPr>
            </w:pPr>
            <w:r>
              <w:rPr>
                <w:rFonts w:ascii="Arial" w:cs="Arial" w:eastAsia="Arial" w:hAnsi="Arial"/>
                <w:sz w:val="14"/>
                <w:szCs w:val="14"/>
                <w:b w:val="1"/>
                <w:bCs w:val="1"/>
                <w:color w:val="auto"/>
                <w:w w:val="87"/>
              </w:rPr>
              <w:t>Estimated Future Payouts</w:t>
            </w: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tcBorders>
              <w:left w:val="single" w:sz="8" w:color="auto"/>
            </w:tcBorders>
            <w:shd w:val="clear" w:color="auto" w:fill="E0E0E0"/>
          </w:tcPr>
          <w:p>
            <w:pPr>
              <w:spacing w:after="0"/>
              <w:rPr>
                <w:sz w:val="5"/>
                <w:szCs w:val="5"/>
                <w:color w:val="auto"/>
              </w:rPr>
            </w:pPr>
          </w:p>
        </w:tc>
        <w:tc>
          <w:tcPr>
            <w:tcW w:w="340" w:type="dxa"/>
            <w:vAlign w:val="bottom"/>
            <w:shd w:val="clear" w:color="auto" w:fill="E0E0E0"/>
          </w:tcPr>
          <w:p>
            <w:pPr>
              <w:spacing w:after="0"/>
              <w:rPr>
                <w:sz w:val="5"/>
                <w:szCs w:val="5"/>
                <w:color w:val="auto"/>
              </w:rPr>
            </w:pPr>
          </w:p>
        </w:tc>
        <w:tc>
          <w:tcPr>
            <w:tcW w:w="108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700" w:type="dxa"/>
            <w:vAlign w:val="bottom"/>
            <w:shd w:val="clear" w:color="auto" w:fill="E0E0E0"/>
          </w:tcPr>
          <w:p>
            <w:pPr>
              <w:spacing w:after="0"/>
              <w:rPr>
                <w:sz w:val="5"/>
                <w:szCs w:val="5"/>
                <w:color w:val="auto"/>
              </w:rPr>
            </w:pPr>
          </w:p>
        </w:tc>
        <w:tc>
          <w:tcPr>
            <w:tcW w:w="240" w:type="dxa"/>
            <w:vAlign w:val="bottom"/>
            <w:shd w:val="clear" w:color="auto" w:fill="E0E0E0"/>
          </w:tcPr>
          <w:p>
            <w:pPr>
              <w:spacing w:after="0"/>
              <w:rPr>
                <w:sz w:val="5"/>
                <w:szCs w:val="5"/>
                <w:color w:val="auto"/>
              </w:rPr>
            </w:pPr>
          </w:p>
        </w:tc>
        <w:tc>
          <w:tcPr>
            <w:tcW w:w="2120" w:type="dxa"/>
            <w:vAlign w:val="bottom"/>
            <w:gridSpan w:val="8"/>
            <w:vMerge w:val="continue"/>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1980" w:type="dxa"/>
            <w:vAlign w:val="bottom"/>
            <w:gridSpan w:val="6"/>
            <w:vMerge w:val="continue"/>
            <w:shd w:val="clear" w:color="auto" w:fill="E0E0E0"/>
          </w:tcPr>
          <w:p>
            <w:pPr>
              <w:spacing w:after="0"/>
              <w:rPr>
                <w:sz w:val="5"/>
                <w:szCs w:val="5"/>
                <w:color w:val="auto"/>
              </w:rPr>
            </w:pPr>
          </w:p>
        </w:tc>
        <w:tc>
          <w:tcPr>
            <w:tcW w:w="64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40" w:type="dxa"/>
            <w:vAlign w:val="bottom"/>
            <w:shd w:val="clear" w:color="auto" w:fill="E0E0E0"/>
          </w:tcPr>
          <w:p>
            <w:pPr>
              <w:spacing w:after="0"/>
              <w:rPr>
                <w:sz w:val="5"/>
                <w:szCs w:val="5"/>
                <w:color w:val="auto"/>
              </w:rPr>
            </w:pPr>
          </w:p>
        </w:tc>
        <w:tc>
          <w:tcPr>
            <w:tcW w:w="62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48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 w:type="dxa"/>
            <w:vAlign w:val="bottom"/>
            <w:shd w:val="clear" w:color="auto" w:fill="E0E0E0"/>
          </w:tcPr>
          <w:p>
            <w:pPr>
              <w:spacing w:after="0"/>
              <w:rPr>
                <w:sz w:val="5"/>
                <w:szCs w:val="5"/>
                <w:color w:val="auto"/>
              </w:rPr>
            </w:pPr>
          </w:p>
        </w:tc>
        <w:tc>
          <w:tcPr>
            <w:tcW w:w="40" w:type="dxa"/>
            <w:vAlign w:val="bottom"/>
            <w:shd w:val="clear" w:color="auto" w:fill="E0E0E0"/>
          </w:tcPr>
          <w:p>
            <w:pPr>
              <w:spacing w:after="0"/>
              <w:rPr>
                <w:sz w:val="5"/>
                <w:szCs w:val="5"/>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220" w:type="dxa"/>
            <w:vAlign w:val="bottom"/>
            <w:tcBorders>
              <w:right w:val="single" w:sz="8" w:color="auto"/>
            </w:tcBorders>
            <w:shd w:val="clear" w:color="auto" w:fill="E0E0E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10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700" w:type="dxa"/>
            <w:vAlign w:val="bottom"/>
            <w:shd w:val="clear" w:color="auto" w:fill="E0E0E0"/>
          </w:tcPr>
          <w:p>
            <w:pPr>
              <w:spacing w:after="0"/>
              <w:rPr>
                <w:sz w:val="7"/>
                <w:szCs w:val="7"/>
                <w:color w:val="auto"/>
              </w:rPr>
            </w:pPr>
          </w:p>
        </w:tc>
        <w:tc>
          <w:tcPr>
            <w:tcW w:w="240" w:type="dxa"/>
            <w:vAlign w:val="bottom"/>
            <w:shd w:val="clear" w:color="auto" w:fill="E0E0E0"/>
          </w:tcPr>
          <w:p>
            <w:pPr>
              <w:spacing w:after="0"/>
              <w:rPr>
                <w:sz w:val="7"/>
                <w:szCs w:val="7"/>
                <w:color w:val="auto"/>
              </w:rPr>
            </w:pPr>
          </w:p>
        </w:tc>
        <w:tc>
          <w:tcPr>
            <w:tcW w:w="2120" w:type="dxa"/>
            <w:vAlign w:val="bottom"/>
            <w:gridSpan w:val="8"/>
            <w:vMerge w:val="restart"/>
            <w:shd w:val="clear" w:color="auto" w:fill="E0E0E0"/>
          </w:tcPr>
          <w:p>
            <w:pPr>
              <w:ind w:left="200"/>
              <w:spacing w:after="0" w:line="135" w:lineRule="exact"/>
              <w:rPr>
                <w:sz w:val="20"/>
                <w:szCs w:val="20"/>
                <w:color w:val="auto"/>
              </w:rPr>
            </w:pPr>
            <w:r>
              <w:rPr>
                <w:rFonts w:ascii="Arial" w:cs="Arial" w:eastAsia="Arial" w:hAnsi="Arial"/>
                <w:sz w:val="14"/>
                <w:szCs w:val="14"/>
                <w:b w:val="1"/>
                <w:bCs w:val="1"/>
                <w:color w:val="auto"/>
              </w:rPr>
              <w:t>Under Non-Equity Incentive</w:t>
            </w:r>
          </w:p>
        </w:tc>
        <w:tc>
          <w:tcPr>
            <w:tcW w:w="140" w:type="dxa"/>
            <w:vAlign w:val="bottom"/>
            <w:shd w:val="clear" w:color="auto" w:fill="E0E0E0"/>
          </w:tcPr>
          <w:p>
            <w:pPr>
              <w:spacing w:after="0"/>
              <w:rPr>
                <w:sz w:val="7"/>
                <w:szCs w:val="7"/>
                <w:color w:val="auto"/>
              </w:rPr>
            </w:pPr>
          </w:p>
        </w:tc>
        <w:tc>
          <w:tcPr>
            <w:tcW w:w="1980" w:type="dxa"/>
            <w:vAlign w:val="bottom"/>
            <w:gridSpan w:val="6"/>
            <w:vMerge w:val="restart"/>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Under Equity Incentive</w:t>
            </w:r>
          </w:p>
        </w:tc>
        <w:tc>
          <w:tcPr>
            <w:tcW w:w="64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40" w:type="dxa"/>
            <w:vAlign w:val="bottom"/>
            <w:shd w:val="clear" w:color="auto" w:fill="E0E0E0"/>
          </w:tcPr>
          <w:p>
            <w:pPr>
              <w:spacing w:after="0"/>
              <w:rPr>
                <w:sz w:val="7"/>
                <w:szCs w:val="7"/>
                <w:color w:val="auto"/>
              </w:rPr>
            </w:pPr>
          </w:p>
        </w:tc>
        <w:tc>
          <w:tcPr>
            <w:tcW w:w="62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480" w:type="dxa"/>
            <w:vAlign w:val="bottom"/>
            <w:vMerge w:val="continue"/>
            <w:shd w:val="clear" w:color="auto" w:fill="E0E0E0"/>
          </w:tcPr>
          <w:p>
            <w:pPr>
              <w:spacing w:after="0"/>
              <w:rPr>
                <w:sz w:val="7"/>
                <w:szCs w:val="7"/>
                <w:color w:val="auto"/>
              </w:rPr>
            </w:pPr>
          </w:p>
        </w:tc>
        <w:tc>
          <w:tcPr>
            <w:tcW w:w="80" w:type="dxa"/>
            <w:vAlign w:val="bottom"/>
            <w:shd w:val="clear" w:color="auto" w:fill="E0E0E0"/>
          </w:tcPr>
          <w:p>
            <w:pPr>
              <w:spacing w:after="0"/>
              <w:rPr>
                <w:sz w:val="7"/>
                <w:szCs w:val="7"/>
                <w:color w:val="auto"/>
              </w:rPr>
            </w:pPr>
          </w:p>
        </w:tc>
        <w:tc>
          <w:tcPr>
            <w:tcW w:w="4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180" w:type="dxa"/>
            <w:vAlign w:val="bottom"/>
            <w:tcBorders>
              <w:left w:val="single" w:sz="8" w:color="auto"/>
            </w:tcBorders>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8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7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2120" w:type="dxa"/>
            <w:vAlign w:val="bottom"/>
            <w:gridSpan w:val="8"/>
            <w:vMerge w:val="continue"/>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1980" w:type="dxa"/>
            <w:vAlign w:val="bottom"/>
            <w:gridSpan w:val="6"/>
            <w:vMerge w:val="continue"/>
            <w:shd w:val="clear" w:color="auto" w:fill="E0E0E0"/>
          </w:tcPr>
          <w:p>
            <w:pPr>
              <w:spacing w:after="0"/>
              <w:rPr>
                <w:sz w:val="4"/>
                <w:szCs w:val="4"/>
                <w:color w:val="auto"/>
              </w:rPr>
            </w:pPr>
          </w:p>
        </w:tc>
        <w:tc>
          <w:tcPr>
            <w:tcW w:w="64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48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1"/>
              </w:rPr>
              <w:t>or Base</w:t>
            </w:r>
          </w:p>
        </w:tc>
        <w:tc>
          <w:tcPr>
            <w:tcW w:w="80" w:type="dxa"/>
            <w:vAlign w:val="bottom"/>
            <w:shd w:val="clear" w:color="auto" w:fill="E0E0E0"/>
          </w:tcPr>
          <w:p>
            <w:pPr>
              <w:spacing w:after="0"/>
              <w:rPr>
                <w:sz w:val="4"/>
                <w:szCs w:val="4"/>
                <w:color w:val="auto"/>
              </w:rPr>
            </w:pPr>
          </w:p>
        </w:tc>
        <w:tc>
          <w:tcPr>
            <w:tcW w:w="4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bottom w:val="single" w:sz="8" w:color="E0E0E0"/>
            </w:tcBorders>
            <w:shd w:val="clear" w:color="auto" w:fill="E0E0E0"/>
          </w:tcPr>
          <w:p>
            <w:pPr>
              <w:spacing w:after="0"/>
              <w:rPr>
                <w:sz w:val="15"/>
                <w:szCs w:val="15"/>
                <w:color w:val="auto"/>
              </w:rPr>
            </w:pPr>
          </w:p>
        </w:tc>
        <w:tc>
          <w:tcPr>
            <w:tcW w:w="340" w:type="dxa"/>
            <w:vAlign w:val="bottom"/>
            <w:tcBorders>
              <w:bottom w:val="single" w:sz="8" w:color="E0E0E0"/>
            </w:tcBorders>
            <w:shd w:val="clear" w:color="auto" w:fill="E0E0E0"/>
          </w:tcPr>
          <w:p>
            <w:pPr>
              <w:spacing w:after="0"/>
              <w:rPr>
                <w:sz w:val="15"/>
                <w:szCs w:val="15"/>
                <w:color w:val="auto"/>
              </w:rPr>
            </w:pPr>
          </w:p>
        </w:tc>
        <w:tc>
          <w:tcPr>
            <w:tcW w:w="108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700" w:type="dxa"/>
            <w:vAlign w:val="bottom"/>
            <w:tcBorders>
              <w:bottom w:val="single" w:sz="8" w:color="E0E0E0"/>
            </w:tcBorders>
            <w:shd w:val="clear" w:color="auto" w:fill="E0E0E0"/>
          </w:tcPr>
          <w:p>
            <w:pPr>
              <w:spacing w:after="0"/>
              <w:rPr>
                <w:sz w:val="15"/>
                <w:szCs w:val="15"/>
                <w:color w:val="auto"/>
              </w:rPr>
            </w:pPr>
          </w:p>
        </w:tc>
        <w:tc>
          <w:tcPr>
            <w:tcW w:w="240" w:type="dxa"/>
            <w:vAlign w:val="bottom"/>
            <w:tcBorders>
              <w:bottom w:val="single" w:sz="8" w:color="E0E0E0"/>
            </w:tcBorders>
            <w:shd w:val="clear" w:color="auto" w:fill="E0E0E0"/>
          </w:tcPr>
          <w:p>
            <w:pPr>
              <w:spacing w:after="0"/>
              <w:rPr>
                <w:sz w:val="15"/>
                <w:szCs w:val="15"/>
                <w:color w:val="auto"/>
              </w:rPr>
            </w:pPr>
          </w:p>
        </w:tc>
        <w:tc>
          <w:tcPr>
            <w:tcW w:w="60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820" w:type="dxa"/>
            <w:vAlign w:val="bottom"/>
            <w:tcBorders>
              <w:bottom w:val="single" w:sz="8" w:color="E0E0E0"/>
            </w:tcBorders>
            <w:gridSpan w:val="3"/>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120" w:type="dxa"/>
            <w:vAlign w:val="bottom"/>
            <w:tcBorders>
              <w:bottom w:val="single" w:sz="8" w:color="E0E0E0"/>
            </w:tcBorders>
            <w:shd w:val="clear" w:color="auto" w:fill="E0E0E0"/>
          </w:tcPr>
          <w:p>
            <w:pPr>
              <w:spacing w:after="0"/>
              <w:rPr>
                <w:sz w:val="15"/>
                <w:szCs w:val="15"/>
                <w:color w:val="auto"/>
              </w:rPr>
            </w:pPr>
          </w:p>
        </w:tc>
        <w:tc>
          <w:tcPr>
            <w:tcW w:w="480" w:type="dxa"/>
            <w:vAlign w:val="bottom"/>
            <w:tcBorders>
              <w:bottom w:val="single" w:sz="8" w:color="E0E0E0"/>
            </w:tcBorders>
            <w:shd w:val="clear" w:color="auto" w:fill="E0E0E0"/>
          </w:tcPr>
          <w:p>
            <w:pPr>
              <w:spacing w:after="0"/>
              <w:rPr>
                <w:sz w:val="15"/>
                <w:szCs w:val="15"/>
                <w:color w:val="auto"/>
              </w:rPr>
            </w:pPr>
          </w:p>
        </w:tc>
        <w:tc>
          <w:tcPr>
            <w:tcW w:w="8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1980" w:type="dxa"/>
            <w:vAlign w:val="bottom"/>
            <w:tcBorders>
              <w:bottom w:val="single" w:sz="8" w:color="E0E0E0"/>
            </w:tcBorders>
            <w:gridSpan w:val="6"/>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Plan Awards</w:t>
            </w:r>
          </w:p>
        </w:tc>
        <w:tc>
          <w:tcPr>
            <w:tcW w:w="640" w:type="dxa"/>
            <w:vAlign w:val="bottom"/>
            <w:tcBorders>
              <w:bottom w:val="single" w:sz="8" w:color="E0E0E0"/>
            </w:tcBorders>
            <w:vMerge w:val="continue"/>
            <w:shd w:val="clear" w:color="auto" w:fill="E0E0E0"/>
          </w:tcPr>
          <w:p>
            <w:pPr>
              <w:spacing w:after="0"/>
              <w:rPr>
                <w:sz w:val="15"/>
                <w:szCs w:val="15"/>
                <w:color w:val="auto"/>
              </w:rPr>
            </w:pPr>
          </w:p>
        </w:tc>
        <w:tc>
          <w:tcPr>
            <w:tcW w:w="6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660" w:type="dxa"/>
            <w:vAlign w:val="bottom"/>
            <w:tcBorders>
              <w:bottom w:val="single" w:sz="8" w:color="E0E0E0"/>
            </w:tcBorders>
            <w:gridSpan w:val="2"/>
            <w:vMerge w:val="continue"/>
            <w:shd w:val="clear" w:color="auto" w:fill="E0E0E0"/>
          </w:tcPr>
          <w:p>
            <w:pPr>
              <w:spacing w:after="0"/>
              <w:rPr>
                <w:sz w:val="15"/>
                <w:szCs w:val="15"/>
                <w:color w:val="auto"/>
              </w:rPr>
            </w:pPr>
          </w:p>
        </w:tc>
        <w:tc>
          <w:tcPr>
            <w:tcW w:w="6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480" w:type="dxa"/>
            <w:vAlign w:val="bottom"/>
            <w:tcBorders>
              <w:bottom w:val="single" w:sz="8" w:color="E0E0E0"/>
            </w:tcBorders>
            <w:vMerge w:val="continue"/>
            <w:shd w:val="clear" w:color="auto" w:fill="E0E0E0"/>
          </w:tcPr>
          <w:p>
            <w:pPr>
              <w:spacing w:after="0"/>
              <w:rPr>
                <w:sz w:val="15"/>
                <w:szCs w:val="15"/>
                <w:color w:val="auto"/>
              </w:rPr>
            </w:pPr>
          </w:p>
        </w:tc>
        <w:tc>
          <w:tcPr>
            <w:tcW w:w="8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660" w:type="dxa"/>
            <w:vAlign w:val="bottom"/>
            <w:tcBorders>
              <w:bottom w:val="single" w:sz="8" w:color="E0E0E0"/>
            </w:tcBorders>
            <w:gridSpan w:val="2"/>
            <w:vMerge w:val="continue"/>
            <w:shd w:val="clear" w:color="auto" w:fill="E0E0E0"/>
          </w:tcPr>
          <w:p>
            <w:pPr>
              <w:spacing w:after="0"/>
              <w:rPr>
                <w:sz w:val="15"/>
                <w:szCs w:val="15"/>
                <w:color w:val="auto"/>
              </w:rPr>
            </w:pPr>
          </w:p>
        </w:tc>
        <w:tc>
          <w:tcPr>
            <w:tcW w:w="220" w:type="dxa"/>
            <w:vAlign w:val="bottom"/>
            <w:tcBorders>
              <w:bottom w:val="single" w:sz="8" w:color="E0E0E0"/>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E0E0E0"/>
              <w:left w:val="single" w:sz="8" w:color="auto"/>
            </w:tcBorders>
            <w:shd w:val="clear" w:color="auto" w:fill="E0E0E0"/>
          </w:tcPr>
          <w:p>
            <w:pPr>
              <w:spacing w:after="0"/>
              <w:rPr>
                <w:sz w:val="4"/>
                <w:szCs w:val="4"/>
                <w:color w:val="auto"/>
              </w:rPr>
            </w:pPr>
          </w:p>
        </w:tc>
        <w:tc>
          <w:tcPr>
            <w:tcW w:w="340" w:type="dxa"/>
            <w:vAlign w:val="bottom"/>
            <w:tcBorders>
              <w:top w:val="single" w:sz="8" w:color="E0E0E0"/>
            </w:tcBorders>
            <w:shd w:val="clear" w:color="auto" w:fill="E0E0E0"/>
          </w:tcPr>
          <w:p>
            <w:pPr>
              <w:spacing w:after="0"/>
              <w:rPr>
                <w:sz w:val="4"/>
                <w:szCs w:val="4"/>
                <w:color w:val="auto"/>
              </w:rPr>
            </w:pPr>
          </w:p>
        </w:tc>
        <w:tc>
          <w:tcPr>
            <w:tcW w:w="1080" w:type="dxa"/>
            <w:vAlign w:val="bottom"/>
            <w:tcBorders>
              <w:top w:val="single" w:sz="8" w:color="E0E0E0"/>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700" w:type="dxa"/>
            <w:vAlign w:val="bottom"/>
            <w:tcBorders>
              <w:top w:val="single" w:sz="8" w:color="E0E0E0"/>
            </w:tcBorders>
            <w:shd w:val="clear" w:color="auto" w:fill="E0E0E0"/>
          </w:tcPr>
          <w:p>
            <w:pPr>
              <w:spacing w:after="0"/>
              <w:rPr>
                <w:sz w:val="4"/>
                <w:szCs w:val="4"/>
                <w:color w:val="auto"/>
              </w:rPr>
            </w:pPr>
          </w:p>
        </w:tc>
        <w:tc>
          <w:tcPr>
            <w:tcW w:w="240" w:type="dxa"/>
            <w:vAlign w:val="bottom"/>
            <w:tcBorders>
              <w:top w:val="single" w:sz="8" w:color="E0E0E0"/>
            </w:tcBorders>
            <w:shd w:val="clear" w:color="auto" w:fill="E0E0E0"/>
          </w:tcPr>
          <w:p>
            <w:pPr>
              <w:spacing w:after="0"/>
              <w:rPr>
                <w:sz w:val="4"/>
                <w:szCs w:val="4"/>
                <w:color w:val="auto"/>
              </w:rPr>
            </w:pPr>
          </w:p>
        </w:tc>
        <w:tc>
          <w:tcPr>
            <w:tcW w:w="600" w:type="dxa"/>
            <w:vAlign w:val="bottom"/>
            <w:tcBorders>
              <w:top w:val="single" w:sz="8" w:color="auto"/>
            </w:tcBorders>
            <w:shd w:val="clear" w:color="auto" w:fill="E0E0E0"/>
          </w:tcPr>
          <w:p>
            <w:pPr>
              <w:spacing w:after="0"/>
              <w:rPr>
                <w:sz w:val="4"/>
                <w:szCs w:val="4"/>
                <w:color w:val="auto"/>
              </w:rPr>
            </w:pPr>
          </w:p>
        </w:tc>
        <w:tc>
          <w:tcPr>
            <w:tcW w:w="20" w:type="dxa"/>
            <w:vAlign w:val="bottom"/>
            <w:tcBorders>
              <w:top w:val="single" w:sz="8" w:color="auto"/>
            </w:tcBorders>
            <w:shd w:val="clear" w:color="auto" w:fill="E0E0E0"/>
          </w:tcPr>
          <w:p>
            <w:pPr>
              <w:spacing w:after="0"/>
              <w:rPr>
                <w:sz w:val="4"/>
                <w:szCs w:val="4"/>
                <w:color w:val="auto"/>
              </w:rPr>
            </w:pPr>
          </w:p>
        </w:tc>
        <w:tc>
          <w:tcPr>
            <w:tcW w:w="100" w:type="dxa"/>
            <w:vAlign w:val="bottom"/>
            <w:tcBorders>
              <w:top w:val="single" w:sz="8" w:color="auto"/>
            </w:tcBorders>
            <w:shd w:val="clear" w:color="auto" w:fill="E0E0E0"/>
          </w:tcPr>
          <w:p>
            <w:pPr>
              <w:spacing w:after="0"/>
              <w:rPr>
                <w:sz w:val="4"/>
                <w:szCs w:val="4"/>
                <w:color w:val="auto"/>
              </w:rPr>
            </w:pPr>
          </w:p>
        </w:tc>
        <w:tc>
          <w:tcPr>
            <w:tcW w:w="520" w:type="dxa"/>
            <w:vAlign w:val="bottom"/>
            <w:tcBorders>
              <w:top w:val="single" w:sz="8" w:color="auto"/>
            </w:tcBorders>
            <w:shd w:val="clear" w:color="auto" w:fill="E0E0E0"/>
          </w:tcPr>
          <w:p>
            <w:pPr>
              <w:spacing w:after="0"/>
              <w:rPr>
                <w:sz w:val="4"/>
                <w:szCs w:val="4"/>
                <w:color w:val="auto"/>
              </w:rPr>
            </w:pPr>
          </w:p>
        </w:tc>
        <w:tc>
          <w:tcPr>
            <w:tcW w:w="200" w:type="dxa"/>
            <w:vAlign w:val="bottom"/>
            <w:tcBorders>
              <w:top w:val="single" w:sz="8" w:color="auto"/>
            </w:tcBorders>
            <w:shd w:val="clear" w:color="auto" w:fill="E0E0E0"/>
          </w:tcPr>
          <w:p>
            <w:pPr>
              <w:spacing w:after="0"/>
              <w:rPr>
                <w:sz w:val="4"/>
                <w:szCs w:val="4"/>
                <w:color w:val="auto"/>
              </w:rPr>
            </w:pPr>
          </w:p>
        </w:tc>
        <w:tc>
          <w:tcPr>
            <w:tcW w:w="120" w:type="dxa"/>
            <w:vAlign w:val="bottom"/>
            <w:tcBorders>
              <w:top w:val="single" w:sz="8" w:color="auto"/>
            </w:tcBorders>
            <w:shd w:val="clear" w:color="auto" w:fill="E0E0E0"/>
          </w:tcPr>
          <w:p>
            <w:pPr>
              <w:spacing w:after="0"/>
              <w:rPr>
                <w:sz w:val="4"/>
                <w:szCs w:val="4"/>
                <w:color w:val="auto"/>
              </w:rPr>
            </w:pPr>
          </w:p>
        </w:tc>
        <w:tc>
          <w:tcPr>
            <w:tcW w:w="480" w:type="dxa"/>
            <w:vAlign w:val="bottom"/>
            <w:tcBorders>
              <w:top w:val="single" w:sz="8" w:color="auto"/>
            </w:tcBorders>
            <w:shd w:val="clear" w:color="auto" w:fill="E0E0E0"/>
          </w:tcPr>
          <w:p>
            <w:pPr>
              <w:spacing w:after="0"/>
              <w:rPr>
                <w:sz w:val="4"/>
                <w:szCs w:val="4"/>
                <w:color w:val="auto"/>
              </w:rPr>
            </w:pPr>
          </w:p>
        </w:tc>
        <w:tc>
          <w:tcPr>
            <w:tcW w:w="80" w:type="dxa"/>
            <w:vAlign w:val="bottom"/>
            <w:tcBorders>
              <w:top w:val="single" w:sz="8" w:color="E0E0E0"/>
            </w:tcBorders>
            <w:shd w:val="clear" w:color="auto" w:fill="E0E0E0"/>
          </w:tcPr>
          <w:p>
            <w:pPr>
              <w:spacing w:after="0"/>
              <w:rPr>
                <w:sz w:val="4"/>
                <w:szCs w:val="4"/>
                <w:color w:val="auto"/>
              </w:rPr>
            </w:pPr>
          </w:p>
        </w:tc>
        <w:tc>
          <w:tcPr>
            <w:tcW w:w="140" w:type="dxa"/>
            <w:vAlign w:val="bottom"/>
            <w:tcBorders>
              <w:top w:val="single" w:sz="8" w:color="E0E0E0"/>
            </w:tcBorders>
            <w:shd w:val="clear" w:color="auto" w:fill="E0E0E0"/>
          </w:tcPr>
          <w:p>
            <w:pPr>
              <w:spacing w:after="0"/>
              <w:rPr>
                <w:sz w:val="4"/>
                <w:szCs w:val="4"/>
                <w:color w:val="auto"/>
              </w:rPr>
            </w:pPr>
          </w:p>
        </w:tc>
        <w:tc>
          <w:tcPr>
            <w:tcW w:w="580" w:type="dxa"/>
            <w:vAlign w:val="bottom"/>
            <w:tcBorders>
              <w:top w:val="single" w:sz="8" w:color="auto"/>
            </w:tcBorders>
            <w:shd w:val="clear" w:color="auto" w:fill="E0E0E0"/>
          </w:tcPr>
          <w:p>
            <w:pPr>
              <w:spacing w:after="0"/>
              <w:rPr>
                <w:sz w:val="4"/>
                <w:szCs w:val="4"/>
                <w:color w:val="auto"/>
              </w:rPr>
            </w:pPr>
          </w:p>
        </w:tc>
        <w:tc>
          <w:tcPr>
            <w:tcW w:w="140" w:type="dxa"/>
            <w:vAlign w:val="bottom"/>
            <w:tcBorders>
              <w:top w:val="single" w:sz="8" w:color="auto"/>
            </w:tcBorders>
            <w:shd w:val="clear" w:color="auto" w:fill="E0E0E0"/>
          </w:tcPr>
          <w:p>
            <w:pPr>
              <w:spacing w:after="0"/>
              <w:rPr>
                <w:sz w:val="4"/>
                <w:szCs w:val="4"/>
                <w:color w:val="auto"/>
              </w:rPr>
            </w:pPr>
          </w:p>
        </w:tc>
        <w:tc>
          <w:tcPr>
            <w:tcW w:w="380" w:type="dxa"/>
            <w:vAlign w:val="bottom"/>
            <w:tcBorders>
              <w:top w:val="single" w:sz="8" w:color="auto"/>
            </w:tcBorders>
            <w:shd w:val="clear" w:color="auto" w:fill="E0E0E0"/>
          </w:tcPr>
          <w:p>
            <w:pPr>
              <w:spacing w:after="0"/>
              <w:rPr>
                <w:sz w:val="4"/>
                <w:szCs w:val="4"/>
                <w:color w:val="auto"/>
              </w:rPr>
            </w:pPr>
          </w:p>
        </w:tc>
        <w:tc>
          <w:tcPr>
            <w:tcW w:w="140" w:type="dxa"/>
            <w:vAlign w:val="bottom"/>
            <w:tcBorders>
              <w:top w:val="single" w:sz="8" w:color="auto"/>
            </w:tcBorders>
            <w:shd w:val="clear" w:color="auto" w:fill="E0E0E0"/>
          </w:tcPr>
          <w:p>
            <w:pPr>
              <w:spacing w:after="0"/>
              <w:rPr>
                <w:sz w:val="4"/>
                <w:szCs w:val="4"/>
                <w:color w:val="auto"/>
              </w:rPr>
            </w:pPr>
          </w:p>
        </w:tc>
        <w:tc>
          <w:tcPr>
            <w:tcW w:w="600" w:type="dxa"/>
            <w:vAlign w:val="bottom"/>
            <w:tcBorders>
              <w:top w:val="single" w:sz="8" w:color="auto"/>
            </w:tcBorders>
            <w:shd w:val="clear" w:color="auto" w:fill="E0E0E0"/>
          </w:tcPr>
          <w:p>
            <w:pPr>
              <w:spacing w:after="0"/>
              <w:rPr>
                <w:sz w:val="4"/>
                <w:szCs w:val="4"/>
                <w:color w:val="auto"/>
              </w:rPr>
            </w:pPr>
          </w:p>
        </w:tc>
        <w:tc>
          <w:tcPr>
            <w:tcW w:w="140" w:type="dxa"/>
            <w:vAlign w:val="bottom"/>
            <w:tcBorders>
              <w:top w:val="single" w:sz="8" w:color="E0E0E0"/>
            </w:tcBorders>
            <w:shd w:val="clear" w:color="auto" w:fill="E0E0E0"/>
          </w:tcPr>
          <w:p>
            <w:pPr>
              <w:spacing w:after="0"/>
              <w:rPr>
                <w:sz w:val="4"/>
                <w:szCs w:val="4"/>
                <w:color w:val="auto"/>
              </w:rPr>
            </w:pPr>
          </w:p>
        </w:tc>
        <w:tc>
          <w:tcPr>
            <w:tcW w:w="64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Number of</w:t>
            </w:r>
          </w:p>
        </w:tc>
        <w:tc>
          <w:tcPr>
            <w:tcW w:w="60" w:type="dxa"/>
            <w:vAlign w:val="bottom"/>
            <w:tcBorders>
              <w:top w:val="single" w:sz="8" w:color="E0E0E0"/>
            </w:tcBorders>
            <w:shd w:val="clear" w:color="auto" w:fill="E0E0E0"/>
          </w:tcPr>
          <w:p>
            <w:pPr>
              <w:spacing w:after="0"/>
              <w:rPr>
                <w:sz w:val="4"/>
                <w:szCs w:val="4"/>
                <w:color w:val="auto"/>
              </w:rPr>
            </w:pPr>
          </w:p>
        </w:tc>
        <w:tc>
          <w:tcPr>
            <w:tcW w:w="140" w:type="dxa"/>
            <w:vAlign w:val="bottom"/>
            <w:tcBorders>
              <w:top w:val="single" w:sz="8" w:color="E0E0E0"/>
            </w:tcBorders>
            <w:shd w:val="clear" w:color="auto" w:fill="E0E0E0"/>
          </w:tcPr>
          <w:p>
            <w:pPr>
              <w:spacing w:after="0"/>
              <w:rPr>
                <w:sz w:val="4"/>
                <w:szCs w:val="4"/>
                <w:color w:val="auto"/>
              </w:rPr>
            </w:pPr>
          </w:p>
        </w:tc>
        <w:tc>
          <w:tcPr>
            <w:tcW w:w="660" w:type="dxa"/>
            <w:vAlign w:val="bottom"/>
            <w:tcBorders>
              <w:top w:val="single" w:sz="8" w:color="E0E0E0"/>
            </w:tcBorders>
            <w:gridSpan w:val="2"/>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Securities</w:t>
            </w:r>
          </w:p>
        </w:tc>
        <w:tc>
          <w:tcPr>
            <w:tcW w:w="60" w:type="dxa"/>
            <w:vAlign w:val="bottom"/>
            <w:tcBorders>
              <w:top w:val="single" w:sz="8" w:color="E0E0E0"/>
            </w:tcBorders>
            <w:shd w:val="clear" w:color="auto" w:fill="E0E0E0"/>
          </w:tcPr>
          <w:p>
            <w:pPr>
              <w:spacing w:after="0"/>
              <w:rPr>
                <w:sz w:val="4"/>
                <w:szCs w:val="4"/>
                <w:color w:val="auto"/>
              </w:rPr>
            </w:pPr>
          </w:p>
        </w:tc>
        <w:tc>
          <w:tcPr>
            <w:tcW w:w="140" w:type="dxa"/>
            <w:vAlign w:val="bottom"/>
            <w:tcBorders>
              <w:top w:val="single" w:sz="8" w:color="E0E0E0"/>
            </w:tcBorders>
            <w:shd w:val="clear" w:color="auto" w:fill="E0E0E0"/>
          </w:tcPr>
          <w:p>
            <w:pPr>
              <w:spacing w:after="0"/>
              <w:rPr>
                <w:sz w:val="4"/>
                <w:szCs w:val="4"/>
                <w:color w:val="auto"/>
              </w:rPr>
            </w:pPr>
          </w:p>
        </w:tc>
        <w:tc>
          <w:tcPr>
            <w:tcW w:w="48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Price of</w:t>
            </w:r>
          </w:p>
        </w:tc>
        <w:tc>
          <w:tcPr>
            <w:tcW w:w="80" w:type="dxa"/>
            <w:vAlign w:val="bottom"/>
            <w:tcBorders>
              <w:top w:val="single" w:sz="8" w:color="E0E0E0"/>
            </w:tcBorders>
            <w:shd w:val="clear" w:color="auto" w:fill="E0E0E0"/>
          </w:tcPr>
          <w:p>
            <w:pPr>
              <w:spacing w:after="0"/>
              <w:rPr>
                <w:sz w:val="4"/>
                <w:szCs w:val="4"/>
                <w:color w:val="auto"/>
              </w:rPr>
            </w:pPr>
          </w:p>
        </w:tc>
        <w:tc>
          <w:tcPr>
            <w:tcW w:w="40" w:type="dxa"/>
            <w:vAlign w:val="bottom"/>
            <w:tcBorders>
              <w:top w:val="single" w:sz="8" w:color="E0E0E0"/>
            </w:tcBorders>
            <w:shd w:val="clear" w:color="auto" w:fill="E0E0E0"/>
          </w:tcPr>
          <w:p>
            <w:pPr>
              <w:spacing w:after="0"/>
              <w:rPr>
                <w:sz w:val="4"/>
                <w:szCs w:val="4"/>
                <w:color w:val="auto"/>
              </w:rPr>
            </w:pPr>
          </w:p>
        </w:tc>
        <w:tc>
          <w:tcPr>
            <w:tcW w:w="40" w:type="dxa"/>
            <w:vAlign w:val="bottom"/>
            <w:tcBorders>
              <w:top w:val="single" w:sz="8" w:color="E0E0E0"/>
            </w:tcBorders>
            <w:shd w:val="clear" w:color="auto" w:fill="E0E0E0"/>
          </w:tcPr>
          <w:p>
            <w:pPr>
              <w:spacing w:after="0"/>
              <w:rPr>
                <w:sz w:val="4"/>
                <w:szCs w:val="4"/>
                <w:color w:val="auto"/>
              </w:rPr>
            </w:pPr>
          </w:p>
        </w:tc>
        <w:tc>
          <w:tcPr>
            <w:tcW w:w="62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of Stock</w:t>
            </w:r>
          </w:p>
        </w:tc>
        <w:tc>
          <w:tcPr>
            <w:tcW w:w="220" w:type="dxa"/>
            <w:vAlign w:val="bottom"/>
            <w:tcBorders>
              <w:top w:val="single" w:sz="8" w:color="E0E0E0"/>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80" w:type="dxa"/>
            <w:vAlign w:val="bottom"/>
            <w:tcBorders>
              <w:left w:val="single" w:sz="8" w:color="auto"/>
            </w:tcBorders>
            <w:shd w:val="clear" w:color="auto" w:fill="E0E0E0"/>
          </w:tcPr>
          <w:p>
            <w:pPr>
              <w:spacing w:after="0"/>
              <w:rPr>
                <w:sz w:val="11"/>
                <w:szCs w:val="11"/>
                <w:color w:val="auto"/>
              </w:rPr>
            </w:pPr>
          </w:p>
        </w:tc>
        <w:tc>
          <w:tcPr>
            <w:tcW w:w="1420" w:type="dxa"/>
            <w:vAlign w:val="bottom"/>
            <w:gridSpan w:val="2"/>
            <w:vMerge w:val="restart"/>
            <w:shd w:val="clear" w:color="auto" w:fill="E0E0E0"/>
          </w:tcPr>
          <w:p>
            <w:pPr>
              <w:jc w:val="center"/>
              <w:ind w:right="1080"/>
              <w:spacing w:after="0"/>
              <w:rPr>
                <w:sz w:val="20"/>
                <w:szCs w:val="20"/>
                <w:color w:val="auto"/>
              </w:rPr>
            </w:pPr>
            <w:r>
              <w:rPr>
                <w:rFonts w:ascii="Arial" w:cs="Arial" w:eastAsia="Arial" w:hAnsi="Arial"/>
                <w:sz w:val="14"/>
                <w:szCs w:val="14"/>
                <w:b w:val="1"/>
                <w:bCs w:val="1"/>
                <w:color w:val="auto"/>
                <w:w w:val="89"/>
              </w:rPr>
              <w:t>Name</w:t>
            </w:r>
          </w:p>
        </w:tc>
        <w:tc>
          <w:tcPr>
            <w:tcW w:w="12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620" w:type="dxa"/>
            <w:vAlign w:val="bottom"/>
            <w:gridSpan w:val="2"/>
            <w:shd w:val="clear" w:color="auto" w:fill="E0E0E0"/>
          </w:tcPr>
          <w:p>
            <w:pPr>
              <w:spacing w:after="0" w:line="135" w:lineRule="exact"/>
              <w:rPr>
                <w:sz w:val="20"/>
                <w:szCs w:val="20"/>
                <w:color w:val="auto"/>
              </w:rPr>
            </w:pPr>
            <w:r>
              <w:rPr>
                <w:rFonts w:ascii="Arial" w:cs="Arial" w:eastAsia="Arial" w:hAnsi="Arial"/>
                <w:sz w:val="14"/>
                <w:szCs w:val="14"/>
                <w:b w:val="1"/>
                <w:bCs w:val="1"/>
                <w:color w:val="auto"/>
                <w:w w:val="88"/>
              </w:rPr>
              <w:t>Threshold</w:t>
            </w:r>
          </w:p>
        </w:tc>
        <w:tc>
          <w:tcPr>
            <w:tcW w:w="100" w:type="dxa"/>
            <w:vAlign w:val="bottom"/>
            <w:shd w:val="clear" w:color="auto" w:fill="E0E0E0"/>
          </w:tcPr>
          <w:p>
            <w:pPr>
              <w:spacing w:after="0"/>
              <w:rPr>
                <w:sz w:val="11"/>
                <w:szCs w:val="11"/>
                <w:color w:val="auto"/>
              </w:rPr>
            </w:pPr>
          </w:p>
        </w:tc>
        <w:tc>
          <w:tcPr>
            <w:tcW w:w="720" w:type="dxa"/>
            <w:vAlign w:val="bottom"/>
            <w:gridSpan w:val="2"/>
            <w:shd w:val="clear" w:color="auto" w:fill="E0E0E0"/>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gridSpan w:val="3"/>
            <w:shd w:val="clear" w:color="auto" w:fill="E0E0E0"/>
          </w:tcPr>
          <w:p>
            <w:pPr>
              <w:ind w:left="20"/>
              <w:spacing w:after="0" w:line="135"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shd w:val="clear" w:color="auto" w:fill="E0E0E0"/>
          </w:tcPr>
          <w:p>
            <w:pPr>
              <w:spacing w:after="0"/>
              <w:rPr>
                <w:sz w:val="11"/>
                <w:szCs w:val="11"/>
                <w:color w:val="auto"/>
              </w:rPr>
            </w:pPr>
          </w:p>
        </w:tc>
        <w:tc>
          <w:tcPr>
            <w:tcW w:w="72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Threshold</w:t>
            </w:r>
          </w:p>
        </w:tc>
        <w:tc>
          <w:tcPr>
            <w:tcW w:w="52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Maximum</w:t>
            </w:r>
          </w:p>
        </w:tc>
        <w:tc>
          <w:tcPr>
            <w:tcW w:w="6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5"/>
              </w:rPr>
              <w:t>Stock or</w:t>
            </w:r>
          </w:p>
        </w:tc>
        <w:tc>
          <w:tcPr>
            <w:tcW w:w="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6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48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6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1420" w:type="dxa"/>
            <w:vAlign w:val="bottom"/>
            <w:gridSpan w:val="2"/>
            <w:vMerge w:val="continue"/>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89"/>
              <w:spacing w:after="0" w:line="149" w:lineRule="exact"/>
              <w:rPr>
                <w:sz w:val="20"/>
                <w:szCs w:val="20"/>
                <w:color w:val="auto"/>
              </w:rPr>
            </w:pPr>
            <w:r>
              <w:rPr>
                <w:rFonts w:ascii="Arial" w:cs="Arial" w:eastAsia="Arial" w:hAnsi="Arial"/>
                <w:sz w:val="14"/>
                <w:szCs w:val="14"/>
                <w:b w:val="1"/>
                <w:bCs w:val="1"/>
                <w:color w:val="auto"/>
                <w:w w:val="94"/>
              </w:rPr>
              <w:t>Grant Date</w:t>
            </w:r>
          </w:p>
        </w:tc>
        <w:tc>
          <w:tcPr>
            <w:tcW w:w="600" w:type="dxa"/>
            <w:vAlign w:val="bottom"/>
            <w:shd w:val="clear" w:color="auto" w:fill="E0E0E0"/>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E0E0E0"/>
          </w:tcPr>
          <w:p>
            <w:pPr>
              <w:spacing w:after="0"/>
              <w:rPr>
                <w:sz w:val="12"/>
                <w:szCs w:val="12"/>
                <w:color w:val="auto"/>
              </w:rPr>
            </w:pPr>
          </w:p>
        </w:tc>
        <w:tc>
          <w:tcPr>
            <w:tcW w:w="620" w:type="dxa"/>
            <w:vAlign w:val="bottom"/>
            <w:gridSpan w:val="2"/>
            <w:shd w:val="clear" w:color="auto" w:fill="E0E0E0"/>
          </w:tcPr>
          <w:p>
            <w:pPr>
              <w:jc w:val="center"/>
              <w:ind w:left="34"/>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0E0E0"/>
          </w:tcPr>
          <w:p>
            <w:pPr>
              <w:spacing w:after="0"/>
              <w:rPr>
                <w:sz w:val="12"/>
                <w:szCs w:val="12"/>
                <w:color w:val="auto"/>
              </w:rPr>
            </w:pPr>
          </w:p>
        </w:tc>
        <w:tc>
          <w:tcPr>
            <w:tcW w:w="720" w:type="dxa"/>
            <w:vAlign w:val="bottom"/>
            <w:gridSpan w:val="2"/>
            <w:shd w:val="clear" w:color="auto" w:fill="E0E0E0"/>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Units (#)</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($/Sh)</w:t>
            </w: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tcBorders>
            <w:shd w:val="clear" w:color="auto" w:fill="E0E0E0"/>
          </w:tcPr>
          <w:p>
            <w:pPr>
              <w:spacing w:after="0"/>
              <w:rPr>
                <w:sz w:val="16"/>
                <w:szCs w:val="16"/>
                <w:color w:val="auto"/>
              </w:rPr>
            </w:pPr>
          </w:p>
        </w:tc>
        <w:tc>
          <w:tcPr>
            <w:tcW w:w="1420" w:type="dxa"/>
            <w:vAlign w:val="bottom"/>
            <w:gridSpan w:val="2"/>
            <w:shd w:val="clear" w:color="auto" w:fill="E0E0E0"/>
          </w:tcPr>
          <w:p>
            <w:pPr>
              <w:jc w:val="center"/>
              <w:ind w:right="1060"/>
              <w:spacing w:after="0" w:line="129" w:lineRule="exact"/>
              <w:rPr>
                <w:sz w:val="20"/>
                <w:szCs w:val="20"/>
                <w:color w:val="auto"/>
              </w:rPr>
            </w:pPr>
            <w:r>
              <w:rPr>
                <w:rFonts w:ascii="Arial" w:cs="Arial" w:eastAsia="Arial" w:hAnsi="Arial"/>
                <w:sz w:val="14"/>
                <w:szCs w:val="14"/>
                <w:b w:val="1"/>
                <w:bCs w:val="1"/>
                <w:color w:val="auto"/>
                <w:w w:val="93"/>
              </w:rPr>
              <w:t>(a)</w:t>
            </w:r>
          </w:p>
        </w:tc>
        <w:tc>
          <w:tcPr>
            <w:tcW w:w="120" w:type="dxa"/>
            <w:vAlign w:val="bottom"/>
            <w:shd w:val="clear" w:color="auto" w:fill="E0E0E0"/>
          </w:tcPr>
          <w:p>
            <w:pPr>
              <w:spacing w:after="0"/>
              <w:rPr>
                <w:sz w:val="16"/>
                <w:szCs w:val="16"/>
                <w:color w:val="auto"/>
              </w:rPr>
            </w:pPr>
          </w:p>
        </w:tc>
        <w:tc>
          <w:tcPr>
            <w:tcW w:w="940" w:type="dxa"/>
            <w:vAlign w:val="bottom"/>
            <w:gridSpan w:val="2"/>
            <w:shd w:val="clear" w:color="auto" w:fill="E0E0E0"/>
          </w:tcPr>
          <w:p>
            <w:pPr>
              <w:jc w:val="right"/>
              <w:ind w:right="449"/>
              <w:spacing w:after="0" w:line="129" w:lineRule="exact"/>
              <w:rPr>
                <w:sz w:val="20"/>
                <w:szCs w:val="20"/>
                <w:color w:val="auto"/>
              </w:rPr>
            </w:pPr>
            <w:r>
              <w:rPr>
                <w:rFonts w:ascii="Arial" w:cs="Arial" w:eastAsia="Arial" w:hAnsi="Arial"/>
                <w:sz w:val="14"/>
                <w:szCs w:val="14"/>
                <w:b w:val="1"/>
                <w:bCs w:val="1"/>
                <w:color w:val="auto"/>
              </w:rPr>
              <w:t>(b)</w:t>
            </w:r>
          </w:p>
        </w:tc>
        <w:tc>
          <w:tcPr>
            <w:tcW w:w="620" w:type="dxa"/>
            <w:vAlign w:val="bottom"/>
            <w:gridSpan w:val="2"/>
            <w:shd w:val="clear" w:color="auto" w:fill="E0E0E0"/>
          </w:tcPr>
          <w:p>
            <w:pPr>
              <w:ind w:left="220"/>
              <w:spacing w:after="0" w:line="129" w:lineRule="exact"/>
              <w:rPr>
                <w:sz w:val="20"/>
                <w:szCs w:val="20"/>
                <w:color w:val="auto"/>
              </w:rPr>
            </w:pPr>
            <w:r>
              <w:rPr>
                <w:rFonts w:ascii="Arial" w:cs="Arial" w:eastAsia="Arial" w:hAnsi="Arial"/>
                <w:sz w:val="14"/>
                <w:szCs w:val="14"/>
                <w:b w:val="1"/>
                <w:bCs w:val="1"/>
                <w:color w:val="auto"/>
              </w:rPr>
              <w:t>(c)</w:t>
            </w:r>
          </w:p>
        </w:tc>
        <w:tc>
          <w:tcPr>
            <w:tcW w:w="100" w:type="dxa"/>
            <w:vAlign w:val="bottom"/>
            <w:shd w:val="clear" w:color="auto" w:fill="E0E0E0"/>
          </w:tcPr>
          <w:p>
            <w:pPr>
              <w:spacing w:after="0"/>
              <w:rPr>
                <w:sz w:val="16"/>
                <w:szCs w:val="16"/>
                <w:color w:val="auto"/>
              </w:rPr>
            </w:pPr>
          </w:p>
        </w:tc>
        <w:tc>
          <w:tcPr>
            <w:tcW w:w="720" w:type="dxa"/>
            <w:vAlign w:val="bottom"/>
            <w:gridSpan w:val="2"/>
            <w:shd w:val="clear" w:color="auto" w:fill="E0E0E0"/>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(d)</w:t>
            </w:r>
          </w:p>
        </w:tc>
        <w:tc>
          <w:tcPr>
            <w:tcW w:w="120" w:type="dxa"/>
            <w:vAlign w:val="bottom"/>
            <w:shd w:val="clear" w:color="auto" w:fill="E0E0E0"/>
          </w:tcPr>
          <w:p>
            <w:pPr>
              <w:spacing w:after="0"/>
              <w:rPr>
                <w:sz w:val="16"/>
                <w:szCs w:val="16"/>
                <w:color w:val="auto"/>
              </w:rPr>
            </w:pPr>
          </w:p>
        </w:tc>
        <w:tc>
          <w:tcPr>
            <w:tcW w:w="560" w:type="dxa"/>
            <w:vAlign w:val="bottom"/>
            <w:gridSpan w:val="2"/>
            <w:shd w:val="clear" w:color="auto" w:fill="E0E0E0"/>
          </w:tcPr>
          <w:p>
            <w:pPr>
              <w:jc w:val="right"/>
              <w:ind w:right="300"/>
              <w:spacing w:after="0" w:line="129" w:lineRule="exact"/>
              <w:rPr>
                <w:sz w:val="20"/>
                <w:szCs w:val="20"/>
                <w:color w:val="auto"/>
              </w:rPr>
            </w:pPr>
            <w:r>
              <w:rPr>
                <w:rFonts w:ascii="Arial" w:cs="Arial" w:eastAsia="Arial" w:hAnsi="Arial"/>
                <w:sz w:val="14"/>
                <w:szCs w:val="14"/>
                <w:b w:val="1"/>
                <w:bCs w:val="1"/>
                <w:color w:val="auto"/>
              </w:rPr>
              <w:t>(e)</w:t>
            </w:r>
          </w:p>
        </w:tc>
        <w:tc>
          <w:tcPr>
            <w:tcW w:w="140" w:type="dxa"/>
            <w:vAlign w:val="bottom"/>
            <w:shd w:val="clear" w:color="auto" w:fill="E0E0E0"/>
          </w:tcPr>
          <w:p>
            <w:pPr>
              <w:spacing w:after="0"/>
              <w:rPr>
                <w:sz w:val="16"/>
                <w:szCs w:val="16"/>
                <w:color w:val="auto"/>
              </w:rPr>
            </w:pPr>
          </w:p>
        </w:tc>
        <w:tc>
          <w:tcPr>
            <w:tcW w:w="720" w:type="dxa"/>
            <w:vAlign w:val="bottom"/>
            <w:gridSpan w:val="2"/>
            <w:shd w:val="clear" w:color="auto" w:fill="E0E0E0"/>
          </w:tcPr>
          <w:p>
            <w:pPr>
              <w:jc w:val="center"/>
              <w:ind w:right="140"/>
              <w:spacing w:after="0" w:line="129" w:lineRule="exact"/>
              <w:rPr>
                <w:sz w:val="20"/>
                <w:szCs w:val="20"/>
                <w:color w:val="auto"/>
              </w:rPr>
            </w:pPr>
            <w:r>
              <w:rPr>
                <w:rFonts w:ascii="Arial" w:cs="Arial" w:eastAsia="Arial" w:hAnsi="Arial"/>
                <w:sz w:val="14"/>
                <w:szCs w:val="14"/>
                <w:b w:val="1"/>
                <w:bCs w:val="1"/>
                <w:color w:val="auto"/>
                <w:w w:val="99"/>
              </w:rPr>
              <w:t>(f)</w:t>
            </w:r>
          </w:p>
        </w:tc>
        <w:tc>
          <w:tcPr>
            <w:tcW w:w="520" w:type="dxa"/>
            <w:vAlign w:val="bottom"/>
            <w:gridSpan w:val="2"/>
            <w:shd w:val="clear" w:color="auto" w:fill="E0E0E0"/>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(g)</w:t>
            </w:r>
          </w:p>
        </w:tc>
        <w:tc>
          <w:tcPr>
            <w:tcW w:w="740" w:type="dxa"/>
            <w:vAlign w:val="bottom"/>
            <w:gridSpan w:val="2"/>
            <w:shd w:val="clear" w:color="auto" w:fill="E0E0E0"/>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(h)</w:t>
            </w:r>
          </w:p>
        </w:tc>
        <w:tc>
          <w:tcPr>
            <w:tcW w:w="6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0"/>
              </w:rPr>
              <w:t>(i)</w:t>
            </w:r>
          </w:p>
        </w:tc>
        <w:tc>
          <w:tcPr>
            <w:tcW w:w="6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62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(j)</w:t>
            </w:r>
          </w:p>
        </w:tc>
        <w:tc>
          <w:tcPr>
            <w:tcW w:w="6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48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(k)</w:t>
            </w:r>
          </w:p>
        </w:tc>
        <w:tc>
          <w:tcPr>
            <w:tcW w:w="8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62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(l)</w:t>
            </w:r>
          </w:p>
        </w:tc>
        <w:tc>
          <w:tcPr>
            <w:tcW w:w="2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8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auto"/>
              <w:bottom w:val="single" w:sz="8" w:color="auto"/>
            </w:tcBorders>
            <w:shd w:val="clear" w:color="auto" w:fill="E0E0E0"/>
          </w:tcPr>
          <w:p>
            <w:pPr>
              <w:spacing w:after="0"/>
              <w:rPr>
                <w:sz w:val="19"/>
                <w:szCs w:val="19"/>
                <w:color w:val="auto"/>
              </w:rPr>
            </w:pPr>
          </w:p>
        </w:tc>
        <w:tc>
          <w:tcPr>
            <w:tcW w:w="108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700" w:type="dxa"/>
            <w:vAlign w:val="bottom"/>
            <w:tcBorders>
              <w:top w:val="single" w:sz="8" w:color="auto"/>
              <w:bottom w:val="single" w:sz="8" w:color="auto"/>
            </w:tcBorders>
            <w:shd w:val="clear" w:color="auto" w:fill="E0E0E0"/>
          </w:tcPr>
          <w:p>
            <w:pPr>
              <w:spacing w:after="0"/>
              <w:rPr>
                <w:sz w:val="19"/>
                <w:szCs w:val="19"/>
                <w:color w:val="auto"/>
              </w:rPr>
            </w:pPr>
          </w:p>
        </w:tc>
        <w:tc>
          <w:tcPr>
            <w:tcW w:w="240" w:type="dxa"/>
            <w:vAlign w:val="bottom"/>
            <w:tcBorders>
              <w:top w:val="single" w:sz="8" w:color="E0E0E0"/>
              <w:bottom w:val="single" w:sz="8" w:color="auto"/>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20" w:type="dxa"/>
            <w:vAlign w:val="bottom"/>
            <w:tcBorders>
              <w:top w:val="single" w:sz="8" w:color="E0E0E0"/>
              <w:bottom w:val="single" w:sz="8" w:color="auto"/>
            </w:tcBorders>
            <w:shd w:val="clear" w:color="auto" w:fill="E0E0E0"/>
          </w:tcPr>
          <w:p>
            <w:pPr>
              <w:spacing w:after="0"/>
              <w:rPr>
                <w:sz w:val="19"/>
                <w:szCs w:val="19"/>
                <w:color w:val="auto"/>
              </w:rPr>
            </w:pPr>
          </w:p>
        </w:tc>
        <w:tc>
          <w:tcPr>
            <w:tcW w:w="100" w:type="dxa"/>
            <w:vAlign w:val="bottom"/>
            <w:tcBorders>
              <w:top w:val="single" w:sz="8" w:color="E0E0E0"/>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spacing w:after="0"/>
              <w:rPr>
                <w:sz w:val="19"/>
                <w:szCs w:val="19"/>
                <w:color w:val="auto"/>
              </w:rPr>
            </w:pPr>
          </w:p>
        </w:tc>
        <w:tc>
          <w:tcPr>
            <w:tcW w:w="20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48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580" w:type="dxa"/>
            <w:vAlign w:val="bottom"/>
            <w:tcBorders>
              <w:top w:val="single" w:sz="8" w:color="auto"/>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380" w:type="dxa"/>
            <w:vAlign w:val="bottom"/>
            <w:tcBorders>
              <w:top w:val="single" w:sz="8" w:color="auto"/>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4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48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E0E0E0"/>
              <w:bottom w:val="single" w:sz="8" w:color="auto"/>
            </w:tcBorders>
            <w:shd w:val="clear" w:color="auto" w:fill="E0E0E0"/>
          </w:tcPr>
          <w:p>
            <w:pPr>
              <w:spacing w:after="0"/>
              <w:rPr>
                <w:sz w:val="19"/>
                <w:szCs w:val="19"/>
                <w:color w:val="auto"/>
              </w:rPr>
            </w:pPr>
          </w:p>
        </w:tc>
        <w:tc>
          <w:tcPr>
            <w:tcW w:w="40" w:type="dxa"/>
            <w:vAlign w:val="bottom"/>
            <w:tcBorders>
              <w:top w:val="single" w:sz="8" w:color="E0E0E0"/>
              <w:bottom w:val="single" w:sz="8" w:color="auto"/>
            </w:tcBorders>
            <w:shd w:val="clear" w:color="auto" w:fill="E0E0E0"/>
          </w:tcPr>
          <w:p>
            <w:pPr>
              <w:spacing w:after="0"/>
              <w:rPr>
                <w:sz w:val="19"/>
                <w:szCs w:val="19"/>
                <w:color w:val="auto"/>
              </w:rPr>
            </w:pPr>
          </w:p>
        </w:tc>
        <w:tc>
          <w:tcPr>
            <w:tcW w:w="4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22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600" w:type="dxa"/>
            <w:vAlign w:val="bottom"/>
            <w:tcBorders>
              <w:left w:val="single" w:sz="8" w:color="auto"/>
            </w:tcBorders>
            <w:gridSpan w:val="3"/>
            <w:shd w:val="clear" w:color="auto" w:fill="E0E0E0"/>
          </w:tcPr>
          <w:p>
            <w:pPr>
              <w:ind w:left="120"/>
              <w:spacing w:after="0" w:line="115" w:lineRule="exact"/>
              <w:rPr>
                <w:sz w:val="20"/>
                <w:szCs w:val="20"/>
                <w:color w:val="auto"/>
              </w:rPr>
            </w:pPr>
            <w:r>
              <w:rPr>
                <w:rFonts w:ascii="Arial" w:cs="Arial" w:eastAsia="Arial" w:hAnsi="Arial"/>
                <w:sz w:val="12"/>
                <w:szCs w:val="12"/>
                <w:b w:val="1"/>
                <w:bCs w:val="1"/>
                <w:color w:val="auto"/>
              </w:rPr>
              <w:t>C. Howard Nye</w:t>
            </w:r>
          </w:p>
        </w:tc>
        <w:tc>
          <w:tcPr>
            <w:tcW w:w="120" w:type="dxa"/>
            <w:vAlign w:val="bottom"/>
            <w:shd w:val="clear" w:color="auto" w:fill="E0E0E0"/>
          </w:tcPr>
          <w:p>
            <w:pPr>
              <w:spacing w:after="0"/>
              <w:rPr>
                <w:sz w:val="10"/>
                <w:szCs w:val="10"/>
                <w:color w:val="auto"/>
              </w:rPr>
            </w:pPr>
          </w:p>
        </w:tc>
        <w:tc>
          <w:tcPr>
            <w:tcW w:w="940" w:type="dxa"/>
            <w:vAlign w:val="bottom"/>
            <w:gridSpan w:val="2"/>
            <w:shd w:val="clear" w:color="auto" w:fill="E0E0E0"/>
          </w:tcPr>
          <w:p>
            <w:pPr>
              <w:jc w:val="right"/>
              <w:ind w:right="129"/>
              <w:spacing w:after="0" w:line="115" w:lineRule="exact"/>
              <w:rPr>
                <w:sz w:val="20"/>
                <w:szCs w:val="20"/>
                <w:color w:val="auto"/>
              </w:rPr>
            </w:pPr>
            <w:r>
              <w:rPr>
                <w:rFonts w:ascii="Arial" w:cs="Arial" w:eastAsia="Arial" w:hAnsi="Arial"/>
                <w:sz w:val="9"/>
                <w:szCs w:val="9"/>
                <w:color w:val="auto"/>
              </w:rPr>
              <w:t>1/24/13</w:t>
            </w:r>
            <w:r>
              <w:rPr>
                <w:rFonts w:ascii="Arial" w:cs="Arial" w:eastAsia="Arial" w:hAnsi="Arial"/>
                <w:sz w:val="13"/>
                <w:szCs w:val="13"/>
                <w:color w:val="auto"/>
                <w:vertAlign w:val="superscript"/>
              </w:rPr>
              <w:t>2</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40" w:type="dxa"/>
            <w:vAlign w:val="bottom"/>
            <w:shd w:val="clear" w:color="auto" w:fill="E0E0E0"/>
          </w:tcPr>
          <w:p>
            <w:pPr>
              <w:jc w:val="right"/>
              <w:spacing w:after="0" w:line="115" w:lineRule="exact"/>
              <w:rPr>
                <w:sz w:val="20"/>
                <w:szCs w:val="20"/>
                <w:color w:val="auto"/>
              </w:rPr>
            </w:pPr>
            <w:r>
              <w:rPr>
                <w:rFonts w:ascii="Arial" w:cs="Arial" w:eastAsia="Arial" w:hAnsi="Arial"/>
                <w:sz w:val="12"/>
                <w:szCs w:val="12"/>
                <w:color w:val="auto"/>
              </w:rPr>
              <w:t>2,646</w:t>
            </w: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60" w:type="dxa"/>
            <w:vAlign w:val="bottom"/>
            <w:gridSpan w:val="2"/>
            <w:shd w:val="clear" w:color="auto" w:fill="E0E0E0"/>
          </w:tcPr>
          <w:p>
            <w:pPr>
              <w:jc w:val="right"/>
              <w:spacing w:after="0" w:line="115" w:lineRule="exact"/>
              <w:rPr>
                <w:sz w:val="20"/>
                <w:szCs w:val="20"/>
                <w:color w:val="auto"/>
              </w:rPr>
            </w:pPr>
            <w:r>
              <w:rPr>
                <w:rFonts w:ascii="Arial" w:cs="Arial" w:eastAsia="Arial" w:hAnsi="Arial"/>
                <w:sz w:val="12"/>
                <w:szCs w:val="12"/>
                <w:color w:val="auto"/>
                <w:shd w:val="clear" w:color="auto" w:fill="E0E0E0"/>
              </w:rPr>
              <w:t>262,563</w:t>
            </w:r>
          </w:p>
        </w:tc>
        <w:tc>
          <w:tcPr>
            <w:tcW w:w="2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3</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8,159</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shd w:val="clear" w:color="auto" w:fill="E0E0E0"/>
              </w:rPr>
              <w:t>563,950</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16,317</w:t>
            </w: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480" w:type="dxa"/>
            <w:vAlign w:val="bottom"/>
            <w:shd w:val="clear" w:color="auto" w:fill="E0E0E0"/>
          </w:tcPr>
          <w:p>
            <w:pPr>
              <w:ind w:left="180"/>
              <w:spacing w:after="0"/>
              <w:rPr>
                <w:sz w:val="20"/>
                <w:szCs w:val="20"/>
                <w:color w:val="auto"/>
              </w:rPr>
            </w:pPr>
            <w:r>
              <w:rPr>
                <w:rFonts w:ascii="Arial" w:cs="Arial" w:eastAsia="Arial" w:hAnsi="Arial"/>
                <w:sz w:val="14"/>
                <w:szCs w:val="14"/>
                <w:color w:val="auto"/>
                <w:w w:val="79"/>
              </w:rPr>
              <w:t>69.12</w:t>
            </w: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363,543</w:t>
            </w:r>
          </w:p>
        </w:tc>
        <w:tc>
          <w:tcPr>
            <w:tcW w:w="220" w:type="dxa"/>
            <w:vAlign w:val="bottom"/>
            <w:tcBorders>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Anne H. Lloyd</w:t>
            </w: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rPr>
              <w:t>1/24/13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5"/>
              </w:rPr>
              <w:t>$384,854</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4"/>
                <w:szCs w:val="14"/>
                <w:color w:val="auto"/>
                <w:w w:val="94"/>
              </w:rPr>
              <w:t>577,820</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72,736</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9"/>
              <w:spacing w:after="0" w:line="149" w:lineRule="exact"/>
              <w:rPr>
                <w:sz w:val="20"/>
                <w:szCs w:val="20"/>
                <w:color w:val="auto"/>
              </w:rPr>
            </w:pPr>
            <w:r>
              <w:rPr>
                <w:rFonts w:ascii="Arial" w:cs="Arial" w:eastAsia="Arial" w:hAnsi="Arial"/>
                <w:sz w:val="11"/>
                <w:szCs w:val="11"/>
                <w:color w:val="auto"/>
              </w:rPr>
              <w:t>5/24/12</w:t>
            </w:r>
            <w:r>
              <w:rPr>
                <w:rFonts w:ascii="Arial" w:cs="Arial" w:eastAsia="Arial" w:hAnsi="Arial"/>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191,117</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29"/>
              <w:spacing w:after="0" w:line="176" w:lineRule="exact"/>
              <w:rPr>
                <w:sz w:val="20"/>
                <w:szCs w:val="20"/>
                <w:color w:val="auto"/>
              </w:rPr>
            </w:pPr>
            <w:r>
              <w:rPr>
                <w:rFonts w:ascii="Arial" w:cs="Arial" w:eastAsia="Arial" w:hAnsi="Arial"/>
                <w:sz w:val="13"/>
                <w:szCs w:val="13"/>
                <w:color w:val="auto"/>
              </w:rPr>
              <w:t>5/24/12</w:t>
            </w:r>
            <w:r>
              <w:rPr>
                <w:rFonts w:ascii="Arial" w:cs="Arial" w:eastAsia="Arial" w:hAnsi="Arial"/>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5,530</w:t>
            </w:r>
          </w:p>
        </w:tc>
        <w:tc>
          <w:tcPr>
            <w:tcW w:w="140" w:type="dxa"/>
            <w:vAlign w:val="bottom"/>
          </w:tcPr>
          <w:p>
            <w:pPr>
              <w:spacing w:after="0"/>
              <w:rPr>
                <w:sz w:val="15"/>
                <w:szCs w:val="15"/>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69.12</w:t>
            </w:r>
          </w:p>
        </w:tc>
        <w:tc>
          <w:tcPr>
            <w:tcW w:w="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123,208</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Roselyn R. Bar</w:t>
            </w: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Arial" w:cs="Arial" w:eastAsia="Arial" w:hAnsi="Arial"/>
                <w:sz w:val="14"/>
                <w:szCs w:val="14"/>
                <w:color w:val="auto"/>
                <w:w w:val="85"/>
              </w:rPr>
              <w:t>$281,833</w:t>
            </w:r>
          </w:p>
        </w:tc>
        <w:tc>
          <w:tcPr>
            <w:tcW w:w="120" w:type="dxa"/>
            <w:vAlign w:val="bottom"/>
            <w:shd w:val="clear" w:color="auto" w:fill="E0E0E0"/>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E0E0E0"/>
          </w:tcPr>
          <w:p>
            <w:pPr>
              <w:jc w:val="right"/>
              <w:ind w:right="60"/>
              <w:spacing w:after="0" w:line="149" w:lineRule="exact"/>
              <w:rPr>
                <w:sz w:val="20"/>
                <w:szCs w:val="20"/>
                <w:color w:val="auto"/>
              </w:rPr>
            </w:pPr>
            <w:r>
              <w:rPr>
                <w:rFonts w:ascii="Arial" w:cs="Arial" w:eastAsia="Arial" w:hAnsi="Arial"/>
                <w:sz w:val="14"/>
                <w:szCs w:val="14"/>
                <w:color w:val="auto"/>
                <w:w w:val="94"/>
              </w:rPr>
              <w:t>422,750</w:t>
            </w: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586</w:t>
            </w: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58,149</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70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Arial" w:cs="Arial" w:eastAsia="Arial" w:hAnsi="Arial"/>
                <w:sz w:val="14"/>
                <w:szCs w:val="14"/>
                <w:color w:val="auto"/>
              </w:rPr>
              <w:t>2,257</w:t>
            </w: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Arial" w:cs="Arial" w:eastAsia="Arial" w:hAnsi="Arial"/>
                <w:sz w:val="14"/>
                <w:szCs w:val="14"/>
                <w:color w:val="auto"/>
              </w:rPr>
              <w:t>156,004</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20" w:type="dxa"/>
            <w:vAlign w:val="bottom"/>
            <w:gridSpan w:val="3"/>
            <w:shd w:val="clear" w:color="auto" w:fill="E0E0E0"/>
          </w:tcPr>
          <w:p>
            <w:pPr>
              <w:jc w:val="right"/>
              <w:ind w:right="60"/>
              <w:spacing w:after="0"/>
              <w:rPr>
                <w:sz w:val="20"/>
                <w:szCs w:val="20"/>
                <w:color w:val="auto"/>
              </w:rPr>
            </w:pPr>
            <w:r>
              <w:rPr>
                <w:rFonts w:ascii="Arial" w:cs="Arial" w:eastAsia="Arial" w:hAnsi="Arial"/>
                <w:sz w:val="14"/>
                <w:szCs w:val="14"/>
                <w:color w:val="auto"/>
              </w:rPr>
              <w:t>4,513</w:t>
            </w:r>
          </w:p>
        </w:tc>
        <w:tc>
          <w:tcPr>
            <w:tcW w:w="140" w:type="dxa"/>
            <w:vAlign w:val="bottom"/>
            <w:shd w:val="clear" w:color="auto" w:fill="E0E0E0"/>
          </w:tcPr>
          <w:p>
            <w:pPr>
              <w:spacing w:after="0"/>
              <w:rPr>
                <w:sz w:val="15"/>
                <w:szCs w:val="15"/>
                <w:color w:val="auto"/>
              </w:rPr>
            </w:pPr>
          </w:p>
        </w:tc>
        <w:tc>
          <w:tcPr>
            <w:tcW w:w="560" w:type="dxa"/>
            <w:vAlign w:val="bottom"/>
            <w:gridSpan w:val="2"/>
            <w:shd w:val="clear" w:color="auto" w:fill="E0E0E0"/>
          </w:tcPr>
          <w:p>
            <w:pPr>
              <w:ind w:left="180"/>
              <w:spacing w:after="0"/>
              <w:rPr>
                <w:sz w:val="20"/>
                <w:szCs w:val="20"/>
                <w:color w:val="auto"/>
              </w:rPr>
            </w:pPr>
            <w:r>
              <w:rPr>
                <w:rFonts w:ascii="Arial" w:cs="Arial" w:eastAsia="Arial" w:hAnsi="Arial"/>
                <w:sz w:val="14"/>
                <w:szCs w:val="14"/>
                <w:color w:val="auto"/>
              </w:rPr>
              <w:t>69.12</w:t>
            </w:r>
          </w:p>
        </w:tc>
        <w:tc>
          <w:tcPr>
            <w:tcW w:w="40" w:type="dxa"/>
            <w:vAlign w:val="bottom"/>
            <w:shd w:val="clear" w:color="auto" w:fill="E0E0E0"/>
          </w:tcPr>
          <w:p>
            <w:pPr>
              <w:spacing w:after="0"/>
              <w:rPr>
                <w:sz w:val="15"/>
                <w:szCs w:val="15"/>
                <w:color w:val="auto"/>
              </w:rPr>
            </w:pP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100,550</w:t>
            </w: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Donald A. McCunniff</w:t>
            </w: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rPr>
              <w:t>1/24/13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5"/>
              </w:rPr>
              <w:t>$229,973</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4"/>
                <w:szCs w:val="14"/>
                <w:color w:val="auto"/>
                <w:w w:val="94"/>
              </w:rPr>
              <w:t>344,960</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41,974</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9"/>
              <w:spacing w:after="0" w:line="149" w:lineRule="exact"/>
              <w:rPr>
                <w:sz w:val="20"/>
                <w:szCs w:val="20"/>
                <w:color w:val="auto"/>
              </w:rPr>
            </w:pPr>
            <w:r>
              <w:rPr>
                <w:rFonts w:ascii="Arial" w:cs="Arial" w:eastAsia="Arial" w:hAnsi="Arial"/>
                <w:sz w:val="11"/>
                <w:szCs w:val="11"/>
                <w:color w:val="auto"/>
              </w:rPr>
              <w:t>5/24/12</w:t>
            </w:r>
            <w:r>
              <w:rPr>
                <w:rFonts w:ascii="Arial" w:cs="Arial" w:eastAsia="Arial" w:hAnsi="Arial"/>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125,729</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29"/>
              <w:spacing w:after="0" w:line="176" w:lineRule="exact"/>
              <w:rPr>
                <w:sz w:val="20"/>
                <w:szCs w:val="20"/>
                <w:color w:val="auto"/>
              </w:rPr>
            </w:pPr>
            <w:r>
              <w:rPr>
                <w:rFonts w:ascii="Arial" w:cs="Arial" w:eastAsia="Arial" w:hAnsi="Arial"/>
                <w:sz w:val="13"/>
                <w:szCs w:val="13"/>
                <w:color w:val="auto"/>
              </w:rPr>
              <w:t>5/24/12</w:t>
            </w:r>
            <w:r>
              <w:rPr>
                <w:rFonts w:ascii="Arial" w:cs="Arial" w:eastAsia="Arial" w:hAnsi="Arial"/>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3,637</w:t>
            </w:r>
          </w:p>
        </w:tc>
        <w:tc>
          <w:tcPr>
            <w:tcW w:w="140" w:type="dxa"/>
            <w:vAlign w:val="bottom"/>
          </w:tcPr>
          <w:p>
            <w:pPr>
              <w:spacing w:after="0"/>
              <w:rPr>
                <w:sz w:val="15"/>
                <w:szCs w:val="15"/>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69.12</w:t>
            </w:r>
          </w:p>
        </w:tc>
        <w:tc>
          <w:tcPr>
            <w:tcW w:w="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81,032</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Dana F. Guzzo</w:t>
            </w: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Arial" w:cs="Arial" w:eastAsia="Arial" w:hAnsi="Arial"/>
                <w:sz w:val="14"/>
                <w:szCs w:val="14"/>
                <w:color w:val="auto"/>
                <w:w w:val="85"/>
              </w:rPr>
              <w:t>$175,782</w:t>
            </w:r>
          </w:p>
        </w:tc>
        <w:tc>
          <w:tcPr>
            <w:tcW w:w="120" w:type="dxa"/>
            <w:vAlign w:val="bottom"/>
            <w:shd w:val="clear" w:color="auto" w:fill="E0E0E0"/>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E0E0E0"/>
          </w:tcPr>
          <w:p>
            <w:pPr>
              <w:jc w:val="right"/>
              <w:ind w:right="60"/>
              <w:spacing w:after="0" w:line="149" w:lineRule="exact"/>
              <w:rPr>
                <w:sz w:val="20"/>
                <w:szCs w:val="20"/>
                <w:color w:val="auto"/>
              </w:rPr>
            </w:pPr>
            <w:r>
              <w:rPr>
                <w:rFonts w:ascii="Arial" w:cs="Arial" w:eastAsia="Arial" w:hAnsi="Arial"/>
                <w:sz w:val="14"/>
                <w:szCs w:val="14"/>
                <w:color w:val="auto"/>
                <w:w w:val="94"/>
              </w:rPr>
              <w:t>263,673</w:t>
            </w: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388</w:t>
            </w: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38,501</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right"/>
              <w:ind w:right="129"/>
              <w:spacing w:after="0" w:line="149" w:lineRule="exact"/>
              <w:rPr>
                <w:sz w:val="20"/>
                <w:szCs w:val="20"/>
                <w:color w:val="auto"/>
              </w:rPr>
            </w:pPr>
            <w:r>
              <w:rPr>
                <w:rFonts w:ascii="Arial" w:cs="Arial" w:eastAsia="Arial" w:hAnsi="Arial"/>
                <w:sz w:val="11"/>
                <w:szCs w:val="11"/>
                <w:color w:val="auto"/>
              </w:rPr>
              <w:t>1/24/13</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70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Arial" w:cs="Arial" w:eastAsia="Arial" w:hAnsi="Arial"/>
                <w:sz w:val="14"/>
                <w:szCs w:val="14"/>
                <w:color w:val="auto"/>
              </w:rPr>
              <w:t>980</w:t>
            </w: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Arial" w:cs="Arial" w:eastAsia="Arial" w:hAnsi="Arial"/>
                <w:sz w:val="14"/>
                <w:szCs w:val="14"/>
                <w:color w:val="auto"/>
              </w:rPr>
              <w:t>67,738</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5/24/12</w:t>
            </w:r>
          </w:p>
        </w:tc>
        <w:tc>
          <w:tcPr>
            <w:tcW w:w="240" w:type="dxa"/>
            <w:vAlign w:val="bottom"/>
            <w:shd w:val="clear" w:color="auto" w:fill="E0E0E0"/>
          </w:tcPr>
          <w:p>
            <w:pPr>
              <w:jc w:val="right"/>
              <w:ind w:right="129"/>
              <w:spacing w:after="0"/>
              <w:rPr>
                <w:sz w:val="20"/>
                <w:szCs w:val="20"/>
                <w:color w:val="auto"/>
              </w:rPr>
            </w:pPr>
            <w:r>
              <w:rPr>
                <w:rFonts w:ascii="Arial" w:cs="Arial" w:eastAsia="Arial" w:hAnsi="Arial"/>
                <w:sz w:val="10"/>
                <w:szCs w:val="10"/>
                <w:color w:val="auto"/>
                <w:w w:val="71"/>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20" w:type="dxa"/>
            <w:vAlign w:val="bottom"/>
            <w:gridSpan w:val="3"/>
            <w:shd w:val="clear" w:color="auto" w:fill="E0E0E0"/>
          </w:tcPr>
          <w:p>
            <w:pPr>
              <w:jc w:val="right"/>
              <w:ind w:right="60"/>
              <w:spacing w:after="0"/>
              <w:rPr>
                <w:sz w:val="20"/>
                <w:szCs w:val="20"/>
                <w:color w:val="auto"/>
              </w:rPr>
            </w:pPr>
            <w:r>
              <w:rPr>
                <w:rFonts w:ascii="Arial" w:cs="Arial" w:eastAsia="Arial" w:hAnsi="Arial"/>
                <w:sz w:val="14"/>
                <w:szCs w:val="14"/>
                <w:color w:val="auto"/>
              </w:rPr>
              <w:t>1,959</w:t>
            </w:r>
          </w:p>
        </w:tc>
        <w:tc>
          <w:tcPr>
            <w:tcW w:w="140" w:type="dxa"/>
            <w:vAlign w:val="bottom"/>
            <w:shd w:val="clear" w:color="auto" w:fill="E0E0E0"/>
          </w:tcPr>
          <w:p>
            <w:pPr>
              <w:spacing w:after="0"/>
              <w:rPr>
                <w:sz w:val="15"/>
                <w:szCs w:val="15"/>
                <w:color w:val="auto"/>
              </w:rPr>
            </w:pPr>
          </w:p>
        </w:tc>
        <w:tc>
          <w:tcPr>
            <w:tcW w:w="560" w:type="dxa"/>
            <w:vAlign w:val="bottom"/>
            <w:gridSpan w:val="2"/>
            <w:shd w:val="clear" w:color="auto" w:fill="E0E0E0"/>
          </w:tcPr>
          <w:p>
            <w:pPr>
              <w:ind w:left="180"/>
              <w:spacing w:after="0"/>
              <w:rPr>
                <w:sz w:val="20"/>
                <w:szCs w:val="20"/>
                <w:color w:val="auto"/>
              </w:rPr>
            </w:pPr>
            <w:r>
              <w:rPr>
                <w:rFonts w:ascii="Arial" w:cs="Arial" w:eastAsia="Arial" w:hAnsi="Arial"/>
                <w:sz w:val="14"/>
                <w:szCs w:val="14"/>
                <w:color w:val="auto"/>
              </w:rPr>
              <w:t>69.12</w:t>
            </w:r>
          </w:p>
        </w:tc>
        <w:tc>
          <w:tcPr>
            <w:tcW w:w="40" w:type="dxa"/>
            <w:vAlign w:val="bottom"/>
            <w:shd w:val="clear" w:color="auto" w:fill="E0E0E0"/>
          </w:tcPr>
          <w:p>
            <w:pPr>
              <w:spacing w:after="0"/>
              <w:rPr>
                <w:sz w:val="15"/>
                <w:szCs w:val="15"/>
                <w:color w:val="auto"/>
              </w:rPr>
            </w:pP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43,647</w:t>
            </w:r>
          </w:p>
        </w:tc>
        <w:tc>
          <w:tcPr>
            <w:tcW w:w="0" w:type="dxa"/>
            <w:vAlign w:val="bottom"/>
          </w:tcPr>
          <w:p>
            <w:pPr>
              <w:spacing w:after="0"/>
              <w:rPr>
                <w:sz w:val="1"/>
                <w:szCs w:val="1"/>
                <w:color w:val="auto"/>
              </w:rPr>
            </w:pPr>
          </w:p>
        </w:tc>
      </w:tr>
      <w:tr>
        <w:trPr>
          <w:trHeight w:val="136"/>
        </w:trPr>
        <w:tc>
          <w:tcPr>
            <w:tcW w:w="2600" w:type="dxa"/>
            <w:vAlign w:val="bottom"/>
            <w:tcBorders>
              <w:left w:val="single" w:sz="8" w:color="auto"/>
            </w:tcBorders>
            <w:gridSpan w:val="3"/>
          </w:tcPr>
          <w:p>
            <w:pPr>
              <w:ind w:left="120"/>
              <w:spacing w:after="0" w:line="136" w:lineRule="exact"/>
              <w:rPr>
                <w:sz w:val="20"/>
                <w:szCs w:val="20"/>
                <w:color w:val="auto"/>
              </w:rPr>
            </w:pPr>
            <w:r>
              <w:rPr>
                <w:rFonts w:ascii="Arial" w:cs="Arial" w:eastAsia="Arial" w:hAnsi="Arial"/>
                <w:sz w:val="14"/>
                <w:szCs w:val="14"/>
                <w:b w:val="1"/>
                <w:bCs w:val="1"/>
                <w:i w:val="1"/>
                <w:iCs w:val="1"/>
                <w:color w:val="auto"/>
              </w:rPr>
              <w:t>Former Executive Officer:</w:t>
            </w:r>
          </w:p>
        </w:tc>
        <w:tc>
          <w:tcPr>
            <w:tcW w:w="1060" w:type="dxa"/>
            <w:vAlign w:val="bottom"/>
            <w:gridSpan w:val="3"/>
            <w:vMerge w:val="restart"/>
          </w:tcPr>
          <w:p>
            <w:pPr>
              <w:jc w:val="right"/>
              <w:ind w:right="129"/>
              <w:spacing w:after="0"/>
              <w:rPr>
                <w:sz w:val="20"/>
                <w:szCs w:val="20"/>
                <w:color w:val="auto"/>
              </w:rPr>
            </w:pPr>
            <w:r>
              <w:rPr>
                <w:rFonts w:ascii="Arial" w:cs="Arial" w:eastAsia="Arial" w:hAnsi="Arial"/>
                <w:sz w:val="14"/>
                <w:szCs w:val="14"/>
                <w:color w:val="auto"/>
              </w:rPr>
              <w:t>1/24/13</w:t>
            </w:r>
            <w:r>
              <w:rPr>
                <w:rFonts w:ascii="Arial" w:cs="Arial" w:eastAsia="Arial" w:hAnsi="Arial"/>
                <w:sz w:val="22"/>
                <w:szCs w:val="22"/>
                <w:color w:val="auto"/>
                <w:vertAlign w:val="superscript"/>
              </w:rPr>
              <w:t>2</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00" w:type="dxa"/>
            <w:vAlign w:val="bottom"/>
            <w:tcBorders>
              <w:left w:val="single" w:sz="8" w:color="auto"/>
            </w:tcBorders>
            <w:gridSpan w:val="3"/>
          </w:tcPr>
          <w:p>
            <w:pPr>
              <w:ind w:left="120"/>
              <w:spacing w:after="0" w:line="135" w:lineRule="exact"/>
              <w:rPr>
                <w:sz w:val="20"/>
                <w:szCs w:val="20"/>
                <w:color w:val="auto"/>
              </w:rPr>
            </w:pPr>
            <w:r>
              <w:rPr>
                <w:rFonts w:ascii="Arial" w:cs="Arial" w:eastAsia="Arial" w:hAnsi="Arial"/>
                <w:sz w:val="14"/>
                <w:szCs w:val="14"/>
                <w:b w:val="1"/>
                <w:bCs w:val="1"/>
                <w:color w:val="auto"/>
              </w:rPr>
              <w:t>Bruce A. Vaio</w:t>
            </w:r>
          </w:p>
        </w:tc>
        <w:tc>
          <w:tcPr>
            <w:tcW w:w="106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4"/>
                <w:szCs w:val="14"/>
                <w:color w:val="auto"/>
                <w:w w:val="85"/>
              </w:rPr>
              <w:t>$400,000</w:t>
            </w:r>
          </w:p>
        </w:tc>
        <w:tc>
          <w:tcPr>
            <w:tcW w:w="12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w w:val="94"/>
              </w:rPr>
              <w:t>600,000</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29"/>
              <w:spacing w:after="0" w:line="149" w:lineRule="exact"/>
              <w:rPr>
                <w:sz w:val="20"/>
                <w:szCs w:val="20"/>
                <w:color w:val="auto"/>
              </w:rPr>
            </w:pPr>
            <w:r>
              <w:rPr>
                <w:rFonts w:ascii="Arial" w:cs="Arial" w:eastAsia="Arial" w:hAnsi="Arial"/>
                <w:sz w:val="11"/>
                <w:szCs w:val="11"/>
                <w:color w:val="auto"/>
              </w:rPr>
              <w:t>5/24/12</w:t>
            </w:r>
            <w:r>
              <w:rPr>
                <w:rFonts w:ascii="Arial" w:cs="Arial" w:eastAsia="Arial" w:hAnsi="Arial"/>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191,117</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29"/>
              <w:spacing w:after="0" w:line="176" w:lineRule="exact"/>
              <w:rPr>
                <w:sz w:val="20"/>
                <w:szCs w:val="20"/>
                <w:color w:val="auto"/>
              </w:rPr>
            </w:pPr>
            <w:r>
              <w:rPr>
                <w:rFonts w:ascii="Arial" w:cs="Arial" w:eastAsia="Arial" w:hAnsi="Arial"/>
                <w:sz w:val="13"/>
                <w:szCs w:val="13"/>
                <w:color w:val="auto"/>
              </w:rPr>
              <w:t>5/24/12</w:t>
            </w:r>
            <w:r>
              <w:rPr>
                <w:rFonts w:ascii="Arial" w:cs="Arial" w:eastAsia="Arial" w:hAnsi="Arial"/>
                <w:sz w:val="20"/>
                <w:szCs w:val="20"/>
                <w:color w:val="auto"/>
                <w:vertAlign w:val="superscript"/>
              </w:rPr>
              <w:t>4</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5,530</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69.12</w:t>
            </w: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123,208</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left="323" w:right="20" w:hanging="323"/>
        <w:spacing w:after="0" w:line="270" w:lineRule="auto"/>
        <w:tabs>
          <w:tab w:leader="none" w:pos="323"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amounts shown in column (d) reflect the target level of annual bonus that could have been earned in 2012 that was paid in 2013 pursuant to the Executive Incentive Plan. The amounts shown in column (e) reflect the maximum level of annual bonus that could have been earned in 2012.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52. Mr. Nye does not participate in the Executive Incentive Plan.</w:t>
      </w:r>
    </w:p>
    <w:p>
      <w:pPr>
        <w:spacing w:after="0" w:line="41" w:lineRule="exact"/>
        <w:rPr>
          <w:sz w:val="20"/>
          <w:szCs w:val="20"/>
          <w:color w:val="auto"/>
        </w:rPr>
      </w:pPr>
    </w:p>
    <w:p>
      <w:pPr>
        <w:jc w:val="both"/>
        <w:ind w:left="323" w:right="20" w:hanging="323"/>
        <w:spacing w:after="0" w:line="268" w:lineRule="auto"/>
        <w:tabs>
          <w:tab w:leader="none" w:pos="323"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The amounts shown in column (i) reflect the amount of cash bonus earned in 2012 but paid in 2013 that was deferred in units of common stock under the Incentive Stock Plan. Participants in this program for 2012 were approved on May 24, 2012. These awards are discussed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xml:space="preserve"> on page 46. These awards are also included in columns</w:t>
      </w:r>
    </w:p>
    <w:p>
      <w:pPr>
        <w:ind w:left="323" w:right="20"/>
        <w:spacing w:after="0" w:line="230" w:lineRule="auto"/>
        <w:rPr>
          <w:rFonts w:ascii="Arial" w:cs="Arial" w:eastAsia="Arial" w:hAnsi="Arial"/>
          <w:sz w:val="12"/>
          <w:szCs w:val="12"/>
          <w:color w:val="auto"/>
        </w:rPr>
      </w:pPr>
      <w:r>
        <w:rPr>
          <w:rFonts w:ascii="Arial" w:cs="Arial" w:eastAsia="Arial" w:hAnsi="Arial"/>
          <w:sz w:val="14"/>
          <w:szCs w:val="14"/>
          <w:color w:val="auto"/>
        </w:rPr>
        <w:t xml:space="preserve">(d) and (e) of this table and the Summary Compensation Table on page 52. For Mr. Vaio, the amount reported reflects the cash bonus he earned in 2012, which is described under the heading </w:t>
      </w:r>
      <w:r>
        <w:rPr>
          <w:rFonts w:ascii="Arial" w:cs="Arial" w:eastAsia="Arial" w:hAnsi="Arial"/>
          <w:sz w:val="14"/>
          <w:szCs w:val="14"/>
          <w:i w:val="1"/>
          <w:iCs w:val="1"/>
          <w:color w:val="auto"/>
        </w:rPr>
        <w:t>Value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Payments Upon Termination </w:t>
      </w:r>
      <w:r>
        <w:rPr>
          <w:rFonts w:ascii="Arial" w:cs="Arial" w:eastAsia="Arial" w:hAnsi="Arial"/>
          <w:sz w:val="14"/>
          <w:szCs w:val="14"/>
          <w:color w:val="auto"/>
        </w:rPr>
        <w:t>on pages 61 to 62.</w:t>
      </w:r>
    </w:p>
    <w:p>
      <w:pPr>
        <w:spacing w:after="0" w:line="58" w:lineRule="exact"/>
        <w:rPr>
          <w:sz w:val="20"/>
          <w:szCs w:val="20"/>
          <w:color w:val="auto"/>
        </w:rPr>
      </w:pPr>
    </w:p>
    <w:p>
      <w:pPr>
        <w:ind w:left="323" w:right="20" w:hanging="323"/>
        <w:spacing w:after="0" w:line="318" w:lineRule="auto"/>
        <w:tabs>
          <w:tab w:leader="none" w:pos="323"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The amounts shown in column (i) reflect the number of shares of restricted stock units granted in 2012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46. These awards are also included in column (e) of the Summary Compensation Table on page 52.</w:t>
      </w:r>
    </w:p>
    <w:p>
      <w:pPr>
        <w:spacing w:after="0" w:line="12" w:lineRule="exact"/>
        <w:rPr>
          <w:sz w:val="20"/>
          <w:szCs w:val="20"/>
          <w:color w:val="auto"/>
        </w:rPr>
      </w:pPr>
    </w:p>
    <w:p>
      <w:pPr>
        <w:ind w:left="323" w:right="20" w:hanging="323"/>
        <w:spacing w:after="0" w:line="318" w:lineRule="auto"/>
        <w:tabs>
          <w:tab w:leader="none" w:pos="323"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The amounts shown in column (j) reflect the number of options to purchase shares of Martin Marietta’s common stock granted in 2012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46. These awards are also included in column (f) of the Summary Compensation Table on page 52.</w:t>
      </w:r>
    </w:p>
    <w:p>
      <w:pPr>
        <w:spacing w:after="0" w:line="12" w:lineRule="exact"/>
        <w:rPr>
          <w:sz w:val="20"/>
          <w:szCs w:val="20"/>
          <w:color w:val="auto"/>
        </w:rPr>
      </w:pPr>
    </w:p>
    <w:p>
      <w:pPr>
        <w:ind w:left="323" w:right="20" w:hanging="323"/>
        <w:spacing w:after="0" w:line="239" w:lineRule="auto"/>
        <w:tabs>
          <w:tab w:leader="none" w:pos="3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46.</w:t>
      </w:r>
    </w:p>
    <w:p>
      <w:pPr>
        <w:spacing w:after="0" w:line="276"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83"/>
          </w:cols>
          <w:pgMar w:left="437" w:top="463" w:right="379" w:bottom="1440" w:gutter="0" w:footer="0" w:header="0"/>
        </w:sectPr>
      </w:pPr>
    </w:p>
    <w:bookmarkStart w:id="58" w:name="page59"/>
    <w:bookmarkEnd w:id="58"/>
    <w:p>
      <w:pPr>
        <w:jc w:val="both"/>
        <w:ind w:firstLine="775"/>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5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435475"/>
                    </a:xfrm>
                    <a:prstGeom prst="rect">
                      <a:avLst/>
                    </a:prstGeom>
                    <a:noFill/>
                  </pic:spPr>
                </pic:pic>
              </a:graphicData>
            </a:graphic>
          </wp:anchor>
        </w:drawing>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116"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The awards granted in 2012 were based on the achievement by Martin Marietta of performance measures described under </w:t>
      </w:r>
      <w:r>
        <w:rPr>
          <w:rFonts w:ascii="Arial" w:cs="Arial" w:eastAsia="Arial" w:hAnsi="Arial"/>
          <w:sz w:val="16"/>
          <w:szCs w:val="16"/>
          <w:i w:val="1"/>
          <w:iCs w:val="1"/>
          <w:color w:val="auto"/>
        </w:rPr>
        <w:t>LTIP Awards</w:t>
      </w:r>
      <w:r>
        <w:rPr>
          <w:rFonts w:ascii="Arial" w:cs="Arial" w:eastAsia="Arial" w:hAnsi="Arial"/>
          <w:sz w:val="16"/>
          <w:szCs w:val="16"/>
          <w:color w:val="auto"/>
        </w:rPr>
        <w:t xml:space="preserve"> on page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165"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13"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2012 options will vest and become exercisable in four equal increments on May 24, 2013, 2014, 2015, and 2016, and expire 8 years from the date of grant. Options awarded in 2012 expire 90 days following termination of employment, except in instances following death, disability or retirement. In the event of death, all outstanding options vest immediately and will expire one year following the date of death. For options awarded in 2012,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60"/>
          </w:cols>
          <w:pgMar w:left="440" w:top="469"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1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111365"/>
                    </a:xfrm>
                    <a:prstGeom prst="rect">
                      <a:avLst/>
                    </a:prstGeom>
                    <a:noFill/>
                  </pic:spPr>
                </pic:pic>
              </a:graphicData>
            </a:graphic>
          </wp:anchor>
        </w:drawing>
        <w:t>Outstanding Equity Awards at Fiscal Year-End</w:t>
      </w:r>
    </w:p>
    <w:p>
      <w:pPr>
        <w:spacing w:after="0" w:line="90" w:lineRule="exact"/>
        <w:rPr>
          <w:sz w:val="20"/>
          <w:szCs w:val="20"/>
          <w:color w:val="auto"/>
        </w:rPr>
      </w:pPr>
    </w:p>
    <w:p>
      <w:pPr>
        <w:jc w:val="both"/>
        <w:ind w:right="20" w:firstLine="775"/>
        <w:spacing w:after="0" w:line="259" w:lineRule="auto"/>
        <w:rPr>
          <w:sz w:val="20"/>
          <w:szCs w:val="20"/>
          <w:color w:val="auto"/>
        </w:rPr>
      </w:pPr>
      <w:r>
        <w:rPr>
          <w:rFonts w:ascii="Arial" w:cs="Arial" w:eastAsia="Arial" w:hAnsi="Arial"/>
          <w:sz w:val="18"/>
          <w:szCs w:val="18"/>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2012.</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2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360" w:type="dxa"/>
            <w:vAlign w:val="bottom"/>
            <w:tcBorders>
              <w:top w:val="single" w:sz="8" w:color="auto"/>
              <w:bottom w:val="single" w:sz="8" w:color="E0E0E0"/>
            </w:tcBorders>
            <w:shd w:val="clear" w:color="auto" w:fill="E0E0E0"/>
          </w:tcPr>
          <w:p>
            <w:pPr>
              <w:spacing w:after="0"/>
              <w:rPr>
                <w:sz w:val="22"/>
                <w:szCs w:val="22"/>
                <w:color w:val="auto"/>
              </w:rPr>
            </w:pPr>
          </w:p>
        </w:tc>
        <w:tc>
          <w:tcPr>
            <w:tcW w:w="800" w:type="dxa"/>
            <w:vAlign w:val="bottom"/>
            <w:tcBorders>
              <w:top w:val="single" w:sz="8" w:color="auto"/>
              <w:bottom w:val="single" w:sz="8" w:color="E0E0E0"/>
            </w:tcBorders>
            <w:shd w:val="clear" w:color="auto" w:fill="E0E0E0"/>
          </w:tcPr>
          <w:p>
            <w:pPr>
              <w:spacing w:after="0"/>
              <w:rPr>
                <w:sz w:val="22"/>
                <w:szCs w:val="22"/>
                <w:color w:val="auto"/>
              </w:rPr>
            </w:pPr>
          </w:p>
        </w:tc>
        <w:tc>
          <w:tcPr>
            <w:tcW w:w="240" w:type="dxa"/>
            <w:vAlign w:val="bottom"/>
            <w:tcBorders>
              <w:top w:val="single" w:sz="8" w:color="auto"/>
              <w:bottom w:val="single" w:sz="8" w:color="E0E0E0"/>
            </w:tcBorders>
            <w:shd w:val="clear" w:color="auto" w:fill="E0E0E0"/>
          </w:tcPr>
          <w:p>
            <w:pPr>
              <w:spacing w:after="0"/>
              <w:rPr>
                <w:sz w:val="22"/>
                <w:szCs w:val="22"/>
                <w:color w:val="auto"/>
              </w:rPr>
            </w:pPr>
          </w:p>
        </w:tc>
        <w:tc>
          <w:tcPr>
            <w:tcW w:w="720" w:type="dxa"/>
            <w:vAlign w:val="bottom"/>
            <w:tcBorders>
              <w:top w:val="single" w:sz="8" w:color="auto"/>
              <w:bottom w:val="single" w:sz="8" w:color="auto"/>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2220" w:type="dxa"/>
            <w:vAlign w:val="bottom"/>
            <w:tcBorders>
              <w:top w:val="single" w:sz="8" w:color="auto"/>
              <w:bottom w:val="single" w:sz="8" w:color="auto"/>
            </w:tcBorders>
            <w:gridSpan w:val="4"/>
            <w:shd w:val="clear" w:color="auto" w:fill="E0E0E0"/>
          </w:tcPr>
          <w:p>
            <w:pPr>
              <w:ind w:left="76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top w:val="single" w:sz="8" w:color="auto"/>
              <w:bottom w:val="single" w:sz="8" w:color="auto"/>
            </w:tcBorders>
            <w:shd w:val="clear" w:color="auto" w:fill="E0E0E0"/>
          </w:tcPr>
          <w:p>
            <w:pPr>
              <w:spacing w:after="0"/>
              <w:rPr>
                <w:sz w:val="22"/>
                <w:szCs w:val="22"/>
                <w:color w:val="auto"/>
              </w:rPr>
            </w:pPr>
          </w:p>
        </w:tc>
        <w:tc>
          <w:tcPr>
            <w:tcW w:w="320" w:type="dxa"/>
            <w:vAlign w:val="bottom"/>
            <w:tcBorders>
              <w:top w:val="single" w:sz="8" w:color="auto"/>
              <w:bottom w:val="single" w:sz="8" w:color="auto"/>
            </w:tcBorders>
            <w:shd w:val="clear" w:color="auto" w:fill="E0E0E0"/>
          </w:tcPr>
          <w:p>
            <w:pPr>
              <w:spacing w:after="0"/>
              <w:rPr>
                <w:sz w:val="22"/>
                <w:szCs w:val="22"/>
                <w:color w:val="auto"/>
              </w:rPr>
            </w:pPr>
          </w:p>
        </w:tc>
        <w:tc>
          <w:tcPr>
            <w:tcW w:w="640" w:type="dxa"/>
            <w:vAlign w:val="bottom"/>
            <w:tcBorders>
              <w:top w:val="single" w:sz="8" w:color="auto"/>
              <w:bottom w:val="single" w:sz="8" w:color="auto"/>
            </w:tcBorders>
            <w:shd w:val="clear" w:color="auto" w:fill="E0E0E0"/>
          </w:tcPr>
          <w:p>
            <w:pPr>
              <w:spacing w:after="0"/>
              <w:rPr>
                <w:sz w:val="22"/>
                <w:szCs w:val="22"/>
                <w:color w:val="auto"/>
              </w:rPr>
            </w:pPr>
          </w:p>
        </w:tc>
        <w:tc>
          <w:tcPr>
            <w:tcW w:w="300" w:type="dxa"/>
            <w:vAlign w:val="bottom"/>
            <w:tcBorders>
              <w:top w:val="single" w:sz="8" w:color="auto"/>
              <w:bottom w:val="single" w:sz="8" w:color="E0E0E0"/>
            </w:tcBorders>
            <w:shd w:val="clear" w:color="auto" w:fill="E0E0E0"/>
          </w:tcPr>
          <w:p>
            <w:pPr>
              <w:spacing w:after="0"/>
              <w:rPr>
                <w:sz w:val="22"/>
                <w:szCs w:val="22"/>
                <w:color w:val="auto"/>
              </w:rPr>
            </w:pPr>
          </w:p>
        </w:tc>
        <w:tc>
          <w:tcPr>
            <w:tcW w:w="560" w:type="dxa"/>
            <w:vAlign w:val="bottom"/>
            <w:tcBorders>
              <w:top w:val="single" w:sz="8" w:color="auto"/>
              <w:bottom w:val="single" w:sz="8" w:color="auto"/>
            </w:tcBorders>
            <w:shd w:val="clear" w:color="auto" w:fill="E0E0E0"/>
          </w:tcPr>
          <w:p>
            <w:pPr>
              <w:spacing w:after="0"/>
              <w:rPr>
                <w:sz w:val="22"/>
                <w:szCs w:val="22"/>
                <w:color w:val="auto"/>
              </w:rPr>
            </w:pPr>
          </w:p>
        </w:tc>
        <w:tc>
          <w:tcPr>
            <w:tcW w:w="380" w:type="dxa"/>
            <w:vAlign w:val="bottom"/>
            <w:tcBorders>
              <w:top w:val="single" w:sz="8" w:color="auto"/>
              <w:bottom w:val="single" w:sz="8" w:color="auto"/>
            </w:tcBorders>
            <w:shd w:val="clear" w:color="auto" w:fill="E0E0E0"/>
          </w:tcPr>
          <w:p>
            <w:pPr>
              <w:spacing w:after="0"/>
              <w:rPr>
                <w:sz w:val="22"/>
                <w:szCs w:val="22"/>
                <w:color w:val="auto"/>
              </w:rPr>
            </w:pPr>
          </w:p>
        </w:tc>
        <w:tc>
          <w:tcPr>
            <w:tcW w:w="80" w:type="dxa"/>
            <w:vAlign w:val="bottom"/>
            <w:tcBorders>
              <w:top w:val="single" w:sz="8" w:color="auto"/>
              <w:bottom w:val="single" w:sz="8" w:color="auto"/>
            </w:tcBorders>
            <w:shd w:val="clear" w:color="auto" w:fill="E0E0E0"/>
          </w:tcPr>
          <w:p>
            <w:pPr>
              <w:spacing w:after="0"/>
              <w:rPr>
                <w:sz w:val="22"/>
                <w:szCs w:val="22"/>
                <w:color w:val="auto"/>
              </w:rPr>
            </w:pPr>
          </w:p>
        </w:tc>
        <w:tc>
          <w:tcPr>
            <w:tcW w:w="1800" w:type="dxa"/>
            <w:vAlign w:val="bottom"/>
            <w:tcBorders>
              <w:top w:val="single" w:sz="8" w:color="auto"/>
              <w:bottom w:val="single" w:sz="8" w:color="auto"/>
            </w:tcBorders>
            <w:gridSpan w:val="4"/>
            <w:shd w:val="clear" w:color="auto" w:fill="E0E0E0"/>
          </w:tcPr>
          <w:p>
            <w:pPr>
              <w:ind w:left="28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top w:val="single" w:sz="8" w:color="auto"/>
              <w:bottom w:val="single" w:sz="8" w:color="auto"/>
              <w:right w:val="single" w:sz="8" w:color="auto"/>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920" w:type="dxa"/>
            <w:vAlign w:val="bottom"/>
            <w:tcBorders>
              <w:left w:val="single" w:sz="8" w:color="auto"/>
            </w:tcBorders>
            <w:shd w:val="clear" w:color="auto" w:fill="E0E0E0"/>
          </w:tcPr>
          <w:p>
            <w:pPr>
              <w:spacing w:after="0"/>
              <w:rPr>
                <w:sz w:val="11"/>
                <w:szCs w:val="11"/>
                <w:color w:val="auto"/>
              </w:rPr>
            </w:pPr>
          </w:p>
        </w:tc>
        <w:tc>
          <w:tcPr>
            <w:tcW w:w="36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300" w:type="dxa"/>
            <w:vAlign w:val="bottom"/>
            <w:shd w:val="clear" w:color="auto" w:fill="E0E0E0"/>
          </w:tcPr>
          <w:p>
            <w:pPr>
              <w:spacing w:after="0"/>
              <w:rPr>
                <w:sz w:val="11"/>
                <w:szCs w:val="11"/>
                <w:color w:val="auto"/>
              </w:rPr>
            </w:pPr>
          </w:p>
        </w:tc>
        <w:tc>
          <w:tcPr>
            <w:tcW w:w="82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82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480" w:type="dxa"/>
            <w:vAlign w:val="bottom"/>
            <w:shd w:val="clear" w:color="auto" w:fill="E0E0E0"/>
          </w:tcPr>
          <w:p>
            <w:pPr>
              <w:spacing w:after="0"/>
              <w:rPr>
                <w:sz w:val="11"/>
                <w:szCs w:val="11"/>
                <w:color w:val="auto"/>
              </w:rPr>
            </w:pPr>
          </w:p>
        </w:tc>
        <w:tc>
          <w:tcPr>
            <w:tcW w:w="320" w:type="dxa"/>
            <w:vAlign w:val="bottom"/>
            <w:shd w:val="clear" w:color="auto" w:fill="E0E0E0"/>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30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380" w:type="dxa"/>
            <w:vAlign w:val="bottom"/>
            <w:shd w:val="clear" w:color="auto" w:fill="E0E0E0"/>
          </w:tcPr>
          <w:p>
            <w:pPr>
              <w:spacing w:after="0"/>
              <w:rPr>
                <w:sz w:val="11"/>
                <w:szCs w:val="11"/>
                <w:color w:val="auto"/>
              </w:rPr>
            </w:pPr>
          </w:p>
        </w:tc>
        <w:tc>
          <w:tcPr>
            <w:tcW w:w="80" w:type="dxa"/>
            <w:vAlign w:val="bottom"/>
            <w:shd w:val="clear" w:color="auto" w:fill="E0E0E0"/>
          </w:tcPr>
          <w:p>
            <w:pPr>
              <w:spacing w:after="0"/>
              <w:rPr>
                <w:sz w:val="11"/>
                <w:szCs w:val="11"/>
                <w:color w:val="auto"/>
              </w:rPr>
            </w:pPr>
          </w:p>
        </w:tc>
        <w:tc>
          <w:tcPr>
            <w:tcW w:w="560" w:type="dxa"/>
            <w:vAlign w:val="bottom"/>
            <w:shd w:val="clear" w:color="auto" w:fill="E0E0E0"/>
          </w:tcPr>
          <w:p>
            <w:pPr>
              <w:spacing w:after="0"/>
              <w:rPr>
                <w:sz w:val="11"/>
                <w:szCs w:val="11"/>
                <w:color w:val="auto"/>
              </w:rPr>
            </w:pPr>
          </w:p>
        </w:tc>
        <w:tc>
          <w:tcPr>
            <w:tcW w:w="32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960" w:type="dxa"/>
            <w:vAlign w:val="bottom"/>
            <w:tcBorders>
              <w:right w:val="single" w:sz="8" w:color="auto"/>
            </w:tcBorders>
            <w:shd w:val="clear" w:color="auto" w:fill="E0E0E0"/>
          </w:tcPr>
          <w:p>
            <w:pPr>
              <w:jc w:val="center"/>
              <w:ind w:right="52"/>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20" w:type="dxa"/>
            <w:vAlign w:val="bottom"/>
            <w:gridSpan w:val="2"/>
            <w:vMerge w:val="restart"/>
            <w:shd w:val="clear" w:color="auto" w:fill="E0E0E0"/>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96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72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80" w:type="dxa"/>
            <w:vAlign w:val="bottom"/>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54"/>
        </w:trPr>
        <w:tc>
          <w:tcPr>
            <w:tcW w:w="920" w:type="dxa"/>
            <w:vAlign w:val="bottom"/>
            <w:tcBorders>
              <w:left w:val="single" w:sz="8" w:color="auto"/>
            </w:tcBorders>
            <w:shd w:val="clear" w:color="auto" w:fill="E0E0E0"/>
          </w:tcPr>
          <w:p>
            <w:pPr>
              <w:spacing w:after="0"/>
              <w:rPr>
                <w:sz w:val="4"/>
                <w:szCs w:val="4"/>
                <w:color w:val="auto"/>
              </w:rPr>
            </w:pPr>
          </w:p>
        </w:tc>
        <w:tc>
          <w:tcPr>
            <w:tcW w:w="360" w:type="dxa"/>
            <w:vAlign w:val="bottom"/>
            <w:shd w:val="clear" w:color="auto" w:fill="E0E0E0"/>
          </w:tcPr>
          <w:p>
            <w:pPr>
              <w:spacing w:after="0"/>
              <w:rPr>
                <w:sz w:val="4"/>
                <w:szCs w:val="4"/>
                <w:color w:val="auto"/>
              </w:rPr>
            </w:pPr>
          </w:p>
        </w:tc>
        <w:tc>
          <w:tcPr>
            <w:tcW w:w="8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72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820" w:type="dxa"/>
            <w:vAlign w:val="bottom"/>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82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48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64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80" w:type="dxa"/>
            <w:vAlign w:val="bottom"/>
            <w:shd w:val="clear" w:color="auto" w:fill="E0E0E0"/>
          </w:tcPr>
          <w:p>
            <w:pPr>
              <w:spacing w:after="0"/>
              <w:rPr>
                <w:sz w:val="4"/>
                <w:szCs w:val="4"/>
                <w:color w:val="auto"/>
              </w:rPr>
            </w:pPr>
          </w:p>
        </w:tc>
        <w:tc>
          <w:tcPr>
            <w:tcW w:w="8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920" w:type="dxa"/>
            <w:vAlign w:val="bottom"/>
            <w:gridSpan w:val="2"/>
            <w:vMerge w:val="restart"/>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Incentive</w:t>
            </w:r>
          </w:p>
        </w:tc>
        <w:tc>
          <w:tcPr>
            <w:tcW w:w="96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72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80" w:type="dxa"/>
            <w:vAlign w:val="bottom"/>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Value or</w:t>
            </w:r>
          </w:p>
        </w:tc>
        <w:tc>
          <w:tcPr>
            <w:tcW w:w="0" w:type="dxa"/>
            <w:vAlign w:val="bottom"/>
          </w:tcPr>
          <w:p>
            <w:pPr>
              <w:spacing w:after="0"/>
              <w:rPr>
                <w:sz w:val="1"/>
                <w:szCs w:val="1"/>
                <w:color w:val="auto"/>
              </w:rPr>
            </w:pPr>
          </w:p>
        </w:tc>
      </w:tr>
      <w:tr>
        <w:trPr>
          <w:trHeight w:val="54"/>
        </w:trPr>
        <w:tc>
          <w:tcPr>
            <w:tcW w:w="920" w:type="dxa"/>
            <w:vAlign w:val="bottom"/>
            <w:tcBorders>
              <w:left w:val="single" w:sz="8" w:color="auto"/>
            </w:tcBorders>
            <w:shd w:val="clear" w:color="auto" w:fill="E0E0E0"/>
          </w:tcPr>
          <w:p>
            <w:pPr>
              <w:spacing w:after="0"/>
              <w:rPr>
                <w:sz w:val="4"/>
                <w:szCs w:val="4"/>
                <w:color w:val="auto"/>
              </w:rPr>
            </w:pPr>
          </w:p>
        </w:tc>
        <w:tc>
          <w:tcPr>
            <w:tcW w:w="360" w:type="dxa"/>
            <w:vAlign w:val="bottom"/>
            <w:shd w:val="clear" w:color="auto" w:fill="E0E0E0"/>
          </w:tcPr>
          <w:p>
            <w:pPr>
              <w:spacing w:after="0"/>
              <w:rPr>
                <w:sz w:val="4"/>
                <w:szCs w:val="4"/>
                <w:color w:val="auto"/>
              </w:rPr>
            </w:pPr>
          </w:p>
        </w:tc>
        <w:tc>
          <w:tcPr>
            <w:tcW w:w="8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72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820" w:type="dxa"/>
            <w:vAlign w:val="bottom"/>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60" w:type="dxa"/>
            <w:vAlign w:val="bottom"/>
            <w:gridSpan w:val="2"/>
            <w:vMerge w:val="restart"/>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64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80" w:type="dxa"/>
            <w:vAlign w:val="bottom"/>
            <w:shd w:val="clear" w:color="auto" w:fill="E0E0E0"/>
          </w:tcPr>
          <w:p>
            <w:pPr>
              <w:spacing w:after="0"/>
              <w:rPr>
                <w:sz w:val="4"/>
                <w:szCs w:val="4"/>
                <w:color w:val="auto"/>
              </w:rPr>
            </w:pPr>
          </w:p>
        </w:tc>
        <w:tc>
          <w:tcPr>
            <w:tcW w:w="8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920" w:type="dxa"/>
            <w:vAlign w:val="bottom"/>
            <w:gridSpan w:val="2"/>
            <w:vMerge w:val="restart"/>
            <w:shd w:val="clear" w:color="auto" w:fill="E0E0E0"/>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96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72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1060" w:type="dxa"/>
            <w:vAlign w:val="bottom"/>
            <w:gridSpan w:val="2"/>
            <w:vMerge w:val="continue"/>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80" w:type="dxa"/>
            <w:vAlign w:val="bottom"/>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920" w:type="dxa"/>
            <w:vAlign w:val="bottom"/>
            <w:tcBorders>
              <w:left w:val="single" w:sz="8" w:color="auto"/>
            </w:tcBorders>
            <w:shd w:val="clear" w:color="auto" w:fill="E0E0E0"/>
          </w:tcPr>
          <w:p>
            <w:pPr>
              <w:spacing w:after="0"/>
              <w:rPr>
                <w:sz w:val="4"/>
                <w:szCs w:val="4"/>
                <w:color w:val="auto"/>
              </w:rPr>
            </w:pPr>
          </w:p>
        </w:tc>
        <w:tc>
          <w:tcPr>
            <w:tcW w:w="360" w:type="dxa"/>
            <w:vAlign w:val="bottom"/>
            <w:shd w:val="clear" w:color="auto" w:fill="E0E0E0"/>
          </w:tcPr>
          <w:p>
            <w:pPr>
              <w:spacing w:after="0"/>
              <w:rPr>
                <w:sz w:val="4"/>
                <w:szCs w:val="4"/>
                <w:color w:val="auto"/>
              </w:rPr>
            </w:pPr>
          </w:p>
        </w:tc>
        <w:tc>
          <w:tcPr>
            <w:tcW w:w="8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72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820" w:type="dxa"/>
            <w:vAlign w:val="bottom"/>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60" w:type="dxa"/>
            <w:vAlign w:val="bottom"/>
            <w:gridSpan w:val="2"/>
            <w:vMerge w:val="restart"/>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64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80" w:type="dxa"/>
            <w:vAlign w:val="bottom"/>
            <w:shd w:val="clear" w:color="auto" w:fill="E0E0E0"/>
          </w:tcPr>
          <w:p>
            <w:pPr>
              <w:spacing w:after="0"/>
              <w:rPr>
                <w:sz w:val="4"/>
                <w:szCs w:val="4"/>
                <w:color w:val="auto"/>
              </w:rPr>
            </w:pPr>
          </w:p>
        </w:tc>
        <w:tc>
          <w:tcPr>
            <w:tcW w:w="80" w:type="dxa"/>
            <w:vAlign w:val="bottom"/>
            <w:shd w:val="clear" w:color="auto" w:fill="E0E0E0"/>
          </w:tcPr>
          <w:p>
            <w:pPr>
              <w:spacing w:after="0"/>
              <w:rPr>
                <w:sz w:val="4"/>
                <w:szCs w:val="4"/>
                <w:color w:val="auto"/>
              </w:rPr>
            </w:pPr>
          </w:p>
        </w:tc>
        <w:tc>
          <w:tcPr>
            <w:tcW w:w="56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920" w:type="dxa"/>
            <w:vAlign w:val="bottom"/>
            <w:gridSpan w:val="2"/>
            <w:vMerge w:val="restart"/>
            <w:shd w:val="clear" w:color="auto" w:fill="E0E0E0"/>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72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1060" w:type="dxa"/>
            <w:vAlign w:val="bottom"/>
            <w:gridSpan w:val="2"/>
            <w:vMerge w:val="continue"/>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80" w:type="dxa"/>
            <w:vAlign w:val="bottom"/>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56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920" w:type="dxa"/>
            <w:vAlign w:val="bottom"/>
            <w:tcBorders>
              <w:left w:val="single" w:sz="8" w:color="auto"/>
            </w:tcBorders>
            <w:shd w:val="clear" w:color="auto" w:fill="E0E0E0"/>
          </w:tcPr>
          <w:p>
            <w:pPr>
              <w:spacing w:after="0"/>
              <w:rPr>
                <w:sz w:val="4"/>
                <w:szCs w:val="4"/>
                <w:color w:val="auto"/>
              </w:rPr>
            </w:pPr>
          </w:p>
        </w:tc>
        <w:tc>
          <w:tcPr>
            <w:tcW w:w="360" w:type="dxa"/>
            <w:vAlign w:val="bottom"/>
            <w:shd w:val="clear" w:color="auto" w:fill="E0E0E0"/>
          </w:tcPr>
          <w:p>
            <w:pPr>
              <w:spacing w:after="0"/>
              <w:rPr>
                <w:sz w:val="4"/>
                <w:szCs w:val="4"/>
                <w:color w:val="auto"/>
              </w:rPr>
            </w:pPr>
          </w:p>
        </w:tc>
        <w:tc>
          <w:tcPr>
            <w:tcW w:w="8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72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820" w:type="dxa"/>
            <w:vAlign w:val="bottom"/>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60" w:type="dxa"/>
            <w:vAlign w:val="bottom"/>
            <w:gridSpan w:val="2"/>
            <w:vMerge w:val="restart"/>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48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64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940" w:type="dxa"/>
            <w:vAlign w:val="bottom"/>
            <w:gridSpan w:val="2"/>
            <w:vMerge w:val="restart"/>
            <w:shd w:val="clear" w:color="auto" w:fill="E0E0E0"/>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shd w:val="clear" w:color="auto" w:fill="E0E0E0"/>
          </w:tcPr>
          <w:p>
            <w:pPr>
              <w:spacing w:after="0"/>
              <w:rPr>
                <w:sz w:val="4"/>
                <w:szCs w:val="4"/>
                <w:color w:val="auto"/>
              </w:rPr>
            </w:pPr>
          </w:p>
        </w:tc>
        <w:tc>
          <w:tcPr>
            <w:tcW w:w="880" w:type="dxa"/>
            <w:vAlign w:val="bottom"/>
            <w:gridSpan w:val="2"/>
            <w:vMerge w:val="restart"/>
            <w:shd w:val="clear" w:color="auto" w:fill="E0E0E0"/>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Market</w:t>
            </w:r>
          </w:p>
        </w:tc>
        <w:tc>
          <w:tcPr>
            <w:tcW w:w="920" w:type="dxa"/>
            <w:vAlign w:val="bottom"/>
            <w:gridSpan w:val="2"/>
            <w:vMerge w:val="restart"/>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Unearned</w:t>
            </w:r>
          </w:p>
        </w:tc>
        <w:tc>
          <w:tcPr>
            <w:tcW w:w="96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72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82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1060" w:type="dxa"/>
            <w:vAlign w:val="bottom"/>
            <w:gridSpan w:val="2"/>
            <w:vMerge w:val="continue"/>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940" w:type="dxa"/>
            <w:vAlign w:val="bottom"/>
            <w:gridSpan w:val="2"/>
            <w:vMerge w:val="continue"/>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880" w:type="dxa"/>
            <w:vAlign w:val="bottom"/>
            <w:gridSpan w:val="2"/>
            <w:vMerge w:val="continue"/>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54"/>
        </w:trPr>
        <w:tc>
          <w:tcPr>
            <w:tcW w:w="920" w:type="dxa"/>
            <w:vAlign w:val="bottom"/>
            <w:tcBorders>
              <w:left w:val="single" w:sz="8" w:color="auto"/>
            </w:tcBorders>
            <w:shd w:val="clear" w:color="auto" w:fill="E0E0E0"/>
          </w:tcPr>
          <w:p>
            <w:pPr>
              <w:spacing w:after="0"/>
              <w:rPr>
                <w:sz w:val="4"/>
                <w:szCs w:val="4"/>
                <w:color w:val="auto"/>
              </w:rPr>
            </w:pPr>
          </w:p>
        </w:tc>
        <w:tc>
          <w:tcPr>
            <w:tcW w:w="360" w:type="dxa"/>
            <w:vAlign w:val="bottom"/>
            <w:shd w:val="clear" w:color="auto" w:fill="E0E0E0"/>
          </w:tcPr>
          <w:p>
            <w:pPr>
              <w:spacing w:after="0"/>
              <w:rPr>
                <w:sz w:val="4"/>
                <w:szCs w:val="4"/>
                <w:color w:val="auto"/>
              </w:rPr>
            </w:pPr>
          </w:p>
        </w:tc>
        <w:tc>
          <w:tcPr>
            <w:tcW w:w="800" w:type="dxa"/>
            <w:vAlign w:val="bottom"/>
            <w:shd w:val="clear" w:color="auto" w:fill="E0E0E0"/>
          </w:tcPr>
          <w:p>
            <w:pPr>
              <w:spacing w:after="0"/>
              <w:rPr>
                <w:sz w:val="4"/>
                <w:szCs w:val="4"/>
                <w:color w:val="auto"/>
              </w:rPr>
            </w:pPr>
          </w:p>
        </w:tc>
        <w:tc>
          <w:tcPr>
            <w:tcW w:w="240" w:type="dxa"/>
            <w:vAlign w:val="bottom"/>
            <w:shd w:val="clear" w:color="auto" w:fill="E0E0E0"/>
          </w:tcPr>
          <w:p>
            <w:pPr>
              <w:spacing w:after="0"/>
              <w:rPr>
                <w:sz w:val="4"/>
                <w:szCs w:val="4"/>
                <w:color w:val="auto"/>
              </w:rPr>
            </w:pPr>
          </w:p>
        </w:tc>
        <w:tc>
          <w:tcPr>
            <w:tcW w:w="1020" w:type="dxa"/>
            <w:vAlign w:val="bottom"/>
            <w:gridSpan w:val="2"/>
            <w:vMerge w:val="restart"/>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vMerge w:val="restart"/>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vMerge w:val="restart"/>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shd w:val="clear" w:color="auto" w:fill="E0E0E0"/>
          </w:tcPr>
          <w:p>
            <w:pPr>
              <w:spacing w:after="0"/>
              <w:rPr>
                <w:sz w:val="4"/>
                <w:szCs w:val="4"/>
                <w:color w:val="auto"/>
              </w:rPr>
            </w:pPr>
          </w:p>
        </w:tc>
        <w:tc>
          <w:tcPr>
            <w:tcW w:w="320" w:type="dxa"/>
            <w:vAlign w:val="bottom"/>
            <w:shd w:val="clear" w:color="auto" w:fill="E0E0E0"/>
          </w:tcPr>
          <w:p>
            <w:pPr>
              <w:spacing w:after="0"/>
              <w:rPr>
                <w:sz w:val="4"/>
                <w:szCs w:val="4"/>
                <w:color w:val="auto"/>
              </w:rPr>
            </w:pPr>
          </w:p>
        </w:tc>
        <w:tc>
          <w:tcPr>
            <w:tcW w:w="640" w:type="dxa"/>
            <w:vAlign w:val="bottom"/>
            <w:shd w:val="clear" w:color="auto" w:fill="E0E0E0"/>
          </w:tcPr>
          <w:p>
            <w:pPr>
              <w:spacing w:after="0"/>
              <w:rPr>
                <w:sz w:val="4"/>
                <w:szCs w:val="4"/>
                <w:color w:val="auto"/>
              </w:rPr>
            </w:pPr>
          </w:p>
        </w:tc>
        <w:tc>
          <w:tcPr>
            <w:tcW w:w="300" w:type="dxa"/>
            <w:vAlign w:val="bottom"/>
            <w:shd w:val="clear" w:color="auto" w:fill="E0E0E0"/>
          </w:tcPr>
          <w:p>
            <w:pPr>
              <w:spacing w:after="0"/>
              <w:rPr>
                <w:sz w:val="4"/>
                <w:szCs w:val="4"/>
                <w:color w:val="auto"/>
              </w:rPr>
            </w:pPr>
          </w:p>
        </w:tc>
        <w:tc>
          <w:tcPr>
            <w:tcW w:w="940" w:type="dxa"/>
            <w:vAlign w:val="bottom"/>
            <w:gridSpan w:val="2"/>
            <w:vMerge w:val="restart"/>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of Shares</w:t>
            </w:r>
          </w:p>
        </w:tc>
        <w:tc>
          <w:tcPr>
            <w:tcW w:w="80" w:type="dxa"/>
            <w:vAlign w:val="bottom"/>
            <w:shd w:val="clear" w:color="auto" w:fill="E0E0E0"/>
          </w:tcPr>
          <w:p>
            <w:pPr>
              <w:spacing w:after="0"/>
              <w:rPr>
                <w:sz w:val="4"/>
                <w:szCs w:val="4"/>
                <w:color w:val="auto"/>
              </w:rPr>
            </w:pPr>
          </w:p>
        </w:tc>
        <w:tc>
          <w:tcPr>
            <w:tcW w:w="880" w:type="dxa"/>
            <w:vAlign w:val="bottom"/>
            <w:gridSpan w:val="2"/>
            <w:vMerge w:val="restart"/>
            <w:shd w:val="clear" w:color="auto" w:fill="E0E0E0"/>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Value of</w:t>
            </w:r>
          </w:p>
        </w:tc>
        <w:tc>
          <w:tcPr>
            <w:tcW w:w="920" w:type="dxa"/>
            <w:vAlign w:val="bottom"/>
            <w:gridSpan w:val="2"/>
            <w:vMerge w:val="restart"/>
            <w:shd w:val="clear" w:color="auto" w:fill="E0E0E0"/>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w:t>
            </w:r>
          </w:p>
        </w:tc>
        <w:tc>
          <w:tcPr>
            <w:tcW w:w="960" w:type="dxa"/>
            <w:vAlign w:val="bottom"/>
            <w:tcBorders>
              <w:right w:val="single" w:sz="8" w:color="auto"/>
            </w:tcBorders>
            <w:vMerge w:val="continue"/>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tcBorders>
            <w:shd w:val="clear" w:color="auto" w:fill="E0E0E0"/>
          </w:tcPr>
          <w:p>
            <w:pPr>
              <w:spacing w:after="0"/>
              <w:rPr>
                <w:sz w:val="8"/>
                <w:szCs w:val="8"/>
                <w:color w:val="auto"/>
              </w:rPr>
            </w:pPr>
          </w:p>
        </w:tc>
        <w:tc>
          <w:tcPr>
            <w:tcW w:w="3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240" w:type="dxa"/>
            <w:vAlign w:val="bottom"/>
            <w:shd w:val="clear" w:color="auto" w:fill="E0E0E0"/>
          </w:tcPr>
          <w:p>
            <w:pPr>
              <w:spacing w:after="0"/>
              <w:rPr>
                <w:sz w:val="8"/>
                <w:szCs w:val="8"/>
                <w:color w:val="auto"/>
              </w:rPr>
            </w:pPr>
          </w:p>
        </w:tc>
        <w:tc>
          <w:tcPr>
            <w:tcW w:w="1020" w:type="dxa"/>
            <w:vAlign w:val="bottom"/>
            <w:gridSpan w:val="2"/>
            <w:vMerge w:val="continue"/>
            <w:shd w:val="clear" w:color="auto" w:fill="E0E0E0"/>
          </w:tcPr>
          <w:p>
            <w:pPr>
              <w:spacing w:after="0"/>
              <w:rPr>
                <w:sz w:val="8"/>
                <w:szCs w:val="8"/>
                <w:color w:val="auto"/>
              </w:rPr>
            </w:pPr>
          </w:p>
        </w:tc>
        <w:tc>
          <w:tcPr>
            <w:tcW w:w="1160" w:type="dxa"/>
            <w:vAlign w:val="bottom"/>
            <w:gridSpan w:val="2"/>
            <w:vMerge w:val="continue"/>
            <w:shd w:val="clear" w:color="auto" w:fill="E0E0E0"/>
          </w:tcPr>
          <w:p>
            <w:pPr>
              <w:spacing w:after="0"/>
              <w:rPr>
                <w:sz w:val="8"/>
                <w:szCs w:val="8"/>
                <w:color w:val="auto"/>
              </w:rPr>
            </w:pPr>
          </w:p>
        </w:tc>
        <w:tc>
          <w:tcPr>
            <w:tcW w:w="1060" w:type="dxa"/>
            <w:vAlign w:val="bottom"/>
            <w:gridSpan w:val="2"/>
            <w:vMerge w:val="continue"/>
            <w:shd w:val="clear" w:color="auto" w:fill="E0E0E0"/>
          </w:tcPr>
          <w:p>
            <w:pPr>
              <w:spacing w:after="0"/>
              <w:rPr>
                <w:sz w:val="8"/>
                <w:szCs w:val="8"/>
                <w:color w:val="auto"/>
              </w:rPr>
            </w:pPr>
          </w:p>
        </w:tc>
        <w:tc>
          <w:tcPr>
            <w:tcW w:w="48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640" w:type="dxa"/>
            <w:vAlign w:val="bottom"/>
            <w:shd w:val="clear" w:color="auto" w:fill="E0E0E0"/>
          </w:tcPr>
          <w:p>
            <w:pPr>
              <w:spacing w:after="0"/>
              <w:rPr>
                <w:sz w:val="8"/>
                <w:szCs w:val="8"/>
                <w:color w:val="auto"/>
              </w:rPr>
            </w:pPr>
          </w:p>
        </w:tc>
        <w:tc>
          <w:tcPr>
            <w:tcW w:w="300" w:type="dxa"/>
            <w:vAlign w:val="bottom"/>
            <w:shd w:val="clear" w:color="auto" w:fill="E0E0E0"/>
          </w:tcPr>
          <w:p>
            <w:pPr>
              <w:spacing w:after="0"/>
              <w:rPr>
                <w:sz w:val="8"/>
                <w:szCs w:val="8"/>
                <w:color w:val="auto"/>
              </w:rPr>
            </w:pPr>
          </w:p>
        </w:tc>
        <w:tc>
          <w:tcPr>
            <w:tcW w:w="940" w:type="dxa"/>
            <w:vAlign w:val="bottom"/>
            <w:gridSpan w:val="2"/>
            <w:vMerge w:val="continue"/>
            <w:shd w:val="clear" w:color="auto" w:fill="E0E0E0"/>
          </w:tcPr>
          <w:p>
            <w:pPr>
              <w:spacing w:after="0"/>
              <w:rPr>
                <w:sz w:val="8"/>
                <w:szCs w:val="8"/>
                <w:color w:val="auto"/>
              </w:rPr>
            </w:pPr>
          </w:p>
        </w:tc>
        <w:tc>
          <w:tcPr>
            <w:tcW w:w="80" w:type="dxa"/>
            <w:vAlign w:val="bottom"/>
            <w:shd w:val="clear" w:color="auto" w:fill="E0E0E0"/>
          </w:tcPr>
          <w:p>
            <w:pPr>
              <w:spacing w:after="0"/>
              <w:rPr>
                <w:sz w:val="8"/>
                <w:szCs w:val="8"/>
                <w:color w:val="auto"/>
              </w:rPr>
            </w:pPr>
          </w:p>
        </w:tc>
        <w:tc>
          <w:tcPr>
            <w:tcW w:w="880" w:type="dxa"/>
            <w:vAlign w:val="bottom"/>
            <w:gridSpan w:val="2"/>
            <w:vMerge w:val="continue"/>
            <w:shd w:val="clear" w:color="auto" w:fill="E0E0E0"/>
          </w:tcPr>
          <w:p>
            <w:pPr>
              <w:spacing w:after="0"/>
              <w:rPr>
                <w:sz w:val="8"/>
                <w:szCs w:val="8"/>
                <w:color w:val="auto"/>
              </w:rPr>
            </w:pPr>
          </w:p>
        </w:tc>
        <w:tc>
          <w:tcPr>
            <w:tcW w:w="920" w:type="dxa"/>
            <w:vAlign w:val="bottom"/>
            <w:gridSpan w:val="2"/>
            <w:vMerge w:val="continue"/>
            <w:shd w:val="clear" w:color="auto" w:fill="E0E0E0"/>
          </w:tcPr>
          <w:p>
            <w:pPr>
              <w:spacing w:after="0"/>
              <w:rPr>
                <w:sz w:val="8"/>
                <w:szCs w:val="8"/>
                <w:color w:val="auto"/>
              </w:rPr>
            </w:pPr>
          </w:p>
        </w:tc>
        <w:tc>
          <w:tcPr>
            <w:tcW w:w="960" w:type="dxa"/>
            <w:vAlign w:val="bottom"/>
            <w:tcBorders>
              <w:right w:val="single" w:sz="8" w:color="auto"/>
            </w:tcBorders>
            <w:vMerge w:val="restart"/>
            <w:shd w:val="clear" w:color="auto" w:fill="E0E0E0"/>
          </w:tcPr>
          <w:p>
            <w:pPr>
              <w:jc w:val="center"/>
              <w:ind w:right="52"/>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0"/>
        </w:trPr>
        <w:tc>
          <w:tcPr>
            <w:tcW w:w="920" w:type="dxa"/>
            <w:vAlign w:val="bottom"/>
            <w:tcBorders>
              <w:left w:val="single" w:sz="8" w:color="auto"/>
            </w:tcBorders>
            <w:shd w:val="clear" w:color="auto" w:fill="E0E0E0"/>
          </w:tcPr>
          <w:p>
            <w:pPr>
              <w:spacing w:after="0"/>
              <w:rPr>
                <w:sz w:val="6"/>
                <w:szCs w:val="6"/>
                <w:color w:val="auto"/>
              </w:rPr>
            </w:pPr>
          </w:p>
        </w:tc>
        <w:tc>
          <w:tcPr>
            <w:tcW w:w="360" w:type="dxa"/>
            <w:vAlign w:val="bottom"/>
            <w:shd w:val="clear" w:color="auto" w:fill="E0E0E0"/>
          </w:tcPr>
          <w:p>
            <w:pPr>
              <w:spacing w:after="0"/>
              <w:rPr>
                <w:sz w:val="6"/>
                <w:szCs w:val="6"/>
                <w:color w:val="auto"/>
              </w:rPr>
            </w:pPr>
          </w:p>
        </w:tc>
        <w:tc>
          <w:tcPr>
            <w:tcW w:w="800" w:type="dxa"/>
            <w:vAlign w:val="bottom"/>
            <w:shd w:val="clear" w:color="auto" w:fill="E0E0E0"/>
          </w:tcPr>
          <w:p>
            <w:pPr>
              <w:spacing w:after="0"/>
              <w:rPr>
                <w:sz w:val="6"/>
                <w:szCs w:val="6"/>
                <w:color w:val="auto"/>
              </w:rPr>
            </w:pPr>
          </w:p>
        </w:tc>
        <w:tc>
          <w:tcPr>
            <w:tcW w:w="240" w:type="dxa"/>
            <w:vAlign w:val="bottom"/>
            <w:shd w:val="clear" w:color="auto" w:fill="E0E0E0"/>
          </w:tcPr>
          <w:p>
            <w:pPr>
              <w:spacing w:after="0"/>
              <w:rPr>
                <w:sz w:val="6"/>
                <w:szCs w:val="6"/>
                <w:color w:val="auto"/>
              </w:rPr>
            </w:pPr>
          </w:p>
        </w:tc>
        <w:tc>
          <w:tcPr>
            <w:tcW w:w="1020" w:type="dxa"/>
            <w:vAlign w:val="bottom"/>
            <w:gridSpan w:val="2"/>
            <w:vMerge w:val="restart"/>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60" w:type="dxa"/>
            <w:vAlign w:val="bottom"/>
            <w:gridSpan w:val="2"/>
            <w:vMerge w:val="restart"/>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gridSpan w:val="2"/>
            <w:vMerge w:val="restart"/>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Securities</w:t>
            </w:r>
          </w:p>
        </w:tc>
        <w:tc>
          <w:tcPr>
            <w:tcW w:w="480" w:type="dxa"/>
            <w:vAlign w:val="bottom"/>
            <w:shd w:val="clear" w:color="auto" w:fill="E0E0E0"/>
          </w:tcPr>
          <w:p>
            <w:pPr>
              <w:spacing w:after="0"/>
              <w:rPr>
                <w:sz w:val="6"/>
                <w:szCs w:val="6"/>
                <w:color w:val="auto"/>
              </w:rPr>
            </w:pPr>
          </w:p>
        </w:tc>
        <w:tc>
          <w:tcPr>
            <w:tcW w:w="320" w:type="dxa"/>
            <w:vAlign w:val="bottom"/>
            <w:shd w:val="clear" w:color="auto" w:fill="E0E0E0"/>
          </w:tcPr>
          <w:p>
            <w:pPr>
              <w:spacing w:after="0"/>
              <w:rPr>
                <w:sz w:val="6"/>
                <w:szCs w:val="6"/>
                <w:color w:val="auto"/>
              </w:rPr>
            </w:pPr>
          </w:p>
        </w:tc>
        <w:tc>
          <w:tcPr>
            <w:tcW w:w="640" w:type="dxa"/>
            <w:vAlign w:val="bottom"/>
            <w:shd w:val="clear" w:color="auto" w:fill="E0E0E0"/>
          </w:tcPr>
          <w:p>
            <w:pPr>
              <w:spacing w:after="0"/>
              <w:rPr>
                <w:sz w:val="6"/>
                <w:szCs w:val="6"/>
                <w:color w:val="auto"/>
              </w:rPr>
            </w:pPr>
          </w:p>
        </w:tc>
        <w:tc>
          <w:tcPr>
            <w:tcW w:w="300" w:type="dxa"/>
            <w:vAlign w:val="bottom"/>
            <w:shd w:val="clear" w:color="auto" w:fill="E0E0E0"/>
          </w:tcPr>
          <w:p>
            <w:pPr>
              <w:spacing w:after="0"/>
              <w:rPr>
                <w:sz w:val="6"/>
                <w:szCs w:val="6"/>
                <w:color w:val="auto"/>
              </w:rPr>
            </w:pPr>
          </w:p>
        </w:tc>
        <w:tc>
          <w:tcPr>
            <w:tcW w:w="940" w:type="dxa"/>
            <w:vAlign w:val="bottom"/>
            <w:gridSpan w:val="2"/>
            <w:vMerge w:val="restart"/>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960" w:type="dxa"/>
            <w:vAlign w:val="bottom"/>
            <w:gridSpan w:val="3"/>
            <w:vMerge w:val="restart"/>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Shares or</w:t>
            </w:r>
          </w:p>
        </w:tc>
        <w:tc>
          <w:tcPr>
            <w:tcW w:w="920" w:type="dxa"/>
            <w:vAlign w:val="bottom"/>
            <w:gridSpan w:val="2"/>
            <w:vMerge w:val="restart"/>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Units or</w:t>
            </w:r>
          </w:p>
        </w:tc>
        <w:tc>
          <w:tcPr>
            <w:tcW w:w="960" w:type="dxa"/>
            <w:vAlign w:val="bottom"/>
            <w:tcBorders>
              <w:right w:val="single" w:sz="8" w:color="auto"/>
            </w:tcBorders>
            <w:vMerge w:val="continue"/>
            <w:shd w:val="clear" w:color="auto" w:fill="E0E0E0"/>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920" w:type="dxa"/>
            <w:vAlign w:val="bottom"/>
            <w:tcBorders>
              <w:left w:val="single" w:sz="8" w:color="auto"/>
            </w:tcBorders>
            <w:shd w:val="clear" w:color="auto" w:fill="E0E0E0"/>
          </w:tcPr>
          <w:p>
            <w:pPr>
              <w:spacing w:after="0"/>
              <w:rPr>
                <w:sz w:val="5"/>
                <w:szCs w:val="5"/>
                <w:color w:val="auto"/>
              </w:rPr>
            </w:pPr>
          </w:p>
        </w:tc>
        <w:tc>
          <w:tcPr>
            <w:tcW w:w="360" w:type="dxa"/>
            <w:vAlign w:val="bottom"/>
            <w:shd w:val="clear" w:color="auto" w:fill="E0E0E0"/>
          </w:tcPr>
          <w:p>
            <w:pPr>
              <w:spacing w:after="0"/>
              <w:rPr>
                <w:sz w:val="5"/>
                <w:szCs w:val="5"/>
                <w:color w:val="auto"/>
              </w:rPr>
            </w:pPr>
          </w:p>
        </w:tc>
        <w:tc>
          <w:tcPr>
            <w:tcW w:w="800" w:type="dxa"/>
            <w:vAlign w:val="bottom"/>
            <w:shd w:val="clear" w:color="auto" w:fill="E0E0E0"/>
          </w:tcPr>
          <w:p>
            <w:pPr>
              <w:spacing w:after="0"/>
              <w:rPr>
                <w:sz w:val="5"/>
                <w:szCs w:val="5"/>
                <w:color w:val="auto"/>
              </w:rPr>
            </w:pPr>
          </w:p>
        </w:tc>
        <w:tc>
          <w:tcPr>
            <w:tcW w:w="240" w:type="dxa"/>
            <w:vAlign w:val="bottom"/>
            <w:shd w:val="clear" w:color="auto" w:fill="E0E0E0"/>
          </w:tcPr>
          <w:p>
            <w:pPr>
              <w:spacing w:after="0"/>
              <w:rPr>
                <w:sz w:val="5"/>
                <w:szCs w:val="5"/>
                <w:color w:val="auto"/>
              </w:rPr>
            </w:pPr>
          </w:p>
        </w:tc>
        <w:tc>
          <w:tcPr>
            <w:tcW w:w="1020" w:type="dxa"/>
            <w:vAlign w:val="bottom"/>
            <w:gridSpan w:val="2"/>
            <w:vMerge w:val="continue"/>
            <w:shd w:val="clear" w:color="auto" w:fill="E0E0E0"/>
          </w:tcPr>
          <w:p>
            <w:pPr>
              <w:spacing w:after="0"/>
              <w:rPr>
                <w:sz w:val="5"/>
                <w:szCs w:val="5"/>
                <w:color w:val="auto"/>
              </w:rPr>
            </w:pPr>
          </w:p>
        </w:tc>
        <w:tc>
          <w:tcPr>
            <w:tcW w:w="1160" w:type="dxa"/>
            <w:vAlign w:val="bottom"/>
            <w:gridSpan w:val="2"/>
            <w:vMerge w:val="continue"/>
            <w:shd w:val="clear" w:color="auto" w:fill="E0E0E0"/>
          </w:tcPr>
          <w:p>
            <w:pPr>
              <w:spacing w:after="0"/>
              <w:rPr>
                <w:sz w:val="5"/>
                <w:szCs w:val="5"/>
                <w:color w:val="auto"/>
              </w:rPr>
            </w:pPr>
          </w:p>
        </w:tc>
        <w:tc>
          <w:tcPr>
            <w:tcW w:w="1060" w:type="dxa"/>
            <w:vAlign w:val="bottom"/>
            <w:gridSpan w:val="2"/>
            <w:vMerge w:val="continue"/>
            <w:shd w:val="clear" w:color="auto" w:fill="E0E0E0"/>
          </w:tcPr>
          <w:p>
            <w:pPr>
              <w:spacing w:after="0"/>
              <w:rPr>
                <w:sz w:val="5"/>
                <w:szCs w:val="5"/>
                <w:color w:val="auto"/>
              </w:rPr>
            </w:pPr>
          </w:p>
        </w:tc>
        <w:tc>
          <w:tcPr>
            <w:tcW w:w="480" w:type="dxa"/>
            <w:vAlign w:val="bottom"/>
            <w:shd w:val="clear" w:color="auto" w:fill="E0E0E0"/>
          </w:tcPr>
          <w:p>
            <w:pPr>
              <w:spacing w:after="0"/>
              <w:rPr>
                <w:sz w:val="5"/>
                <w:szCs w:val="5"/>
                <w:color w:val="auto"/>
              </w:rPr>
            </w:pPr>
          </w:p>
        </w:tc>
        <w:tc>
          <w:tcPr>
            <w:tcW w:w="320" w:type="dxa"/>
            <w:vAlign w:val="bottom"/>
            <w:shd w:val="clear" w:color="auto" w:fill="E0E0E0"/>
          </w:tcPr>
          <w:p>
            <w:pPr>
              <w:spacing w:after="0"/>
              <w:rPr>
                <w:sz w:val="5"/>
                <w:szCs w:val="5"/>
                <w:color w:val="auto"/>
              </w:rPr>
            </w:pPr>
          </w:p>
        </w:tc>
        <w:tc>
          <w:tcPr>
            <w:tcW w:w="640" w:type="dxa"/>
            <w:vAlign w:val="bottom"/>
            <w:shd w:val="clear" w:color="auto" w:fill="E0E0E0"/>
          </w:tcPr>
          <w:p>
            <w:pPr>
              <w:spacing w:after="0"/>
              <w:rPr>
                <w:sz w:val="5"/>
                <w:szCs w:val="5"/>
                <w:color w:val="auto"/>
              </w:rPr>
            </w:pPr>
          </w:p>
        </w:tc>
        <w:tc>
          <w:tcPr>
            <w:tcW w:w="300" w:type="dxa"/>
            <w:vAlign w:val="bottom"/>
            <w:shd w:val="clear" w:color="auto" w:fill="E0E0E0"/>
          </w:tcPr>
          <w:p>
            <w:pPr>
              <w:spacing w:after="0"/>
              <w:rPr>
                <w:sz w:val="5"/>
                <w:szCs w:val="5"/>
                <w:color w:val="auto"/>
              </w:rPr>
            </w:pPr>
          </w:p>
        </w:tc>
        <w:tc>
          <w:tcPr>
            <w:tcW w:w="940" w:type="dxa"/>
            <w:vAlign w:val="bottom"/>
            <w:gridSpan w:val="2"/>
            <w:vMerge w:val="continue"/>
            <w:shd w:val="clear" w:color="auto" w:fill="E0E0E0"/>
          </w:tcPr>
          <w:p>
            <w:pPr>
              <w:spacing w:after="0"/>
              <w:rPr>
                <w:sz w:val="5"/>
                <w:szCs w:val="5"/>
                <w:color w:val="auto"/>
              </w:rPr>
            </w:pPr>
          </w:p>
        </w:tc>
        <w:tc>
          <w:tcPr>
            <w:tcW w:w="960" w:type="dxa"/>
            <w:vAlign w:val="bottom"/>
            <w:gridSpan w:val="3"/>
            <w:vMerge w:val="continue"/>
            <w:shd w:val="clear" w:color="auto" w:fill="E0E0E0"/>
          </w:tcPr>
          <w:p>
            <w:pPr>
              <w:spacing w:after="0"/>
              <w:rPr>
                <w:sz w:val="5"/>
                <w:szCs w:val="5"/>
                <w:color w:val="auto"/>
              </w:rPr>
            </w:pPr>
          </w:p>
        </w:tc>
        <w:tc>
          <w:tcPr>
            <w:tcW w:w="920" w:type="dxa"/>
            <w:vAlign w:val="bottom"/>
            <w:gridSpan w:val="2"/>
            <w:vMerge w:val="continue"/>
            <w:shd w:val="clear" w:color="auto" w:fill="E0E0E0"/>
          </w:tcPr>
          <w:p>
            <w:pPr>
              <w:spacing w:after="0"/>
              <w:rPr>
                <w:sz w:val="5"/>
                <w:szCs w:val="5"/>
                <w:color w:val="auto"/>
              </w:rPr>
            </w:pPr>
          </w:p>
        </w:tc>
        <w:tc>
          <w:tcPr>
            <w:tcW w:w="960" w:type="dxa"/>
            <w:vAlign w:val="bottom"/>
            <w:tcBorders>
              <w:right w:val="single" w:sz="8" w:color="auto"/>
            </w:tcBorders>
            <w:shd w:val="clear" w:color="auto" w:fill="E0E0E0"/>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of Stock</w:t>
            </w:r>
          </w:p>
        </w:tc>
        <w:tc>
          <w:tcPr>
            <w:tcW w:w="8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Units of</w:t>
            </w:r>
          </w:p>
        </w:tc>
        <w:tc>
          <w:tcPr>
            <w:tcW w:w="920" w:type="dxa"/>
            <w:vAlign w:val="bottom"/>
            <w:gridSpan w:val="2"/>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6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gridSpan w:val="2"/>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That</w:t>
            </w:r>
          </w:p>
        </w:tc>
        <w:tc>
          <w:tcPr>
            <w:tcW w:w="960" w:type="dxa"/>
            <w:vAlign w:val="bottom"/>
            <w:gridSpan w:val="3"/>
            <w:shd w:val="clear" w:color="auto" w:fill="E0E0E0"/>
          </w:tcPr>
          <w:p>
            <w:pPr>
              <w:ind w:left="20"/>
              <w:spacing w:after="0" w:line="149" w:lineRule="exact"/>
              <w:rPr>
                <w:sz w:val="20"/>
                <w:szCs w:val="20"/>
                <w:color w:val="auto"/>
              </w:rPr>
            </w:pPr>
            <w:r>
              <w:rPr>
                <w:rFonts w:ascii="Arial" w:cs="Arial" w:eastAsia="Arial" w:hAnsi="Arial"/>
                <w:sz w:val="14"/>
                <w:szCs w:val="14"/>
                <w:b w:val="1"/>
                <w:bCs w:val="1"/>
                <w:color w:val="auto"/>
              </w:rPr>
              <w:t>Stock That</w:t>
            </w:r>
          </w:p>
        </w:tc>
        <w:tc>
          <w:tcPr>
            <w:tcW w:w="920" w:type="dxa"/>
            <w:vAlign w:val="bottom"/>
            <w:gridSpan w:val="2"/>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96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34"/>
        </w:trPr>
        <w:tc>
          <w:tcPr>
            <w:tcW w:w="920" w:type="dxa"/>
            <w:vAlign w:val="bottom"/>
            <w:tcBorders>
              <w:left w:val="single" w:sz="8" w:color="auto"/>
            </w:tcBorders>
            <w:shd w:val="clear" w:color="auto" w:fill="E0E0E0"/>
          </w:tcPr>
          <w:p>
            <w:pPr>
              <w:spacing w:after="0"/>
              <w:rPr>
                <w:sz w:val="11"/>
                <w:szCs w:val="11"/>
                <w:color w:val="auto"/>
              </w:rPr>
            </w:pPr>
          </w:p>
        </w:tc>
        <w:tc>
          <w:tcPr>
            <w:tcW w:w="36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40" w:type="dxa"/>
            <w:vAlign w:val="bottom"/>
            <w:shd w:val="clear" w:color="auto" w:fill="E0E0E0"/>
          </w:tcPr>
          <w:p>
            <w:pPr>
              <w:spacing w:after="0"/>
              <w:rPr>
                <w:sz w:val="11"/>
                <w:szCs w:val="11"/>
                <w:color w:val="auto"/>
              </w:rPr>
            </w:pPr>
          </w:p>
        </w:tc>
        <w:tc>
          <w:tcPr>
            <w:tcW w:w="1020" w:type="dxa"/>
            <w:vAlign w:val="bottom"/>
            <w:gridSpan w:val="2"/>
            <w:shd w:val="clear" w:color="auto" w:fill="E0E0E0"/>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gridSpan w:val="2"/>
            <w:shd w:val="clear" w:color="auto" w:fill="E0E0E0"/>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2"/>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Unearned</w:t>
            </w:r>
          </w:p>
        </w:tc>
        <w:tc>
          <w:tcPr>
            <w:tcW w:w="800" w:type="dxa"/>
            <w:vAlign w:val="bottom"/>
            <w:gridSpan w:val="2"/>
            <w:shd w:val="clear" w:color="auto" w:fill="E0E0E0"/>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shd w:val="clear" w:color="auto" w:fill="E0E0E0"/>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shd w:val="clear" w:color="auto" w:fill="E0E0E0"/>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3"/>
            <w:shd w:val="clear" w:color="auto" w:fill="E0E0E0"/>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Have Not</w:t>
            </w:r>
          </w:p>
        </w:tc>
        <w:tc>
          <w:tcPr>
            <w:tcW w:w="920" w:type="dxa"/>
            <w:vAlign w:val="bottom"/>
            <w:gridSpan w:val="2"/>
            <w:shd w:val="clear" w:color="auto" w:fill="E0E0E0"/>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tcBorders>
              <w:right w:val="single" w:sz="8" w:color="auto"/>
            </w:tcBorders>
            <w:shd w:val="clear" w:color="auto" w:fill="E0E0E0"/>
          </w:tcPr>
          <w:p>
            <w:pPr>
              <w:jc w:val="center"/>
              <w:ind w:right="52"/>
              <w:spacing w:after="0" w:line="135"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63"/>
        </w:trPr>
        <w:tc>
          <w:tcPr>
            <w:tcW w:w="920" w:type="dxa"/>
            <w:vAlign w:val="bottom"/>
            <w:tcBorders>
              <w:left w:val="single" w:sz="8" w:color="auto"/>
            </w:tcBorders>
            <w:shd w:val="clear" w:color="auto" w:fill="E0E0E0"/>
          </w:tcPr>
          <w:p>
            <w:pPr>
              <w:spacing w:after="0"/>
              <w:rPr>
                <w:sz w:val="14"/>
                <w:szCs w:val="14"/>
                <w:color w:val="auto"/>
              </w:rPr>
            </w:pPr>
          </w:p>
        </w:tc>
        <w:tc>
          <w:tcPr>
            <w:tcW w:w="36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vMerge w:val="restart"/>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7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shd w:val="clear" w:color="auto" w:fill="E0E0E0"/>
          </w:tcPr>
          <w:p>
            <w:pPr>
              <w:spacing w:after="0"/>
              <w:rPr>
                <w:sz w:val="14"/>
                <w:szCs w:val="14"/>
                <w:color w:val="auto"/>
              </w:rPr>
            </w:pPr>
          </w:p>
        </w:tc>
        <w:tc>
          <w:tcPr>
            <w:tcW w:w="8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shd w:val="clear" w:color="auto" w:fill="E0E0E0"/>
          </w:tcPr>
          <w:p>
            <w:pPr>
              <w:spacing w:after="0"/>
              <w:rPr>
                <w:sz w:val="14"/>
                <w:szCs w:val="14"/>
                <w:color w:val="auto"/>
              </w:rPr>
            </w:pPr>
          </w:p>
        </w:tc>
        <w:tc>
          <w:tcPr>
            <w:tcW w:w="1060" w:type="dxa"/>
            <w:vAlign w:val="bottom"/>
            <w:gridSpan w:val="2"/>
            <w:shd w:val="clear" w:color="auto" w:fill="E0E0E0"/>
          </w:tcPr>
          <w:p>
            <w:pPr>
              <w:jc w:val="center"/>
              <w:ind w:right="240"/>
              <w:spacing w:after="0"/>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shd w:val="clear" w:color="auto" w:fill="E0E0E0"/>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b w:val="1"/>
                <w:bCs w:val="1"/>
                <w:color w:val="auto"/>
                <w:w w:val="90"/>
              </w:rPr>
              <w:t>Expiration</w:t>
            </w:r>
          </w:p>
        </w:tc>
        <w:tc>
          <w:tcPr>
            <w:tcW w:w="940" w:type="dxa"/>
            <w:vAlign w:val="bottom"/>
            <w:gridSpan w:val="2"/>
            <w:shd w:val="clear" w:color="auto" w:fill="E0E0E0"/>
          </w:tcPr>
          <w:p>
            <w:pPr>
              <w:jc w:val="center"/>
              <w:ind w:right="360"/>
              <w:spacing w:after="0"/>
              <w:rPr>
                <w:sz w:val="20"/>
                <w:szCs w:val="20"/>
                <w:color w:val="auto"/>
              </w:rPr>
            </w:pPr>
            <w:r>
              <w:rPr>
                <w:rFonts w:ascii="Arial" w:cs="Arial" w:eastAsia="Arial" w:hAnsi="Arial"/>
                <w:sz w:val="14"/>
                <w:szCs w:val="14"/>
                <w:b w:val="1"/>
                <w:bCs w:val="1"/>
                <w:color w:val="auto"/>
                <w:w w:val="82"/>
              </w:rPr>
              <w:t>Vested</w:t>
            </w:r>
          </w:p>
        </w:tc>
        <w:tc>
          <w:tcPr>
            <w:tcW w:w="80" w:type="dxa"/>
            <w:vAlign w:val="bottom"/>
            <w:shd w:val="clear" w:color="auto" w:fill="E0E0E0"/>
          </w:tcPr>
          <w:p>
            <w:pPr>
              <w:spacing w:after="0"/>
              <w:rPr>
                <w:sz w:val="14"/>
                <w:szCs w:val="14"/>
                <w:color w:val="auto"/>
              </w:rPr>
            </w:pPr>
          </w:p>
        </w:tc>
        <w:tc>
          <w:tcPr>
            <w:tcW w:w="880" w:type="dxa"/>
            <w:vAlign w:val="bottom"/>
            <w:gridSpan w:val="2"/>
            <w:shd w:val="clear" w:color="auto" w:fill="E0E0E0"/>
          </w:tcPr>
          <w:p>
            <w:pPr>
              <w:jc w:val="center"/>
              <w:ind w:right="380"/>
              <w:spacing w:after="0" w:line="163" w:lineRule="exact"/>
              <w:rPr>
                <w:sz w:val="20"/>
                <w:szCs w:val="20"/>
                <w:color w:val="auto"/>
              </w:rPr>
            </w:pPr>
            <w:r>
              <w:rPr>
                <w:rFonts w:ascii="Arial" w:cs="Arial" w:eastAsia="Arial" w:hAnsi="Arial"/>
                <w:sz w:val="12"/>
                <w:szCs w:val="12"/>
                <w:b w:val="1"/>
                <w:bCs w:val="1"/>
                <w:color w:val="auto"/>
                <w:w w:val="91"/>
              </w:rPr>
              <w:t>Vested</w:t>
            </w:r>
            <w:r>
              <w:rPr>
                <w:rFonts w:ascii="Arial" w:cs="Arial" w:eastAsia="Arial" w:hAnsi="Arial"/>
                <w:sz w:val="18"/>
                <w:szCs w:val="18"/>
                <w:b w:val="1"/>
                <w:bCs w:val="1"/>
                <w:color w:val="auto"/>
                <w:w w:val="91"/>
                <w:vertAlign w:val="superscript"/>
              </w:rPr>
              <w:t>1</w:t>
            </w:r>
          </w:p>
        </w:tc>
        <w:tc>
          <w:tcPr>
            <w:tcW w:w="920" w:type="dxa"/>
            <w:vAlign w:val="bottom"/>
            <w:gridSpan w:val="2"/>
            <w:shd w:val="clear" w:color="auto" w:fill="E0E0E0"/>
          </w:tcPr>
          <w:p>
            <w:pPr>
              <w:jc w:val="center"/>
              <w:ind w:right="100"/>
              <w:spacing w:after="0"/>
              <w:rPr>
                <w:sz w:val="20"/>
                <w:szCs w:val="20"/>
                <w:color w:val="auto"/>
              </w:rPr>
            </w:pPr>
            <w:r>
              <w:rPr>
                <w:rFonts w:ascii="Arial" w:cs="Arial" w:eastAsia="Arial" w:hAnsi="Arial"/>
                <w:sz w:val="14"/>
                <w:szCs w:val="14"/>
                <w:b w:val="1"/>
                <w:bCs w:val="1"/>
                <w:color w:val="auto"/>
                <w:w w:val="82"/>
              </w:rPr>
              <w:t>Vested</w:t>
            </w:r>
          </w:p>
        </w:tc>
        <w:tc>
          <w:tcPr>
            <w:tcW w:w="960" w:type="dxa"/>
            <w:vAlign w:val="bottom"/>
            <w:tcBorders>
              <w:right w:val="single" w:sz="8" w:color="auto"/>
            </w:tcBorders>
            <w:shd w:val="clear" w:color="auto" w:fill="E0E0E0"/>
          </w:tcPr>
          <w:p>
            <w:pPr>
              <w:jc w:val="center"/>
              <w:ind w:right="32"/>
              <w:spacing w:after="0"/>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8"/>
        </w:trPr>
        <w:tc>
          <w:tcPr>
            <w:tcW w:w="920" w:type="dxa"/>
            <w:vAlign w:val="bottom"/>
            <w:tcBorders>
              <w:left w:val="single" w:sz="8" w:color="auto"/>
              <w:bottom w:val="single" w:sz="8" w:color="E0E0E0"/>
            </w:tcBorders>
            <w:shd w:val="clear" w:color="auto" w:fill="E0E0E0"/>
          </w:tcPr>
          <w:p>
            <w:pPr>
              <w:spacing w:after="0"/>
              <w:rPr>
                <w:sz w:val="14"/>
                <w:szCs w:val="14"/>
                <w:color w:val="auto"/>
              </w:rPr>
            </w:pPr>
          </w:p>
        </w:tc>
        <w:tc>
          <w:tcPr>
            <w:tcW w:w="360" w:type="dxa"/>
            <w:vAlign w:val="bottom"/>
            <w:tcBorders>
              <w:bottom w:val="single" w:sz="8" w:color="auto"/>
            </w:tcBorders>
            <w:vMerge w:val="continue"/>
            <w:shd w:val="clear" w:color="auto" w:fill="E0E0E0"/>
          </w:tcPr>
          <w:p>
            <w:pPr>
              <w:spacing w:after="0"/>
              <w:rPr>
                <w:sz w:val="14"/>
                <w:szCs w:val="14"/>
                <w:color w:val="auto"/>
              </w:rPr>
            </w:pPr>
          </w:p>
        </w:tc>
        <w:tc>
          <w:tcPr>
            <w:tcW w:w="800" w:type="dxa"/>
            <w:vAlign w:val="bottom"/>
            <w:tcBorders>
              <w:bottom w:val="single" w:sz="8" w:color="E0E0E0"/>
            </w:tcBorders>
            <w:vMerge w:val="continue"/>
            <w:shd w:val="clear" w:color="auto" w:fill="E0E0E0"/>
          </w:tcPr>
          <w:p>
            <w:pPr>
              <w:spacing w:after="0"/>
              <w:rPr>
                <w:sz w:val="14"/>
                <w:szCs w:val="14"/>
                <w:color w:val="auto"/>
              </w:rPr>
            </w:pPr>
          </w:p>
        </w:tc>
        <w:tc>
          <w:tcPr>
            <w:tcW w:w="240" w:type="dxa"/>
            <w:vAlign w:val="bottom"/>
            <w:tcBorders>
              <w:bottom w:val="single" w:sz="8" w:color="E0E0E0"/>
            </w:tcBorders>
            <w:shd w:val="clear" w:color="auto" w:fill="E0E0E0"/>
          </w:tcPr>
          <w:p>
            <w:pPr>
              <w:spacing w:after="0"/>
              <w:rPr>
                <w:sz w:val="14"/>
                <w:szCs w:val="14"/>
                <w:color w:val="auto"/>
              </w:rPr>
            </w:pPr>
          </w:p>
        </w:tc>
        <w:tc>
          <w:tcPr>
            <w:tcW w:w="1020" w:type="dxa"/>
            <w:vAlign w:val="bottom"/>
            <w:tcBorders>
              <w:bottom w:val="single" w:sz="8" w:color="E0E0E0"/>
            </w:tcBorders>
            <w:gridSpan w:val="2"/>
            <w:shd w:val="clear" w:color="auto" w:fill="E0E0E0"/>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160" w:type="dxa"/>
            <w:vAlign w:val="bottom"/>
            <w:tcBorders>
              <w:bottom w:val="single" w:sz="8" w:color="E0E0E0"/>
            </w:tcBorders>
            <w:gridSpan w:val="2"/>
            <w:shd w:val="clear" w:color="auto" w:fill="E0E0E0"/>
          </w:tcPr>
          <w:p>
            <w:pPr>
              <w:jc w:val="right"/>
              <w:ind w:right="340"/>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82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40" w:type="dxa"/>
            <w:vAlign w:val="bottom"/>
            <w:tcBorders>
              <w:bottom w:val="single" w:sz="8" w:color="E0E0E0"/>
            </w:tcBorders>
            <w:shd w:val="clear" w:color="auto" w:fill="E0E0E0"/>
          </w:tcPr>
          <w:p>
            <w:pPr>
              <w:spacing w:after="0"/>
              <w:rPr>
                <w:sz w:val="14"/>
                <w:szCs w:val="14"/>
                <w:color w:val="auto"/>
              </w:rPr>
            </w:pPr>
          </w:p>
        </w:tc>
        <w:tc>
          <w:tcPr>
            <w:tcW w:w="48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E0E0E0"/>
            </w:tcBorders>
            <w:shd w:val="clear" w:color="auto" w:fill="E0E0E0"/>
          </w:tcPr>
          <w:p>
            <w:pPr>
              <w:spacing w:after="0"/>
              <w:rPr>
                <w:sz w:val="14"/>
                <w:szCs w:val="14"/>
                <w:color w:val="auto"/>
              </w:rPr>
            </w:pPr>
          </w:p>
        </w:tc>
        <w:tc>
          <w:tcPr>
            <w:tcW w:w="940" w:type="dxa"/>
            <w:vAlign w:val="bottom"/>
            <w:tcBorders>
              <w:bottom w:val="single" w:sz="8" w:color="E0E0E0"/>
            </w:tcBorders>
            <w:gridSpan w:val="2"/>
            <w:shd w:val="clear" w:color="auto" w:fill="E0E0E0"/>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Date</w:t>
            </w:r>
          </w:p>
        </w:tc>
        <w:tc>
          <w:tcPr>
            <w:tcW w:w="5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E0E0E0"/>
            </w:tcBorders>
            <w:shd w:val="clear" w:color="auto" w:fill="E0E0E0"/>
          </w:tcPr>
          <w:p>
            <w:pPr>
              <w:spacing w:after="0"/>
              <w:rPr>
                <w:sz w:val="14"/>
                <w:szCs w:val="14"/>
                <w:color w:val="auto"/>
              </w:rPr>
            </w:pPr>
          </w:p>
        </w:tc>
        <w:tc>
          <w:tcPr>
            <w:tcW w:w="80" w:type="dxa"/>
            <w:vAlign w:val="bottom"/>
            <w:tcBorders>
              <w:bottom w:val="single" w:sz="8" w:color="E0E0E0"/>
            </w:tcBorders>
            <w:shd w:val="clear" w:color="auto" w:fill="E0E0E0"/>
          </w:tcPr>
          <w:p>
            <w:pPr>
              <w:spacing w:after="0"/>
              <w:rPr>
                <w:sz w:val="14"/>
                <w:szCs w:val="14"/>
                <w:color w:val="auto"/>
              </w:rPr>
            </w:pPr>
          </w:p>
        </w:tc>
        <w:tc>
          <w:tcPr>
            <w:tcW w:w="5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2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E0E0E0"/>
            </w:tcBorders>
            <w:shd w:val="clear" w:color="auto" w:fill="E0E0E0"/>
          </w:tcPr>
          <w:p>
            <w:pPr>
              <w:spacing w:after="0"/>
              <w:rPr>
                <w:sz w:val="14"/>
                <w:szCs w:val="14"/>
                <w:color w:val="auto"/>
              </w:rPr>
            </w:pPr>
          </w:p>
        </w:tc>
        <w:tc>
          <w:tcPr>
            <w:tcW w:w="960" w:type="dxa"/>
            <w:vAlign w:val="bottom"/>
            <w:tcBorders>
              <w:bottom w:val="single" w:sz="8" w:color="E0E0E0"/>
              <w:right w:val="single" w:sz="8" w:color="auto"/>
            </w:tcBorders>
            <w:shd w:val="clear" w:color="auto" w:fill="E0E0E0"/>
          </w:tcPr>
          <w:p>
            <w:pPr>
              <w:jc w:val="center"/>
              <w:ind w:right="52"/>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36"/>
        </w:trPr>
        <w:tc>
          <w:tcPr>
            <w:tcW w:w="920" w:type="dxa"/>
            <w:vAlign w:val="bottom"/>
            <w:tcBorders>
              <w:top w:val="single" w:sz="8" w:color="E0E0E0"/>
              <w:left w:val="single" w:sz="8" w:color="auto"/>
              <w:bottom w:val="single" w:sz="8" w:color="auto"/>
            </w:tcBorders>
            <w:shd w:val="clear" w:color="auto" w:fill="E0E0E0"/>
          </w:tcPr>
          <w:p>
            <w:pPr>
              <w:spacing w:after="0"/>
              <w:rPr>
                <w:sz w:val="11"/>
                <w:szCs w:val="11"/>
                <w:color w:val="auto"/>
              </w:rPr>
            </w:pPr>
          </w:p>
        </w:tc>
        <w:tc>
          <w:tcPr>
            <w:tcW w:w="1160" w:type="dxa"/>
            <w:vAlign w:val="bottom"/>
            <w:tcBorders>
              <w:top w:val="single" w:sz="8" w:color="E0E0E0"/>
              <w:bottom w:val="single" w:sz="8" w:color="auto"/>
            </w:tcBorders>
            <w:gridSpan w:val="2"/>
            <w:shd w:val="clear" w:color="auto" w:fill="E0E0E0"/>
          </w:tcPr>
          <w:p>
            <w:pPr>
              <w:jc w:val="center"/>
              <w:ind w:right="800"/>
              <w:spacing w:after="0" w:line="136" w:lineRule="exact"/>
              <w:rPr>
                <w:sz w:val="20"/>
                <w:szCs w:val="20"/>
                <w:color w:val="auto"/>
              </w:rPr>
            </w:pPr>
            <w:r>
              <w:rPr>
                <w:rFonts w:ascii="Arial" w:cs="Arial" w:eastAsia="Arial" w:hAnsi="Arial"/>
                <w:sz w:val="14"/>
                <w:szCs w:val="14"/>
                <w:b w:val="1"/>
                <w:bCs w:val="1"/>
                <w:color w:val="auto"/>
                <w:w w:val="93"/>
              </w:rPr>
              <w:t>(a)</w:t>
            </w:r>
          </w:p>
        </w:tc>
        <w:tc>
          <w:tcPr>
            <w:tcW w:w="240" w:type="dxa"/>
            <w:vAlign w:val="bottom"/>
            <w:tcBorders>
              <w:top w:val="single" w:sz="8" w:color="E0E0E0"/>
              <w:bottom w:val="single" w:sz="8" w:color="auto"/>
            </w:tcBorders>
            <w:shd w:val="clear" w:color="auto" w:fill="E0E0E0"/>
          </w:tcPr>
          <w:p>
            <w:pPr>
              <w:spacing w:after="0"/>
              <w:rPr>
                <w:sz w:val="11"/>
                <w:szCs w:val="11"/>
                <w:color w:val="auto"/>
              </w:rPr>
            </w:pPr>
          </w:p>
        </w:tc>
        <w:tc>
          <w:tcPr>
            <w:tcW w:w="72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300" w:type="dxa"/>
            <w:vAlign w:val="bottom"/>
            <w:tcBorders>
              <w:top w:val="single" w:sz="8" w:color="E0E0E0"/>
              <w:bottom w:val="single" w:sz="8" w:color="auto"/>
            </w:tcBorders>
            <w:shd w:val="clear" w:color="auto" w:fill="E0E0E0"/>
          </w:tcPr>
          <w:p>
            <w:pPr>
              <w:spacing w:after="0"/>
              <w:rPr>
                <w:sz w:val="11"/>
                <w:szCs w:val="11"/>
                <w:color w:val="auto"/>
              </w:rPr>
            </w:pPr>
          </w:p>
        </w:tc>
        <w:tc>
          <w:tcPr>
            <w:tcW w:w="82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340" w:type="dxa"/>
            <w:vAlign w:val="bottom"/>
            <w:tcBorders>
              <w:top w:val="single" w:sz="8" w:color="E0E0E0"/>
              <w:bottom w:val="single" w:sz="8" w:color="auto"/>
            </w:tcBorders>
            <w:shd w:val="clear" w:color="auto" w:fill="E0E0E0"/>
          </w:tcPr>
          <w:p>
            <w:pPr>
              <w:spacing w:after="0"/>
              <w:rPr>
                <w:sz w:val="11"/>
                <w:szCs w:val="11"/>
                <w:color w:val="auto"/>
              </w:rPr>
            </w:pPr>
          </w:p>
        </w:tc>
        <w:tc>
          <w:tcPr>
            <w:tcW w:w="82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240" w:type="dxa"/>
            <w:vAlign w:val="bottom"/>
            <w:tcBorders>
              <w:top w:val="single" w:sz="8" w:color="E0E0E0"/>
              <w:bottom w:val="single" w:sz="8" w:color="auto"/>
            </w:tcBorders>
            <w:shd w:val="clear" w:color="auto" w:fill="E0E0E0"/>
          </w:tcPr>
          <w:p>
            <w:pPr>
              <w:spacing w:after="0"/>
              <w:rPr>
                <w:sz w:val="11"/>
                <w:szCs w:val="11"/>
                <w:color w:val="auto"/>
              </w:rPr>
            </w:pPr>
          </w:p>
        </w:tc>
        <w:tc>
          <w:tcPr>
            <w:tcW w:w="48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1"/>
              </w:rPr>
              <w:t>(e)</w:t>
            </w:r>
          </w:p>
        </w:tc>
        <w:tc>
          <w:tcPr>
            <w:tcW w:w="320" w:type="dxa"/>
            <w:vAlign w:val="bottom"/>
            <w:tcBorders>
              <w:top w:val="single" w:sz="8" w:color="E0E0E0"/>
              <w:bottom w:val="single" w:sz="8" w:color="auto"/>
            </w:tcBorders>
            <w:shd w:val="clear" w:color="auto" w:fill="E0E0E0"/>
          </w:tcPr>
          <w:p>
            <w:pPr>
              <w:spacing w:after="0"/>
              <w:rPr>
                <w:sz w:val="11"/>
                <w:szCs w:val="11"/>
                <w:color w:val="auto"/>
              </w:rPr>
            </w:pPr>
          </w:p>
        </w:tc>
        <w:tc>
          <w:tcPr>
            <w:tcW w:w="6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5"/>
              </w:rPr>
              <w:t>(f)</w:t>
            </w:r>
          </w:p>
        </w:tc>
        <w:tc>
          <w:tcPr>
            <w:tcW w:w="300" w:type="dxa"/>
            <w:vAlign w:val="bottom"/>
            <w:tcBorders>
              <w:top w:val="single" w:sz="8" w:color="E0E0E0"/>
              <w:bottom w:val="single" w:sz="8" w:color="auto"/>
            </w:tcBorders>
            <w:shd w:val="clear" w:color="auto" w:fill="E0E0E0"/>
          </w:tcPr>
          <w:p>
            <w:pPr>
              <w:spacing w:after="0"/>
              <w:rPr>
                <w:sz w:val="11"/>
                <w:szCs w:val="11"/>
                <w:color w:val="auto"/>
              </w:rPr>
            </w:pPr>
          </w:p>
        </w:tc>
        <w:tc>
          <w:tcPr>
            <w:tcW w:w="5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380" w:type="dxa"/>
            <w:vAlign w:val="bottom"/>
            <w:tcBorders>
              <w:top w:val="single" w:sz="8" w:color="E0E0E0"/>
              <w:bottom w:val="single" w:sz="8" w:color="auto"/>
            </w:tcBorders>
            <w:shd w:val="clear" w:color="auto" w:fill="E0E0E0"/>
          </w:tcPr>
          <w:p>
            <w:pPr>
              <w:spacing w:after="0"/>
              <w:rPr>
                <w:sz w:val="11"/>
                <w:szCs w:val="11"/>
                <w:color w:val="auto"/>
              </w:rPr>
            </w:pPr>
          </w:p>
        </w:tc>
        <w:tc>
          <w:tcPr>
            <w:tcW w:w="80" w:type="dxa"/>
            <w:vAlign w:val="bottom"/>
            <w:tcBorders>
              <w:top w:val="single" w:sz="8" w:color="auto"/>
              <w:bottom w:val="single" w:sz="8" w:color="auto"/>
            </w:tcBorders>
            <w:shd w:val="clear" w:color="auto" w:fill="E0E0E0"/>
          </w:tcPr>
          <w:p>
            <w:pPr>
              <w:spacing w:after="0"/>
              <w:rPr>
                <w:sz w:val="11"/>
                <w:szCs w:val="11"/>
                <w:color w:val="auto"/>
              </w:rPr>
            </w:pPr>
          </w:p>
        </w:tc>
        <w:tc>
          <w:tcPr>
            <w:tcW w:w="5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rPr>
              <w:t>(h)</w:t>
            </w:r>
          </w:p>
        </w:tc>
        <w:tc>
          <w:tcPr>
            <w:tcW w:w="320" w:type="dxa"/>
            <w:vAlign w:val="bottom"/>
            <w:tcBorders>
              <w:top w:val="single" w:sz="8" w:color="E0E0E0"/>
              <w:bottom w:val="single" w:sz="8" w:color="auto"/>
            </w:tcBorders>
            <w:shd w:val="clear" w:color="auto" w:fill="E0E0E0"/>
          </w:tcPr>
          <w:p>
            <w:pPr>
              <w:spacing w:after="0"/>
              <w:rPr>
                <w:sz w:val="11"/>
                <w:szCs w:val="11"/>
                <w:color w:val="auto"/>
              </w:rPr>
            </w:pPr>
          </w:p>
        </w:tc>
        <w:tc>
          <w:tcPr>
            <w:tcW w:w="80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20" w:type="dxa"/>
            <w:vAlign w:val="bottom"/>
            <w:tcBorders>
              <w:top w:val="single" w:sz="8" w:color="E0E0E0"/>
              <w:bottom w:val="single" w:sz="8" w:color="auto"/>
            </w:tcBorders>
            <w:shd w:val="clear" w:color="auto" w:fill="E0E0E0"/>
          </w:tcPr>
          <w:p>
            <w:pPr>
              <w:spacing w:after="0"/>
              <w:rPr>
                <w:sz w:val="11"/>
                <w:szCs w:val="11"/>
                <w:color w:val="auto"/>
              </w:rPr>
            </w:pPr>
          </w:p>
        </w:tc>
        <w:tc>
          <w:tcPr>
            <w:tcW w:w="960" w:type="dxa"/>
            <w:vAlign w:val="bottom"/>
            <w:tcBorders>
              <w:top w:val="single" w:sz="8" w:color="auto"/>
              <w:bottom w:val="single" w:sz="8" w:color="auto"/>
              <w:right w:val="single" w:sz="8" w:color="auto"/>
            </w:tcBorders>
            <w:shd w:val="clear" w:color="auto" w:fill="E0E0E0"/>
          </w:tcPr>
          <w:p>
            <w:pPr>
              <w:jc w:val="center"/>
              <w:ind w:right="52"/>
              <w:spacing w:after="0" w:line="136"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15"/>
        </w:trPr>
        <w:tc>
          <w:tcPr>
            <w:tcW w:w="920" w:type="dxa"/>
            <w:vAlign w:val="bottom"/>
            <w:tcBorders>
              <w:left w:val="single" w:sz="8" w:color="auto"/>
            </w:tcBorders>
            <w:shd w:val="clear" w:color="auto" w:fill="E0E0E0"/>
          </w:tcPr>
          <w:p>
            <w:pPr>
              <w:spacing w:after="0"/>
              <w:rPr>
                <w:sz w:val="10"/>
                <w:szCs w:val="10"/>
                <w:color w:val="auto"/>
              </w:rPr>
            </w:pPr>
          </w:p>
        </w:tc>
        <w:tc>
          <w:tcPr>
            <w:tcW w:w="360" w:type="dxa"/>
            <w:vAlign w:val="bottom"/>
            <w:shd w:val="clear" w:color="auto" w:fill="E0E0E0"/>
          </w:tcPr>
          <w:p>
            <w:pPr>
              <w:spacing w:after="0"/>
              <w:rPr>
                <w:sz w:val="10"/>
                <w:szCs w:val="10"/>
                <w:color w:val="auto"/>
              </w:rPr>
            </w:pPr>
          </w:p>
        </w:tc>
        <w:tc>
          <w:tcPr>
            <w:tcW w:w="80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1020" w:type="dxa"/>
            <w:vAlign w:val="bottom"/>
            <w:gridSpan w:val="2"/>
            <w:shd w:val="clear" w:color="auto" w:fill="E0E0E0"/>
          </w:tcPr>
          <w:p>
            <w:pPr>
              <w:jc w:val="right"/>
              <w:ind w:right="300"/>
              <w:spacing w:after="0" w:line="115" w:lineRule="exact"/>
              <w:rPr>
                <w:sz w:val="20"/>
                <w:szCs w:val="20"/>
                <w:color w:val="auto"/>
              </w:rPr>
            </w:pPr>
            <w:r>
              <w:rPr>
                <w:rFonts w:ascii="Arial" w:cs="Arial" w:eastAsia="Arial" w:hAnsi="Arial"/>
                <w:sz w:val="12"/>
                <w:szCs w:val="12"/>
                <w:color w:val="auto"/>
              </w:rPr>
              <w:t>13,165</w:t>
            </w:r>
          </w:p>
        </w:tc>
        <w:tc>
          <w:tcPr>
            <w:tcW w:w="1160" w:type="dxa"/>
            <w:vAlign w:val="bottom"/>
            <w:gridSpan w:val="2"/>
            <w:shd w:val="clear" w:color="auto" w:fill="E0E0E0"/>
          </w:tcPr>
          <w:p>
            <w:pPr>
              <w:jc w:val="right"/>
              <w:ind w:right="340"/>
              <w:spacing w:after="0" w:line="115" w:lineRule="exact"/>
              <w:rPr>
                <w:sz w:val="20"/>
                <w:szCs w:val="20"/>
                <w:color w:val="auto"/>
              </w:rPr>
            </w:pPr>
            <w:r>
              <w:rPr>
                <w:rFonts w:ascii="Arial" w:cs="Arial" w:eastAsia="Arial" w:hAnsi="Arial"/>
                <w:sz w:val="12"/>
                <w:szCs w:val="12"/>
                <w:color w:val="auto"/>
              </w:rPr>
              <w:t>0</w:t>
            </w:r>
          </w:p>
        </w:tc>
        <w:tc>
          <w:tcPr>
            <w:tcW w:w="82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800" w:type="dxa"/>
            <w:vAlign w:val="bottom"/>
            <w:gridSpan w:val="2"/>
            <w:shd w:val="clear" w:color="auto" w:fill="E0E0E0"/>
          </w:tcPr>
          <w:p>
            <w:pPr>
              <w:jc w:val="right"/>
              <w:ind w:right="300"/>
              <w:spacing w:after="0" w:line="115" w:lineRule="exact"/>
              <w:rPr>
                <w:sz w:val="20"/>
                <w:szCs w:val="20"/>
                <w:color w:val="auto"/>
              </w:rPr>
            </w:pPr>
            <w:r>
              <w:rPr>
                <w:rFonts w:ascii="Arial" w:cs="Arial" w:eastAsia="Arial" w:hAnsi="Arial"/>
                <w:sz w:val="12"/>
                <w:szCs w:val="12"/>
                <w:color w:val="auto"/>
              </w:rPr>
              <w:t>151.92</w:t>
            </w:r>
          </w:p>
        </w:tc>
        <w:tc>
          <w:tcPr>
            <w:tcW w:w="940" w:type="dxa"/>
            <w:vAlign w:val="bottom"/>
            <w:gridSpan w:val="2"/>
            <w:shd w:val="clear" w:color="auto" w:fill="E0E0E0"/>
          </w:tcPr>
          <w:p>
            <w:pPr>
              <w:jc w:val="right"/>
              <w:ind w:right="300"/>
              <w:spacing w:after="0" w:line="115" w:lineRule="exact"/>
              <w:rPr>
                <w:sz w:val="20"/>
                <w:szCs w:val="20"/>
                <w:color w:val="auto"/>
              </w:rPr>
            </w:pPr>
            <w:r>
              <w:rPr>
                <w:rFonts w:ascii="Arial" w:cs="Arial" w:eastAsia="Arial" w:hAnsi="Arial"/>
                <w:sz w:val="12"/>
                <w:szCs w:val="12"/>
                <w:color w:val="auto"/>
              </w:rPr>
              <w:t>5/22/2015</w:t>
            </w:r>
          </w:p>
        </w:tc>
        <w:tc>
          <w:tcPr>
            <w:tcW w:w="940" w:type="dxa"/>
            <w:vAlign w:val="bottom"/>
            <w:gridSpan w:val="2"/>
            <w:shd w:val="clear" w:color="auto" w:fill="E0E0E0"/>
          </w:tcPr>
          <w:p>
            <w:pPr>
              <w:jc w:val="right"/>
              <w:ind w:right="320"/>
              <w:spacing w:after="0" w:line="115" w:lineRule="exact"/>
              <w:rPr>
                <w:sz w:val="20"/>
                <w:szCs w:val="20"/>
                <w:color w:val="auto"/>
              </w:rPr>
            </w:pPr>
            <w:r>
              <w:rPr>
                <w:rFonts w:ascii="Arial" w:cs="Arial" w:eastAsia="Arial" w:hAnsi="Arial"/>
                <w:sz w:val="9"/>
                <w:szCs w:val="9"/>
                <w:color w:val="auto"/>
              </w:rPr>
              <w:t>7,520</w:t>
            </w:r>
            <w:r>
              <w:rPr>
                <w:rFonts w:ascii="Arial" w:cs="Arial" w:eastAsia="Arial" w:hAnsi="Arial"/>
                <w:sz w:val="13"/>
                <w:szCs w:val="13"/>
                <w:color w:val="auto"/>
                <w:vertAlign w:val="superscript"/>
              </w:rPr>
              <w:t>6</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15" w:lineRule="exact"/>
              <w:rPr>
                <w:sz w:val="20"/>
                <w:szCs w:val="20"/>
                <w:color w:val="auto"/>
              </w:rPr>
            </w:pPr>
            <w:r>
              <w:rPr>
                <w:rFonts w:ascii="Arial" w:cs="Arial" w:eastAsia="Arial" w:hAnsi="Arial"/>
                <w:sz w:val="12"/>
                <w:szCs w:val="12"/>
                <w:color w:val="auto"/>
              </w:rPr>
              <w:t>708,986</w:t>
            </w:r>
          </w:p>
        </w:tc>
        <w:tc>
          <w:tcPr>
            <w:tcW w:w="8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96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15,707</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117.77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5/28/2016</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5,598</w:t>
            </w:r>
            <w:r>
              <w:rPr>
                <w:rFonts w:ascii="Arial" w:cs="Arial" w:eastAsia="Arial" w:hAnsi="Arial"/>
                <w:sz w:val="17"/>
                <w:szCs w:val="17"/>
                <w:color w:val="auto"/>
                <w:vertAlign w:val="superscript"/>
              </w:rPr>
              <w:t>7</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527,779</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restart"/>
            <w:shd w:val="clear" w:color="auto" w:fill="E0E0E0"/>
          </w:tcPr>
          <w:p>
            <w:pPr>
              <w:ind w:left="120"/>
              <w:spacing w:after="0"/>
              <w:rPr>
                <w:sz w:val="20"/>
                <w:szCs w:val="20"/>
                <w:color w:val="auto"/>
              </w:rPr>
            </w:pPr>
            <w:r>
              <w:rPr>
                <w:rFonts w:ascii="Arial" w:cs="Arial" w:eastAsia="Arial" w:hAnsi="Arial"/>
                <w:sz w:val="14"/>
                <w:szCs w:val="14"/>
                <w:b w:val="1"/>
                <w:bCs w:val="1"/>
                <w:color w:val="auto"/>
              </w:rPr>
              <w:t>C. Howard Nye</w:t>
            </w: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11,279</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3,760</w:t>
            </w:r>
            <w:r>
              <w:rPr>
                <w:rFonts w:ascii="Arial" w:cs="Arial" w:eastAsia="Arial" w:hAnsi="Arial"/>
                <w:sz w:val="17"/>
                <w:szCs w:val="17"/>
                <w:color w:val="auto"/>
                <w:vertAlign w:val="superscript"/>
              </w:rPr>
              <w:t>2</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79.79</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5/27/2017</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6,307</w:t>
            </w:r>
            <w:r>
              <w:rPr>
                <w:rFonts w:ascii="Arial" w:cs="Arial" w:eastAsia="Arial" w:hAnsi="Arial"/>
                <w:sz w:val="17"/>
                <w:szCs w:val="17"/>
                <w:color w:val="auto"/>
                <w:vertAlign w:val="superscript"/>
              </w:rPr>
              <w:t>8</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594,624</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continue"/>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5,598</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5,598</w:t>
            </w:r>
            <w:r>
              <w:rPr>
                <w:rFonts w:ascii="Arial" w:cs="Arial" w:eastAsia="Arial" w:hAnsi="Arial"/>
                <w:sz w:val="17"/>
                <w:szCs w:val="17"/>
                <w:color w:val="auto"/>
                <w:vertAlign w:val="superscript"/>
              </w:rPr>
              <w:t>3</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95.27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5/27/2018</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8,159</w:t>
            </w:r>
            <w:r>
              <w:rPr>
                <w:rFonts w:ascii="Arial" w:cs="Arial" w:eastAsia="Arial" w:hAnsi="Arial"/>
                <w:sz w:val="17"/>
                <w:szCs w:val="17"/>
                <w:color w:val="auto"/>
                <w:vertAlign w:val="superscript"/>
              </w:rPr>
              <w:t>9</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769,231</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2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3,152</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9,457</w:t>
            </w:r>
            <w:r>
              <w:rPr>
                <w:rFonts w:ascii="Arial" w:cs="Arial" w:eastAsia="Arial" w:hAnsi="Arial"/>
                <w:sz w:val="17"/>
                <w:szCs w:val="17"/>
                <w:color w:val="auto"/>
                <w:vertAlign w:val="superscript"/>
              </w:rPr>
              <w:t>4</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86.90</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5/12/2019</w:t>
            </w:r>
          </w:p>
        </w:tc>
        <w:tc>
          <w:tcPr>
            <w:tcW w:w="94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1"/>
                <w:szCs w:val="11"/>
                <w:color w:val="auto"/>
              </w:rPr>
              <w:t>3,099</w:t>
            </w:r>
            <w:r>
              <w:rPr>
                <w:rFonts w:ascii="Arial" w:cs="Arial" w:eastAsia="Arial" w:hAnsi="Arial"/>
                <w:sz w:val="17"/>
                <w:szCs w:val="17"/>
                <w:color w:val="auto"/>
                <w:vertAlign w:val="superscript"/>
              </w:rPr>
              <w:t>10</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292,174</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tcBorders>
            <w:shd w:val="clear" w:color="auto" w:fill="E0E0E0"/>
          </w:tcPr>
          <w:p>
            <w:pPr>
              <w:spacing w:after="0"/>
              <w:rPr>
                <w:sz w:val="16"/>
                <w:szCs w:val="16"/>
                <w:color w:val="auto"/>
              </w:rPr>
            </w:pPr>
          </w:p>
        </w:tc>
        <w:tc>
          <w:tcPr>
            <w:tcW w:w="360" w:type="dxa"/>
            <w:vAlign w:val="bottom"/>
            <w:shd w:val="clear" w:color="auto" w:fill="E0E0E0"/>
          </w:tcPr>
          <w:p>
            <w:pPr>
              <w:spacing w:after="0"/>
              <w:rPr>
                <w:sz w:val="16"/>
                <w:szCs w:val="16"/>
                <w:color w:val="auto"/>
              </w:rPr>
            </w:pPr>
          </w:p>
        </w:tc>
        <w:tc>
          <w:tcPr>
            <w:tcW w:w="800" w:type="dxa"/>
            <w:vAlign w:val="bottom"/>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102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rPr>
              <w:t>0</w:t>
            </w:r>
          </w:p>
        </w:tc>
        <w:tc>
          <w:tcPr>
            <w:tcW w:w="1160" w:type="dxa"/>
            <w:vAlign w:val="bottom"/>
            <w:gridSpan w:val="2"/>
            <w:shd w:val="clear" w:color="auto" w:fill="E0E0E0"/>
          </w:tcPr>
          <w:p>
            <w:pPr>
              <w:jc w:val="right"/>
              <w:ind w:right="280"/>
              <w:spacing w:after="0" w:line="189" w:lineRule="exact"/>
              <w:rPr>
                <w:sz w:val="20"/>
                <w:szCs w:val="20"/>
                <w:color w:val="auto"/>
              </w:rPr>
            </w:pPr>
            <w:r>
              <w:rPr>
                <w:rFonts w:ascii="Arial" w:cs="Arial" w:eastAsia="Arial" w:hAnsi="Arial"/>
                <w:sz w:val="13"/>
                <w:szCs w:val="13"/>
                <w:color w:val="auto"/>
              </w:rPr>
              <w:t>16,317</w:t>
            </w:r>
            <w:r>
              <w:rPr>
                <w:rFonts w:ascii="Arial" w:cs="Arial" w:eastAsia="Arial" w:hAnsi="Arial"/>
                <w:sz w:val="21"/>
                <w:szCs w:val="21"/>
                <w:color w:val="auto"/>
                <w:vertAlign w:val="superscript"/>
              </w:rPr>
              <w:t>5</w:t>
            </w:r>
          </w:p>
        </w:tc>
        <w:tc>
          <w:tcPr>
            <w:tcW w:w="820" w:type="dxa"/>
            <w:vAlign w:val="bottom"/>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80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rPr>
              <w:t>69.12</w:t>
            </w:r>
          </w:p>
        </w:tc>
        <w:tc>
          <w:tcPr>
            <w:tcW w:w="94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w w:val="99"/>
              </w:rPr>
              <w:t>5/24/2020</w:t>
            </w:r>
          </w:p>
        </w:tc>
        <w:tc>
          <w:tcPr>
            <w:tcW w:w="940" w:type="dxa"/>
            <w:vAlign w:val="bottom"/>
            <w:gridSpan w:val="2"/>
            <w:shd w:val="clear" w:color="auto" w:fill="E0E0E0"/>
          </w:tcPr>
          <w:p>
            <w:pPr>
              <w:jc w:val="right"/>
              <w:ind w:right="280"/>
              <w:spacing w:after="0" w:line="189" w:lineRule="exact"/>
              <w:rPr>
                <w:sz w:val="20"/>
                <w:szCs w:val="20"/>
                <w:color w:val="auto"/>
              </w:rPr>
            </w:pPr>
            <w:r>
              <w:rPr>
                <w:rFonts w:ascii="Arial" w:cs="Arial" w:eastAsia="Arial" w:hAnsi="Arial"/>
                <w:sz w:val="13"/>
                <w:szCs w:val="13"/>
                <w:color w:val="auto"/>
              </w:rPr>
              <w:t>2,688</w:t>
            </w:r>
            <w:r>
              <w:rPr>
                <w:rFonts w:ascii="Arial" w:cs="Arial" w:eastAsia="Arial" w:hAnsi="Arial"/>
                <w:sz w:val="21"/>
                <w:szCs w:val="21"/>
                <w:color w:val="auto"/>
                <w:vertAlign w:val="superscript"/>
              </w:rPr>
              <w:t>11</w:t>
            </w:r>
          </w:p>
        </w:tc>
        <w:tc>
          <w:tcPr>
            <w:tcW w:w="80" w:type="dxa"/>
            <w:vAlign w:val="bottom"/>
            <w:shd w:val="clear" w:color="auto" w:fill="E0E0E0"/>
          </w:tcPr>
          <w:p>
            <w:pPr>
              <w:spacing w:after="0"/>
              <w:rPr>
                <w:sz w:val="16"/>
                <w:szCs w:val="16"/>
                <w:color w:val="auto"/>
              </w:rPr>
            </w:pPr>
          </w:p>
        </w:tc>
        <w:tc>
          <w:tcPr>
            <w:tcW w:w="880" w:type="dxa"/>
            <w:vAlign w:val="bottom"/>
            <w:gridSpan w:val="2"/>
            <w:shd w:val="clear" w:color="auto" w:fill="E0E0E0"/>
          </w:tcPr>
          <w:p>
            <w:pPr>
              <w:jc w:val="right"/>
              <w:ind w:right="320"/>
              <w:spacing w:after="0"/>
              <w:rPr>
                <w:sz w:val="20"/>
                <w:szCs w:val="20"/>
                <w:color w:val="auto"/>
              </w:rPr>
            </w:pPr>
            <w:r>
              <w:rPr>
                <w:rFonts w:ascii="Arial" w:cs="Arial" w:eastAsia="Arial" w:hAnsi="Arial"/>
                <w:sz w:val="14"/>
                <w:szCs w:val="14"/>
                <w:color w:val="auto"/>
              </w:rPr>
              <w:t>253,425</w:t>
            </w:r>
          </w:p>
        </w:tc>
        <w:tc>
          <w:tcPr>
            <w:tcW w:w="80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96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300"/>
              <w:spacing w:after="0" w:line="122" w:lineRule="exact"/>
              <w:rPr>
                <w:sz w:val="20"/>
                <w:szCs w:val="20"/>
                <w:color w:val="auto"/>
              </w:rPr>
            </w:pPr>
            <w:r>
              <w:rPr>
                <w:rFonts w:ascii="Arial" w:cs="Arial" w:eastAsia="Arial" w:hAnsi="Arial"/>
                <w:sz w:val="14"/>
                <w:szCs w:val="14"/>
                <w:color w:val="auto"/>
              </w:rPr>
              <w:t>2,812</w:t>
            </w:r>
          </w:p>
        </w:tc>
        <w:tc>
          <w:tcPr>
            <w:tcW w:w="1160" w:type="dxa"/>
            <w:vAlign w:val="bottom"/>
            <w:gridSpan w:val="2"/>
          </w:tcPr>
          <w:p>
            <w:pPr>
              <w:jc w:val="right"/>
              <w:ind w:right="340"/>
              <w:spacing w:after="0" w:line="122"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4"/>
                <w:szCs w:val="14"/>
                <w:color w:val="auto"/>
              </w:rPr>
              <w:t>61.05</w:t>
            </w:r>
          </w:p>
        </w:tc>
        <w:tc>
          <w:tcPr>
            <w:tcW w:w="940" w:type="dxa"/>
            <w:vAlign w:val="bottom"/>
            <w:gridSpan w:val="2"/>
          </w:tcPr>
          <w:p>
            <w:pPr>
              <w:jc w:val="right"/>
              <w:ind w:right="300"/>
              <w:spacing w:after="0" w:line="122" w:lineRule="exact"/>
              <w:rPr>
                <w:sz w:val="20"/>
                <w:szCs w:val="20"/>
                <w:color w:val="auto"/>
              </w:rPr>
            </w:pPr>
            <w:r>
              <w:rPr>
                <w:rFonts w:ascii="Arial" w:cs="Arial" w:eastAsia="Arial" w:hAnsi="Arial"/>
                <w:sz w:val="14"/>
                <w:szCs w:val="14"/>
                <w:color w:val="auto"/>
                <w:w w:val="99"/>
              </w:rPr>
              <w:t>5/24/2013</w:t>
            </w:r>
          </w:p>
        </w:tc>
        <w:tc>
          <w:tcPr>
            <w:tcW w:w="940" w:type="dxa"/>
            <w:vAlign w:val="bottom"/>
            <w:gridSpan w:val="2"/>
          </w:tcPr>
          <w:p>
            <w:pPr>
              <w:jc w:val="right"/>
              <w:ind w:right="320"/>
              <w:spacing w:after="0" w:line="122" w:lineRule="exact"/>
              <w:rPr>
                <w:sz w:val="20"/>
                <w:szCs w:val="20"/>
                <w:color w:val="auto"/>
              </w:rPr>
            </w:pPr>
            <w:r>
              <w:rPr>
                <w:rFonts w:ascii="Arial" w:cs="Arial" w:eastAsia="Arial" w:hAnsi="Arial"/>
                <w:sz w:val="10"/>
                <w:szCs w:val="10"/>
                <w:color w:val="auto"/>
              </w:rPr>
              <w:t>4,530</w:t>
            </w:r>
            <w:r>
              <w:rPr>
                <w:rFonts w:ascii="Arial" w:cs="Arial" w:eastAsia="Arial" w:hAnsi="Arial"/>
                <w:sz w:val="14"/>
                <w:szCs w:val="14"/>
                <w:color w:val="auto"/>
                <w:vertAlign w:val="superscript"/>
              </w:rPr>
              <w:t>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22" w:lineRule="exact"/>
              <w:rPr>
                <w:sz w:val="20"/>
                <w:szCs w:val="20"/>
                <w:color w:val="auto"/>
              </w:rPr>
            </w:pPr>
            <w:r>
              <w:rPr>
                <w:rFonts w:ascii="Arial" w:cs="Arial" w:eastAsia="Arial" w:hAnsi="Arial"/>
                <w:sz w:val="14"/>
                <w:szCs w:val="14"/>
                <w:color w:val="auto"/>
              </w:rPr>
              <w:t>427,088</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6,815</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89.02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5/22/2014</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1,897</w:t>
            </w:r>
            <w:r>
              <w:rPr>
                <w:rFonts w:ascii="Arial" w:cs="Arial" w:eastAsia="Arial" w:hAnsi="Arial"/>
                <w:sz w:val="17"/>
                <w:szCs w:val="17"/>
                <w:color w:val="auto"/>
                <w:vertAlign w:val="superscript"/>
              </w:rPr>
              <w:t>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178,849</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10,000</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42.38</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8/17/2014</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2,137</w:t>
            </w:r>
            <w:r>
              <w:rPr>
                <w:rFonts w:ascii="Arial" w:cs="Arial" w:eastAsia="Arial" w:hAnsi="Arial"/>
                <w:sz w:val="17"/>
                <w:szCs w:val="17"/>
                <w:color w:val="auto"/>
                <w:vertAlign w:val="superscript"/>
              </w:rPr>
              <w:t>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201,476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8,602</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151.92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5/22/2015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2,765</w:t>
            </w:r>
            <w:r>
              <w:rPr>
                <w:rFonts w:ascii="Arial" w:cs="Arial" w:eastAsia="Arial" w:hAnsi="Arial"/>
                <w:sz w:val="17"/>
                <w:szCs w:val="17"/>
                <w:color w:val="auto"/>
                <w:vertAlign w:val="superscript"/>
              </w:rPr>
              <w:t>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260,684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color w:val="auto"/>
              </w:rPr>
              <w:t>Anne H. Lloyd</w:t>
            </w: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10,263</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117.77</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5/28/2016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1"/>
                <w:szCs w:val="11"/>
                <w:color w:val="auto"/>
              </w:rPr>
              <w:t>805</w:t>
            </w:r>
            <w:r>
              <w:rPr>
                <w:rFonts w:ascii="Arial" w:cs="Arial" w:eastAsia="Arial" w:hAnsi="Arial"/>
                <w:sz w:val="17"/>
                <w:szCs w:val="17"/>
                <w:color w:val="auto"/>
                <w:vertAlign w:val="superscript"/>
              </w:rPr>
              <w:t>10</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75,895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6,795</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2,265</w:t>
            </w:r>
            <w:r>
              <w:rPr>
                <w:rFonts w:ascii="Arial" w:cs="Arial" w:eastAsia="Arial" w:hAnsi="Arial"/>
                <w:sz w:val="17"/>
                <w:szCs w:val="17"/>
                <w:color w:val="auto"/>
                <w:vertAlign w:val="superscript"/>
              </w:rPr>
              <w:t>2</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79.79</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5/27/2017</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692</w:t>
            </w:r>
            <w:r>
              <w:rPr>
                <w:rFonts w:ascii="Arial" w:cs="Arial" w:eastAsia="Arial" w:hAnsi="Arial"/>
                <w:sz w:val="17"/>
                <w:szCs w:val="17"/>
                <w:color w:val="auto"/>
                <w:vertAlign w:val="superscript"/>
              </w:rPr>
              <w:t>11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65,242</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1,897</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1,897</w:t>
            </w:r>
            <w:r>
              <w:rPr>
                <w:rFonts w:ascii="Arial" w:cs="Arial" w:eastAsia="Arial" w:hAnsi="Arial"/>
                <w:sz w:val="17"/>
                <w:szCs w:val="17"/>
                <w:color w:val="auto"/>
                <w:vertAlign w:val="superscript"/>
              </w:rPr>
              <w:t>3</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95.27</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5/27/2018</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1,068</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3,206</w:t>
            </w:r>
            <w:r>
              <w:rPr>
                <w:rFonts w:ascii="Arial" w:cs="Arial" w:eastAsia="Arial" w:hAnsi="Arial"/>
                <w:sz w:val="17"/>
                <w:szCs w:val="17"/>
                <w:color w:val="auto"/>
                <w:vertAlign w:val="superscript"/>
              </w:rPr>
              <w:t>4</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86.90</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5/12/2019</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80"/>
              <w:spacing w:after="0" w:line="189" w:lineRule="exact"/>
              <w:rPr>
                <w:sz w:val="20"/>
                <w:szCs w:val="20"/>
                <w:color w:val="auto"/>
              </w:rPr>
            </w:pPr>
            <w:r>
              <w:rPr>
                <w:rFonts w:ascii="Arial" w:cs="Arial" w:eastAsia="Arial" w:hAnsi="Arial"/>
                <w:sz w:val="13"/>
                <w:szCs w:val="13"/>
                <w:color w:val="auto"/>
              </w:rPr>
              <w:t>5,530</w:t>
            </w:r>
            <w:r>
              <w:rPr>
                <w:rFonts w:ascii="Arial" w:cs="Arial" w:eastAsia="Arial" w:hAnsi="Arial"/>
                <w:sz w:val="21"/>
                <w:szCs w:val="21"/>
                <w:color w:val="auto"/>
                <w:vertAlign w:val="superscript"/>
              </w:rPr>
              <w:t>5</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69.12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5/24/2020</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shd w:val="clear" w:color="auto" w:fill="E0E0E0"/>
          </w:tcPr>
          <w:p>
            <w:pPr>
              <w:spacing w:after="0"/>
              <w:rPr>
                <w:sz w:val="10"/>
                <w:szCs w:val="10"/>
                <w:color w:val="auto"/>
              </w:rPr>
            </w:pPr>
          </w:p>
        </w:tc>
        <w:tc>
          <w:tcPr>
            <w:tcW w:w="360" w:type="dxa"/>
            <w:vAlign w:val="bottom"/>
            <w:shd w:val="clear" w:color="auto" w:fill="E0E0E0"/>
          </w:tcPr>
          <w:p>
            <w:pPr>
              <w:spacing w:after="0"/>
              <w:rPr>
                <w:sz w:val="10"/>
                <w:szCs w:val="10"/>
                <w:color w:val="auto"/>
              </w:rPr>
            </w:pPr>
          </w:p>
        </w:tc>
        <w:tc>
          <w:tcPr>
            <w:tcW w:w="800" w:type="dxa"/>
            <w:vAlign w:val="bottom"/>
            <w:shd w:val="clear" w:color="auto" w:fill="E0E0E0"/>
          </w:tcPr>
          <w:p>
            <w:pPr>
              <w:spacing w:after="0"/>
              <w:rPr>
                <w:sz w:val="10"/>
                <w:szCs w:val="10"/>
                <w:color w:val="auto"/>
              </w:rPr>
            </w:pPr>
          </w:p>
        </w:tc>
        <w:tc>
          <w:tcPr>
            <w:tcW w:w="1260" w:type="dxa"/>
            <w:vAlign w:val="bottom"/>
            <w:gridSpan w:val="3"/>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rPr>
              <w:t>4,686</w:t>
            </w:r>
          </w:p>
        </w:tc>
        <w:tc>
          <w:tcPr>
            <w:tcW w:w="1160" w:type="dxa"/>
            <w:vAlign w:val="bottom"/>
            <w:gridSpan w:val="2"/>
            <w:shd w:val="clear" w:color="auto" w:fill="E0E0E0"/>
          </w:tcPr>
          <w:p>
            <w:pPr>
              <w:jc w:val="right"/>
              <w:ind w:right="340"/>
              <w:spacing w:after="0" w:line="122"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800" w:type="dxa"/>
            <w:vAlign w:val="bottom"/>
            <w:gridSpan w:val="2"/>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rPr>
              <w:t>61.05</w:t>
            </w:r>
          </w:p>
        </w:tc>
        <w:tc>
          <w:tcPr>
            <w:tcW w:w="940" w:type="dxa"/>
            <w:vAlign w:val="bottom"/>
            <w:gridSpan w:val="2"/>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w w:val="99"/>
              </w:rPr>
              <w:t>5/24/2013</w:t>
            </w:r>
          </w:p>
        </w:tc>
        <w:tc>
          <w:tcPr>
            <w:tcW w:w="940" w:type="dxa"/>
            <w:vAlign w:val="bottom"/>
            <w:gridSpan w:val="2"/>
            <w:shd w:val="clear" w:color="auto" w:fill="E0E0E0"/>
          </w:tcPr>
          <w:p>
            <w:pPr>
              <w:jc w:val="right"/>
              <w:ind w:right="320"/>
              <w:spacing w:after="0" w:line="122" w:lineRule="exact"/>
              <w:rPr>
                <w:sz w:val="20"/>
                <w:szCs w:val="20"/>
                <w:color w:val="auto"/>
              </w:rPr>
            </w:pPr>
            <w:r>
              <w:rPr>
                <w:rFonts w:ascii="Arial" w:cs="Arial" w:eastAsia="Arial" w:hAnsi="Arial"/>
                <w:sz w:val="10"/>
                <w:szCs w:val="10"/>
                <w:color w:val="auto"/>
              </w:rPr>
              <w:t>3,697</w:t>
            </w:r>
            <w:r>
              <w:rPr>
                <w:rFonts w:ascii="Arial" w:cs="Arial" w:eastAsia="Arial" w:hAnsi="Arial"/>
                <w:sz w:val="14"/>
                <w:szCs w:val="14"/>
                <w:color w:val="auto"/>
                <w:vertAlign w:val="superscript"/>
              </w:rPr>
              <w:t>6</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22" w:lineRule="exact"/>
              <w:rPr>
                <w:sz w:val="20"/>
                <w:szCs w:val="20"/>
                <w:color w:val="auto"/>
              </w:rPr>
            </w:pPr>
            <w:r>
              <w:rPr>
                <w:rFonts w:ascii="Arial" w:cs="Arial" w:eastAsia="Arial" w:hAnsi="Arial"/>
                <w:sz w:val="14"/>
                <w:szCs w:val="14"/>
                <w:color w:val="auto"/>
              </w:rPr>
              <w:t>348,553</w:t>
            </w:r>
          </w:p>
        </w:tc>
        <w:tc>
          <w:tcPr>
            <w:tcW w:w="8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96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5,608</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89.02</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5/22/2014</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1,548</w:t>
            </w:r>
            <w:r>
              <w:rPr>
                <w:rFonts w:ascii="Arial" w:cs="Arial" w:eastAsia="Arial" w:hAnsi="Arial"/>
                <w:sz w:val="17"/>
                <w:szCs w:val="17"/>
                <w:color w:val="auto"/>
                <w:vertAlign w:val="superscript"/>
              </w:rPr>
              <w:t>7</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145,945</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10,000</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42.38</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8/17/2014</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1,745</w:t>
            </w:r>
            <w:r>
              <w:rPr>
                <w:rFonts w:ascii="Arial" w:cs="Arial" w:eastAsia="Arial" w:hAnsi="Arial"/>
                <w:sz w:val="17"/>
                <w:szCs w:val="17"/>
                <w:color w:val="auto"/>
                <w:vertAlign w:val="superscript"/>
              </w:rPr>
              <w:t>8</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164,519</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7,021</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151.92</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5/22/2015</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2,257</w:t>
            </w:r>
            <w:r>
              <w:rPr>
                <w:rFonts w:ascii="Arial" w:cs="Arial" w:eastAsia="Arial" w:hAnsi="Arial"/>
                <w:sz w:val="17"/>
                <w:szCs w:val="17"/>
                <w:color w:val="auto"/>
                <w:vertAlign w:val="superscript"/>
              </w:rPr>
              <w:t>9</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212,790</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Roselyn R. Bar</w:t>
            </w: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8,377</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117.77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5/28/2016</w:t>
            </w:r>
          </w:p>
        </w:tc>
        <w:tc>
          <w:tcPr>
            <w:tcW w:w="94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1"/>
                <w:szCs w:val="11"/>
                <w:color w:val="auto"/>
              </w:rPr>
              <w:t>886</w:t>
            </w:r>
            <w:r>
              <w:rPr>
                <w:rFonts w:ascii="Arial" w:cs="Arial" w:eastAsia="Arial" w:hAnsi="Arial"/>
                <w:sz w:val="17"/>
                <w:szCs w:val="17"/>
                <w:color w:val="auto"/>
                <w:vertAlign w:val="superscript"/>
              </w:rPr>
              <w:t>10</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83,532</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5,545</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1,849</w:t>
            </w:r>
            <w:r>
              <w:rPr>
                <w:rFonts w:ascii="Arial" w:cs="Arial" w:eastAsia="Arial" w:hAnsi="Arial"/>
                <w:sz w:val="17"/>
                <w:szCs w:val="17"/>
                <w:color w:val="auto"/>
                <w:vertAlign w:val="superscript"/>
              </w:rPr>
              <w:t>2</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79.79</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5/27/2017</w:t>
            </w:r>
          </w:p>
        </w:tc>
        <w:tc>
          <w:tcPr>
            <w:tcW w:w="94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635</w:t>
            </w:r>
            <w:r>
              <w:rPr>
                <w:rFonts w:ascii="Arial" w:cs="Arial" w:eastAsia="Arial" w:hAnsi="Arial"/>
                <w:sz w:val="17"/>
                <w:szCs w:val="17"/>
                <w:color w:val="auto"/>
                <w:vertAlign w:val="superscript"/>
              </w:rPr>
              <w:t>11</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59,868</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1,548</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1,548</w:t>
            </w:r>
            <w:r>
              <w:rPr>
                <w:rFonts w:ascii="Arial" w:cs="Arial" w:eastAsia="Arial" w:hAnsi="Arial"/>
                <w:sz w:val="17"/>
                <w:szCs w:val="17"/>
                <w:color w:val="auto"/>
                <w:vertAlign w:val="superscript"/>
              </w:rPr>
              <w:t>3</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95.27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5/27/2018</w:t>
            </w: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871</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2,614</w:t>
            </w:r>
            <w:r>
              <w:rPr>
                <w:rFonts w:ascii="Arial" w:cs="Arial" w:eastAsia="Arial" w:hAnsi="Arial"/>
                <w:sz w:val="17"/>
                <w:szCs w:val="17"/>
                <w:color w:val="auto"/>
                <w:vertAlign w:val="superscript"/>
              </w:rPr>
              <w:t>4</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86.90</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5/12/2019</w:t>
            </w: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tcBorders>
            <w:shd w:val="clear" w:color="auto" w:fill="E0E0E0"/>
          </w:tcPr>
          <w:p>
            <w:pPr>
              <w:spacing w:after="0"/>
              <w:rPr>
                <w:sz w:val="16"/>
                <w:szCs w:val="16"/>
                <w:color w:val="auto"/>
              </w:rPr>
            </w:pPr>
          </w:p>
        </w:tc>
        <w:tc>
          <w:tcPr>
            <w:tcW w:w="360" w:type="dxa"/>
            <w:vAlign w:val="bottom"/>
            <w:shd w:val="clear" w:color="auto" w:fill="E0E0E0"/>
          </w:tcPr>
          <w:p>
            <w:pPr>
              <w:spacing w:after="0"/>
              <w:rPr>
                <w:sz w:val="16"/>
                <w:szCs w:val="16"/>
                <w:color w:val="auto"/>
              </w:rPr>
            </w:pPr>
          </w:p>
        </w:tc>
        <w:tc>
          <w:tcPr>
            <w:tcW w:w="800" w:type="dxa"/>
            <w:vAlign w:val="bottom"/>
            <w:shd w:val="clear" w:color="auto" w:fill="E0E0E0"/>
          </w:tcPr>
          <w:p>
            <w:pPr>
              <w:spacing w:after="0"/>
              <w:rPr>
                <w:sz w:val="16"/>
                <w:szCs w:val="16"/>
                <w:color w:val="auto"/>
              </w:rPr>
            </w:pPr>
          </w:p>
        </w:tc>
        <w:tc>
          <w:tcPr>
            <w:tcW w:w="1260" w:type="dxa"/>
            <w:vAlign w:val="bottom"/>
            <w:gridSpan w:val="3"/>
            <w:shd w:val="clear" w:color="auto" w:fill="E0E0E0"/>
          </w:tcPr>
          <w:p>
            <w:pPr>
              <w:jc w:val="right"/>
              <w:ind w:right="300"/>
              <w:spacing w:after="0"/>
              <w:rPr>
                <w:sz w:val="20"/>
                <w:szCs w:val="20"/>
                <w:color w:val="auto"/>
              </w:rPr>
            </w:pPr>
            <w:r>
              <w:rPr>
                <w:rFonts w:ascii="Arial" w:cs="Arial" w:eastAsia="Arial" w:hAnsi="Arial"/>
                <w:sz w:val="14"/>
                <w:szCs w:val="14"/>
                <w:color w:val="auto"/>
              </w:rPr>
              <w:t>0</w:t>
            </w:r>
          </w:p>
        </w:tc>
        <w:tc>
          <w:tcPr>
            <w:tcW w:w="1160" w:type="dxa"/>
            <w:vAlign w:val="bottom"/>
            <w:gridSpan w:val="2"/>
            <w:shd w:val="clear" w:color="auto" w:fill="E0E0E0"/>
          </w:tcPr>
          <w:p>
            <w:pPr>
              <w:jc w:val="right"/>
              <w:ind w:right="280"/>
              <w:spacing w:after="0" w:line="189" w:lineRule="exact"/>
              <w:rPr>
                <w:sz w:val="20"/>
                <w:szCs w:val="20"/>
                <w:color w:val="auto"/>
              </w:rPr>
            </w:pPr>
            <w:r>
              <w:rPr>
                <w:rFonts w:ascii="Arial" w:cs="Arial" w:eastAsia="Arial" w:hAnsi="Arial"/>
                <w:sz w:val="13"/>
                <w:szCs w:val="13"/>
                <w:color w:val="auto"/>
              </w:rPr>
              <w:t>4,513</w:t>
            </w:r>
            <w:r>
              <w:rPr>
                <w:rFonts w:ascii="Arial" w:cs="Arial" w:eastAsia="Arial" w:hAnsi="Arial"/>
                <w:sz w:val="21"/>
                <w:szCs w:val="21"/>
                <w:color w:val="auto"/>
                <w:vertAlign w:val="superscript"/>
              </w:rPr>
              <w:t>5</w:t>
            </w:r>
          </w:p>
        </w:tc>
        <w:tc>
          <w:tcPr>
            <w:tcW w:w="820" w:type="dxa"/>
            <w:vAlign w:val="bottom"/>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80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rPr>
              <w:t>69.12</w:t>
            </w:r>
          </w:p>
        </w:tc>
        <w:tc>
          <w:tcPr>
            <w:tcW w:w="94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w w:val="99"/>
              </w:rPr>
              <w:t>5/24/2020</w:t>
            </w:r>
          </w:p>
        </w:tc>
        <w:tc>
          <w:tcPr>
            <w:tcW w:w="560" w:type="dxa"/>
            <w:vAlign w:val="bottom"/>
            <w:shd w:val="clear" w:color="auto" w:fill="E0E0E0"/>
          </w:tcPr>
          <w:p>
            <w:pPr>
              <w:spacing w:after="0"/>
              <w:rPr>
                <w:sz w:val="16"/>
                <w:szCs w:val="16"/>
                <w:color w:val="auto"/>
              </w:rPr>
            </w:pPr>
          </w:p>
        </w:tc>
        <w:tc>
          <w:tcPr>
            <w:tcW w:w="38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560" w:type="dxa"/>
            <w:vAlign w:val="bottom"/>
            <w:shd w:val="clear" w:color="auto" w:fill="E0E0E0"/>
          </w:tcPr>
          <w:p>
            <w:pPr>
              <w:spacing w:after="0"/>
              <w:rPr>
                <w:sz w:val="16"/>
                <w:szCs w:val="16"/>
                <w:color w:val="auto"/>
              </w:rPr>
            </w:pPr>
          </w:p>
        </w:tc>
        <w:tc>
          <w:tcPr>
            <w:tcW w:w="320" w:type="dxa"/>
            <w:vAlign w:val="bottom"/>
            <w:shd w:val="clear" w:color="auto" w:fill="E0E0E0"/>
          </w:tcPr>
          <w:p>
            <w:pPr>
              <w:spacing w:after="0"/>
              <w:rPr>
                <w:sz w:val="16"/>
                <w:szCs w:val="16"/>
                <w:color w:val="auto"/>
              </w:rPr>
            </w:pPr>
          </w:p>
        </w:tc>
        <w:tc>
          <w:tcPr>
            <w:tcW w:w="80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96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color w:val="auto"/>
              </w:rPr>
              <w:t>Donald A. McCunniff</w:t>
            </w: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3,637</w:t>
            </w:r>
            <w:r>
              <w:rPr>
                <w:rFonts w:ascii="Arial" w:cs="Arial" w:eastAsia="Arial" w:hAnsi="Arial"/>
                <w:sz w:val="17"/>
                <w:szCs w:val="17"/>
                <w:color w:val="auto"/>
                <w:vertAlign w:val="superscript"/>
              </w:rPr>
              <w:t>5</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69.12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5/24/2020</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1,819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171,495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shd w:val="clear" w:color="auto" w:fill="E0E0E0"/>
          </w:tcPr>
          <w:p>
            <w:pPr>
              <w:spacing w:after="0"/>
              <w:rPr>
                <w:sz w:val="10"/>
                <w:szCs w:val="10"/>
                <w:color w:val="auto"/>
              </w:rPr>
            </w:pPr>
          </w:p>
        </w:tc>
        <w:tc>
          <w:tcPr>
            <w:tcW w:w="360" w:type="dxa"/>
            <w:vAlign w:val="bottom"/>
            <w:shd w:val="clear" w:color="auto" w:fill="E0E0E0"/>
          </w:tcPr>
          <w:p>
            <w:pPr>
              <w:spacing w:after="0"/>
              <w:rPr>
                <w:sz w:val="10"/>
                <w:szCs w:val="10"/>
                <w:color w:val="auto"/>
              </w:rPr>
            </w:pPr>
          </w:p>
        </w:tc>
        <w:tc>
          <w:tcPr>
            <w:tcW w:w="800" w:type="dxa"/>
            <w:vAlign w:val="bottom"/>
            <w:shd w:val="clear" w:color="auto" w:fill="E0E0E0"/>
          </w:tcPr>
          <w:p>
            <w:pPr>
              <w:spacing w:after="0"/>
              <w:rPr>
                <w:sz w:val="10"/>
                <w:szCs w:val="10"/>
                <w:color w:val="auto"/>
              </w:rPr>
            </w:pPr>
          </w:p>
        </w:tc>
        <w:tc>
          <w:tcPr>
            <w:tcW w:w="1260" w:type="dxa"/>
            <w:vAlign w:val="bottom"/>
            <w:gridSpan w:val="3"/>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rPr>
              <w:t>927</w:t>
            </w:r>
          </w:p>
        </w:tc>
        <w:tc>
          <w:tcPr>
            <w:tcW w:w="1160" w:type="dxa"/>
            <w:vAlign w:val="bottom"/>
            <w:gridSpan w:val="2"/>
            <w:shd w:val="clear" w:color="auto" w:fill="E0E0E0"/>
          </w:tcPr>
          <w:p>
            <w:pPr>
              <w:jc w:val="right"/>
              <w:ind w:right="340"/>
              <w:spacing w:after="0" w:line="122"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0"/>
                <w:szCs w:val="10"/>
                <w:color w:val="auto"/>
              </w:rPr>
            </w:pPr>
          </w:p>
        </w:tc>
        <w:tc>
          <w:tcPr>
            <w:tcW w:w="240" w:type="dxa"/>
            <w:vAlign w:val="bottom"/>
            <w:shd w:val="clear" w:color="auto" w:fill="E0E0E0"/>
          </w:tcPr>
          <w:p>
            <w:pPr>
              <w:spacing w:after="0"/>
              <w:rPr>
                <w:sz w:val="10"/>
                <w:szCs w:val="10"/>
                <w:color w:val="auto"/>
              </w:rPr>
            </w:pPr>
          </w:p>
        </w:tc>
        <w:tc>
          <w:tcPr>
            <w:tcW w:w="800" w:type="dxa"/>
            <w:vAlign w:val="bottom"/>
            <w:gridSpan w:val="2"/>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rPr>
              <w:t>61.05</w:t>
            </w:r>
          </w:p>
        </w:tc>
        <w:tc>
          <w:tcPr>
            <w:tcW w:w="940" w:type="dxa"/>
            <w:vAlign w:val="bottom"/>
            <w:gridSpan w:val="2"/>
            <w:shd w:val="clear" w:color="auto" w:fill="E0E0E0"/>
          </w:tcPr>
          <w:p>
            <w:pPr>
              <w:jc w:val="right"/>
              <w:ind w:right="300"/>
              <w:spacing w:after="0" w:line="122" w:lineRule="exact"/>
              <w:rPr>
                <w:sz w:val="20"/>
                <w:szCs w:val="20"/>
                <w:color w:val="auto"/>
              </w:rPr>
            </w:pPr>
            <w:r>
              <w:rPr>
                <w:rFonts w:ascii="Arial" w:cs="Arial" w:eastAsia="Arial" w:hAnsi="Arial"/>
                <w:sz w:val="14"/>
                <w:szCs w:val="14"/>
                <w:color w:val="auto"/>
                <w:w w:val="99"/>
              </w:rPr>
              <w:t>5/24/2013</w:t>
            </w:r>
          </w:p>
        </w:tc>
        <w:tc>
          <w:tcPr>
            <w:tcW w:w="940" w:type="dxa"/>
            <w:vAlign w:val="bottom"/>
            <w:gridSpan w:val="2"/>
            <w:shd w:val="clear" w:color="auto" w:fill="E0E0E0"/>
          </w:tcPr>
          <w:p>
            <w:pPr>
              <w:jc w:val="right"/>
              <w:ind w:right="320"/>
              <w:spacing w:after="0" w:line="122" w:lineRule="exact"/>
              <w:rPr>
                <w:sz w:val="20"/>
                <w:szCs w:val="20"/>
                <w:color w:val="auto"/>
              </w:rPr>
            </w:pPr>
            <w:r>
              <w:rPr>
                <w:rFonts w:ascii="Arial" w:cs="Arial" w:eastAsia="Arial" w:hAnsi="Arial"/>
                <w:sz w:val="10"/>
                <w:szCs w:val="10"/>
                <w:color w:val="auto"/>
              </w:rPr>
              <w:t>551</w:t>
            </w:r>
            <w:r>
              <w:rPr>
                <w:rFonts w:ascii="Arial" w:cs="Arial" w:eastAsia="Arial" w:hAnsi="Arial"/>
                <w:sz w:val="14"/>
                <w:szCs w:val="14"/>
                <w:color w:val="auto"/>
                <w:vertAlign w:val="superscript"/>
              </w:rPr>
              <w:t>6</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22" w:lineRule="exact"/>
              <w:rPr>
                <w:sz w:val="20"/>
                <w:szCs w:val="20"/>
                <w:color w:val="auto"/>
              </w:rPr>
            </w:pPr>
            <w:r>
              <w:rPr>
                <w:rFonts w:ascii="Arial" w:cs="Arial" w:eastAsia="Arial" w:hAnsi="Arial"/>
                <w:sz w:val="14"/>
                <w:szCs w:val="14"/>
                <w:color w:val="auto"/>
              </w:rPr>
              <w:t>51,948</w:t>
            </w:r>
          </w:p>
        </w:tc>
        <w:tc>
          <w:tcPr>
            <w:tcW w:w="8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96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1,020</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89.02</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5/22/2014</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231</w:t>
            </w:r>
            <w:r>
              <w:rPr>
                <w:rFonts w:ascii="Arial" w:cs="Arial" w:eastAsia="Arial" w:hAnsi="Arial"/>
                <w:sz w:val="17"/>
                <w:szCs w:val="17"/>
                <w:color w:val="auto"/>
                <w:vertAlign w:val="superscript"/>
              </w:rPr>
              <w:t>7</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21,779</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1,055</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151.92</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5/22/2015</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293</w:t>
            </w:r>
            <w:r>
              <w:rPr>
                <w:rFonts w:ascii="Arial" w:cs="Arial" w:eastAsia="Arial" w:hAnsi="Arial"/>
                <w:sz w:val="17"/>
                <w:szCs w:val="17"/>
                <w:color w:val="auto"/>
                <w:vertAlign w:val="superscript"/>
              </w:rPr>
              <w:t>8</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27,624</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restart"/>
            <w:shd w:val="clear" w:color="auto" w:fill="E0E0E0"/>
          </w:tcPr>
          <w:p>
            <w:pPr>
              <w:ind w:left="120"/>
              <w:spacing w:after="0"/>
              <w:rPr>
                <w:sz w:val="20"/>
                <w:szCs w:val="20"/>
                <w:color w:val="auto"/>
              </w:rPr>
            </w:pPr>
            <w:r>
              <w:rPr>
                <w:rFonts w:ascii="Arial" w:cs="Arial" w:eastAsia="Arial" w:hAnsi="Arial"/>
                <w:sz w:val="14"/>
                <w:szCs w:val="14"/>
                <w:b w:val="1"/>
                <w:bCs w:val="1"/>
                <w:color w:val="auto"/>
              </w:rPr>
              <w:t>Dana F. Guzzo</w:t>
            </w: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1,244</w:t>
            </w:r>
          </w:p>
        </w:tc>
        <w:tc>
          <w:tcPr>
            <w:tcW w:w="116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117.77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5/28/2016</w:t>
            </w:r>
          </w:p>
        </w:tc>
        <w:tc>
          <w:tcPr>
            <w:tcW w:w="94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1"/>
                <w:szCs w:val="11"/>
                <w:color w:val="auto"/>
              </w:rPr>
              <w:t>980</w:t>
            </w:r>
            <w:r>
              <w:rPr>
                <w:rFonts w:ascii="Arial" w:cs="Arial" w:eastAsia="Arial" w:hAnsi="Arial"/>
                <w:sz w:val="17"/>
                <w:szCs w:val="17"/>
                <w:color w:val="auto"/>
                <w:vertAlign w:val="superscript"/>
              </w:rPr>
              <w:t>9</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92,394</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continue"/>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827</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276</w:t>
            </w:r>
            <w:r>
              <w:rPr>
                <w:rFonts w:ascii="Arial" w:cs="Arial" w:eastAsia="Arial" w:hAnsi="Arial"/>
                <w:sz w:val="17"/>
                <w:szCs w:val="17"/>
                <w:color w:val="auto"/>
                <w:vertAlign w:val="superscript"/>
              </w:rPr>
              <w:t>2</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79.79</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5/27/2017</w:t>
            </w:r>
          </w:p>
        </w:tc>
        <w:tc>
          <w:tcPr>
            <w:tcW w:w="94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1"/>
                <w:szCs w:val="11"/>
                <w:color w:val="auto"/>
              </w:rPr>
              <w:t>338</w:t>
            </w:r>
            <w:r>
              <w:rPr>
                <w:rFonts w:ascii="Arial" w:cs="Arial" w:eastAsia="Arial" w:hAnsi="Arial"/>
                <w:sz w:val="17"/>
                <w:szCs w:val="17"/>
                <w:color w:val="auto"/>
                <w:vertAlign w:val="superscript"/>
              </w:rPr>
              <w:t>10</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31,867</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231</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231</w:t>
            </w:r>
            <w:r>
              <w:rPr>
                <w:rFonts w:ascii="Arial" w:cs="Arial" w:eastAsia="Arial" w:hAnsi="Arial"/>
                <w:sz w:val="17"/>
                <w:szCs w:val="17"/>
                <w:color w:val="auto"/>
                <w:vertAlign w:val="superscript"/>
              </w:rPr>
              <w:t>3</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95.27</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5/27/2018</w:t>
            </w:r>
          </w:p>
        </w:tc>
        <w:tc>
          <w:tcPr>
            <w:tcW w:w="94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235</w:t>
            </w:r>
            <w:r>
              <w:rPr>
                <w:rFonts w:ascii="Arial" w:cs="Arial" w:eastAsia="Arial" w:hAnsi="Arial"/>
                <w:sz w:val="17"/>
                <w:szCs w:val="17"/>
                <w:color w:val="auto"/>
                <w:vertAlign w:val="superscript"/>
              </w:rPr>
              <w:t>11</w:t>
            </w:r>
          </w:p>
        </w:tc>
        <w:tc>
          <w:tcPr>
            <w:tcW w:w="80" w:type="dxa"/>
            <w:vAlign w:val="bottom"/>
            <w:shd w:val="clear" w:color="auto" w:fill="E0E0E0"/>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E0E0E0"/>
          </w:tcPr>
          <w:p>
            <w:pPr>
              <w:jc w:val="right"/>
              <w:ind w:right="320"/>
              <w:spacing w:after="0" w:line="149" w:lineRule="exact"/>
              <w:rPr>
                <w:sz w:val="20"/>
                <w:szCs w:val="20"/>
                <w:color w:val="auto"/>
              </w:rPr>
            </w:pPr>
            <w:r>
              <w:rPr>
                <w:rFonts w:ascii="Arial" w:cs="Arial" w:eastAsia="Arial" w:hAnsi="Arial"/>
                <w:sz w:val="14"/>
                <w:szCs w:val="14"/>
                <w:color w:val="auto"/>
              </w:rPr>
              <w:t>22,156</w:t>
            </w: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60" w:type="dxa"/>
            <w:vAlign w:val="bottom"/>
            <w:gridSpan w:val="3"/>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145</w:t>
            </w:r>
          </w:p>
        </w:tc>
        <w:tc>
          <w:tcPr>
            <w:tcW w:w="1160" w:type="dxa"/>
            <w:vAlign w:val="bottom"/>
            <w:gridSpan w:val="2"/>
            <w:shd w:val="clear" w:color="auto" w:fill="E0E0E0"/>
          </w:tcPr>
          <w:p>
            <w:pPr>
              <w:jc w:val="right"/>
              <w:ind w:right="280"/>
              <w:spacing w:after="0" w:line="149" w:lineRule="exact"/>
              <w:rPr>
                <w:sz w:val="20"/>
                <w:szCs w:val="20"/>
                <w:color w:val="auto"/>
              </w:rPr>
            </w:pPr>
            <w:r>
              <w:rPr>
                <w:rFonts w:ascii="Arial" w:cs="Arial" w:eastAsia="Arial" w:hAnsi="Arial"/>
                <w:sz w:val="11"/>
                <w:szCs w:val="11"/>
                <w:color w:val="auto"/>
              </w:rPr>
              <w:t>437</w:t>
            </w:r>
            <w:r>
              <w:rPr>
                <w:rFonts w:ascii="Arial" w:cs="Arial" w:eastAsia="Arial" w:hAnsi="Arial"/>
                <w:sz w:val="17"/>
                <w:szCs w:val="17"/>
                <w:color w:val="auto"/>
                <w:vertAlign w:val="superscript"/>
              </w:rPr>
              <w:t>4</w:t>
            </w:r>
          </w:p>
        </w:tc>
        <w:tc>
          <w:tcPr>
            <w:tcW w:w="82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80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rPr>
              <w:t>86.90</w:t>
            </w:r>
          </w:p>
        </w:tc>
        <w:tc>
          <w:tcPr>
            <w:tcW w:w="940" w:type="dxa"/>
            <w:vAlign w:val="bottom"/>
            <w:gridSpan w:val="2"/>
            <w:shd w:val="clear" w:color="auto" w:fill="E0E0E0"/>
          </w:tcPr>
          <w:p>
            <w:pPr>
              <w:jc w:val="right"/>
              <w:ind w:right="300"/>
              <w:spacing w:after="0" w:line="149" w:lineRule="exact"/>
              <w:rPr>
                <w:sz w:val="20"/>
                <w:szCs w:val="20"/>
                <w:color w:val="auto"/>
              </w:rPr>
            </w:pPr>
            <w:r>
              <w:rPr>
                <w:rFonts w:ascii="Arial" w:cs="Arial" w:eastAsia="Arial" w:hAnsi="Arial"/>
                <w:sz w:val="14"/>
                <w:szCs w:val="14"/>
                <w:color w:val="auto"/>
                <w:w w:val="99"/>
              </w:rPr>
              <w:t>5/12/2019</w:t>
            </w:r>
          </w:p>
        </w:tc>
        <w:tc>
          <w:tcPr>
            <w:tcW w:w="5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56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9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tcBorders>
            <w:shd w:val="clear" w:color="auto" w:fill="E0E0E0"/>
          </w:tcPr>
          <w:p>
            <w:pPr>
              <w:spacing w:after="0"/>
              <w:rPr>
                <w:sz w:val="16"/>
                <w:szCs w:val="16"/>
                <w:color w:val="auto"/>
              </w:rPr>
            </w:pPr>
          </w:p>
        </w:tc>
        <w:tc>
          <w:tcPr>
            <w:tcW w:w="360" w:type="dxa"/>
            <w:vAlign w:val="bottom"/>
            <w:shd w:val="clear" w:color="auto" w:fill="E0E0E0"/>
          </w:tcPr>
          <w:p>
            <w:pPr>
              <w:spacing w:after="0"/>
              <w:rPr>
                <w:sz w:val="16"/>
                <w:szCs w:val="16"/>
                <w:color w:val="auto"/>
              </w:rPr>
            </w:pPr>
          </w:p>
        </w:tc>
        <w:tc>
          <w:tcPr>
            <w:tcW w:w="800" w:type="dxa"/>
            <w:vAlign w:val="bottom"/>
            <w:shd w:val="clear" w:color="auto" w:fill="E0E0E0"/>
          </w:tcPr>
          <w:p>
            <w:pPr>
              <w:spacing w:after="0"/>
              <w:rPr>
                <w:sz w:val="16"/>
                <w:szCs w:val="16"/>
                <w:color w:val="auto"/>
              </w:rPr>
            </w:pPr>
          </w:p>
        </w:tc>
        <w:tc>
          <w:tcPr>
            <w:tcW w:w="1260" w:type="dxa"/>
            <w:vAlign w:val="bottom"/>
            <w:gridSpan w:val="3"/>
            <w:shd w:val="clear" w:color="auto" w:fill="E0E0E0"/>
          </w:tcPr>
          <w:p>
            <w:pPr>
              <w:jc w:val="right"/>
              <w:ind w:right="300"/>
              <w:spacing w:after="0"/>
              <w:rPr>
                <w:sz w:val="20"/>
                <w:szCs w:val="20"/>
                <w:color w:val="auto"/>
              </w:rPr>
            </w:pPr>
            <w:r>
              <w:rPr>
                <w:rFonts w:ascii="Arial" w:cs="Arial" w:eastAsia="Arial" w:hAnsi="Arial"/>
                <w:sz w:val="14"/>
                <w:szCs w:val="14"/>
                <w:color w:val="auto"/>
              </w:rPr>
              <w:t>0</w:t>
            </w:r>
          </w:p>
        </w:tc>
        <w:tc>
          <w:tcPr>
            <w:tcW w:w="1160" w:type="dxa"/>
            <w:vAlign w:val="bottom"/>
            <w:gridSpan w:val="2"/>
            <w:shd w:val="clear" w:color="auto" w:fill="E0E0E0"/>
          </w:tcPr>
          <w:p>
            <w:pPr>
              <w:jc w:val="right"/>
              <w:ind w:right="280"/>
              <w:spacing w:after="0" w:line="189" w:lineRule="exact"/>
              <w:rPr>
                <w:sz w:val="20"/>
                <w:szCs w:val="20"/>
                <w:color w:val="auto"/>
              </w:rPr>
            </w:pPr>
            <w:r>
              <w:rPr>
                <w:rFonts w:ascii="Arial" w:cs="Arial" w:eastAsia="Arial" w:hAnsi="Arial"/>
                <w:sz w:val="13"/>
                <w:szCs w:val="13"/>
                <w:color w:val="auto"/>
              </w:rPr>
              <w:t>1,959</w:t>
            </w:r>
            <w:r>
              <w:rPr>
                <w:rFonts w:ascii="Arial" w:cs="Arial" w:eastAsia="Arial" w:hAnsi="Arial"/>
                <w:sz w:val="21"/>
                <w:szCs w:val="21"/>
                <w:color w:val="auto"/>
                <w:vertAlign w:val="superscript"/>
              </w:rPr>
              <w:t>5</w:t>
            </w:r>
          </w:p>
        </w:tc>
        <w:tc>
          <w:tcPr>
            <w:tcW w:w="820" w:type="dxa"/>
            <w:vAlign w:val="bottom"/>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80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rPr>
              <w:t>69.12</w:t>
            </w:r>
          </w:p>
        </w:tc>
        <w:tc>
          <w:tcPr>
            <w:tcW w:w="940" w:type="dxa"/>
            <w:vAlign w:val="bottom"/>
            <w:gridSpan w:val="2"/>
            <w:shd w:val="clear" w:color="auto" w:fill="E0E0E0"/>
          </w:tcPr>
          <w:p>
            <w:pPr>
              <w:jc w:val="right"/>
              <w:ind w:right="300"/>
              <w:spacing w:after="0"/>
              <w:rPr>
                <w:sz w:val="20"/>
                <w:szCs w:val="20"/>
                <w:color w:val="auto"/>
              </w:rPr>
            </w:pPr>
            <w:r>
              <w:rPr>
                <w:rFonts w:ascii="Arial" w:cs="Arial" w:eastAsia="Arial" w:hAnsi="Arial"/>
                <w:sz w:val="14"/>
                <w:szCs w:val="14"/>
                <w:color w:val="auto"/>
                <w:w w:val="99"/>
              </w:rPr>
              <w:t>5/24/2020</w:t>
            </w:r>
          </w:p>
        </w:tc>
        <w:tc>
          <w:tcPr>
            <w:tcW w:w="560" w:type="dxa"/>
            <w:vAlign w:val="bottom"/>
            <w:shd w:val="clear" w:color="auto" w:fill="E0E0E0"/>
          </w:tcPr>
          <w:p>
            <w:pPr>
              <w:spacing w:after="0"/>
              <w:rPr>
                <w:sz w:val="16"/>
                <w:szCs w:val="16"/>
                <w:color w:val="auto"/>
              </w:rPr>
            </w:pPr>
          </w:p>
        </w:tc>
        <w:tc>
          <w:tcPr>
            <w:tcW w:w="38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560" w:type="dxa"/>
            <w:vAlign w:val="bottom"/>
            <w:shd w:val="clear" w:color="auto" w:fill="E0E0E0"/>
          </w:tcPr>
          <w:p>
            <w:pPr>
              <w:spacing w:after="0"/>
              <w:rPr>
                <w:sz w:val="16"/>
                <w:szCs w:val="16"/>
                <w:color w:val="auto"/>
              </w:rPr>
            </w:pPr>
          </w:p>
        </w:tc>
        <w:tc>
          <w:tcPr>
            <w:tcW w:w="320" w:type="dxa"/>
            <w:vAlign w:val="bottom"/>
            <w:shd w:val="clear" w:color="auto" w:fill="E0E0E0"/>
          </w:tcPr>
          <w:p>
            <w:pPr>
              <w:spacing w:after="0"/>
              <w:rPr>
                <w:sz w:val="16"/>
                <w:szCs w:val="16"/>
                <w:color w:val="auto"/>
              </w:rPr>
            </w:pPr>
          </w:p>
        </w:tc>
        <w:tc>
          <w:tcPr>
            <w:tcW w:w="80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96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b w:val="1"/>
                <w:bCs w:val="1"/>
                <w:i w:val="1"/>
                <w:iCs w:val="1"/>
                <w:color w:val="auto"/>
              </w:rPr>
              <w:t>Former Executive Officer:</w:t>
            </w: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4,686</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0</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61.05</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99"/>
              </w:rPr>
              <w:t>5/24/2013</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4,530</w:t>
            </w:r>
            <w:r>
              <w:rPr>
                <w:rFonts w:ascii="Arial" w:cs="Arial" w:eastAsia="Arial" w:hAnsi="Arial"/>
                <w:sz w:val="22"/>
                <w:szCs w:val="22"/>
                <w:color w:val="auto"/>
                <w:vertAlign w:val="superscript"/>
              </w:rPr>
              <w:t>6</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427,088</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920" w:type="dxa"/>
            <w:vAlign w:val="bottom"/>
            <w:tcBorders>
              <w:lef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8,762</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89.02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5/22/2014</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1,897</w:t>
            </w:r>
            <w:r>
              <w:rPr>
                <w:rFonts w:ascii="Arial" w:cs="Arial" w:eastAsia="Arial" w:hAnsi="Arial"/>
                <w:sz w:val="17"/>
                <w:szCs w:val="17"/>
                <w:color w:val="auto"/>
                <w:vertAlign w:val="superscript"/>
              </w:rPr>
              <w:t>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178,849</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8,602</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151.92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5/22/2015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2,137</w:t>
            </w:r>
            <w:r>
              <w:rPr>
                <w:rFonts w:ascii="Arial" w:cs="Arial" w:eastAsia="Arial" w:hAnsi="Arial"/>
                <w:sz w:val="17"/>
                <w:szCs w:val="17"/>
                <w:color w:val="auto"/>
                <w:vertAlign w:val="superscript"/>
              </w:rPr>
              <w:t>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201,476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Bruce A. Vaio</w:t>
            </w: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10,263</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117.77</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5/28/2016</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2,765</w:t>
            </w:r>
            <w:r>
              <w:rPr>
                <w:rFonts w:ascii="Arial" w:cs="Arial" w:eastAsia="Arial" w:hAnsi="Arial"/>
                <w:sz w:val="17"/>
                <w:szCs w:val="17"/>
                <w:color w:val="auto"/>
                <w:vertAlign w:val="superscript"/>
              </w:rPr>
              <w:t>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260,684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tcBorders>
            <w:gridSpan w:val="3"/>
            <w:vMerge w:val="continue"/>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6,795</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2,265</w:t>
            </w:r>
            <w:r>
              <w:rPr>
                <w:rFonts w:ascii="Arial" w:cs="Arial" w:eastAsia="Arial" w:hAnsi="Arial"/>
                <w:sz w:val="17"/>
                <w:szCs w:val="17"/>
                <w:color w:val="auto"/>
                <w:vertAlign w:val="superscript"/>
              </w:rPr>
              <w:t>2</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79.79</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5/27/2017</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1"/>
                <w:szCs w:val="11"/>
                <w:color w:val="auto"/>
              </w:rPr>
              <w:t>1,181</w:t>
            </w:r>
            <w:r>
              <w:rPr>
                <w:rFonts w:ascii="Arial" w:cs="Arial" w:eastAsia="Arial" w:hAnsi="Arial"/>
                <w:sz w:val="17"/>
                <w:szCs w:val="17"/>
                <w:color w:val="auto"/>
                <w:vertAlign w:val="superscript"/>
              </w:rPr>
              <w:t>10</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111,345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1,897</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1,897</w:t>
            </w:r>
            <w:r>
              <w:rPr>
                <w:rFonts w:ascii="Arial" w:cs="Arial" w:eastAsia="Arial" w:hAnsi="Arial"/>
                <w:sz w:val="17"/>
                <w:szCs w:val="17"/>
                <w:color w:val="auto"/>
                <w:vertAlign w:val="superscript"/>
              </w:rPr>
              <w:t>3</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95.27</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5/27/2018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818</w:t>
            </w:r>
            <w:r>
              <w:rPr>
                <w:rFonts w:ascii="Arial" w:cs="Arial" w:eastAsia="Arial" w:hAnsi="Arial"/>
                <w:sz w:val="17"/>
                <w:szCs w:val="17"/>
                <w:color w:val="auto"/>
                <w:vertAlign w:val="superscript"/>
              </w:rPr>
              <w:t>11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77,121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1,068</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1"/>
                <w:szCs w:val="11"/>
                <w:color w:val="auto"/>
              </w:rPr>
              <w:t>3,206</w:t>
            </w:r>
            <w:r>
              <w:rPr>
                <w:rFonts w:ascii="Arial" w:cs="Arial" w:eastAsia="Arial" w:hAnsi="Arial"/>
                <w:sz w:val="17"/>
                <w:szCs w:val="17"/>
                <w:color w:val="auto"/>
                <w:vertAlign w:val="superscript"/>
              </w:rPr>
              <w:t>4</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86.90</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5/12/2019</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gridSpan w:val="2"/>
          </w:tcPr>
          <w:p>
            <w:pPr>
              <w:jc w:val="right"/>
              <w:ind w:right="280"/>
              <w:spacing w:after="0" w:line="189" w:lineRule="exact"/>
              <w:rPr>
                <w:sz w:val="20"/>
                <w:szCs w:val="20"/>
                <w:color w:val="auto"/>
              </w:rPr>
            </w:pPr>
            <w:r>
              <w:rPr>
                <w:rFonts w:ascii="Arial" w:cs="Arial" w:eastAsia="Arial" w:hAnsi="Arial"/>
                <w:sz w:val="13"/>
                <w:szCs w:val="13"/>
                <w:color w:val="auto"/>
              </w:rPr>
              <w:t>5,530</w:t>
            </w:r>
            <w:r>
              <w:rPr>
                <w:rFonts w:ascii="Arial" w:cs="Arial" w:eastAsia="Arial" w:hAnsi="Arial"/>
                <w:sz w:val="21"/>
                <w:szCs w:val="21"/>
                <w:color w:val="auto"/>
                <w:vertAlign w:val="superscript"/>
              </w:rPr>
              <w:t>5</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69.12</w:t>
            </w: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w w:val="99"/>
              </w:rPr>
              <w:t>5/24/2020</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80"/>
          </w:cols>
          <w:pgMar w:left="440" w:top="469" w:right="379" w:bottom="1440" w:gutter="0" w:footer="0" w:header="0"/>
        </w:sectPr>
      </w:pPr>
    </w:p>
    <w:bookmarkStart w:id="60" w:name="page61"/>
    <w:bookmarkEnd w:id="60"/>
    <w:p>
      <w:pPr>
        <w:ind w:left="323" w:hanging="255"/>
        <w:spacing w:after="0"/>
        <w:tabs>
          <w:tab w:leader="none" w:pos="323" w:val="left"/>
        </w:tabs>
        <w:numPr>
          <w:ilvl w:val="0"/>
          <w:numId w:val="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87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5387975"/>
                    </a:xfrm>
                    <a:prstGeom prst="rect">
                      <a:avLst/>
                    </a:prstGeom>
                    <a:noFill/>
                  </pic:spPr>
                </pic:pic>
              </a:graphicData>
            </a:graphic>
          </wp:anchor>
        </w:drawing>
        <w:t>Based on the closing price of our common stock as of December 31, 2012 ($94.28).</w:t>
      </w:r>
    </w:p>
    <w:p>
      <w:pPr>
        <w:spacing w:after="0" w:line="68" w:lineRule="exact"/>
        <w:rPr>
          <w:rFonts w:ascii="Arial" w:cs="Arial" w:eastAsia="Arial" w:hAnsi="Arial"/>
          <w:sz w:val="14"/>
          <w:szCs w:val="14"/>
          <w:color w:val="auto"/>
        </w:rPr>
      </w:pPr>
    </w:p>
    <w:p>
      <w:pPr>
        <w:ind w:left="63"/>
        <w:spacing w:after="0"/>
        <w:rPr>
          <w:rFonts w:ascii="Arial" w:cs="Arial" w:eastAsia="Arial" w:hAnsi="Arial"/>
          <w:sz w:val="14"/>
          <w:szCs w:val="14"/>
          <w:color w:val="auto"/>
        </w:rPr>
      </w:pPr>
      <w:r>
        <w:rPr>
          <w:rFonts w:ascii="Arial" w:cs="Arial" w:eastAsia="Arial" w:hAnsi="Arial"/>
          <w:sz w:val="14"/>
          <w:szCs w:val="14"/>
          <w:color w:val="auto"/>
        </w:rPr>
        <w:t>2   Options exercisable on May 27, 2013.</w:t>
      </w:r>
    </w:p>
    <w:p>
      <w:pPr>
        <w:spacing w:after="0" w:line="68" w:lineRule="exact"/>
        <w:rPr>
          <w:rFonts w:ascii="Arial" w:cs="Arial" w:eastAsia="Arial" w:hAnsi="Arial"/>
          <w:sz w:val="14"/>
          <w:szCs w:val="14"/>
          <w:color w:val="auto"/>
        </w:rPr>
      </w:pPr>
    </w:p>
    <w:p>
      <w:pPr>
        <w:ind w:left="63"/>
        <w:spacing w:after="0"/>
        <w:rPr>
          <w:rFonts w:ascii="Arial" w:cs="Arial" w:eastAsia="Arial" w:hAnsi="Arial"/>
          <w:sz w:val="14"/>
          <w:szCs w:val="14"/>
          <w:color w:val="auto"/>
        </w:rPr>
      </w:pPr>
      <w:r>
        <w:rPr>
          <w:rFonts w:ascii="Arial" w:cs="Arial" w:eastAsia="Arial" w:hAnsi="Arial"/>
          <w:sz w:val="14"/>
          <w:szCs w:val="14"/>
          <w:color w:val="auto"/>
        </w:rPr>
        <w:t>3   Options exercisable ratably in installments on May 27, 2013 and 2014.</w:t>
      </w:r>
    </w:p>
    <w:p>
      <w:pPr>
        <w:spacing w:after="0" w:line="68" w:lineRule="exact"/>
        <w:rPr>
          <w:rFonts w:ascii="Arial" w:cs="Arial" w:eastAsia="Arial" w:hAnsi="Arial"/>
          <w:sz w:val="14"/>
          <w:szCs w:val="14"/>
          <w:color w:val="auto"/>
        </w:rPr>
      </w:pPr>
    </w:p>
    <w:p>
      <w:pPr>
        <w:ind w:left="63"/>
        <w:spacing w:after="0"/>
        <w:rPr>
          <w:rFonts w:ascii="Arial" w:cs="Arial" w:eastAsia="Arial" w:hAnsi="Arial"/>
          <w:sz w:val="14"/>
          <w:szCs w:val="14"/>
          <w:color w:val="auto"/>
        </w:rPr>
      </w:pPr>
      <w:r>
        <w:rPr>
          <w:rFonts w:ascii="Arial" w:cs="Arial" w:eastAsia="Arial" w:hAnsi="Arial"/>
          <w:sz w:val="14"/>
          <w:szCs w:val="14"/>
          <w:color w:val="auto"/>
        </w:rPr>
        <w:t>4   Options exercisable ratably in installments on May 12, 2013, 2014 and 2015.</w:t>
      </w:r>
    </w:p>
    <w:p>
      <w:pPr>
        <w:spacing w:after="0" w:line="68" w:lineRule="exact"/>
        <w:rPr>
          <w:rFonts w:ascii="Arial" w:cs="Arial" w:eastAsia="Arial" w:hAnsi="Arial"/>
          <w:sz w:val="14"/>
          <w:szCs w:val="14"/>
          <w:color w:val="auto"/>
        </w:rPr>
      </w:pPr>
    </w:p>
    <w:p>
      <w:pPr>
        <w:ind w:left="63" w:right="6260"/>
        <w:spacing w:after="0" w:line="342" w:lineRule="auto"/>
        <w:rPr>
          <w:rFonts w:ascii="Arial" w:cs="Arial" w:eastAsia="Arial" w:hAnsi="Arial"/>
          <w:sz w:val="14"/>
          <w:szCs w:val="14"/>
          <w:color w:val="auto"/>
        </w:rPr>
      </w:pPr>
      <w:r>
        <w:rPr>
          <w:rFonts w:ascii="Arial" w:cs="Arial" w:eastAsia="Arial" w:hAnsi="Arial"/>
          <w:sz w:val="14"/>
          <w:szCs w:val="14"/>
          <w:color w:val="auto"/>
        </w:rPr>
        <w:t>5 Options exercisable ratably in installments on May 24, 2013, 2014, 2015 and 2016. 6 Restricted stock units restrictions lapse on May 27, 2013.</w:t>
      </w:r>
    </w:p>
    <w:p>
      <w:pPr>
        <w:jc w:val="both"/>
        <w:ind w:left="63" w:right="7660"/>
        <w:spacing w:after="0" w:line="399" w:lineRule="auto"/>
        <w:rPr>
          <w:rFonts w:ascii="Arial" w:cs="Arial" w:eastAsia="Arial" w:hAnsi="Arial"/>
          <w:sz w:val="14"/>
          <w:szCs w:val="14"/>
          <w:color w:val="auto"/>
        </w:rPr>
      </w:pPr>
      <w:r>
        <w:rPr>
          <w:rFonts w:ascii="Arial" w:cs="Arial" w:eastAsia="Arial" w:hAnsi="Arial"/>
          <w:sz w:val="12"/>
          <w:szCs w:val="12"/>
          <w:color w:val="auto"/>
        </w:rPr>
        <w:t>7 Restricted stock units restrictions lapse on May 27, 2014. 8 Restricted stock units restrictions lapse on May 12, 2015. 9 Restricted stock units restrictions lapse on May 24, 2015.</w:t>
      </w:r>
    </w:p>
    <w:p>
      <w:pPr>
        <w:spacing w:after="0" w:line="1" w:lineRule="exact"/>
        <w:rPr>
          <w:sz w:val="20"/>
          <w:szCs w:val="20"/>
          <w:color w:val="auto"/>
        </w:rPr>
      </w:pPr>
    </w:p>
    <w:p>
      <w:pPr>
        <w:ind w:left="323" w:hanging="323"/>
        <w:spacing w:after="0"/>
        <w:tabs>
          <w:tab w:leader="none" w:pos="323"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2013.</w:t>
      </w:r>
    </w:p>
    <w:p>
      <w:pPr>
        <w:spacing w:after="0" w:line="68" w:lineRule="exact"/>
        <w:rPr>
          <w:rFonts w:ascii="Arial" w:cs="Arial" w:eastAsia="Arial" w:hAnsi="Arial"/>
          <w:sz w:val="14"/>
          <w:szCs w:val="14"/>
          <w:color w:val="auto"/>
        </w:rPr>
      </w:pPr>
    </w:p>
    <w:p>
      <w:pPr>
        <w:ind w:left="323" w:hanging="323"/>
        <w:spacing w:after="0"/>
        <w:tabs>
          <w:tab w:leader="none" w:pos="323"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2014.</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90" w:lineRule="exact"/>
        <w:rPr>
          <w:sz w:val="20"/>
          <w:szCs w:val="20"/>
          <w:color w:val="auto"/>
        </w:rPr>
      </w:pPr>
    </w:p>
    <w:p>
      <w:pPr>
        <w:jc w:val="both"/>
        <w:ind w:left="3" w:right="20" w:firstLine="775"/>
        <w:spacing w:after="0" w:line="306"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182"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1000" w:type="dxa"/>
            <w:vAlign w:val="bottom"/>
            <w:tcBorders>
              <w:top w:val="single" w:sz="8" w:color="auto"/>
              <w:bottom w:val="single" w:sz="8" w:color="E0E0E0"/>
            </w:tcBorders>
            <w:shd w:val="clear" w:color="auto" w:fill="E0E0E0"/>
          </w:tcPr>
          <w:p>
            <w:pPr>
              <w:spacing w:after="0"/>
              <w:rPr>
                <w:sz w:val="22"/>
                <w:szCs w:val="22"/>
                <w:color w:val="auto"/>
              </w:rPr>
            </w:pPr>
          </w:p>
        </w:tc>
        <w:tc>
          <w:tcPr>
            <w:tcW w:w="360" w:type="dxa"/>
            <w:vAlign w:val="bottom"/>
            <w:tcBorders>
              <w:top w:val="single" w:sz="8" w:color="auto"/>
              <w:bottom w:val="single" w:sz="8" w:color="E0E0E0"/>
            </w:tcBorders>
            <w:shd w:val="clear" w:color="auto" w:fill="E0E0E0"/>
          </w:tcPr>
          <w:p>
            <w:pPr>
              <w:spacing w:after="0"/>
              <w:rPr>
                <w:sz w:val="22"/>
                <w:szCs w:val="22"/>
                <w:color w:val="auto"/>
              </w:rPr>
            </w:pPr>
          </w:p>
        </w:tc>
        <w:tc>
          <w:tcPr>
            <w:tcW w:w="2000" w:type="dxa"/>
            <w:vAlign w:val="bottom"/>
            <w:tcBorders>
              <w:top w:val="single" w:sz="8" w:color="auto"/>
              <w:bottom w:val="single" w:sz="8" w:color="E0E0E0"/>
            </w:tcBorders>
            <w:shd w:val="clear" w:color="auto" w:fill="E0E0E0"/>
          </w:tcPr>
          <w:p>
            <w:pPr>
              <w:spacing w:after="0"/>
              <w:rPr>
                <w:sz w:val="22"/>
                <w:szCs w:val="22"/>
                <w:color w:val="auto"/>
              </w:rPr>
            </w:pPr>
          </w:p>
        </w:tc>
        <w:tc>
          <w:tcPr>
            <w:tcW w:w="420" w:type="dxa"/>
            <w:vAlign w:val="bottom"/>
            <w:tcBorders>
              <w:top w:val="single" w:sz="8" w:color="auto"/>
              <w:bottom w:val="single" w:sz="8" w:color="E0E0E0"/>
            </w:tcBorders>
            <w:shd w:val="clear" w:color="auto" w:fill="E0E0E0"/>
          </w:tcPr>
          <w:p>
            <w:pPr>
              <w:spacing w:after="0"/>
              <w:rPr>
                <w:sz w:val="22"/>
                <w:szCs w:val="22"/>
                <w:color w:val="auto"/>
              </w:rPr>
            </w:pPr>
          </w:p>
        </w:tc>
        <w:tc>
          <w:tcPr>
            <w:tcW w:w="1800" w:type="dxa"/>
            <w:vAlign w:val="bottom"/>
            <w:tcBorders>
              <w:top w:val="single" w:sz="8" w:color="auto"/>
              <w:bottom w:val="single" w:sz="8" w:color="auto"/>
            </w:tcBorders>
            <w:gridSpan w:val="2"/>
            <w:shd w:val="clear" w:color="auto" w:fill="E0E0E0"/>
          </w:tcPr>
          <w:p>
            <w:pPr>
              <w:ind w:left="660"/>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top w:val="single" w:sz="8" w:color="auto"/>
              <w:bottom w:val="single" w:sz="8" w:color="auto"/>
            </w:tcBorders>
            <w:shd w:val="clear" w:color="auto" w:fill="E0E0E0"/>
          </w:tcPr>
          <w:p>
            <w:pPr>
              <w:spacing w:after="0"/>
              <w:rPr>
                <w:sz w:val="22"/>
                <w:szCs w:val="22"/>
                <w:color w:val="auto"/>
              </w:rPr>
            </w:pPr>
          </w:p>
        </w:tc>
        <w:tc>
          <w:tcPr>
            <w:tcW w:w="840" w:type="dxa"/>
            <w:vAlign w:val="bottom"/>
            <w:tcBorders>
              <w:top w:val="single" w:sz="8" w:color="auto"/>
              <w:bottom w:val="single" w:sz="8" w:color="E0E0E0"/>
            </w:tcBorders>
            <w:shd w:val="clear" w:color="auto" w:fill="E0E0E0"/>
          </w:tcPr>
          <w:p>
            <w:pPr>
              <w:spacing w:after="0"/>
              <w:rPr>
                <w:sz w:val="22"/>
                <w:szCs w:val="22"/>
                <w:color w:val="auto"/>
              </w:rPr>
            </w:pPr>
          </w:p>
        </w:tc>
        <w:tc>
          <w:tcPr>
            <w:tcW w:w="1840" w:type="dxa"/>
            <w:vAlign w:val="bottom"/>
            <w:tcBorders>
              <w:top w:val="single" w:sz="8" w:color="auto"/>
              <w:bottom w:val="single" w:sz="8" w:color="auto"/>
            </w:tcBorders>
            <w:gridSpan w:val="3"/>
            <w:shd w:val="clear" w:color="auto" w:fill="E0E0E0"/>
          </w:tcPr>
          <w:p>
            <w:pPr>
              <w:ind w:left="760"/>
              <w:spacing w:after="0"/>
              <w:rPr>
                <w:sz w:val="20"/>
                <w:szCs w:val="20"/>
                <w:color w:val="auto"/>
              </w:rPr>
            </w:pPr>
            <w:r>
              <w:rPr>
                <w:rFonts w:ascii="Arial" w:cs="Arial" w:eastAsia="Arial" w:hAnsi="Arial"/>
                <w:sz w:val="14"/>
                <w:szCs w:val="14"/>
                <w:b w:val="1"/>
                <w:bCs w:val="1"/>
                <w:color w:val="auto"/>
                <w:w w:val="91"/>
              </w:rPr>
              <w:t>STOCK AWARDS</w:t>
            </w:r>
          </w:p>
        </w:tc>
        <w:tc>
          <w:tcPr>
            <w:tcW w:w="740" w:type="dxa"/>
            <w:vAlign w:val="bottom"/>
            <w:tcBorders>
              <w:top w:val="single" w:sz="8" w:color="auto"/>
              <w:bottom w:val="single" w:sz="8" w:color="auto"/>
            </w:tcBorders>
            <w:shd w:val="clear" w:color="auto" w:fill="E0E0E0"/>
          </w:tcPr>
          <w:p>
            <w:pPr>
              <w:spacing w:after="0"/>
              <w:rPr>
                <w:sz w:val="22"/>
                <w:szCs w:val="22"/>
                <w:color w:val="auto"/>
              </w:rPr>
            </w:pPr>
          </w:p>
        </w:tc>
        <w:tc>
          <w:tcPr>
            <w:tcW w:w="340" w:type="dxa"/>
            <w:vAlign w:val="bottom"/>
            <w:tcBorders>
              <w:top w:val="single" w:sz="8" w:color="auto"/>
              <w:bottom w:val="single" w:sz="8" w:color="E0E0E0"/>
              <w:right w:val="single" w:sz="8" w:color="auto"/>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100" w:type="dxa"/>
            <w:vAlign w:val="bottom"/>
            <w:tcBorders>
              <w:left w:val="single" w:sz="8" w:color="auto"/>
            </w:tcBorders>
            <w:shd w:val="clear" w:color="auto" w:fill="E0E0E0"/>
          </w:tcPr>
          <w:p>
            <w:pPr>
              <w:spacing w:after="0"/>
              <w:rPr>
                <w:sz w:val="11"/>
                <w:szCs w:val="11"/>
                <w:color w:val="auto"/>
              </w:rPr>
            </w:pPr>
          </w:p>
        </w:tc>
        <w:tc>
          <w:tcPr>
            <w:tcW w:w="1000" w:type="dxa"/>
            <w:vAlign w:val="bottom"/>
            <w:shd w:val="clear" w:color="auto" w:fill="E0E0E0"/>
          </w:tcPr>
          <w:p>
            <w:pPr>
              <w:spacing w:after="0"/>
              <w:rPr>
                <w:sz w:val="11"/>
                <w:szCs w:val="11"/>
                <w:color w:val="auto"/>
              </w:rPr>
            </w:pPr>
          </w:p>
        </w:tc>
        <w:tc>
          <w:tcPr>
            <w:tcW w:w="360" w:type="dxa"/>
            <w:vAlign w:val="bottom"/>
            <w:shd w:val="clear" w:color="auto" w:fill="E0E0E0"/>
          </w:tcPr>
          <w:p>
            <w:pPr>
              <w:spacing w:after="0"/>
              <w:rPr>
                <w:sz w:val="11"/>
                <w:szCs w:val="11"/>
                <w:color w:val="auto"/>
              </w:rPr>
            </w:pPr>
          </w:p>
        </w:tc>
        <w:tc>
          <w:tcPr>
            <w:tcW w:w="2000" w:type="dxa"/>
            <w:vAlign w:val="bottom"/>
            <w:shd w:val="clear" w:color="auto" w:fill="E0E0E0"/>
          </w:tcPr>
          <w:p>
            <w:pPr>
              <w:spacing w:after="0"/>
              <w:rPr>
                <w:sz w:val="11"/>
                <w:szCs w:val="11"/>
                <w:color w:val="auto"/>
              </w:rPr>
            </w:pPr>
          </w:p>
        </w:tc>
        <w:tc>
          <w:tcPr>
            <w:tcW w:w="420" w:type="dxa"/>
            <w:vAlign w:val="bottom"/>
            <w:shd w:val="clear" w:color="auto" w:fill="E0E0E0"/>
          </w:tcPr>
          <w:p>
            <w:pPr>
              <w:spacing w:after="0"/>
              <w:rPr>
                <w:sz w:val="11"/>
                <w:szCs w:val="11"/>
                <w:color w:val="auto"/>
              </w:rPr>
            </w:pPr>
          </w:p>
        </w:tc>
        <w:tc>
          <w:tcPr>
            <w:tcW w:w="960" w:type="dxa"/>
            <w:vAlign w:val="bottom"/>
            <w:shd w:val="clear" w:color="auto" w:fill="E0E0E0"/>
          </w:tcPr>
          <w:p>
            <w:pPr>
              <w:spacing w:after="0"/>
              <w:rPr>
                <w:sz w:val="11"/>
                <w:szCs w:val="11"/>
                <w:color w:val="auto"/>
              </w:rPr>
            </w:pPr>
          </w:p>
        </w:tc>
        <w:tc>
          <w:tcPr>
            <w:tcW w:w="840" w:type="dxa"/>
            <w:vAlign w:val="bottom"/>
            <w:shd w:val="clear" w:color="auto" w:fill="E0E0E0"/>
          </w:tcPr>
          <w:p>
            <w:pPr>
              <w:spacing w:after="0"/>
              <w:rPr>
                <w:sz w:val="11"/>
                <w:szCs w:val="11"/>
                <w:color w:val="auto"/>
              </w:rPr>
            </w:pPr>
          </w:p>
        </w:tc>
        <w:tc>
          <w:tcPr>
            <w:tcW w:w="6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840" w:type="dxa"/>
            <w:vAlign w:val="bottom"/>
            <w:shd w:val="clear" w:color="auto" w:fill="E0E0E0"/>
          </w:tcPr>
          <w:p>
            <w:pPr>
              <w:spacing w:after="0"/>
              <w:rPr>
                <w:sz w:val="11"/>
                <w:szCs w:val="11"/>
                <w:color w:val="auto"/>
              </w:rPr>
            </w:pPr>
          </w:p>
        </w:tc>
        <w:tc>
          <w:tcPr>
            <w:tcW w:w="960" w:type="dxa"/>
            <w:vAlign w:val="bottom"/>
            <w:shd w:val="clear" w:color="auto" w:fill="E0E0E0"/>
          </w:tcPr>
          <w:p>
            <w:pPr>
              <w:spacing w:after="0"/>
              <w:rPr>
                <w:sz w:val="11"/>
                <w:szCs w:val="11"/>
                <w:color w:val="auto"/>
              </w:rPr>
            </w:pPr>
          </w:p>
        </w:tc>
        <w:tc>
          <w:tcPr>
            <w:tcW w:w="860" w:type="dxa"/>
            <w:vAlign w:val="bottom"/>
            <w:shd w:val="clear" w:color="auto" w:fill="E0E0E0"/>
          </w:tcPr>
          <w:p>
            <w:pPr>
              <w:spacing w:after="0"/>
              <w:rPr>
                <w:sz w:val="11"/>
                <w:szCs w:val="11"/>
                <w:color w:val="auto"/>
              </w:rPr>
            </w:pPr>
          </w:p>
        </w:tc>
        <w:tc>
          <w:tcPr>
            <w:tcW w:w="20" w:type="dxa"/>
            <w:vAlign w:val="bottom"/>
            <w:shd w:val="clear" w:color="auto" w:fill="E0E0E0"/>
          </w:tcPr>
          <w:p>
            <w:pPr>
              <w:spacing w:after="0"/>
              <w:rPr>
                <w:sz w:val="11"/>
                <w:szCs w:val="11"/>
                <w:color w:val="auto"/>
              </w:rPr>
            </w:pPr>
          </w:p>
        </w:tc>
        <w:tc>
          <w:tcPr>
            <w:tcW w:w="740" w:type="dxa"/>
            <w:vAlign w:val="bottom"/>
            <w:shd w:val="clear" w:color="auto" w:fill="E0E0E0"/>
          </w:tcPr>
          <w:p>
            <w:pPr>
              <w:spacing w:after="0"/>
              <w:rPr>
                <w:sz w:val="11"/>
                <w:szCs w:val="11"/>
                <w:color w:val="auto"/>
              </w:rPr>
            </w:pPr>
          </w:p>
        </w:tc>
        <w:tc>
          <w:tcPr>
            <w:tcW w:w="34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2000" w:type="dxa"/>
            <w:vAlign w:val="bottom"/>
            <w:shd w:val="clear" w:color="auto" w:fill="E0E0E0"/>
          </w:tcPr>
          <w:p>
            <w:pPr>
              <w:spacing w:after="0"/>
              <w:rPr>
                <w:sz w:val="12"/>
                <w:szCs w:val="12"/>
                <w:color w:val="auto"/>
              </w:rPr>
            </w:pPr>
          </w:p>
        </w:tc>
        <w:tc>
          <w:tcPr>
            <w:tcW w:w="420" w:type="dxa"/>
            <w:vAlign w:val="bottom"/>
            <w:shd w:val="clear" w:color="auto" w:fill="E0E0E0"/>
          </w:tcPr>
          <w:p>
            <w:pPr>
              <w:spacing w:after="0"/>
              <w:rPr>
                <w:sz w:val="12"/>
                <w:szCs w:val="12"/>
                <w:color w:val="auto"/>
              </w:rPr>
            </w:pPr>
          </w:p>
        </w:tc>
        <w:tc>
          <w:tcPr>
            <w:tcW w:w="1800" w:type="dxa"/>
            <w:vAlign w:val="bottom"/>
            <w:gridSpan w:val="2"/>
            <w:shd w:val="clear" w:color="auto" w:fill="E0E0E0"/>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80" w:type="dxa"/>
            <w:vAlign w:val="bottom"/>
            <w:gridSpan w:val="2"/>
            <w:shd w:val="clear" w:color="auto" w:fill="E0E0E0"/>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Realized</w:t>
            </w:r>
          </w:p>
        </w:tc>
        <w:tc>
          <w:tcPr>
            <w:tcW w:w="1840" w:type="dxa"/>
            <w:vAlign w:val="bottom"/>
            <w:gridSpan w:val="3"/>
            <w:shd w:val="clear" w:color="auto" w:fill="E0E0E0"/>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Borders>
              <w:right w:val="single" w:sz="8" w:color="auto"/>
            </w:tcBorders>
            <w:gridSpan w:val="2"/>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1000" w:type="dxa"/>
            <w:vAlign w:val="bottom"/>
            <w:shd w:val="clear" w:color="auto" w:fill="E0E0E0"/>
          </w:tcPr>
          <w:p>
            <w:pPr>
              <w:spacing w:after="0"/>
              <w:rPr>
                <w:sz w:val="11"/>
                <w:szCs w:val="11"/>
                <w:color w:val="auto"/>
              </w:rPr>
            </w:pPr>
          </w:p>
        </w:tc>
        <w:tc>
          <w:tcPr>
            <w:tcW w:w="360" w:type="dxa"/>
            <w:vAlign w:val="bottom"/>
            <w:shd w:val="clear" w:color="auto" w:fill="E0E0E0"/>
          </w:tcPr>
          <w:p>
            <w:pPr>
              <w:spacing w:after="0"/>
              <w:rPr>
                <w:sz w:val="11"/>
                <w:szCs w:val="11"/>
                <w:color w:val="auto"/>
              </w:rPr>
            </w:pPr>
          </w:p>
        </w:tc>
        <w:tc>
          <w:tcPr>
            <w:tcW w:w="2000" w:type="dxa"/>
            <w:vAlign w:val="bottom"/>
            <w:shd w:val="clear" w:color="auto" w:fill="E0E0E0"/>
          </w:tcPr>
          <w:p>
            <w:pPr>
              <w:spacing w:after="0"/>
              <w:rPr>
                <w:sz w:val="11"/>
                <w:szCs w:val="11"/>
                <w:color w:val="auto"/>
              </w:rPr>
            </w:pPr>
          </w:p>
        </w:tc>
        <w:tc>
          <w:tcPr>
            <w:tcW w:w="420" w:type="dxa"/>
            <w:vAlign w:val="bottom"/>
            <w:shd w:val="clear" w:color="auto" w:fill="E0E0E0"/>
          </w:tcPr>
          <w:p>
            <w:pPr>
              <w:spacing w:after="0"/>
              <w:rPr>
                <w:sz w:val="11"/>
                <w:szCs w:val="11"/>
                <w:color w:val="auto"/>
              </w:rPr>
            </w:pPr>
          </w:p>
        </w:tc>
        <w:tc>
          <w:tcPr>
            <w:tcW w:w="1800" w:type="dxa"/>
            <w:vAlign w:val="bottom"/>
            <w:gridSpan w:val="2"/>
            <w:shd w:val="clear" w:color="auto" w:fill="E0E0E0"/>
          </w:tcPr>
          <w:p>
            <w:pPr>
              <w:jc w:val="center"/>
              <w:ind w:right="840"/>
              <w:spacing w:after="0" w:line="135" w:lineRule="exact"/>
              <w:rPr>
                <w:sz w:val="20"/>
                <w:szCs w:val="20"/>
                <w:color w:val="auto"/>
              </w:rPr>
            </w:pPr>
            <w:r>
              <w:rPr>
                <w:rFonts w:ascii="Arial" w:cs="Arial" w:eastAsia="Arial" w:hAnsi="Arial"/>
                <w:sz w:val="14"/>
                <w:szCs w:val="14"/>
                <w:b w:val="1"/>
                <w:bCs w:val="1"/>
                <w:color w:val="auto"/>
                <w:w w:val="86"/>
              </w:rPr>
              <w:t>Shares Acquired</w:t>
            </w:r>
          </w:p>
        </w:tc>
        <w:tc>
          <w:tcPr>
            <w:tcW w:w="1480" w:type="dxa"/>
            <w:vAlign w:val="bottom"/>
            <w:gridSpan w:val="2"/>
            <w:shd w:val="clear" w:color="auto" w:fill="E0E0E0"/>
          </w:tcPr>
          <w:p>
            <w:pPr>
              <w:jc w:val="center"/>
              <w:ind w:right="820"/>
              <w:spacing w:after="0" w:line="135" w:lineRule="exact"/>
              <w:rPr>
                <w:sz w:val="20"/>
                <w:szCs w:val="20"/>
                <w:color w:val="auto"/>
              </w:rPr>
            </w:pPr>
            <w:r>
              <w:rPr>
                <w:rFonts w:ascii="Arial" w:cs="Arial" w:eastAsia="Arial" w:hAnsi="Arial"/>
                <w:sz w:val="14"/>
                <w:szCs w:val="14"/>
                <w:b w:val="1"/>
                <w:bCs w:val="1"/>
                <w:color w:val="auto"/>
                <w:w w:val="81"/>
              </w:rPr>
              <w:t>on</w:t>
            </w:r>
          </w:p>
        </w:tc>
        <w:tc>
          <w:tcPr>
            <w:tcW w:w="1840" w:type="dxa"/>
            <w:vAlign w:val="bottom"/>
            <w:gridSpan w:val="3"/>
            <w:shd w:val="clear" w:color="auto" w:fill="E0E0E0"/>
          </w:tcPr>
          <w:p>
            <w:pPr>
              <w:jc w:val="center"/>
              <w:ind w:right="860"/>
              <w:spacing w:after="0" w:line="135" w:lineRule="exact"/>
              <w:rPr>
                <w:sz w:val="20"/>
                <w:szCs w:val="20"/>
                <w:color w:val="auto"/>
              </w:rPr>
            </w:pPr>
            <w:r>
              <w:rPr>
                <w:rFonts w:ascii="Arial" w:cs="Arial" w:eastAsia="Arial" w:hAnsi="Arial"/>
                <w:sz w:val="14"/>
                <w:szCs w:val="14"/>
                <w:b w:val="1"/>
                <w:bCs w:val="1"/>
                <w:color w:val="auto"/>
                <w:w w:val="84"/>
              </w:rPr>
              <w:t>Shares Acquired</w:t>
            </w:r>
          </w:p>
        </w:tc>
        <w:tc>
          <w:tcPr>
            <w:tcW w:w="1080" w:type="dxa"/>
            <w:vAlign w:val="bottom"/>
            <w:tcBorders>
              <w:right w:val="single" w:sz="8" w:color="auto"/>
            </w:tcBorders>
            <w:gridSpan w:val="2"/>
            <w:shd w:val="clear" w:color="auto" w:fill="E0E0E0"/>
          </w:tcPr>
          <w:p>
            <w:pPr>
              <w:jc w:val="center"/>
              <w:ind w:right="360"/>
              <w:spacing w:after="0" w:line="135"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63"/>
        </w:trPr>
        <w:tc>
          <w:tcPr>
            <w:tcW w:w="1100" w:type="dxa"/>
            <w:vAlign w:val="bottom"/>
            <w:tcBorders>
              <w:left w:val="single" w:sz="8" w:color="auto"/>
            </w:tcBorders>
            <w:shd w:val="clear" w:color="auto" w:fill="E0E0E0"/>
          </w:tcPr>
          <w:p>
            <w:pPr>
              <w:spacing w:after="0"/>
              <w:rPr>
                <w:sz w:val="14"/>
                <w:szCs w:val="14"/>
                <w:color w:val="auto"/>
              </w:rPr>
            </w:pPr>
          </w:p>
        </w:tc>
        <w:tc>
          <w:tcPr>
            <w:tcW w:w="1000" w:type="dxa"/>
            <w:vAlign w:val="bottom"/>
            <w:shd w:val="clear" w:color="auto" w:fill="E0E0E0"/>
          </w:tcPr>
          <w:p>
            <w:pPr>
              <w:spacing w:after="0"/>
              <w:rPr>
                <w:sz w:val="14"/>
                <w:szCs w:val="14"/>
                <w:color w:val="auto"/>
              </w:rPr>
            </w:pPr>
          </w:p>
        </w:tc>
        <w:tc>
          <w:tcPr>
            <w:tcW w:w="36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9"/>
              </w:rPr>
              <w:t>Name</w:t>
            </w:r>
          </w:p>
        </w:tc>
        <w:tc>
          <w:tcPr>
            <w:tcW w:w="2000" w:type="dxa"/>
            <w:vAlign w:val="bottom"/>
            <w:vMerge w:val="restart"/>
            <w:shd w:val="clear" w:color="auto" w:fill="E0E0E0"/>
          </w:tcPr>
          <w:p>
            <w:pPr>
              <w:spacing w:after="0"/>
              <w:rPr>
                <w:sz w:val="14"/>
                <w:szCs w:val="14"/>
                <w:color w:val="auto"/>
              </w:rPr>
            </w:pPr>
          </w:p>
        </w:tc>
        <w:tc>
          <w:tcPr>
            <w:tcW w:w="420" w:type="dxa"/>
            <w:vAlign w:val="bottom"/>
            <w:shd w:val="clear" w:color="auto" w:fill="E0E0E0"/>
          </w:tcPr>
          <w:p>
            <w:pPr>
              <w:spacing w:after="0"/>
              <w:rPr>
                <w:sz w:val="14"/>
                <w:szCs w:val="14"/>
                <w:color w:val="auto"/>
              </w:rPr>
            </w:pPr>
          </w:p>
        </w:tc>
        <w:tc>
          <w:tcPr>
            <w:tcW w:w="1800" w:type="dxa"/>
            <w:vAlign w:val="bottom"/>
            <w:gridSpan w:val="2"/>
            <w:shd w:val="clear" w:color="auto" w:fill="E0E0E0"/>
          </w:tcPr>
          <w:p>
            <w:pPr>
              <w:jc w:val="center"/>
              <w:ind w:right="860"/>
              <w:spacing w:after="0"/>
              <w:rPr>
                <w:sz w:val="20"/>
                <w:szCs w:val="20"/>
                <w:color w:val="auto"/>
              </w:rPr>
            </w:pPr>
            <w:r>
              <w:rPr>
                <w:rFonts w:ascii="Arial" w:cs="Arial" w:eastAsia="Arial" w:hAnsi="Arial"/>
                <w:sz w:val="14"/>
                <w:szCs w:val="14"/>
                <w:b w:val="1"/>
                <w:bCs w:val="1"/>
                <w:color w:val="auto"/>
                <w:w w:val="83"/>
              </w:rPr>
              <w:t>on Exercise</w:t>
            </w:r>
          </w:p>
        </w:tc>
        <w:tc>
          <w:tcPr>
            <w:tcW w:w="1480" w:type="dxa"/>
            <w:vAlign w:val="bottom"/>
            <w:gridSpan w:val="2"/>
            <w:shd w:val="clear" w:color="auto" w:fill="E0E0E0"/>
          </w:tcPr>
          <w:p>
            <w:pPr>
              <w:jc w:val="center"/>
              <w:ind w:right="840"/>
              <w:spacing w:after="0"/>
              <w:rPr>
                <w:sz w:val="20"/>
                <w:szCs w:val="20"/>
                <w:color w:val="auto"/>
              </w:rPr>
            </w:pPr>
            <w:r>
              <w:rPr>
                <w:rFonts w:ascii="Arial" w:cs="Arial" w:eastAsia="Arial" w:hAnsi="Arial"/>
                <w:sz w:val="14"/>
                <w:szCs w:val="14"/>
                <w:b w:val="1"/>
                <w:bCs w:val="1"/>
                <w:color w:val="auto"/>
                <w:w w:val="83"/>
              </w:rPr>
              <w:t>Exercise</w:t>
            </w:r>
          </w:p>
        </w:tc>
        <w:tc>
          <w:tcPr>
            <w:tcW w:w="1840" w:type="dxa"/>
            <w:vAlign w:val="bottom"/>
            <w:gridSpan w:val="3"/>
            <w:shd w:val="clear" w:color="auto" w:fill="E0E0E0"/>
          </w:tcPr>
          <w:p>
            <w:pPr>
              <w:jc w:val="center"/>
              <w:ind w:right="840"/>
              <w:spacing w:after="0"/>
              <w:rPr>
                <w:sz w:val="20"/>
                <w:szCs w:val="20"/>
                <w:color w:val="auto"/>
              </w:rPr>
            </w:pPr>
            <w:r>
              <w:rPr>
                <w:rFonts w:ascii="Arial" w:cs="Arial" w:eastAsia="Arial" w:hAnsi="Arial"/>
                <w:sz w:val="14"/>
                <w:szCs w:val="14"/>
                <w:b w:val="1"/>
                <w:bCs w:val="1"/>
                <w:color w:val="auto"/>
                <w:w w:val="83"/>
              </w:rPr>
              <w:t>on Vesting</w:t>
            </w:r>
          </w:p>
        </w:tc>
        <w:tc>
          <w:tcPr>
            <w:tcW w:w="1080" w:type="dxa"/>
            <w:vAlign w:val="bottom"/>
            <w:tcBorders>
              <w:right w:val="single" w:sz="8" w:color="auto"/>
            </w:tcBorders>
            <w:gridSpan w:val="2"/>
            <w:shd w:val="clear" w:color="auto" w:fill="E0E0E0"/>
          </w:tcPr>
          <w:p>
            <w:pPr>
              <w:jc w:val="center"/>
              <w:ind w:right="360"/>
              <w:spacing w:after="0" w:line="163" w:lineRule="exact"/>
              <w:rPr>
                <w:sz w:val="20"/>
                <w:szCs w:val="20"/>
                <w:color w:val="auto"/>
              </w:rPr>
            </w:pPr>
            <w:r>
              <w:rPr>
                <w:rFonts w:ascii="Arial" w:cs="Arial" w:eastAsia="Arial" w:hAnsi="Arial"/>
                <w:sz w:val="12"/>
                <w:szCs w:val="12"/>
                <w:b w:val="1"/>
                <w:bCs w:val="1"/>
                <w:color w:val="auto"/>
                <w:w w:val="95"/>
              </w:rPr>
              <w:t>Vesting</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E0E0E0"/>
            </w:tcBorders>
            <w:shd w:val="clear" w:color="auto" w:fill="E0E0E0"/>
          </w:tcPr>
          <w:p>
            <w:pPr>
              <w:spacing w:after="0"/>
              <w:rPr>
                <w:sz w:val="14"/>
                <w:szCs w:val="14"/>
                <w:color w:val="auto"/>
              </w:rPr>
            </w:pPr>
          </w:p>
        </w:tc>
        <w:tc>
          <w:tcPr>
            <w:tcW w:w="1000" w:type="dxa"/>
            <w:vAlign w:val="bottom"/>
            <w:tcBorders>
              <w:bottom w:val="single" w:sz="8" w:color="E0E0E0"/>
            </w:tcBorders>
            <w:shd w:val="clear" w:color="auto" w:fill="E0E0E0"/>
          </w:tcPr>
          <w:p>
            <w:pPr>
              <w:spacing w:after="0"/>
              <w:rPr>
                <w:sz w:val="14"/>
                <w:szCs w:val="14"/>
                <w:color w:val="auto"/>
              </w:rPr>
            </w:pPr>
          </w:p>
        </w:tc>
        <w:tc>
          <w:tcPr>
            <w:tcW w:w="360" w:type="dxa"/>
            <w:vAlign w:val="bottom"/>
            <w:tcBorders>
              <w:bottom w:val="single" w:sz="8" w:color="auto"/>
            </w:tcBorders>
            <w:vMerge w:val="continue"/>
            <w:shd w:val="clear" w:color="auto" w:fill="E0E0E0"/>
          </w:tcPr>
          <w:p>
            <w:pPr>
              <w:spacing w:after="0"/>
              <w:rPr>
                <w:sz w:val="14"/>
                <w:szCs w:val="14"/>
                <w:color w:val="auto"/>
              </w:rPr>
            </w:pPr>
          </w:p>
        </w:tc>
        <w:tc>
          <w:tcPr>
            <w:tcW w:w="2000" w:type="dxa"/>
            <w:vAlign w:val="bottom"/>
            <w:tcBorders>
              <w:bottom w:val="single" w:sz="8" w:color="E0E0E0"/>
            </w:tcBorders>
            <w:vMerge w:val="continue"/>
            <w:shd w:val="clear" w:color="auto" w:fill="E0E0E0"/>
          </w:tcPr>
          <w:p>
            <w:pPr>
              <w:spacing w:after="0"/>
              <w:rPr>
                <w:sz w:val="14"/>
                <w:szCs w:val="14"/>
                <w:color w:val="auto"/>
              </w:rPr>
            </w:pPr>
          </w:p>
        </w:tc>
        <w:tc>
          <w:tcPr>
            <w:tcW w:w="420" w:type="dxa"/>
            <w:vAlign w:val="bottom"/>
            <w:tcBorders>
              <w:bottom w:val="single" w:sz="8" w:color="E0E0E0"/>
            </w:tcBorders>
            <w:shd w:val="clear" w:color="auto" w:fill="E0E0E0"/>
          </w:tcPr>
          <w:p>
            <w:pPr>
              <w:spacing w:after="0"/>
              <w:rPr>
                <w:sz w:val="14"/>
                <w:szCs w:val="14"/>
                <w:color w:val="auto"/>
              </w:rPr>
            </w:pPr>
          </w:p>
        </w:tc>
        <w:tc>
          <w:tcPr>
            <w:tcW w:w="9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E0E0E0"/>
            </w:tcBorders>
            <w:shd w:val="clear" w:color="auto" w:fill="E0E0E0"/>
          </w:tcPr>
          <w:p>
            <w:pPr>
              <w:spacing w:after="0"/>
              <w:rPr>
                <w:sz w:val="14"/>
                <w:szCs w:val="14"/>
                <w:color w:val="auto"/>
              </w:rPr>
            </w:pPr>
          </w:p>
        </w:tc>
        <w:tc>
          <w:tcPr>
            <w:tcW w:w="64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E0E0E0"/>
            </w:tcBorders>
            <w:shd w:val="clear" w:color="auto" w:fill="E0E0E0"/>
          </w:tcPr>
          <w:p>
            <w:pPr>
              <w:spacing w:after="0"/>
              <w:rPr>
                <w:sz w:val="14"/>
                <w:szCs w:val="14"/>
                <w:color w:val="auto"/>
              </w:rPr>
            </w:pPr>
          </w:p>
        </w:tc>
        <w:tc>
          <w:tcPr>
            <w:tcW w:w="9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E0E0E0"/>
              <w:right w:val="single" w:sz="8" w:color="auto"/>
            </w:tcBorders>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00" w:type="dxa"/>
            <w:vAlign w:val="bottom"/>
            <w:tcBorders>
              <w:top w:val="single" w:sz="8" w:color="E0E0E0"/>
              <w:left w:val="single" w:sz="8" w:color="auto"/>
              <w:bottom w:val="single" w:sz="8" w:color="auto"/>
            </w:tcBorders>
            <w:shd w:val="clear" w:color="auto" w:fill="E0E0E0"/>
          </w:tcPr>
          <w:p>
            <w:pPr>
              <w:spacing w:after="0"/>
              <w:rPr>
                <w:sz w:val="11"/>
                <w:szCs w:val="11"/>
                <w:color w:val="auto"/>
              </w:rPr>
            </w:pPr>
          </w:p>
        </w:tc>
        <w:tc>
          <w:tcPr>
            <w:tcW w:w="1000" w:type="dxa"/>
            <w:vAlign w:val="bottom"/>
            <w:tcBorders>
              <w:top w:val="single" w:sz="8" w:color="E0E0E0"/>
              <w:bottom w:val="single" w:sz="8" w:color="auto"/>
            </w:tcBorders>
            <w:shd w:val="clear" w:color="auto" w:fill="E0E0E0"/>
          </w:tcPr>
          <w:p>
            <w:pPr>
              <w:spacing w:after="0"/>
              <w:rPr>
                <w:sz w:val="11"/>
                <w:szCs w:val="11"/>
                <w:color w:val="auto"/>
              </w:rPr>
            </w:pPr>
          </w:p>
        </w:tc>
        <w:tc>
          <w:tcPr>
            <w:tcW w:w="2360" w:type="dxa"/>
            <w:vAlign w:val="bottom"/>
            <w:tcBorders>
              <w:top w:val="single" w:sz="8" w:color="E0E0E0"/>
              <w:bottom w:val="single" w:sz="8" w:color="auto"/>
            </w:tcBorders>
            <w:gridSpan w:val="2"/>
            <w:shd w:val="clear" w:color="auto" w:fill="E0E0E0"/>
          </w:tcPr>
          <w:p>
            <w:pPr>
              <w:jc w:val="center"/>
              <w:ind w:right="1980"/>
              <w:spacing w:after="0" w:line="136" w:lineRule="exact"/>
              <w:rPr>
                <w:sz w:val="20"/>
                <w:szCs w:val="20"/>
                <w:color w:val="auto"/>
              </w:rPr>
            </w:pPr>
            <w:r>
              <w:rPr>
                <w:rFonts w:ascii="Arial" w:cs="Arial" w:eastAsia="Arial" w:hAnsi="Arial"/>
                <w:sz w:val="14"/>
                <w:szCs w:val="14"/>
                <w:b w:val="1"/>
                <w:bCs w:val="1"/>
                <w:color w:val="auto"/>
                <w:w w:val="81"/>
              </w:rPr>
              <w:t>(a)</w:t>
            </w:r>
          </w:p>
        </w:tc>
        <w:tc>
          <w:tcPr>
            <w:tcW w:w="420" w:type="dxa"/>
            <w:vAlign w:val="bottom"/>
            <w:tcBorders>
              <w:top w:val="single" w:sz="8" w:color="E0E0E0"/>
              <w:bottom w:val="single" w:sz="8" w:color="auto"/>
            </w:tcBorders>
            <w:shd w:val="clear" w:color="auto" w:fill="E0E0E0"/>
          </w:tcPr>
          <w:p>
            <w:pPr>
              <w:spacing w:after="0"/>
              <w:rPr>
                <w:sz w:val="11"/>
                <w:szCs w:val="11"/>
                <w:color w:val="auto"/>
              </w:rPr>
            </w:pPr>
          </w:p>
        </w:tc>
        <w:tc>
          <w:tcPr>
            <w:tcW w:w="9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840" w:type="dxa"/>
            <w:vAlign w:val="bottom"/>
            <w:tcBorders>
              <w:top w:val="single" w:sz="8" w:color="E0E0E0"/>
              <w:bottom w:val="single" w:sz="8" w:color="auto"/>
            </w:tcBorders>
            <w:shd w:val="clear" w:color="auto" w:fill="E0E0E0"/>
          </w:tcPr>
          <w:p>
            <w:pPr>
              <w:spacing w:after="0"/>
              <w:rPr>
                <w:sz w:val="11"/>
                <w:szCs w:val="11"/>
                <w:color w:val="auto"/>
              </w:rPr>
            </w:pPr>
          </w:p>
        </w:tc>
        <w:tc>
          <w:tcPr>
            <w:tcW w:w="6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840" w:type="dxa"/>
            <w:vAlign w:val="bottom"/>
            <w:tcBorders>
              <w:top w:val="single" w:sz="8" w:color="E0E0E0"/>
              <w:bottom w:val="single" w:sz="8" w:color="auto"/>
            </w:tcBorders>
            <w:shd w:val="clear" w:color="auto" w:fill="E0E0E0"/>
          </w:tcPr>
          <w:p>
            <w:pPr>
              <w:spacing w:after="0"/>
              <w:rPr>
                <w:sz w:val="11"/>
                <w:szCs w:val="11"/>
                <w:color w:val="auto"/>
              </w:rPr>
            </w:pPr>
          </w:p>
        </w:tc>
        <w:tc>
          <w:tcPr>
            <w:tcW w:w="9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860" w:type="dxa"/>
            <w:vAlign w:val="bottom"/>
            <w:tcBorders>
              <w:top w:val="single" w:sz="8" w:color="E0E0E0"/>
              <w:bottom w:val="single" w:sz="8" w:color="auto"/>
            </w:tcBorders>
            <w:shd w:val="clear" w:color="auto" w:fill="E0E0E0"/>
          </w:tcPr>
          <w:p>
            <w:pPr>
              <w:spacing w:after="0"/>
              <w:rPr>
                <w:sz w:val="11"/>
                <w:szCs w:val="11"/>
                <w:color w:val="auto"/>
              </w:rPr>
            </w:pPr>
          </w:p>
        </w:tc>
        <w:tc>
          <w:tcPr>
            <w:tcW w:w="20" w:type="dxa"/>
            <w:vAlign w:val="bottom"/>
            <w:tcBorders>
              <w:top w:val="single" w:sz="8" w:color="auto"/>
              <w:bottom w:val="single" w:sz="8" w:color="auto"/>
            </w:tcBorders>
            <w:shd w:val="clear" w:color="auto" w:fill="E0E0E0"/>
          </w:tcPr>
          <w:p>
            <w:pPr>
              <w:spacing w:after="0"/>
              <w:rPr>
                <w:sz w:val="11"/>
                <w:szCs w:val="11"/>
                <w:color w:val="auto"/>
              </w:rPr>
            </w:pPr>
          </w:p>
        </w:tc>
        <w:tc>
          <w:tcPr>
            <w:tcW w:w="7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340" w:type="dxa"/>
            <w:vAlign w:val="bottom"/>
            <w:tcBorders>
              <w:top w:val="single" w:sz="8" w:color="E0E0E0"/>
              <w:bottom w:val="single" w:sz="8" w:color="auto"/>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420" w:type="dxa"/>
            <w:vAlign w:val="bottom"/>
            <w:shd w:val="clear" w:color="auto" w:fill="E0E0E0"/>
          </w:tcPr>
          <w:p>
            <w:pPr>
              <w:spacing w:after="0"/>
              <w:rPr>
                <w:sz w:val="18"/>
                <w:szCs w:val="18"/>
                <w:color w:val="auto"/>
              </w:rPr>
            </w:pPr>
          </w:p>
        </w:tc>
        <w:tc>
          <w:tcPr>
            <w:tcW w:w="180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0</w:t>
            </w:r>
          </w:p>
        </w:tc>
        <w:tc>
          <w:tcPr>
            <w:tcW w:w="182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11,972</w:t>
            </w:r>
          </w:p>
        </w:tc>
        <w:tc>
          <w:tcPr>
            <w:tcW w:w="20" w:type="dxa"/>
            <w:vAlign w:val="bottom"/>
            <w:shd w:val="clear" w:color="auto" w:fill="E0E0E0"/>
          </w:tcPr>
          <w:p>
            <w:pPr>
              <w:spacing w:after="0"/>
              <w:rPr>
                <w:sz w:val="18"/>
                <w:szCs w:val="18"/>
                <w:color w:val="auto"/>
              </w:rPr>
            </w:pP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835,791</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Anne H. Lloyd</w:t>
            </w:r>
          </w:p>
        </w:tc>
        <w:tc>
          <w:tcPr>
            <w:tcW w:w="42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5,500</w:t>
            </w: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w w:val="95"/>
              </w:rPr>
              <w:t>212,245</w:t>
            </w: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7,334</w:t>
            </w:r>
          </w:p>
        </w:tc>
        <w:tc>
          <w:tcPr>
            <w:tcW w:w="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516,810</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2220" w:type="dxa"/>
            <w:vAlign w:val="bottom"/>
            <w:gridSpan w:val="3"/>
            <w:shd w:val="clear" w:color="auto" w:fill="E0E0E0"/>
          </w:tcPr>
          <w:p>
            <w:pPr>
              <w:jc w:val="right"/>
              <w:ind w:right="84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0</w:t>
            </w:r>
          </w:p>
        </w:tc>
        <w:tc>
          <w:tcPr>
            <w:tcW w:w="182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6,212</w:t>
            </w:r>
          </w:p>
        </w:tc>
        <w:tc>
          <w:tcPr>
            <w:tcW w:w="20" w:type="dxa"/>
            <w:vAlign w:val="bottom"/>
            <w:shd w:val="clear" w:color="auto" w:fill="E0E0E0"/>
          </w:tcPr>
          <w:p>
            <w:pPr>
              <w:spacing w:after="0"/>
              <w:rPr>
                <w:sz w:val="18"/>
                <w:szCs w:val="18"/>
                <w:color w:val="auto"/>
              </w:rPr>
            </w:pP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430,669</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2220" w:type="dxa"/>
            <w:vAlign w:val="bottom"/>
            <w:gridSpan w:val="3"/>
          </w:tcPr>
          <w:p>
            <w:pPr>
              <w:jc w:val="right"/>
              <w:ind w:right="84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2220" w:type="dxa"/>
            <w:vAlign w:val="bottom"/>
            <w:gridSpan w:val="3"/>
            <w:shd w:val="clear" w:color="auto" w:fill="E0E0E0"/>
          </w:tcPr>
          <w:p>
            <w:pPr>
              <w:jc w:val="right"/>
              <w:ind w:right="840"/>
              <w:spacing w:after="0"/>
              <w:rPr>
                <w:sz w:val="20"/>
                <w:szCs w:val="20"/>
                <w:color w:val="auto"/>
              </w:rPr>
            </w:pPr>
            <w:r>
              <w:rPr>
                <w:rFonts w:ascii="Arial" w:cs="Arial" w:eastAsia="Arial" w:hAnsi="Arial"/>
                <w:sz w:val="18"/>
                <w:szCs w:val="18"/>
                <w:color w:val="auto"/>
              </w:rPr>
              <w:t>2,000</w:t>
            </w:r>
          </w:p>
        </w:tc>
        <w:tc>
          <w:tcPr>
            <w:tcW w:w="148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w w:val="95"/>
              </w:rPr>
              <w:t>117,420</w:t>
            </w:r>
          </w:p>
        </w:tc>
        <w:tc>
          <w:tcPr>
            <w:tcW w:w="1820" w:type="dxa"/>
            <w:vAlign w:val="bottom"/>
            <w:gridSpan w:val="2"/>
            <w:shd w:val="clear" w:color="auto" w:fill="E0E0E0"/>
          </w:tcPr>
          <w:p>
            <w:pPr>
              <w:jc w:val="right"/>
              <w:ind w:right="840"/>
              <w:spacing w:after="0"/>
              <w:rPr>
                <w:sz w:val="20"/>
                <w:szCs w:val="20"/>
                <w:color w:val="auto"/>
              </w:rPr>
            </w:pPr>
            <w:r>
              <w:rPr>
                <w:rFonts w:ascii="Arial" w:cs="Arial" w:eastAsia="Arial" w:hAnsi="Arial"/>
                <w:sz w:val="18"/>
                <w:szCs w:val="18"/>
                <w:color w:val="auto"/>
              </w:rPr>
              <w:t>622</w:t>
            </w:r>
          </w:p>
        </w:tc>
        <w:tc>
          <w:tcPr>
            <w:tcW w:w="20" w:type="dxa"/>
            <w:vAlign w:val="bottom"/>
            <w:shd w:val="clear" w:color="auto" w:fill="E0E0E0"/>
          </w:tcPr>
          <w:p>
            <w:pPr>
              <w:spacing w:after="0"/>
              <w:rPr>
                <w:sz w:val="18"/>
                <w:szCs w:val="18"/>
                <w:color w:val="auto"/>
              </w:rPr>
            </w:pPr>
          </w:p>
        </w:tc>
        <w:tc>
          <w:tcPr>
            <w:tcW w:w="1080" w:type="dxa"/>
            <w:vAlign w:val="bottom"/>
            <w:tcBorders>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43,304</w:t>
            </w:r>
          </w:p>
        </w:tc>
        <w:tc>
          <w:tcPr>
            <w:tcW w:w="0" w:type="dxa"/>
            <w:vAlign w:val="bottom"/>
          </w:tcPr>
          <w:p>
            <w:pPr>
              <w:spacing w:after="0"/>
              <w:rPr>
                <w:sz w:val="1"/>
                <w:szCs w:val="1"/>
                <w:color w:val="auto"/>
              </w:rPr>
            </w:pPr>
          </w:p>
        </w:tc>
      </w:tr>
      <w:tr>
        <w:trPr>
          <w:trHeight w:val="202"/>
        </w:trPr>
        <w:tc>
          <w:tcPr>
            <w:tcW w:w="4460" w:type="dxa"/>
            <w:vAlign w:val="bottom"/>
            <w:tcBorders>
              <w:left w:val="single" w:sz="8" w:color="auto"/>
            </w:tcBorders>
            <w:gridSpan w:val="4"/>
          </w:tcPr>
          <w:p>
            <w:pPr>
              <w:ind w:left="120"/>
              <w:spacing w:after="0" w:line="201" w:lineRule="exact"/>
              <w:rPr>
                <w:sz w:val="20"/>
                <w:szCs w:val="20"/>
                <w:color w:val="auto"/>
              </w:rPr>
            </w:pPr>
            <w:r>
              <w:rPr>
                <w:rFonts w:ascii="Arial" w:cs="Arial" w:eastAsia="Arial" w:hAnsi="Arial"/>
                <w:sz w:val="18"/>
                <w:szCs w:val="18"/>
                <w:b w:val="1"/>
                <w:bCs w:val="1"/>
                <w:i w:val="1"/>
                <w:iCs w:val="1"/>
                <w:color w:val="auto"/>
              </w:rPr>
              <w:t>Former Executive Officer:</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6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Bruce A. Vaio</w:t>
            </w:r>
            <w:r>
              <w:rPr>
                <w:rFonts w:ascii="Arial" w:cs="Arial" w:eastAsia="Arial" w:hAnsi="Arial"/>
                <w:sz w:val="11"/>
                <w:szCs w:val="11"/>
                <w:b w:val="1"/>
                <w:bCs w:val="1"/>
                <w:color w:val="auto"/>
              </w:rPr>
              <w:t>2</w:t>
            </w:r>
          </w:p>
        </w:tc>
        <w:tc>
          <w:tcPr>
            <w:tcW w:w="22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8"/>
                <w:szCs w:val="18"/>
                <w:color w:val="auto"/>
              </w:rPr>
              <w:t>5,000</w:t>
            </w:r>
          </w:p>
        </w:tc>
        <w:tc>
          <w:tcPr>
            <w:tcW w:w="148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8"/>
                <w:szCs w:val="18"/>
                <w:color w:val="auto"/>
                <w:w w:val="95"/>
              </w:rPr>
              <w:t>222,100</w:t>
            </w:r>
          </w:p>
        </w:tc>
        <w:tc>
          <w:tcPr>
            <w:tcW w:w="18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14,738</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89"/>
              </w:rPr>
              <w:t>3,483,757</w:t>
            </w:r>
          </w:p>
        </w:tc>
        <w:tc>
          <w:tcPr>
            <w:tcW w:w="0" w:type="dxa"/>
            <w:vAlign w:val="bottom"/>
          </w:tcPr>
          <w:p>
            <w:pPr>
              <w:spacing w:after="0"/>
              <w:rPr>
                <w:sz w:val="1"/>
                <w:szCs w:val="1"/>
                <w:color w:val="auto"/>
              </w:rPr>
            </w:pPr>
          </w:p>
        </w:tc>
      </w:tr>
      <w:tr>
        <w:trPr>
          <w:trHeight w:val="89"/>
        </w:trPr>
        <w:tc>
          <w:tcPr>
            <w:tcW w:w="110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hanging="323"/>
        <w:spacing w:after="0"/>
        <w:tabs>
          <w:tab w:leader="none" w:pos="323"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amounts in column (e) include the value of restricted stock unit awards at the time of vesting and the appreciation of both mandatory and voluntary contributions under the Incentive Stock Plan.</w:t>
      </w:r>
    </w:p>
    <w:p>
      <w:pPr>
        <w:spacing w:after="0" w:line="92" w:lineRule="exact"/>
        <w:rPr>
          <w:sz w:val="20"/>
          <w:szCs w:val="20"/>
          <w:color w:val="auto"/>
        </w:rPr>
      </w:pPr>
    </w:p>
    <w:p>
      <w:pPr>
        <w:jc w:val="both"/>
        <w:ind w:left="323" w:right="20" w:hanging="323"/>
        <w:spacing w:after="0" w:line="288" w:lineRule="auto"/>
        <w:tabs>
          <w:tab w:leader="none" w:pos="323"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 connection with Mr. Vaio’s resignation, he became vested in all outstanding and unvested restricted stock units and Incentive Stock Plan units. The amount in column (e) includes the value of the restricted stock units and Incentive Stock Plan units on the date of vesting. The restricted stock units will be delivered on the originally scheduled delivery date as if Mr. Vaio had remained employed by the Company. The Incentive Stock Plan units will be delivered on the first day following the six month anniversary of Mr. Vaio’s resignation.</w:t>
      </w:r>
    </w:p>
    <w:p>
      <w:pPr>
        <w:spacing w:after="0" w:line="262"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083"/>
          </w:cols>
          <w:pgMar w:left="437" w:top="615" w:right="379" w:bottom="1440" w:gutter="0" w:footer="0" w:header="0"/>
        </w:sectPr>
      </w:pPr>
    </w:p>
    <w:bookmarkStart w:id="61" w:name="page62"/>
    <w:bookmarkEnd w:id="61"/>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42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5842000"/>
                    </a:xfrm>
                    <a:prstGeom prst="rect">
                      <a:avLst/>
                    </a:prstGeom>
                    <a:noFill/>
                  </pic:spPr>
                </pic:pic>
              </a:graphicData>
            </a:graphic>
          </wp:anchor>
        </w:drawing>
        <w:t>Pension Benefits</w:t>
      </w:r>
    </w:p>
    <w:p>
      <w:pPr>
        <w:spacing w:after="0" w:line="90" w:lineRule="exact"/>
        <w:rPr>
          <w:sz w:val="20"/>
          <w:szCs w:val="20"/>
          <w:color w:val="auto"/>
        </w:rPr>
      </w:pPr>
    </w:p>
    <w:p>
      <w:pPr>
        <w:jc w:val="both"/>
        <w:ind w:left="3" w:right="20" w:firstLine="775"/>
        <w:spacing w:after="0" w:line="259" w:lineRule="auto"/>
        <w:rPr>
          <w:sz w:val="20"/>
          <w:szCs w:val="20"/>
          <w:color w:val="auto"/>
        </w:rPr>
      </w:pPr>
      <w:r>
        <w:rPr>
          <w:rFonts w:ascii="Arial" w:cs="Arial" w:eastAsia="Arial" w:hAnsi="Arial"/>
          <w:sz w:val="18"/>
          <w:szCs w:val="18"/>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Martin Marietta’s financial statements.</w:t>
      </w:r>
    </w:p>
    <w:p>
      <w:pPr>
        <w:spacing w:after="0" w:line="215"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PENSION BENEFITS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116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2120" w:type="dxa"/>
            <w:vAlign w:val="bottom"/>
            <w:tcBorders>
              <w:top w:val="single" w:sz="8" w:color="auto"/>
            </w:tcBorders>
            <w:shd w:val="clear" w:color="auto" w:fill="E0E0E0"/>
          </w:tcPr>
          <w:p>
            <w:pPr>
              <w:spacing w:after="0"/>
              <w:rPr>
                <w:sz w:val="12"/>
                <w:szCs w:val="12"/>
                <w:color w:val="auto"/>
              </w:rPr>
            </w:pPr>
          </w:p>
        </w:tc>
        <w:tc>
          <w:tcPr>
            <w:tcW w:w="2040" w:type="dxa"/>
            <w:vAlign w:val="bottom"/>
            <w:tcBorders>
              <w:top w:val="single" w:sz="8" w:color="auto"/>
            </w:tcBorders>
            <w:shd w:val="clear" w:color="auto" w:fill="E0E0E0"/>
          </w:tcPr>
          <w:p>
            <w:pPr>
              <w:spacing w:after="0"/>
              <w:rPr>
                <w:sz w:val="12"/>
                <w:szCs w:val="12"/>
                <w:color w:val="auto"/>
              </w:rPr>
            </w:pPr>
          </w:p>
        </w:tc>
        <w:tc>
          <w:tcPr>
            <w:tcW w:w="148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Numbers of</w:t>
            </w:r>
          </w:p>
        </w:tc>
        <w:tc>
          <w:tcPr>
            <w:tcW w:w="1520" w:type="dxa"/>
            <w:vAlign w:val="bottom"/>
            <w:tcBorders>
              <w:top w:val="single" w:sz="8" w:color="auto"/>
            </w:tcBorders>
            <w:shd w:val="clear" w:color="auto" w:fill="E0E0E0"/>
          </w:tcPr>
          <w:p>
            <w:pPr>
              <w:jc w:val="center"/>
              <w:ind w:left="39"/>
              <w:spacing w:after="0" w:line="149" w:lineRule="exact"/>
              <w:rPr>
                <w:sz w:val="20"/>
                <w:szCs w:val="20"/>
                <w:color w:val="auto"/>
              </w:rPr>
            </w:pPr>
            <w:r>
              <w:rPr>
                <w:rFonts w:ascii="Arial" w:cs="Arial" w:eastAsia="Arial" w:hAnsi="Arial"/>
                <w:sz w:val="14"/>
                <w:szCs w:val="14"/>
                <w:b w:val="1"/>
                <w:bCs w:val="1"/>
                <w:color w:val="auto"/>
                <w:w w:val="86"/>
              </w:rPr>
              <w:t>Present Value</w:t>
            </w:r>
          </w:p>
        </w:tc>
        <w:tc>
          <w:tcPr>
            <w:tcW w:w="128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16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120" w:type="dxa"/>
            <w:vAlign w:val="bottom"/>
            <w:shd w:val="clear" w:color="auto" w:fill="E0E0E0"/>
          </w:tcPr>
          <w:p>
            <w:pPr>
              <w:spacing w:after="0"/>
              <w:rPr>
                <w:sz w:val="12"/>
                <w:szCs w:val="12"/>
                <w:color w:val="auto"/>
              </w:rPr>
            </w:pPr>
          </w:p>
        </w:tc>
        <w:tc>
          <w:tcPr>
            <w:tcW w:w="2040" w:type="dxa"/>
            <w:vAlign w:val="bottom"/>
            <w:shd w:val="clear" w:color="auto" w:fill="E0E0E0"/>
          </w:tcPr>
          <w:p>
            <w:pPr>
              <w:spacing w:after="0"/>
              <w:rPr>
                <w:sz w:val="12"/>
                <w:szCs w:val="12"/>
                <w:color w:val="auto"/>
              </w:rPr>
            </w:pPr>
          </w:p>
        </w:tc>
        <w:tc>
          <w:tcPr>
            <w:tcW w:w="14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Years</w:t>
            </w:r>
          </w:p>
        </w:tc>
        <w:tc>
          <w:tcPr>
            <w:tcW w:w="15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80" w:type="dxa"/>
            <w:vAlign w:val="bottom"/>
            <w:tcBorders>
              <w:right w:val="single" w:sz="8" w:color="auto"/>
            </w:tcBorders>
            <w:shd w:val="clear" w:color="auto" w:fill="E0E0E0"/>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1160" w:type="dxa"/>
            <w:vAlign w:val="bottom"/>
            <w:shd w:val="clear" w:color="auto" w:fill="E0E0E0"/>
          </w:tcPr>
          <w:p>
            <w:pPr>
              <w:spacing w:after="0"/>
              <w:rPr>
                <w:sz w:val="11"/>
                <w:szCs w:val="11"/>
                <w:color w:val="auto"/>
              </w:rPr>
            </w:pPr>
          </w:p>
        </w:tc>
        <w:tc>
          <w:tcPr>
            <w:tcW w:w="2500" w:type="dxa"/>
            <w:vAlign w:val="bottom"/>
            <w:gridSpan w:val="2"/>
            <w:vMerge w:val="restart"/>
            <w:shd w:val="clear" w:color="auto" w:fill="E0E0E0"/>
          </w:tcPr>
          <w:p>
            <w:pPr>
              <w:jc w:val="center"/>
              <w:ind w:right="2120"/>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shd w:val="clear" w:color="auto" w:fill="E0E0E0"/>
          </w:tcPr>
          <w:p>
            <w:pPr>
              <w:spacing w:after="0"/>
              <w:rPr>
                <w:sz w:val="11"/>
                <w:szCs w:val="11"/>
                <w:color w:val="auto"/>
              </w:rPr>
            </w:pPr>
          </w:p>
        </w:tc>
        <w:tc>
          <w:tcPr>
            <w:tcW w:w="148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1"/>
              </w:rPr>
              <w:t>Credited</w:t>
            </w:r>
          </w:p>
        </w:tc>
        <w:tc>
          <w:tcPr>
            <w:tcW w:w="1520" w:type="dxa"/>
            <w:vAlign w:val="bottom"/>
            <w:shd w:val="clear" w:color="auto" w:fill="E0E0E0"/>
          </w:tcPr>
          <w:p>
            <w:pPr>
              <w:jc w:val="center"/>
              <w:ind w:left="39"/>
              <w:spacing w:after="0" w:line="135" w:lineRule="exact"/>
              <w:rPr>
                <w:sz w:val="20"/>
                <w:szCs w:val="20"/>
                <w:color w:val="auto"/>
              </w:rPr>
            </w:pPr>
            <w:r>
              <w:rPr>
                <w:rFonts w:ascii="Arial" w:cs="Arial" w:eastAsia="Arial" w:hAnsi="Arial"/>
                <w:sz w:val="14"/>
                <w:szCs w:val="14"/>
                <w:b w:val="1"/>
                <w:bCs w:val="1"/>
                <w:color w:val="auto"/>
                <w:w w:val="86"/>
              </w:rPr>
              <w:t>Accumulated</w:t>
            </w:r>
          </w:p>
        </w:tc>
        <w:tc>
          <w:tcPr>
            <w:tcW w:w="1280" w:type="dxa"/>
            <w:vAlign w:val="bottom"/>
            <w:tcBorders>
              <w:right w:val="single" w:sz="8" w:color="auto"/>
            </w:tcBorders>
            <w:shd w:val="clear" w:color="auto" w:fill="E0E0E0"/>
          </w:tcPr>
          <w:p>
            <w:pPr>
              <w:jc w:val="center"/>
              <w:ind w:left="112"/>
              <w:spacing w:after="0" w:line="135"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160" w:type="dxa"/>
            <w:vAlign w:val="bottom"/>
            <w:shd w:val="clear" w:color="auto" w:fill="E0E0E0"/>
          </w:tcPr>
          <w:p>
            <w:pPr>
              <w:spacing w:after="0"/>
              <w:rPr>
                <w:sz w:val="12"/>
                <w:szCs w:val="12"/>
                <w:color w:val="auto"/>
              </w:rPr>
            </w:pPr>
          </w:p>
        </w:tc>
        <w:tc>
          <w:tcPr>
            <w:tcW w:w="2500" w:type="dxa"/>
            <w:vAlign w:val="bottom"/>
            <w:gridSpan w:val="2"/>
            <w:vMerge w:val="continue"/>
            <w:shd w:val="clear" w:color="auto" w:fill="E0E0E0"/>
          </w:tcPr>
          <w:p>
            <w:pPr>
              <w:spacing w:after="0"/>
              <w:rPr>
                <w:sz w:val="12"/>
                <w:szCs w:val="12"/>
                <w:color w:val="auto"/>
              </w:rPr>
            </w:pPr>
          </w:p>
        </w:tc>
        <w:tc>
          <w:tcPr>
            <w:tcW w:w="2040" w:type="dxa"/>
            <w:vAlign w:val="bottom"/>
            <w:shd w:val="clear" w:color="auto" w:fill="E0E0E0"/>
          </w:tcPr>
          <w:p>
            <w:pPr>
              <w:jc w:val="center"/>
              <w:ind w:left="295"/>
              <w:spacing w:after="0" w:line="149" w:lineRule="exact"/>
              <w:rPr>
                <w:sz w:val="20"/>
                <w:szCs w:val="20"/>
                <w:color w:val="auto"/>
              </w:rPr>
            </w:pPr>
            <w:r>
              <w:rPr>
                <w:rFonts w:ascii="Arial" w:cs="Arial" w:eastAsia="Arial" w:hAnsi="Arial"/>
                <w:sz w:val="14"/>
                <w:szCs w:val="14"/>
                <w:b w:val="1"/>
                <w:bCs w:val="1"/>
                <w:color w:val="auto"/>
                <w:w w:val="86"/>
              </w:rPr>
              <w:t>Plan Name</w:t>
            </w:r>
          </w:p>
        </w:tc>
        <w:tc>
          <w:tcPr>
            <w:tcW w:w="14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Service (#)</w:t>
            </w:r>
          </w:p>
        </w:tc>
        <w:tc>
          <w:tcPr>
            <w:tcW w:w="1520" w:type="dxa"/>
            <w:vAlign w:val="bottom"/>
            <w:shd w:val="clear" w:color="auto" w:fill="E0E0E0"/>
          </w:tcPr>
          <w:p>
            <w:pPr>
              <w:jc w:val="center"/>
              <w:ind w:left="19"/>
              <w:spacing w:after="0" w:line="149" w:lineRule="exact"/>
              <w:rPr>
                <w:sz w:val="20"/>
                <w:szCs w:val="20"/>
                <w:color w:val="auto"/>
              </w:rPr>
            </w:pPr>
            <w:r>
              <w:rPr>
                <w:rFonts w:ascii="Arial" w:cs="Arial" w:eastAsia="Arial" w:hAnsi="Arial"/>
                <w:sz w:val="11"/>
                <w:szCs w:val="11"/>
                <w:b w:val="1"/>
                <w:bCs w:val="1"/>
                <w:color w:val="auto"/>
              </w:rPr>
              <w:t>Benefit ($)</w:t>
            </w:r>
            <w:r>
              <w:rPr>
                <w:rFonts w:ascii="Arial" w:cs="Arial" w:eastAsia="Arial" w:hAnsi="Arial"/>
                <w:sz w:val="17"/>
                <w:szCs w:val="17"/>
                <w:b w:val="1"/>
                <w:bCs w:val="1"/>
                <w:color w:val="auto"/>
                <w:vertAlign w:val="superscript"/>
              </w:rPr>
              <w:t>1</w:t>
            </w:r>
          </w:p>
        </w:tc>
        <w:tc>
          <w:tcPr>
            <w:tcW w:w="1280" w:type="dxa"/>
            <w:vAlign w:val="bottom"/>
            <w:tcBorders>
              <w:right w:val="single" w:sz="8" w:color="auto"/>
            </w:tcBorders>
            <w:shd w:val="clear" w:color="auto" w:fill="E0E0E0"/>
          </w:tcPr>
          <w:p>
            <w:pPr>
              <w:jc w:val="center"/>
              <w:ind w:left="112"/>
              <w:spacing w:after="0" w:line="149" w:lineRule="exact"/>
              <w:rPr>
                <w:sz w:val="20"/>
                <w:szCs w:val="20"/>
                <w:color w:val="auto"/>
              </w:rPr>
            </w:pPr>
            <w:r>
              <w:rPr>
                <w:rFonts w:ascii="Arial" w:cs="Arial" w:eastAsia="Arial" w:hAnsi="Arial"/>
                <w:sz w:val="14"/>
                <w:szCs w:val="14"/>
                <w:b w:val="1"/>
                <w:bCs w:val="1"/>
                <w:color w:val="auto"/>
                <w:w w:val="86"/>
              </w:rPr>
              <w:t>Fiscal Year ($)</w:t>
            </w:r>
          </w:p>
        </w:tc>
        <w:tc>
          <w:tcPr>
            <w:tcW w:w="0" w:type="dxa"/>
            <w:vAlign w:val="bottom"/>
          </w:tcPr>
          <w:p>
            <w:pPr>
              <w:spacing w:after="0"/>
              <w:rPr>
                <w:sz w:val="1"/>
                <w:szCs w:val="1"/>
                <w:color w:val="auto"/>
              </w:rPr>
            </w:pPr>
          </w:p>
        </w:tc>
      </w:tr>
      <w:tr>
        <w:trPr>
          <w:trHeight w:val="194"/>
        </w:trPr>
        <w:tc>
          <w:tcPr>
            <w:tcW w:w="1100" w:type="dxa"/>
            <w:vAlign w:val="bottom"/>
            <w:tcBorders>
              <w:left w:val="single" w:sz="8" w:color="auto"/>
              <w:bottom w:val="single" w:sz="8" w:color="E0E0E0"/>
            </w:tcBorders>
            <w:shd w:val="clear" w:color="auto" w:fill="E0E0E0"/>
          </w:tcPr>
          <w:p>
            <w:pPr>
              <w:spacing w:after="0"/>
              <w:rPr>
                <w:sz w:val="16"/>
                <w:szCs w:val="16"/>
                <w:color w:val="auto"/>
              </w:rPr>
            </w:pPr>
          </w:p>
        </w:tc>
        <w:tc>
          <w:tcPr>
            <w:tcW w:w="1160" w:type="dxa"/>
            <w:vAlign w:val="bottom"/>
            <w:tcBorders>
              <w:bottom w:val="single" w:sz="8" w:color="E0E0E0"/>
            </w:tcBorders>
            <w:shd w:val="clear" w:color="auto" w:fill="E0E0E0"/>
          </w:tcPr>
          <w:p>
            <w:pPr>
              <w:spacing w:after="0"/>
              <w:rPr>
                <w:sz w:val="16"/>
                <w:szCs w:val="16"/>
                <w:color w:val="auto"/>
              </w:rPr>
            </w:pPr>
          </w:p>
        </w:tc>
        <w:tc>
          <w:tcPr>
            <w:tcW w:w="380" w:type="dxa"/>
            <w:vAlign w:val="bottom"/>
            <w:tcBorders>
              <w:bottom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2120" w:type="dxa"/>
            <w:vAlign w:val="bottom"/>
            <w:tcBorders>
              <w:bottom w:val="single" w:sz="8" w:color="E0E0E0"/>
            </w:tcBorders>
            <w:shd w:val="clear" w:color="auto" w:fill="E0E0E0"/>
          </w:tcPr>
          <w:p>
            <w:pPr>
              <w:spacing w:after="0"/>
              <w:rPr>
                <w:sz w:val="16"/>
                <w:szCs w:val="16"/>
                <w:color w:val="auto"/>
              </w:rPr>
            </w:pPr>
          </w:p>
        </w:tc>
        <w:tc>
          <w:tcPr>
            <w:tcW w:w="2040" w:type="dxa"/>
            <w:vAlign w:val="bottom"/>
            <w:tcBorders>
              <w:bottom w:val="single" w:sz="8" w:color="E0E0E0"/>
            </w:tcBorders>
            <w:shd w:val="clear" w:color="auto" w:fill="E0E0E0"/>
          </w:tcPr>
          <w:p>
            <w:pPr>
              <w:jc w:val="center"/>
              <w:ind w:left="295"/>
              <w:spacing w:after="0" w:line="129" w:lineRule="exact"/>
              <w:rPr>
                <w:sz w:val="20"/>
                <w:szCs w:val="20"/>
                <w:color w:val="auto"/>
              </w:rPr>
            </w:pPr>
            <w:r>
              <w:rPr>
                <w:rFonts w:ascii="Arial" w:cs="Arial" w:eastAsia="Arial" w:hAnsi="Arial"/>
                <w:sz w:val="14"/>
                <w:szCs w:val="14"/>
                <w:b w:val="1"/>
                <w:bCs w:val="1"/>
                <w:color w:val="auto"/>
              </w:rPr>
              <w:t>(b)</w:t>
            </w:r>
          </w:p>
        </w:tc>
        <w:tc>
          <w:tcPr>
            <w:tcW w:w="148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1520" w:type="dxa"/>
            <w:vAlign w:val="bottom"/>
            <w:tcBorders>
              <w:bottom w:val="single" w:sz="8" w:color="E0E0E0"/>
            </w:tcBorders>
            <w:shd w:val="clear" w:color="auto" w:fill="E0E0E0"/>
          </w:tcPr>
          <w:p>
            <w:pPr>
              <w:jc w:val="center"/>
              <w:ind w:left="39"/>
              <w:spacing w:after="0" w:line="129" w:lineRule="exact"/>
              <w:rPr>
                <w:sz w:val="20"/>
                <w:szCs w:val="20"/>
                <w:color w:val="auto"/>
              </w:rPr>
            </w:pPr>
            <w:r>
              <w:rPr>
                <w:rFonts w:ascii="Arial" w:cs="Arial" w:eastAsia="Arial" w:hAnsi="Arial"/>
                <w:sz w:val="14"/>
                <w:szCs w:val="14"/>
                <w:b w:val="1"/>
                <w:bCs w:val="1"/>
                <w:color w:val="auto"/>
                <w:w w:val="89"/>
              </w:rPr>
              <w:t>(d)</w:t>
            </w:r>
          </w:p>
        </w:tc>
        <w:tc>
          <w:tcPr>
            <w:tcW w:w="1280" w:type="dxa"/>
            <w:vAlign w:val="bottom"/>
            <w:tcBorders>
              <w:bottom w:val="single" w:sz="8" w:color="E0E0E0"/>
              <w:right w:val="single" w:sz="8" w:color="auto"/>
            </w:tcBorders>
            <w:shd w:val="clear" w:color="auto" w:fill="E0E0E0"/>
          </w:tcPr>
          <w:p>
            <w:pPr>
              <w:jc w:val="center"/>
              <w:ind w:left="132"/>
              <w:spacing w:after="0" w:line="129"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88"/>
        </w:trPr>
        <w:tc>
          <w:tcPr>
            <w:tcW w:w="4760" w:type="dxa"/>
            <w:vAlign w:val="bottom"/>
            <w:tcBorders>
              <w:top w:val="single" w:sz="8" w:color="auto"/>
              <w:left w:val="single" w:sz="8" w:color="auto"/>
            </w:tcBorders>
            <w:gridSpan w:val="4"/>
            <w:shd w:val="clear" w:color="auto" w:fill="E0E0E0"/>
          </w:tcPr>
          <w:p>
            <w:pPr>
              <w:ind w:left="120"/>
              <w:spacing w:after="0" w:line="189" w:lineRule="exact"/>
              <w:rPr>
                <w:sz w:val="20"/>
                <w:szCs w:val="20"/>
                <w:color w:val="auto"/>
              </w:rPr>
            </w:pPr>
            <w:r>
              <w:rPr>
                <w:rFonts w:ascii="Arial" w:cs="Arial" w:eastAsia="Arial" w:hAnsi="Arial"/>
                <w:sz w:val="18"/>
                <w:szCs w:val="18"/>
                <w:b w:val="1"/>
                <w:bCs w:val="1"/>
                <w:color w:val="auto"/>
              </w:rPr>
              <w:t>C. Howard Nye</w:t>
            </w:r>
          </w:p>
        </w:tc>
        <w:tc>
          <w:tcPr>
            <w:tcW w:w="2040" w:type="dxa"/>
            <w:vAlign w:val="bottom"/>
            <w:tcBorders>
              <w:top w:val="single" w:sz="8" w:color="auto"/>
            </w:tcBorders>
            <w:shd w:val="clear" w:color="auto" w:fill="E0E0E0"/>
          </w:tcPr>
          <w:p>
            <w:pPr>
              <w:jc w:val="center"/>
              <w:ind w:left="295"/>
              <w:spacing w:after="0" w:line="189" w:lineRule="exact"/>
              <w:rPr>
                <w:sz w:val="20"/>
                <w:szCs w:val="20"/>
                <w:color w:val="auto"/>
              </w:rPr>
            </w:pPr>
            <w:r>
              <w:rPr>
                <w:rFonts w:ascii="Arial" w:cs="Arial" w:eastAsia="Arial" w:hAnsi="Arial"/>
                <w:sz w:val="18"/>
                <w:szCs w:val="18"/>
                <w:color w:val="auto"/>
                <w:w w:val="84"/>
              </w:rPr>
              <w:t>Pension Plan</w:t>
            </w:r>
          </w:p>
        </w:tc>
        <w:tc>
          <w:tcPr>
            <w:tcW w:w="1480" w:type="dxa"/>
            <w:vAlign w:val="bottom"/>
            <w:tcBorders>
              <w:top w:val="single" w:sz="8" w:color="auto"/>
            </w:tcBorders>
            <w:shd w:val="clear" w:color="auto" w:fill="E0E0E0"/>
          </w:tcPr>
          <w:p>
            <w:pPr>
              <w:jc w:val="right"/>
              <w:ind w:right="338"/>
              <w:spacing w:after="0" w:line="189" w:lineRule="exact"/>
              <w:rPr>
                <w:sz w:val="20"/>
                <w:szCs w:val="20"/>
                <w:color w:val="auto"/>
              </w:rPr>
            </w:pPr>
            <w:r>
              <w:rPr>
                <w:rFonts w:ascii="Arial" w:cs="Arial" w:eastAsia="Arial" w:hAnsi="Arial"/>
                <w:sz w:val="18"/>
                <w:szCs w:val="18"/>
                <w:color w:val="auto"/>
              </w:rPr>
              <w:t>6.417</w:t>
            </w:r>
          </w:p>
        </w:tc>
        <w:tc>
          <w:tcPr>
            <w:tcW w:w="1520" w:type="dxa"/>
            <w:vAlign w:val="bottom"/>
            <w:tcBorders>
              <w:top w:val="single" w:sz="8" w:color="auto"/>
            </w:tcBorders>
            <w:shd w:val="clear" w:color="auto" w:fill="E0E0E0"/>
          </w:tcPr>
          <w:p>
            <w:pPr>
              <w:jc w:val="right"/>
              <w:ind w:right="219"/>
              <w:spacing w:after="0" w:line="189" w:lineRule="exact"/>
              <w:rPr>
                <w:sz w:val="20"/>
                <w:szCs w:val="20"/>
                <w:color w:val="auto"/>
              </w:rPr>
            </w:pPr>
            <w:r>
              <w:rPr>
                <w:rFonts w:ascii="Arial" w:cs="Arial" w:eastAsia="Arial" w:hAnsi="Arial"/>
                <w:sz w:val="18"/>
                <w:szCs w:val="18"/>
                <w:color w:val="auto"/>
              </w:rPr>
              <w:t>179,854</w:t>
            </w:r>
          </w:p>
        </w:tc>
        <w:tc>
          <w:tcPr>
            <w:tcW w:w="1280" w:type="dxa"/>
            <w:vAlign w:val="bottom"/>
            <w:tcBorders>
              <w:top w:val="single" w:sz="8" w:color="auto"/>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00" w:type="dxa"/>
            <w:vAlign w:val="bottom"/>
            <w:tcBorders>
              <w:left w:val="single" w:sz="8" w:color="auto"/>
            </w:tcBorders>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2120" w:type="dxa"/>
            <w:vAlign w:val="bottom"/>
            <w:shd w:val="clear" w:color="auto" w:fill="E0E0E0"/>
          </w:tcPr>
          <w:p>
            <w:pPr>
              <w:spacing w:after="0"/>
              <w:rPr>
                <w:sz w:val="20"/>
                <w:szCs w:val="20"/>
                <w:color w:val="auto"/>
              </w:rPr>
            </w:pPr>
          </w:p>
        </w:tc>
        <w:tc>
          <w:tcPr>
            <w:tcW w:w="2040" w:type="dxa"/>
            <w:vAlign w:val="bottom"/>
            <w:shd w:val="clear" w:color="auto" w:fill="E0E0E0"/>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shd w:val="clear" w:color="auto" w:fill="E0E0E0"/>
          </w:tcPr>
          <w:p>
            <w:pPr>
              <w:jc w:val="right"/>
              <w:ind w:right="338"/>
              <w:spacing w:after="0"/>
              <w:rPr>
                <w:sz w:val="20"/>
                <w:szCs w:val="20"/>
                <w:color w:val="auto"/>
              </w:rPr>
            </w:pPr>
            <w:r>
              <w:rPr>
                <w:rFonts w:ascii="Arial" w:cs="Arial" w:eastAsia="Arial" w:hAnsi="Arial"/>
                <w:sz w:val="18"/>
                <w:szCs w:val="18"/>
                <w:color w:val="auto"/>
              </w:rPr>
              <w:t>6.417</w:t>
            </w:r>
          </w:p>
        </w:tc>
        <w:tc>
          <w:tcPr>
            <w:tcW w:w="1520" w:type="dxa"/>
            <w:vAlign w:val="bottom"/>
            <w:shd w:val="clear" w:color="auto" w:fill="E0E0E0"/>
          </w:tcPr>
          <w:p>
            <w:pPr>
              <w:jc w:val="right"/>
              <w:ind w:right="219"/>
              <w:spacing w:after="0"/>
              <w:rPr>
                <w:sz w:val="20"/>
                <w:szCs w:val="20"/>
                <w:color w:val="auto"/>
              </w:rPr>
            </w:pPr>
            <w:r>
              <w:rPr>
                <w:rFonts w:ascii="Arial" w:cs="Arial" w:eastAsia="Arial" w:hAnsi="Arial"/>
                <w:sz w:val="18"/>
                <w:szCs w:val="18"/>
                <w:color w:val="auto"/>
              </w:rPr>
              <w:t>1,042,004</w:t>
            </w:r>
          </w:p>
        </w:tc>
        <w:tc>
          <w:tcPr>
            <w:tcW w:w="12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Anne H. Lloyd</w:t>
            </w:r>
          </w:p>
        </w:tc>
        <w:tc>
          <w:tcPr>
            <w:tcW w:w="2040" w:type="dxa"/>
            <w:vAlign w:val="bottom"/>
          </w:tcPr>
          <w:p>
            <w:pPr>
              <w:jc w:val="center"/>
              <w:ind w:left="295"/>
              <w:spacing w:after="0"/>
              <w:rPr>
                <w:sz w:val="20"/>
                <w:szCs w:val="20"/>
                <w:color w:val="auto"/>
              </w:rPr>
            </w:pPr>
            <w:r>
              <w:rPr>
                <w:rFonts w:ascii="Arial" w:cs="Arial" w:eastAsia="Arial" w:hAnsi="Arial"/>
                <w:sz w:val="18"/>
                <w:szCs w:val="18"/>
                <w:color w:val="auto"/>
                <w:w w:val="84"/>
              </w:rPr>
              <w:t>Pension Plan</w:t>
            </w:r>
          </w:p>
        </w:tc>
        <w:tc>
          <w:tcPr>
            <w:tcW w:w="1480" w:type="dxa"/>
            <w:vAlign w:val="bottom"/>
          </w:tcPr>
          <w:p>
            <w:pPr>
              <w:jc w:val="right"/>
              <w:ind w:right="338"/>
              <w:spacing w:after="0"/>
              <w:rPr>
                <w:sz w:val="20"/>
                <w:szCs w:val="20"/>
                <w:color w:val="auto"/>
              </w:rPr>
            </w:pPr>
            <w:r>
              <w:rPr>
                <w:rFonts w:ascii="Arial" w:cs="Arial" w:eastAsia="Arial" w:hAnsi="Arial"/>
                <w:sz w:val="18"/>
                <w:szCs w:val="18"/>
                <w:color w:val="auto"/>
              </w:rPr>
              <w:t>14.583</w:t>
            </w:r>
          </w:p>
        </w:tc>
        <w:tc>
          <w:tcPr>
            <w:tcW w:w="1520" w:type="dxa"/>
            <w:vAlign w:val="bottom"/>
          </w:tcPr>
          <w:p>
            <w:pPr>
              <w:jc w:val="right"/>
              <w:ind w:right="219"/>
              <w:spacing w:after="0"/>
              <w:rPr>
                <w:sz w:val="20"/>
                <w:szCs w:val="20"/>
                <w:color w:val="auto"/>
              </w:rPr>
            </w:pPr>
            <w:r>
              <w:rPr>
                <w:rFonts w:ascii="Arial" w:cs="Arial" w:eastAsia="Arial" w:hAnsi="Arial"/>
                <w:sz w:val="18"/>
                <w:szCs w:val="18"/>
                <w:color w:val="auto"/>
              </w:rPr>
              <w:t>454,156</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40" w:type="dxa"/>
            <w:vAlign w:val="bottom"/>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tcPr>
          <w:p>
            <w:pPr>
              <w:jc w:val="right"/>
              <w:ind w:right="338"/>
              <w:spacing w:after="0"/>
              <w:rPr>
                <w:sz w:val="20"/>
                <w:szCs w:val="20"/>
                <w:color w:val="auto"/>
              </w:rPr>
            </w:pPr>
            <w:r>
              <w:rPr>
                <w:rFonts w:ascii="Arial" w:cs="Arial" w:eastAsia="Arial" w:hAnsi="Arial"/>
                <w:sz w:val="18"/>
                <w:szCs w:val="18"/>
                <w:color w:val="auto"/>
              </w:rPr>
              <w:t>14.583</w:t>
            </w:r>
          </w:p>
        </w:tc>
        <w:tc>
          <w:tcPr>
            <w:tcW w:w="1520" w:type="dxa"/>
            <w:vAlign w:val="bottom"/>
          </w:tcPr>
          <w:p>
            <w:pPr>
              <w:jc w:val="right"/>
              <w:ind w:right="219"/>
              <w:spacing w:after="0"/>
              <w:rPr>
                <w:sz w:val="20"/>
                <w:szCs w:val="20"/>
                <w:color w:val="auto"/>
              </w:rPr>
            </w:pPr>
            <w:r>
              <w:rPr>
                <w:rFonts w:ascii="Arial" w:cs="Arial" w:eastAsia="Arial" w:hAnsi="Arial"/>
                <w:sz w:val="18"/>
                <w:szCs w:val="18"/>
                <w:color w:val="auto"/>
              </w:rPr>
              <w:t>1,169,911</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2040" w:type="dxa"/>
            <w:vAlign w:val="bottom"/>
            <w:shd w:val="clear" w:color="auto" w:fill="E0E0E0"/>
          </w:tcPr>
          <w:p>
            <w:pPr>
              <w:jc w:val="center"/>
              <w:ind w:left="295"/>
              <w:spacing w:after="0"/>
              <w:rPr>
                <w:sz w:val="20"/>
                <w:szCs w:val="20"/>
                <w:color w:val="auto"/>
              </w:rPr>
            </w:pPr>
            <w:r>
              <w:rPr>
                <w:rFonts w:ascii="Arial" w:cs="Arial" w:eastAsia="Arial" w:hAnsi="Arial"/>
                <w:sz w:val="18"/>
                <w:szCs w:val="18"/>
                <w:color w:val="auto"/>
                <w:w w:val="84"/>
              </w:rPr>
              <w:t>Pension Plan</w:t>
            </w:r>
          </w:p>
        </w:tc>
        <w:tc>
          <w:tcPr>
            <w:tcW w:w="1480" w:type="dxa"/>
            <w:vAlign w:val="bottom"/>
            <w:shd w:val="clear" w:color="auto" w:fill="E0E0E0"/>
          </w:tcPr>
          <w:p>
            <w:pPr>
              <w:jc w:val="right"/>
              <w:ind w:right="338"/>
              <w:spacing w:after="0"/>
              <w:rPr>
                <w:sz w:val="20"/>
                <w:szCs w:val="20"/>
                <w:color w:val="auto"/>
              </w:rPr>
            </w:pPr>
            <w:r>
              <w:rPr>
                <w:rFonts w:ascii="Arial" w:cs="Arial" w:eastAsia="Arial" w:hAnsi="Arial"/>
                <w:sz w:val="18"/>
                <w:szCs w:val="18"/>
                <w:color w:val="auto"/>
              </w:rPr>
              <w:t>18.500</w:t>
            </w:r>
          </w:p>
        </w:tc>
        <w:tc>
          <w:tcPr>
            <w:tcW w:w="1520" w:type="dxa"/>
            <w:vAlign w:val="bottom"/>
            <w:shd w:val="clear" w:color="auto" w:fill="E0E0E0"/>
          </w:tcPr>
          <w:p>
            <w:pPr>
              <w:jc w:val="right"/>
              <w:ind w:right="219"/>
              <w:spacing w:after="0"/>
              <w:rPr>
                <w:sz w:val="20"/>
                <w:szCs w:val="20"/>
                <w:color w:val="auto"/>
              </w:rPr>
            </w:pPr>
            <w:r>
              <w:rPr>
                <w:rFonts w:ascii="Arial" w:cs="Arial" w:eastAsia="Arial" w:hAnsi="Arial"/>
                <w:sz w:val="18"/>
                <w:szCs w:val="18"/>
                <w:color w:val="auto"/>
              </w:rPr>
              <w:t>658,001</w:t>
            </w:r>
          </w:p>
        </w:tc>
        <w:tc>
          <w:tcPr>
            <w:tcW w:w="12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Borders>
              <w:left w:val="single" w:sz="8" w:color="auto"/>
            </w:tcBorders>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2120" w:type="dxa"/>
            <w:vAlign w:val="bottom"/>
            <w:shd w:val="clear" w:color="auto" w:fill="E0E0E0"/>
          </w:tcPr>
          <w:p>
            <w:pPr>
              <w:spacing w:after="0"/>
              <w:rPr>
                <w:sz w:val="20"/>
                <w:szCs w:val="20"/>
                <w:color w:val="auto"/>
              </w:rPr>
            </w:pPr>
          </w:p>
        </w:tc>
        <w:tc>
          <w:tcPr>
            <w:tcW w:w="2040" w:type="dxa"/>
            <w:vAlign w:val="bottom"/>
            <w:shd w:val="clear" w:color="auto" w:fill="E0E0E0"/>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shd w:val="clear" w:color="auto" w:fill="E0E0E0"/>
          </w:tcPr>
          <w:p>
            <w:pPr>
              <w:jc w:val="right"/>
              <w:ind w:right="338"/>
              <w:spacing w:after="0"/>
              <w:rPr>
                <w:sz w:val="20"/>
                <w:szCs w:val="20"/>
                <w:color w:val="auto"/>
              </w:rPr>
            </w:pPr>
            <w:r>
              <w:rPr>
                <w:rFonts w:ascii="Arial" w:cs="Arial" w:eastAsia="Arial" w:hAnsi="Arial"/>
                <w:sz w:val="18"/>
                <w:szCs w:val="18"/>
                <w:color w:val="auto"/>
              </w:rPr>
              <w:t>18.500</w:t>
            </w:r>
          </w:p>
        </w:tc>
        <w:tc>
          <w:tcPr>
            <w:tcW w:w="1520" w:type="dxa"/>
            <w:vAlign w:val="bottom"/>
            <w:shd w:val="clear" w:color="auto" w:fill="E0E0E0"/>
          </w:tcPr>
          <w:p>
            <w:pPr>
              <w:jc w:val="right"/>
              <w:ind w:right="219"/>
              <w:spacing w:after="0"/>
              <w:rPr>
                <w:sz w:val="20"/>
                <w:szCs w:val="20"/>
                <w:color w:val="auto"/>
              </w:rPr>
            </w:pPr>
            <w:r>
              <w:rPr>
                <w:rFonts w:ascii="Arial" w:cs="Arial" w:eastAsia="Arial" w:hAnsi="Arial"/>
                <w:sz w:val="18"/>
                <w:szCs w:val="18"/>
                <w:color w:val="auto"/>
              </w:rPr>
              <w:t>1,181,751</w:t>
            </w:r>
          </w:p>
        </w:tc>
        <w:tc>
          <w:tcPr>
            <w:tcW w:w="12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7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2040" w:type="dxa"/>
            <w:vAlign w:val="bottom"/>
          </w:tcPr>
          <w:p>
            <w:pPr>
              <w:jc w:val="center"/>
              <w:ind w:left="295"/>
              <w:spacing w:after="0"/>
              <w:rPr>
                <w:sz w:val="20"/>
                <w:szCs w:val="20"/>
                <w:color w:val="auto"/>
              </w:rPr>
            </w:pPr>
            <w:r>
              <w:rPr>
                <w:rFonts w:ascii="Arial" w:cs="Arial" w:eastAsia="Arial" w:hAnsi="Arial"/>
                <w:sz w:val="18"/>
                <w:szCs w:val="18"/>
                <w:color w:val="auto"/>
                <w:w w:val="84"/>
              </w:rPr>
              <w:t>Pension Plan</w:t>
            </w:r>
          </w:p>
        </w:tc>
        <w:tc>
          <w:tcPr>
            <w:tcW w:w="1480" w:type="dxa"/>
            <w:vAlign w:val="bottom"/>
          </w:tcPr>
          <w:p>
            <w:pPr>
              <w:jc w:val="right"/>
              <w:ind w:right="338"/>
              <w:spacing w:after="0"/>
              <w:rPr>
                <w:sz w:val="20"/>
                <w:szCs w:val="20"/>
                <w:color w:val="auto"/>
              </w:rPr>
            </w:pPr>
            <w:r>
              <w:rPr>
                <w:rFonts w:ascii="Arial" w:cs="Arial" w:eastAsia="Arial" w:hAnsi="Arial"/>
                <w:sz w:val="18"/>
                <w:szCs w:val="18"/>
                <w:color w:val="auto"/>
              </w:rPr>
              <w:t>1.417</w:t>
            </w:r>
          </w:p>
        </w:tc>
        <w:tc>
          <w:tcPr>
            <w:tcW w:w="1520" w:type="dxa"/>
            <w:vAlign w:val="bottom"/>
          </w:tcPr>
          <w:p>
            <w:pPr>
              <w:jc w:val="right"/>
              <w:ind w:right="219"/>
              <w:spacing w:after="0"/>
              <w:rPr>
                <w:sz w:val="20"/>
                <w:szCs w:val="20"/>
                <w:color w:val="auto"/>
              </w:rPr>
            </w:pPr>
            <w:r>
              <w:rPr>
                <w:rFonts w:ascii="Arial" w:cs="Arial" w:eastAsia="Arial" w:hAnsi="Arial"/>
                <w:sz w:val="18"/>
                <w:szCs w:val="18"/>
                <w:color w:val="auto"/>
              </w:rPr>
              <w:t>35,389</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40" w:type="dxa"/>
            <w:vAlign w:val="bottom"/>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tcPr>
          <w:p>
            <w:pPr>
              <w:jc w:val="right"/>
              <w:ind w:right="338"/>
              <w:spacing w:after="0"/>
              <w:rPr>
                <w:sz w:val="20"/>
                <w:szCs w:val="20"/>
                <w:color w:val="auto"/>
              </w:rPr>
            </w:pPr>
            <w:r>
              <w:rPr>
                <w:rFonts w:ascii="Arial" w:cs="Arial" w:eastAsia="Arial" w:hAnsi="Arial"/>
                <w:sz w:val="18"/>
                <w:szCs w:val="18"/>
                <w:color w:val="auto"/>
              </w:rPr>
              <w:t>1.417</w:t>
            </w:r>
          </w:p>
        </w:tc>
        <w:tc>
          <w:tcPr>
            <w:tcW w:w="1520" w:type="dxa"/>
            <w:vAlign w:val="bottom"/>
          </w:tcPr>
          <w:p>
            <w:pPr>
              <w:jc w:val="right"/>
              <w:ind w:right="219"/>
              <w:spacing w:after="0"/>
              <w:rPr>
                <w:sz w:val="20"/>
                <w:szCs w:val="20"/>
                <w:color w:val="auto"/>
              </w:rPr>
            </w:pPr>
            <w:r>
              <w:rPr>
                <w:rFonts w:ascii="Arial" w:cs="Arial" w:eastAsia="Arial" w:hAnsi="Arial"/>
                <w:sz w:val="18"/>
                <w:szCs w:val="18"/>
                <w:color w:val="auto"/>
              </w:rPr>
              <w:t>59,972</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2040" w:type="dxa"/>
            <w:vAlign w:val="bottom"/>
            <w:shd w:val="clear" w:color="auto" w:fill="E0E0E0"/>
          </w:tcPr>
          <w:p>
            <w:pPr>
              <w:jc w:val="center"/>
              <w:ind w:left="295"/>
              <w:spacing w:after="0"/>
              <w:rPr>
                <w:sz w:val="20"/>
                <w:szCs w:val="20"/>
                <w:color w:val="auto"/>
              </w:rPr>
            </w:pPr>
            <w:r>
              <w:rPr>
                <w:rFonts w:ascii="Arial" w:cs="Arial" w:eastAsia="Arial" w:hAnsi="Arial"/>
                <w:sz w:val="18"/>
                <w:szCs w:val="18"/>
                <w:color w:val="auto"/>
                <w:w w:val="84"/>
              </w:rPr>
              <w:t>Pension Plan</w:t>
            </w:r>
          </w:p>
        </w:tc>
        <w:tc>
          <w:tcPr>
            <w:tcW w:w="1480" w:type="dxa"/>
            <w:vAlign w:val="bottom"/>
            <w:shd w:val="clear" w:color="auto" w:fill="E0E0E0"/>
          </w:tcPr>
          <w:p>
            <w:pPr>
              <w:jc w:val="right"/>
              <w:ind w:right="338"/>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E0E0E0"/>
          </w:tcPr>
          <w:p>
            <w:pPr>
              <w:jc w:val="right"/>
              <w:ind w:right="219"/>
              <w:spacing w:after="0"/>
              <w:rPr>
                <w:sz w:val="20"/>
                <w:szCs w:val="20"/>
                <w:color w:val="auto"/>
              </w:rPr>
            </w:pPr>
            <w:r>
              <w:rPr>
                <w:rFonts w:ascii="Arial" w:cs="Arial" w:eastAsia="Arial" w:hAnsi="Arial"/>
                <w:sz w:val="18"/>
                <w:szCs w:val="18"/>
                <w:color w:val="auto"/>
              </w:rPr>
              <w:t>227,162</w:t>
            </w:r>
          </w:p>
        </w:tc>
        <w:tc>
          <w:tcPr>
            <w:tcW w:w="12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Borders>
              <w:left w:val="single" w:sz="8" w:color="auto"/>
            </w:tcBorders>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2120" w:type="dxa"/>
            <w:vAlign w:val="bottom"/>
            <w:shd w:val="clear" w:color="auto" w:fill="E0E0E0"/>
          </w:tcPr>
          <w:p>
            <w:pPr>
              <w:spacing w:after="0"/>
              <w:rPr>
                <w:sz w:val="20"/>
                <w:szCs w:val="20"/>
                <w:color w:val="auto"/>
              </w:rPr>
            </w:pPr>
          </w:p>
        </w:tc>
        <w:tc>
          <w:tcPr>
            <w:tcW w:w="2040" w:type="dxa"/>
            <w:vAlign w:val="bottom"/>
            <w:shd w:val="clear" w:color="auto" w:fill="E0E0E0"/>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shd w:val="clear" w:color="auto" w:fill="E0E0E0"/>
          </w:tcPr>
          <w:p>
            <w:pPr>
              <w:jc w:val="right"/>
              <w:ind w:right="338"/>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E0E0E0"/>
          </w:tcPr>
          <w:p>
            <w:pPr>
              <w:jc w:val="right"/>
              <w:ind w:right="219"/>
              <w:spacing w:after="0"/>
              <w:rPr>
                <w:sz w:val="20"/>
                <w:szCs w:val="20"/>
                <w:color w:val="auto"/>
              </w:rPr>
            </w:pPr>
            <w:r>
              <w:rPr>
                <w:rFonts w:ascii="Arial" w:cs="Arial" w:eastAsia="Arial" w:hAnsi="Arial"/>
                <w:sz w:val="18"/>
                <w:szCs w:val="18"/>
                <w:color w:val="auto"/>
              </w:rPr>
              <w:t>126,459</w:t>
            </w:r>
          </w:p>
        </w:tc>
        <w:tc>
          <w:tcPr>
            <w:tcW w:w="12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60" w:type="dxa"/>
            <w:vAlign w:val="bottom"/>
            <w:tcBorders>
              <w:left w:val="single" w:sz="8" w:color="auto"/>
            </w:tcBorders>
            <w:gridSpan w:val="4"/>
          </w:tcPr>
          <w:p>
            <w:pPr>
              <w:ind w:left="120"/>
              <w:spacing w:after="0" w:line="201" w:lineRule="exact"/>
              <w:rPr>
                <w:sz w:val="20"/>
                <w:szCs w:val="20"/>
                <w:color w:val="auto"/>
              </w:rPr>
            </w:pPr>
            <w:r>
              <w:rPr>
                <w:rFonts w:ascii="Arial" w:cs="Arial" w:eastAsia="Arial" w:hAnsi="Arial"/>
                <w:sz w:val="18"/>
                <w:szCs w:val="18"/>
                <w:b w:val="1"/>
                <w:bCs w:val="1"/>
                <w:i w:val="1"/>
                <w:iCs w:val="1"/>
                <w:color w:val="auto"/>
              </w:rPr>
              <w:t>Former Executive Officer:</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6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Bruce A. Vaio</w:t>
            </w:r>
          </w:p>
        </w:tc>
        <w:tc>
          <w:tcPr>
            <w:tcW w:w="2040" w:type="dxa"/>
            <w:vAlign w:val="bottom"/>
          </w:tcPr>
          <w:p>
            <w:pPr>
              <w:jc w:val="center"/>
              <w:ind w:left="295"/>
              <w:spacing w:after="0"/>
              <w:rPr>
                <w:sz w:val="20"/>
                <w:szCs w:val="20"/>
                <w:color w:val="auto"/>
              </w:rPr>
            </w:pPr>
            <w:r>
              <w:rPr>
                <w:rFonts w:ascii="Arial" w:cs="Arial" w:eastAsia="Arial" w:hAnsi="Arial"/>
                <w:sz w:val="18"/>
                <w:szCs w:val="18"/>
                <w:color w:val="auto"/>
                <w:w w:val="84"/>
              </w:rPr>
              <w:t>Pension Plan</w:t>
            </w:r>
          </w:p>
        </w:tc>
        <w:tc>
          <w:tcPr>
            <w:tcW w:w="1480" w:type="dxa"/>
            <w:vAlign w:val="bottom"/>
          </w:tcPr>
          <w:p>
            <w:pPr>
              <w:jc w:val="right"/>
              <w:ind w:right="338"/>
              <w:spacing w:after="0"/>
              <w:rPr>
                <w:sz w:val="20"/>
                <w:szCs w:val="20"/>
                <w:color w:val="auto"/>
              </w:rPr>
            </w:pPr>
            <w:r>
              <w:rPr>
                <w:rFonts w:ascii="Arial" w:cs="Arial" w:eastAsia="Arial" w:hAnsi="Arial"/>
                <w:sz w:val="18"/>
                <w:szCs w:val="18"/>
                <w:color w:val="auto"/>
              </w:rPr>
              <w:t>16.583</w:t>
            </w:r>
          </w:p>
        </w:tc>
        <w:tc>
          <w:tcPr>
            <w:tcW w:w="1520" w:type="dxa"/>
            <w:vAlign w:val="bottom"/>
          </w:tcPr>
          <w:p>
            <w:pPr>
              <w:jc w:val="right"/>
              <w:ind w:right="219"/>
              <w:spacing w:after="0"/>
              <w:rPr>
                <w:sz w:val="20"/>
                <w:szCs w:val="20"/>
                <w:color w:val="auto"/>
              </w:rPr>
            </w:pPr>
            <w:r>
              <w:rPr>
                <w:rFonts w:ascii="Arial" w:cs="Arial" w:eastAsia="Arial" w:hAnsi="Arial"/>
                <w:sz w:val="18"/>
                <w:szCs w:val="18"/>
                <w:color w:val="auto"/>
              </w:rPr>
              <w:t>402,905</w:t>
            </w: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0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5"/>
              </w:rPr>
              <w:t>SERP</w:t>
            </w:r>
          </w:p>
        </w:tc>
        <w:tc>
          <w:tcPr>
            <w:tcW w:w="148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16.583</w:t>
            </w:r>
          </w:p>
        </w:tc>
        <w:tc>
          <w:tcPr>
            <w:tcW w:w="15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1,427,115</w:t>
            </w: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239" w:lineRule="auto"/>
        <w:tabs>
          <w:tab w:leader="none" w:pos="323"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2012, included in Martin Marietta’s Annual Report on Form 10-K filed with the Securities and Exchange Commission on February 22, 2013.</w:t>
      </w:r>
    </w:p>
    <w:p>
      <w:pPr>
        <w:spacing w:after="0" w:line="141" w:lineRule="exact"/>
        <w:rPr>
          <w:sz w:val="20"/>
          <w:szCs w:val="20"/>
          <w:color w:val="auto"/>
        </w:rPr>
      </w:pPr>
    </w:p>
    <w:p>
      <w:pPr>
        <w:jc w:val="both"/>
        <w:ind w:left="3" w:right="20" w:firstLine="775"/>
        <w:spacing w:after="0" w:line="306" w:lineRule="auto"/>
        <w:rPr>
          <w:sz w:val="20"/>
          <w:szCs w:val="20"/>
          <w:color w:val="auto"/>
        </w:rPr>
      </w:pPr>
      <w:r>
        <w:rPr>
          <w:rFonts w:ascii="Arial" w:cs="Arial" w:eastAsia="Arial" w:hAnsi="Arial"/>
          <w:sz w:val="15"/>
          <w:szCs w:val="15"/>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($250,000 in 2012). Martin Marietta’s 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None of the named executive officers are eligible for early retirement, which allows for payment to employees who</w:t>
      </w:r>
    </w:p>
    <w:p>
      <w:pPr>
        <w:spacing w:after="0" w:line="248"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083"/>
          </w:cols>
          <w:pgMar w:left="437" w:top="469" w:right="379" w:bottom="1440" w:gutter="0" w:footer="0" w:header="0"/>
        </w:sectPr>
      </w:pPr>
    </w:p>
    <w:bookmarkStart w:id="62" w:name="page63"/>
    <w:bookmarkEnd w:id="62"/>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are age 55 with at least five years of service at a reduced benefit based on the number of years of service and the number of years prior to age 62 at which the benefits began. The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Mr. Nye, Ms. Lloyd, Ms. Bar, Mr. McCunniff, and Ms. Guzzo, who are not yet retirement eligible, if they had terminated on December 31, 2012 and began collecting benefits at age 55 would be as follows: Mr. Nye, $142,915 and $868,538, respectively; Ms. Lloyd, $410,851 and $1,128,131, respectively; Ms. Bar, $635,557 and $1,216,775, respectively; Mr. McCunniff, $0 and $0, respectively, since he is not vested in the plan; and Ms. Guzzo, $184,613 and $109,532, respectively. Mr. Vaio, who resigned from Martin Marietta on December 28, 2012, became vested in his Pension Plan and SERP benefits in connection with his resignation. The present value of such benefits is $470,529 and $1,427,115, respectively. The amounts listed in the foregoing table are not subject to any deduction for Social Security benefits or other offset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(other than Mr. Vaio)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2012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 Mr. Vaio’s entitlements upon his resignation are described on page 62 of this Proxy Statement.</w:t>
      </w:r>
    </w:p>
    <w:p>
      <w:pPr>
        <w:spacing w:after="0" w:line="141"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Any Termination</w:t>
      </w:r>
      <w:r>
        <w:rPr>
          <w:rFonts w:ascii="Arial" w:cs="Arial" w:eastAsia="Arial" w:hAnsi="Arial"/>
          <w:sz w:val="18"/>
          <w:szCs w:val="18"/>
          <w:color w:val="auto"/>
        </w:rPr>
        <w:t>. Regardless of the manner in which the employment of a named executive officer terminates, he or she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the amounts earned during the term of employment, including cash compensation earned during the fiscal year, amounts contributed by the employee and Martin Marietta’s matching contributions to the Performance Sharing Plan, unused earned vacation pay and amounts accrued and vested through Martin Marietta’s Pension Plan and SERP.</w:t>
      </w:r>
    </w:p>
    <w:p>
      <w:pPr>
        <w:spacing w:after="0" w:line="136"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 Terminatio</w:t>
      </w:r>
      <w:r>
        <w:rPr>
          <w:rFonts w:ascii="Arial" w:cs="Arial" w:eastAsia="Arial" w:hAnsi="Arial"/>
          <w:sz w:val="18"/>
          <w:szCs w:val="18"/>
          <w:color w:val="auto"/>
        </w:rPr>
        <w:t>n, upon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Martin Marietta’s common stock on the date of termination.</w:t>
      </w:r>
    </w:p>
    <w:p>
      <w:pPr>
        <w:spacing w:after="0" w:line="136"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Involuntary Not-For-Cause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upon an involuntary termination of employment not for cause, the named executive officer would be entitled to receive a prorated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units credited to him or her under the Incentive Stock Plan paid out as shares of common stock and the remaining cash contribution invested by the employee in the plan.</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060"/>
          </w:cols>
          <w:pgMar w:left="440" w:top="469" w:right="399" w:bottom="1440" w:gutter="0" w:footer="0" w:header="0"/>
        </w:sectPr>
      </w:pPr>
    </w:p>
    <w:bookmarkStart w:id="63" w:name="page64"/>
    <w:bookmarkEnd w:id="63"/>
    <w:p>
      <w:pPr>
        <w:jc w:val="both"/>
        <w:ind w:firstLine="775"/>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73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573270"/>
                    </a:xfrm>
                    <a:prstGeom prst="rect">
                      <a:avLst/>
                    </a:prstGeom>
                    <a:noFill/>
                  </pic:spPr>
                </pic:pic>
              </a:graphicData>
            </a:graphic>
          </wp:anchor>
        </w:drawing>
        <w:t>Payments Upon Involuntary 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involuntary termination for cause, which is defined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Protection Agreement and the Stock-Based Award Plan, the named executive officer would be entitled to receive the payments and benefits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w:t>
      </w:r>
    </w:p>
    <w:p>
      <w:pPr>
        <w:spacing w:after="0" w:line="132"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b w:val="1"/>
          <w:bCs w:val="1"/>
          <w:u w:val="single" w:color="auto"/>
          <w:color w:val="auto"/>
        </w:rPr>
        <w:t>Payments Upon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retirement at age 62 or above of a named executive officer, in addition to the items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xml:space="preserve">,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50 (except Mr. Nye, who is not eligible for Retiree Medical); and will continue to receive life insurance coverage until his or her death.</w:t>
      </w:r>
    </w:p>
    <w:p>
      <w:pPr>
        <w:spacing w:after="0" w:line="111"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Made Upon Early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retirement prior to reaching age 62 but on or after reaching age 55,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will receive benefits as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 xml:space="preserve">. In addition, the named executive officer will receive reduced benefits of the type described under </w:t>
      </w:r>
      <w:r>
        <w:rPr>
          <w:rFonts w:ascii="Arial" w:cs="Arial" w:eastAsia="Arial" w:hAnsi="Arial"/>
          <w:sz w:val="18"/>
          <w:szCs w:val="18"/>
          <w:i w:val="1"/>
          <w:iCs w:val="1"/>
          <w:color w:val="auto"/>
        </w:rPr>
        <w:t>Pension Benefits</w:t>
      </w:r>
      <w:r>
        <w:rPr>
          <w:rFonts w:ascii="Arial" w:cs="Arial" w:eastAsia="Arial" w:hAnsi="Arial"/>
          <w:sz w:val="18"/>
          <w:szCs w:val="18"/>
          <w:color w:val="auto"/>
        </w:rPr>
        <w:t xml:space="preserve"> on page 58 and may be eligible for benefits described under the heading </w:t>
      </w:r>
      <w:r>
        <w:rPr>
          <w:rFonts w:ascii="Arial" w:cs="Arial" w:eastAsia="Arial" w:hAnsi="Arial"/>
          <w:sz w:val="18"/>
          <w:szCs w:val="18"/>
          <w:i w:val="1"/>
          <w:iCs w:val="1"/>
          <w:color w:val="auto"/>
        </w:rPr>
        <w:t>Retiree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Medical </w:t>
      </w:r>
      <w:r>
        <w:rPr>
          <w:rFonts w:ascii="Arial" w:cs="Arial" w:eastAsia="Arial" w:hAnsi="Arial"/>
          <w:sz w:val="18"/>
          <w:szCs w:val="18"/>
          <w:color w:val="auto"/>
        </w:rPr>
        <w:t>on page 50 at a higher cost.</w:t>
      </w:r>
    </w:p>
    <w:p>
      <w:pPr>
        <w:spacing w:after="0" w:line="136"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b w:val="1"/>
          <w:bCs w:val="1"/>
          <w:u w:val="single" w:color="auto"/>
          <w:color w:val="auto"/>
        </w:rPr>
        <w:t>Payments Upon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or disability of a named executive officer, in addition to the payments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benefits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their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executive or their estate will have one year to exercise the options. In the event of disability, the executive will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112"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b w:val="1"/>
          <w:bCs w:val="1"/>
          <w:u w:val="single" w:color="auto"/>
          <w:color w:val="auto"/>
        </w:rPr>
        <w:t>Payments Upon a Change of Control</w:t>
      </w:r>
      <w:r>
        <w:rPr>
          <w:rFonts w:ascii="Arial" w:cs="Arial" w:eastAsia="Arial" w:hAnsi="Arial"/>
          <w:sz w:val="16"/>
          <w:szCs w:val="16"/>
          <w:color w:val="auto"/>
        </w:rPr>
        <w:t>. Martin Marietta has entered into Employment Protection Agreements, as amended from time to time, with</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060"/>
          </w:cols>
          <w:pgMar w:left="440" w:top="463" w:right="399" w:bottom="1440" w:gutter="0" w:footer="0" w:header="0"/>
        </w:sectPr>
      </w:pPr>
    </w:p>
    <w:bookmarkStart w:id="64" w:name="page65"/>
    <w:bookmarkEnd w:id="64"/>
    <w:p>
      <w:pPr>
        <w:jc w:val="both"/>
        <w:ind w:firstLine="775"/>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41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641850"/>
                    </a:xfrm>
                    <a:prstGeom prst="rect">
                      <a:avLst/>
                    </a:prstGeom>
                    <a:noFill/>
                  </pic:spPr>
                </pic:pic>
              </a:graphicData>
            </a:graphic>
          </wp:anchor>
        </w:drawing>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126"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 Mr. Vaio’s Employment Protection Agreement terminated on December 28, 2012.</w:t>
      </w:r>
    </w:p>
    <w:p>
      <w:pPr>
        <w:spacing w:after="0" w:line="137" w:lineRule="exact"/>
        <w:rPr>
          <w:sz w:val="20"/>
          <w:szCs w:val="20"/>
          <w:color w:val="auto"/>
        </w:rPr>
      </w:pPr>
    </w:p>
    <w:p>
      <w:pPr>
        <w:jc w:val="both"/>
        <w:ind w:firstLine="775"/>
        <w:spacing w:after="0" w:line="310" w:lineRule="auto"/>
        <w:rPr>
          <w:sz w:val="20"/>
          <w:szCs w:val="20"/>
          <w:color w:val="auto"/>
        </w:rPr>
      </w:pPr>
      <w:r>
        <w:rPr>
          <w:rFonts w:ascii="Arial" w:cs="Arial" w:eastAsia="Arial" w:hAnsi="Arial"/>
          <w:sz w:val="16"/>
          <w:szCs w:val="16"/>
          <w:b w:val="1"/>
          <w:bCs w:val="1"/>
          <w:u w:val="single" w:color="auto"/>
          <w:color w:val="auto"/>
        </w:rPr>
        <w:t>Value of Payments Upon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tables show the potential incremental payments to each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Mr. Vaio) upon termination, including in the event of a change of control of Martin Marietta, assuming a December 31, 2012 termination date and, where applicable, using the New York Stock Exchange closing price of our common stock of $94.28 on December 31, 2012.</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060"/>
          </w:cols>
          <w:pgMar w:left="440" w:top="469" w:right="399" w:bottom="1440" w:gutter="0" w:footer="0" w:header="0"/>
        </w:sectPr>
      </w:pPr>
    </w:p>
    <w:bookmarkStart w:id="65" w:name="page66"/>
    <w:bookmarkEnd w:id="65"/>
    <w:p>
      <w:pPr>
        <w:jc w:val="both"/>
        <w:ind w:firstLine="775"/>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691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1691640"/>
                    </a:xfrm>
                    <a:prstGeom prst="rect">
                      <a:avLst/>
                    </a:prstGeom>
                    <a:noFill/>
                  </pic:spPr>
                </pic:pic>
              </a:graphicData>
            </a:graphic>
          </wp:anchor>
        </w:drawing>
        <w:t>Mr. Vaio resigned effective December 28, 2012. In connection with Mr. Vaio’s resignation, Martin Marietta entered into certain agreements with him which, among other things, provide the following benefits: monthly severance pay equal to $41,667 per month for a period of 36 months, paid in equal semi-monthly installments; continued health and certain other benefit coverage for a period of 18 months, which will terminate if he subsequently becomes covered by a health plan of a new employer; vesting of all of his then outstanding unvested restricted share units and accrued benefits under the SERP; continued vesting of all of his outstanding options as if he had remained employed; continued eligibility for a pro-rated annual incentive award for 2012 (at his target of 80% of his base salary) based on time actually worked, payable in accordance with the terms of the Executive Incentive Plan; outplacement assistance for twelve months; eligibility to purchase his company vehicle; and a cash payment in the amount of $1,061,808 (less applicable withholding tax), payable on January 5, 2016. All such payments (except the right to purchase the Company vehicle) are subject to (1) Mr. Vaio’s continued compliance with certain post-employment restrictive covenants, including non-compete and confidentiality provisions and (2) clawback provisions in the event of violation of these covenants and in certain other circumstances.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060"/>
          </w:cols>
          <w:pgMar w:left="440" w:top="469" w:right="399" w:bottom="1440" w:gutter="0" w:footer="0" w:header="0"/>
        </w:sectPr>
      </w:pPr>
    </w:p>
    <w:bookmarkStart w:id="66" w:name="page67"/>
    <w:bookmarkEnd w:id="66"/>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714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471410"/>
                    </a:xfrm>
                    <a:prstGeom prst="rect">
                      <a:avLst/>
                    </a:prstGeom>
                    <a:noFill/>
                  </pic:spPr>
                </pic:pic>
              </a:graphicData>
            </a:graphic>
          </wp:anchor>
        </w:drawing>
        <w:t>POTENTIAL INCREMENTAL PAYMENTS UPON TERMINATION</w:t>
      </w:r>
    </w:p>
    <w:p>
      <w:pPr>
        <w:spacing w:after="0" w:line="21"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OR CHANGE OF CONTROL AT DECEMBER 31, 2012</w:t>
      </w:r>
    </w:p>
    <w:p>
      <w:pPr>
        <w:spacing w:after="0" w:line="194"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820" w:type="dxa"/>
            <w:vAlign w:val="bottom"/>
            <w:tcBorders>
              <w:top w:val="single" w:sz="8" w:color="auto"/>
            </w:tcBorders>
            <w:shd w:val="clear" w:color="auto" w:fill="E0E0E0"/>
          </w:tcPr>
          <w:p>
            <w:pPr>
              <w:spacing w:after="0"/>
              <w:rPr>
                <w:sz w:val="12"/>
                <w:szCs w:val="12"/>
                <w:color w:val="auto"/>
              </w:rPr>
            </w:pPr>
          </w:p>
        </w:tc>
        <w:tc>
          <w:tcPr>
            <w:tcW w:w="1660" w:type="dxa"/>
            <w:vAlign w:val="bottom"/>
            <w:tcBorders>
              <w:top w:val="single" w:sz="8" w:color="auto"/>
            </w:tcBorders>
            <w:shd w:val="clear" w:color="auto" w:fill="E0E0E0"/>
          </w:tcPr>
          <w:p>
            <w:pPr>
              <w:spacing w:after="0"/>
              <w:rPr>
                <w:sz w:val="12"/>
                <w:szCs w:val="12"/>
                <w:color w:val="auto"/>
              </w:rPr>
            </w:pPr>
          </w:p>
        </w:tc>
        <w:tc>
          <w:tcPr>
            <w:tcW w:w="266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72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tcBorders>
            <w:gridSpan w:val="2"/>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Involuntary</w:t>
            </w:r>
          </w:p>
        </w:tc>
        <w:tc>
          <w:tcPr>
            <w:tcW w:w="18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78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266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139"/>
              <w:spacing w:after="0" w:line="149" w:lineRule="exact"/>
              <w:rPr>
                <w:sz w:val="20"/>
                <w:szCs w:val="20"/>
                <w:color w:val="auto"/>
              </w:rPr>
            </w:pPr>
            <w:r>
              <w:rPr>
                <w:rFonts w:ascii="Arial" w:cs="Arial" w:eastAsia="Arial" w:hAnsi="Arial"/>
                <w:sz w:val="14"/>
                <w:szCs w:val="14"/>
                <w:b w:val="1"/>
                <w:bCs w:val="1"/>
                <w:color w:val="auto"/>
                <w:w w:val="93"/>
              </w:rPr>
              <w:t>Not-for-</w:t>
            </w:r>
          </w:p>
        </w:tc>
        <w:tc>
          <w:tcPr>
            <w:tcW w:w="18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tcBorders>
            <w:gridSpan w:val="2"/>
            <w:vMerge w:val="restart"/>
            <w:shd w:val="clear" w:color="auto" w:fill="E0E0E0"/>
          </w:tcPr>
          <w:p>
            <w:pPr>
              <w:ind w:left="880"/>
              <w:spacing w:after="0"/>
              <w:rPr>
                <w:sz w:val="20"/>
                <w:szCs w:val="20"/>
                <w:color w:val="auto"/>
              </w:rPr>
            </w:pPr>
            <w:r>
              <w:rPr>
                <w:rFonts w:ascii="Arial" w:cs="Arial" w:eastAsia="Arial" w:hAnsi="Arial"/>
                <w:sz w:val="14"/>
                <w:szCs w:val="14"/>
                <w:b w:val="1"/>
                <w:bCs w:val="1"/>
                <w:color w:val="auto"/>
              </w:rPr>
              <w:t>Name</w:t>
            </w:r>
          </w:p>
        </w:tc>
        <w:tc>
          <w:tcPr>
            <w:tcW w:w="1660" w:type="dxa"/>
            <w:vAlign w:val="bottom"/>
            <w:shd w:val="clear" w:color="auto" w:fill="E0E0E0"/>
          </w:tcPr>
          <w:p>
            <w:pPr>
              <w:spacing w:after="0"/>
              <w:rPr>
                <w:sz w:val="12"/>
                <w:szCs w:val="12"/>
                <w:color w:val="auto"/>
              </w:rPr>
            </w:pPr>
          </w:p>
        </w:tc>
        <w:tc>
          <w:tcPr>
            <w:tcW w:w="2660" w:type="dxa"/>
            <w:vAlign w:val="bottom"/>
            <w:vMerge w:val="restart"/>
            <w:shd w:val="clear" w:color="auto" w:fill="E0E0E0"/>
          </w:tcPr>
          <w:p>
            <w:pPr>
              <w:ind w:left="20"/>
              <w:spacing w:after="0"/>
              <w:rPr>
                <w:sz w:val="20"/>
                <w:szCs w:val="20"/>
                <w:color w:val="auto"/>
              </w:rPr>
            </w:pPr>
            <w:r>
              <w:rPr>
                <w:rFonts w:ascii="Arial" w:cs="Arial" w:eastAsia="Arial" w:hAnsi="Arial"/>
                <w:sz w:val="14"/>
                <w:szCs w:val="14"/>
                <w:b w:val="1"/>
                <w:bCs w:val="1"/>
                <w:color w:val="auto"/>
              </w:rPr>
              <w:t>Benefit or Payment</w:t>
            </w:r>
            <w:r>
              <w:rPr>
                <w:rFonts w:ascii="Arial" w:cs="Arial" w:eastAsia="Arial" w:hAnsi="Arial"/>
                <w:sz w:val="22"/>
                <w:szCs w:val="22"/>
                <w:b w:val="1"/>
                <w:bCs w:val="1"/>
                <w:color w:val="auto"/>
                <w:vertAlign w:val="superscript"/>
              </w:rPr>
              <w:t>1</w:t>
            </w:r>
          </w:p>
        </w:tc>
        <w:tc>
          <w:tcPr>
            <w:tcW w:w="100" w:type="dxa"/>
            <w:vAlign w:val="bottom"/>
            <w:shd w:val="clear" w:color="auto" w:fill="E0E0E0"/>
          </w:tcPr>
          <w:p>
            <w:pPr>
              <w:spacing w:after="0"/>
              <w:rPr>
                <w:sz w:val="12"/>
                <w:szCs w:val="12"/>
                <w:color w:val="auto"/>
              </w:rPr>
            </w:pPr>
          </w:p>
        </w:tc>
        <w:tc>
          <w:tcPr>
            <w:tcW w:w="800" w:type="dxa"/>
            <w:vAlign w:val="bottom"/>
            <w:gridSpan w:val="2"/>
            <w:vMerge w:val="restart"/>
            <w:shd w:val="clear" w:color="auto" w:fill="E0E0E0"/>
          </w:tcPr>
          <w:p>
            <w:pPr>
              <w:spacing w:after="0"/>
              <w:rPr>
                <w:sz w:val="20"/>
                <w:szCs w:val="20"/>
                <w:color w:val="auto"/>
              </w:rPr>
            </w:pPr>
            <w:r>
              <w:rPr>
                <w:rFonts w:ascii="Arial" w:cs="Arial" w:eastAsia="Arial" w:hAnsi="Arial"/>
                <w:sz w:val="14"/>
                <w:szCs w:val="14"/>
                <w:b w:val="1"/>
                <w:bCs w:val="1"/>
                <w:color w:val="auto"/>
                <w:w w:val="95"/>
              </w:rPr>
              <w:t>Retirement</w:t>
            </w:r>
            <w:r>
              <w:rPr>
                <w:rFonts w:ascii="Arial" w:cs="Arial" w:eastAsia="Arial" w:hAnsi="Arial"/>
                <w:sz w:val="22"/>
                <w:szCs w:val="22"/>
                <w:b w:val="1"/>
                <w:bCs w:val="1"/>
                <w:color w:val="auto"/>
                <w:w w:val="95"/>
                <w:vertAlign w:val="superscript"/>
              </w:rPr>
              <w:t>9</w:t>
            </w:r>
          </w:p>
        </w:tc>
        <w:tc>
          <w:tcPr>
            <w:tcW w:w="20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199"/>
              <w:spacing w:after="0" w:line="149" w:lineRule="exact"/>
              <w:rPr>
                <w:sz w:val="20"/>
                <w:szCs w:val="20"/>
                <w:color w:val="auto"/>
              </w:rPr>
            </w:pPr>
            <w:r>
              <w:rPr>
                <w:rFonts w:ascii="Arial" w:cs="Arial" w:eastAsia="Arial" w:hAnsi="Arial"/>
                <w:sz w:val="14"/>
                <w:szCs w:val="14"/>
                <w:b w:val="1"/>
                <w:bCs w:val="1"/>
                <w:color w:val="auto"/>
                <w:w w:val="99"/>
              </w:rPr>
              <w:t>Cause</w:t>
            </w:r>
          </w:p>
        </w:tc>
        <w:tc>
          <w:tcPr>
            <w:tcW w:w="18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jc w:val="right"/>
              <w:ind w:right="293"/>
              <w:spacing w:after="0" w:line="149" w:lineRule="exact"/>
              <w:rPr>
                <w:sz w:val="20"/>
                <w:szCs w:val="20"/>
                <w:color w:val="auto"/>
              </w:rPr>
            </w:pPr>
            <w:r>
              <w:rPr>
                <w:rFonts w:ascii="Arial" w:cs="Arial" w:eastAsia="Arial" w:hAnsi="Arial"/>
                <w:sz w:val="14"/>
                <w:szCs w:val="14"/>
                <w:b w:val="1"/>
                <w:bCs w:val="1"/>
                <w:color w:val="auto"/>
                <w:w w:val="92"/>
              </w:rPr>
              <w:t>Change-</w:t>
            </w:r>
          </w:p>
        </w:tc>
        <w:tc>
          <w:tcPr>
            <w:tcW w:w="0" w:type="dxa"/>
            <w:vAlign w:val="bottom"/>
          </w:tcPr>
          <w:p>
            <w:pPr>
              <w:spacing w:after="0"/>
              <w:rPr>
                <w:sz w:val="1"/>
                <w:szCs w:val="1"/>
                <w:color w:val="auto"/>
              </w:rPr>
            </w:pPr>
          </w:p>
        </w:tc>
      </w:tr>
      <w:tr>
        <w:trPr>
          <w:trHeight w:val="155"/>
        </w:trPr>
        <w:tc>
          <w:tcPr>
            <w:tcW w:w="1920" w:type="dxa"/>
            <w:vAlign w:val="bottom"/>
            <w:tcBorders>
              <w:left w:val="single" w:sz="8" w:color="auto"/>
              <w:bottom w:val="single" w:sz="8" w:color="auto"/>
            </w:tcBorders>
            <w:gridSpan w:val="2"/>
            <w:vMerge w:val="continue"/>
            <w:shd w:val="clear" w:color="auto" w:fill="E0E0E0"/>
          </w:tcPr>
          <w:p>
            <w:pPr>
              <w:spacing w:after="0"/>
              <w:rPr>
                <w:sz w:val="13"/>
                <w:szCs w:val="13"/>
                <w:color w:val="auto"/>
              </w:rPr>
            </w:pPr>
          </w:p>
        </w:tc>
        <w:tc>
          <w:tcPr>
            <w:tcW w:w="1660" w:type="dxa"/>
            <w:vAlign w:val="bottom"/>
            <w:tcBorders>
              <w:bottom w:val="single" w:sz="8" w:color="auto"/>
            </w:tcBorders>
            <w:shd w:val="clear" w:color="auto" w:fill="E0E0E0"/>
          </w:tcPr>
          <w:p>
            <w:pPr>
              <w:spacing w:after="0"/>
              <w:rPr>
                <w:sz w:val="13"/>
                <w:szCs w:val="13"/>
                <w:color w:val="auto"/>
              </w:rPr>
            </w:pPr>
          </w:p>
        </w:tc>
        <w:tc>
          <w:tcPr>
            <w:tcW w:w="2660" w:type="dxa"/>
            <w:vAlign w:val="bottom"/>
            <w:tcBorders>
              <w:bottom w:val="single" w:sz="8" w:color="auto"/>
            </w:tcBorders>
            <w:vMerge w:val="continue"/>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800" w:type="dxa"/>
            <w:vAlign w:val="bottom"/>
            <w:tcBorders>
              <w:bottom w:val="single" w:sz="8" w:color="auto"/>
            </w:tcBorders>
            <w:gridSpan w:val="2"/>
            <w:vMerge w:val="continue"/>
            <w:shd w:val="clear" w:color="auto" w:fill="E0E0E0"/>
          </w:tcPr>
          <w:p>
            <w:pPr>
              <w:spacing w:after="0"/>
              <w:rPr>
                <w:sz w:val="13"/>
                <w:szCs w:val="13"/>
                <w:color w:val="auto"/>
              </w:rPr>
            </w:pPr>
          </w:p>
        </w:tc>
        <w:tc>
          <w:tcPr>
            <w:tcW w:w="920" w:type="dxa"/>
            <w:vAlign w:val="bottom"/>
            <w:tcBorders>
              <w:bottom w:val="single" w:sz="8" w:color="auto"/>
            </w:tcBorders>
            <w:gridSpan w:val="2"/>
            <w:shd w:val="clear" w:color="auto" w:fill="E0E0E0"/>
          </w:tcPr>
          <w:p>
            <w:pPr>
              <w:ind w:left="100"/>
              <w:spacing w:after="0" w:line="148" w:lineRule="exact"/>
              <w:rPr>
                <w:sz w:val="20"/>
                <w:szCs w:val="20"/>
                <w:color w:val="auto"/>
              </w:rPr>
            </w:pPr>
            <w:r>
              <w:rPr>
                <w:rFonts w:ascii="Arial" w:cs="Arial" w:eastAsia="Arial" w:hAnsi="Arial"/>
                <w:sz w:val="14"/>
                <w:szCs w:val="14"/>
                <w:b w:val="1"/>
                <w:bCs w:val="1"/>
                <w:color w:val="auto"/>
                <w:w w:val="99"/>
              </w:rPr>
              <w:t>Termination</w:t>
            </w:r>
          </w:p>
        </w:tc>
        <w:tc>
          <w:tcPr>
            <w:tcW w:w="180" w:type="dxa"/>
            <w:vAlign w:val="bottom"/>
            <w:tcBorders>
              <w:bottom w:val="single" w:sz="8" w:color="auto"/>
            </w:tcBorders>
            <w:shd w:val="clear" w:color="auto" w:fill="E0E0E0"/>
          </w:tcPr>
          <w:p>
            <w:pPr>
              <w:spacing w:after="0"/>
              <w:rPr>
                <w:sz w:val="13"/>
                <w:szCs w:val="13"/>
                <w:color w:val="auto"/>
              </w:rPr>
            </w:pPr>
          </w:p>
        </w:tc>
        <w:tc>
          <w:tcPr>
            <w:tcW w:w="800" w:type="dxa"/>
            <w:vAlign w:val="bottom"/>
            <w:tcBorders>
              <w:bottom w:val="single" w:sz="8" w:color="auto"/>
            </w:tcBorders>
            <w:shd w:val="clear" w:color="auto" w:fill="E0E0E0"/>
          </w:tcPr>
          <w:p>
            <w:pPr>
              <w:jc w:val="right"/>
              <w:ind w:right="134"/>
              <w:spacing w:after="0" w:line="148" w:lineRule="exact"/>
              <w:rPr>
                <w:sz w:val="20"/>
                <w:szCs w:val="20"/>
                <w:color w:val="auto"/>
              </w:rPr>
            </w:pPr>
            <w:r>
              <w:rPr>
                <w:rFonts w:ascii="Arial" w:cs="Arial" w:eastAsia="Arial" w:hAnsi="Arial"/>
                <w:sz w:val="14"/>
                <w:szCs w:val="14"/>
                <w:b w:val="1"/>
                <w:bCs w:val="1"/>
                <w:color w:val="auto"/>
                <w:w w:val="89"/>
              </w:rPr>
              <w:t>Disability</w:t>
            </w:r>
          </w:p>
        </w:tc>
        <w:tc>
          <w:tcPr>
            <w:tcW w:w="180" w:type="dxa"/>
            <w:vAlign w:val="bottom"/>
            <w:tcBorders>
              <w:bottom w:val="single" w:sz="8" w:color="auto"/>
            </w:tcBorders>
            <w:shd w:val="clear" w:color="auto" w:fill="E0E0E0"/>
          </w:tcPr>
          <w:p>
            <w:pPr>
              <w:spacing w:after="0"/>
              <w:rPr>
                <w:sz w:val="13"/>
                <w:szCs w:val="13"/>
                <w:color w:val="auto"/>
              </w:rPr>
            </w:pPr>
          </w:p>
        </w:tc>
        <w:tc>
          <w:tcPr>
            <w:tcW w:w="780" w:type="dxa"/>
            <w:vAlign w:val="bottom"/>
            <w:tcBorders>
              <w:bottom w:val="single" w:sz="8" w:color="auto"/>
            </w:tcBorders>
            <w:shd w:val="clear" w:color="auto" w:fill="E0E0E0"/>
          </w:tcPr>
          <w:p>
            <w:pPr>
              <w:jc w:val="right"/>
              <w:ind w:right="213"/>
              <w:spacing w:after="0" w:line="148" w:lineRule="exact"/>
              <w:rPr>
                <w:sz w:val="20"/>
                <w:szCs w:val="20"/>
                <w:color w:val="auto"/>
              </w:rPr>
            </w:pPr>
            <w:r>
              <w:rPr>
                <w:rFonts w:ascii="Arial" w:cs="Arial" w:eastAsia="Arial" w:hAnsi="Arial"/>
                <w:sz w:val="14"/>
                <w:szCs w:val="14"/>
                <w:b w:val="1"/>
                <w:bCs w:val="1"/>
                <w:color w:val="auto"/>
              </w:rPr>
              <w:t>Death</w:t>
            </w:r>
          </w:p>
        </w:tc>
        <w:tc>
          <w:tcPr>
            <w:tcW w:w="160" w:type="dxa"/>
            <w:vAlign w:val="bottom"/>
            <w:tcBorders>
              <w:bottom w:val="single" w:sz="8" w:color="auto"/>
            </w:tcBorders>
            <w:shd w:val="clear" w:color="auto" w:fill="E0E0E0"/>
          </w:tcPr>
          <w:p>
            <w:pPr>
              <w:spacing w:after="0"/>
              <w:rPr>
                <w:sz w:val="13"/>
                <w:szCs w:val="13"/>
                <w:color w:val="auto"/>
              </w:rPr>
            </w:pPr>
          </w:p>
        </w:tc>
        <w:tc>
          <w:tcPr>
            <w:tcW w:w="920" w:type="dxa"/>
            <w:vAlign w:val="bottom"/>
            <w:tcBorders>
              <w:bottom w:val="single" w:sz="8" w:color="auto"/>
              <w:right w:val="single" w:sz="8" w:color="auto"/>
            </w:tcBorders>
            <w:shd w:val="clear" w:color="auto" w:fill="E0E0E0"/>
          </w:tcPr>
          <w:p>
            <w:pPr>
              <w:jc w:val="right"/>
              <w:ind w:right="233"/>
              <w:spacing w:after="0" w:line="148" w:lineRule="exact"/>
              <w:rPr>
                <w:sz w:val="20"/>
                <w:szCs w:val="20"/>
                <w:color w:val="auto"/>
              </w:rPr>
            </w:pPr>
            <w:r>
              <w:rPr>
                <w:rFonts w:ascii="Arial" w:cs="Arial" w:eastAsia="Arial" w:hAnsi="Arial"/>
                <w:sz w:val="14"/>
                <w:szCs w:val="14"/>
                <w:b w:val="1"/>
                <w:bCs w:val="1"/>
                <w:color w:val="auto"/>
                <w:w w:val="85"/>
              </w:rPr>
              <w:t>of-Control</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4,457,778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w w:val="84"/>
              </w:rPr>
              <w:t>2,600,620</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2,600,620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534,806</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534,806</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5"/>
              </w:rPr>
              <w:t>160,521</w:t>
            </w:r>
          </w:p>
        </w:tc>
        <w:tc>
          <w:tcPr>
            <w:tcW w:w="200" w:type="dxa"/>
            <w:vAlign w:val="bottom"/>
            <w:shd w:val="clear" w:color="auto" w:fill="E0E0E0"/>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0E0E0"/>
          </w:tcPr>
          <w:p>
            <w:pPr>
              <w:jc w:val="right"/>
              <w:ind w:right="19"/>
              <w:spacing w:after="0"/>
              <w:rPr>
                <w:sz w:val="20"/>
                <w:szCs w:val="20"/>
                <w:color w:val="auto"/>
              </w:rPr>
            </w:pPr>
            <w:r>
              <w:rPr>
                <w:rFonts w:ascii="Arial" w:cs="Arial" w:eastAsia="Arial" w:hAnsi="Arial"/>
                <w:sz w:val="18"/>
                <w:szCs w:val="18"/>
                <w:color w:val="auto"/>
              </w:rPr>
              <w:t>80,894</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160,521</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160,521</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160,521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w w:val="84"/>
              </w:rPr>
              <w:t>2,177,908</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640,245</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4,122,009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Excise Tax &amp; Gross-up</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4,325,153</w:t>
            </w:r>
          </w:p>
        </w:tc>
        <w:tc>
          <w:tcPr>
            <w:tcW w:w="0" w:type="dxa"/>
            <w:vAlign w:val="bottom"/>
          </w:tcPr>
          <w:p>
            <w:pPr>
              <w:spacing w:after="0"/>
              <w:rPr>
                <w:sz w:val="1"/>
                <w:szCs w:val="1"/>
                <w:color w:val="auto"/>
              </w:rPr>
            </w:pPr>
          </w:p>
        </w:tc>
      </w:tr>
      <w:tr>
        <w:trPr>
          <w:trHeight w:val="208"/>
        </w:trPr>
        <w:tc>
          <w:tcPr>
            <w:tcW w:w="19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Anne H. Lloyd</w:t>
            </w: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w w:val="84"/>
              </w:rPr>
              <w:t>2,395,893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1,068,097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w w:val="84"/>
              </w:rPr>
              <w:t>1,068,097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195,612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195,612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41,515</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20,953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41,515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41,515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41,515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855,037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99,042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w w:val="84"/>
              </w:rPr>
              <w:t>2,987,203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Excise Tax &amp; Gross-up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w w:val="84"/>
              </w:rPr>
              <w:t>2,336,362</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1,937,552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871,807</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871,807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159,621</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159,621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42,001</w:t>
            </w:r>
          </w:p>
        </w:tc>
        <w:tc>
          <w:tcPr>
            <w:tcW w:w="200" w:type="dxa"/>
            <w:vAlign w:val="bottom"/>
            <w:shd w:val="clear" w:color="auto" w:fill="E0E0E0"/>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0E0E0"/>
          </w:tcPr>
          <w:p>
            <w:pPr>
              <w:jc w:val="right"/>
              <w:ind w:right="19"/>
              <w:spacing w:after="0"/>
              <w:rPr>
                <w:sz w:val="20"/>
                <w:szCs w:val="20"/>
                <w:color w:val="auto"/>
              </w:rPr>
            </w:pPr>
            <w:r>
              <w:rPr>
                <w:rFonts w:ascii="Arial" w:cs="Arial" w:eastAsia="Arial" w:hAnsi="Arial"/>
                <w:sz w:val="18"/>
                <w:szCs w:val="18"/>
                <w:color w:val="auto"/>
              </w:rPr>
              <w:t>21,830</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42,001</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42,001</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42,001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409,301</w:t>
            </w: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2,434,690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45,918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Excise Tax &amp; Gross-up</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1,960,004</w:t>
            </w:r>
          </w:p>
        </w:tc>
        <w:tc>
          <w:tcPr>
            <w:tcW w:w="0" w:type="dxa"/>
            <w:vAlign w:val="bottom"/>
          </w:tcPr>
          <w:p>
            <w:pPr>
              <w:spacing w:after="0"/>
              <w:rPr>
                <w:sz w:val="1"/>
                <w:szCs w:val="1"/>
                <w:color w:val="auto"/>
              </w:rPr>
            </w:pPr>
          </w:p>
        </w:tc>
      </w:tr>
      <w:tr>
        <w:trPr>
          <w:trHeight w:val="208"/>
        </w:trPr>
        <w:tc>
          <w:tcPr>
            <w:tcW w:w="19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w w:val="84"/>
              </w:rPr>
              <w:t>1,185,665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171,495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171,495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91,507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91,507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252,750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537,920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Excise Tax &amp; Gross-up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3"/>
              <w:spacing w:after="0"/>
              <w:rPr>
                <w:sz w:val="20"/>
                <w:szCs w:val="20"/>
                <w:color w:val="auto"/>
              </w:rPr>
            </w:pPr>
            <w:r>
              <w:rPr>
                <w:rFonts w:ascii="Arial" w:cs="Arial" w:eastAsia="Arial" w:hAnsi="Arial"/>
                <w:sz w:val="18"/>
                <w:szCs w:val="18"/>
                <w:color w:val="auto"/>
              </w:rPr>
              <w:t>837,997</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1,238,060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193,745</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193,745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56,505</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56,505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15,812</w:t>
            </w:r>
          </w:p>
        </w:tc>
        <w:tc>
          <w:tcPr>
            <w:tcW w:w="200" w:type="dxa"/>
            <w:vAlign w:val="bottom"/>
            <w:shd w:val="clear" w:color="auto" w:fill="E0E0E0"/>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0E0E0"/>
          </w:tcPr>
          <w:p>
            <w:pPr>
              <w:jc w:val="right"/>
              <w:ind w:right="19"/>
              <w:spacing w:after="0"/>
              <w:rPr>
                <w:sz w:val="20"/>
                <w:szCs w:val="20"/>
                <w:color w:val="auto"/>
              </w:rPr>
            </w:pPr>
            <w:r>
              <w:rPr>
                <w:rFonts w:ascii="Arial" w:cs="Arial" w:eastAsia="Arial" w:hAnsi="Arial"/>
                <w:sz w:val="18"/>
                <w:szCs w:val="18"/>
                <w:color w:val="auto"/>
              </w:rPr>
              <w:t>8,258</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15,812</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15,812</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227,539</w:t>
            </w:r>
          </w:p>
        </w:tc>
        <w:tc>
          <w:tcPr>
            <w:tcW w:w="1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15,913</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885,608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rPr>
              <w:t>63,462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432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Excise Tax &amp; Gross-up</w:t>
            </w:r>
          </w:p>
        </w:tc>
        <w:tc>
          <w:tcPr>
            <w:tcW w:w="10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3"/>
              <w:spacing w:after="0"/>
              <w:rPr>
                <w:sz w:val="20"/>
                <w:szCs w:val="20"/>
                <w:color w:val="auto"/>
              </w:rPr>
            </w:pPr>
            <w:r>
              <w:rPr>
                <w:rFonts w:ascii="Arial" w:cs="Arial" w:eastAsia="Arial" w:hAnsi="Arial"/>
                <w:sz w:val="18"/>
                <w:szCs w:val="18"/>
                <w:color w:val="auto"/>
                <w:w w:val="84"/>
              </w:rPr>
              <w:t>1,065,196</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bottom w:val="single" w:sz="8" w:color="auto"/>
            </w:tcBorders>
            <w:shd w:val="clear" w:color="auto" w:fill="E0E0E0"/>
          </w:tcPr>
          <w:p>
            <w:pPr>
              <w:spacing w:after="0"/>
              <w:rPr>
                <w:sz w:val="18"/>
                <w:szCs w:val="18"/>
                <w:color w:val="auto"/>
              </w:rPr>
            </w:pPr>
          </w:p>
        </w:tc>
        <w:tc>
          <w:tcPr>
            <w:tcW w:w="820" w:type="dxa"/>
            <w:vAlign w:val="bottom"/>
            <w:tcBorders>
              <w:bottom w:val="single" w:sz="8" w:color="auto"/>
            </w:tcBorders>
            <w:shd w:val="clear" w:color="auto" w:fill="E0E0E0"/>
          </w:tcPr>
          <w:p>
            <w:pPr>
              <w:spacing w:after="0"/>
              <w:rPr>
                <w:sz w:val="18"/>
                <w:szCs w:val="18"/>
                <w:color w:val="auto"/>
              </w:rPr>
            </w:pPr>
          </w:p>
        </w:tc>
        <w:tc>
          <w:tcPr>
            <w:tcW w:w="432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tcBorders>
              <w:bottom w:val="single" w:sz="8" w:color="auto"/>
            </w:tcBorders>
            <w:shd w:val="clear" w:color="auto" w:fill="E0E0E0"/>
          </w:tcPr>
          <w:p>
            <w:pPr>
              <w:spacing w:after="0"/>
              <w:rPr>
                <w:sz w:val="18"/>
                <w:szCs w:val="18"/>
                <w:color w:val="auto"/>
              </w:rPr>
            </w:pPr>
          </w:p>
        </w:tc>
        <w:tc>
          <w:tcPr>
            <w:tcW w:w="80" w:type="dxa"/>
            <w:vAlign w:val="bottom"/>
            <w:tcBorders>
              <w:bottom w:val="single" w:sz="8" w:color="auto"/>
            </w:tcBorders>
            <w:shd w:val="clear" w:color="auto" w:fill="E0E0E0"/>
          </w:tcPr>
          <w:p>
            <w:pPr>
              <w:spacing w:after="0"/>
              <w:rPr>
                <w:sz w:val="18"/>
                <w:szCs w:val="18"/>
                <w:color w:val="auto"/>
              </w:rPr>
            </w:pPr>
          </w:p>
        </w:tc>
        <w:tc>
          <w:tcPr>
            <w:tcW w:w="720" w:type="dxa"/>
            <w:vAlign w:val="bottom"/>
            <w:tcBorders>
              <w:bottom w:val="single" w:sz="8" w:color="auto"/>
            </w:tcBorders>
            <w:shd w:val="clear" w:color="auto" w:fill="E0E0E0"/>
          </w:tcPr>
          <w:p>
            <w:pPr>
              <w:spacing w:after="0"/>
              <w:rPr>
                <w:sz w:val="18"/>
                <w:szCs w:val="18"/>
                <w:color w:val="auto"/>
              </w:rPr>
            </w:pPr>
          </w:p>
        </w:tc>
        <w:tc>
          <w:tcPr>
            <w:tcW w:w="200" w:type="dxa"/>
            <w:vAlign w:val="bottom"/>
            <w:tcBorders>
              <w:bottom w:val="single" w:sz="8" w:color="auto"/>
            </w:tcBorders>
            <w:shd w:val="clear" w:color="auto" w:fill="E0E0E0"/>
          </w:tcPr>
          <w:p>
            <w:pPr>
              <w:spacing w:after="0"/>
              <w:rPr>
                <w:sz w:val="18"/>
                <w:szCs w:val="18"/>
                <w:color w:val="auto"/>
              </w:rPr>
            </w:pPr>
          </w:p>
        </w:tc>
        <w:tc>
          <w:tcPr>
            <w:tcW w:w="720" w:type="dxa"/>
            <w:vAlign w:val="bottom"/>
            <w:tcBorders>
              <w:bottom w:val="single" w:sz="8" w:color="auto"/>
            </w:tcBorders>
            <w:shd w:val="clear" w:color="auto" w:fill="E0E0E0"/>
          </w:tcPr>
          <w:p>
            <w:pPr>
              <w:spacing w:after="0"/>
              <w:rPr>
                <w:sz w:val="18"/>
                <w:szCs w:val="18"/>
                <w:color w:val="auto"/>
              </w:rPr>
            </w:pPr>
          </w:p>
        </w:tc>
        <w:tc>
          <w:tcPr>
            <w:tcW w:w="180" w:type="dxa"/>
            <w:vAlign w:val="bottom"/>
            <w:tcBorders>
              <w:bottom w:val="single" w:sz="8" w:color="auto"/>
            </w:tcBorders>
            <w:shd w:val="clear" w:color="auto" w:fill="E0E0E0"/>
          </w:tcPr>
          <w:p>
            <w:pPr>
              <w:spacing w:after="0"/>
              <w:rPr>
                <w:sz w:val="18"/>
                <w:szCs w:val="18"/>
                <w:color w:val="auto"/>
              </w:rPr>
            </w:pPr>
          </w:p>
        </w:tc>
        <w:tc>
          <w:tcPr>
            <w:tcW w:w="800" w:type="dxa"/>
            <w:vAlign w:val="bottom"/>
            <w:tcBorders>
              <w:bottom w:val="single" w:sz="8" w:color="auto"/>
            </w:tcBorders>
            <w:shd w:val="clear" w:color="auto" w:fill="E0E0E0"/>
          </w:tcPr>
          <w:p>
            <w:pPr>
              <w:spacing w:after="0"/>
              <w:rPr>
                <w:sz w:val="18"/>
                <w:szCs w:val="18"/>
                <w:color w:val="auto"/>
              </w:rPr>
            </w:pPr>
          </w:p>
        </w:tc>
        <w:tc>
          <w:tcPr>
            <w:tcW w:w="180" w:type="dxa"/>
            <w:vAlign w:val="bottom"/>
            <w:tcBorders>
              <w:bottom w:val="single" w:sz="8" w:color="auto"/>
            </w:tcBorders>
            <w:shd w:val="clear" w:color="auto" w:fill="E0E0E0"/>
          </w:tcPr>
          <w:p>
            <w:pPr>
              <w:spacing w:after="0"/>
              <w:rPr>
                <w:sz w:val="18"/>
                <w:szCs w:val="18"/>
                <w:color w:val="auto"/>
              </w:rPr>
            </w:pPr>
          </w:p>
        </w:tc>
        <w:tc>
          <w:tcPr>
            <w:tcW w:w="780" w:type="dxa"/>
            <w:vAlign w:val="bottom"/>
            <w:tcBorders>
              <w:bottom w:val="single" w:sz="8" w:color="auto"/>
            </w:tcBorders>
            <w:shd w:val="clear" w:color="auto" w:fill="E0E0E0"/>
          </w:tcPr>
          <w:p>
            <w:pPr>
              <w:spacing w:after="0"/>
              <w:rPr>
                <w:sz w:val="18"/>
                <w:szCs w:val="18"/>
                <w:color w:val="auto"/>
              </w:rPr>
            </w:pPr>
          </w:p>
        </w:tc>
        <w:tc>
          <w:tcPr>
            <w:tcW w:w="160" w:type="dxa"/>
            <w:vAlign w:val="bottom"/>
            <w:tcBorders>
              <w:bottom w:val="single" w:sz="8" w:color="auto"/>
            </w:tcBorders>
            <w:shd w:val="clear" w:color="auto" w:fill="E0E0E0"/>
          </w:tcPr>
          <w:p>
            <w:pPr>
              <w:spacing w:after="0"/>
              <w:rPr>
                <w:sz w:val="18"/>
                <w:szCs w:val="18"/>
                <w:color w:val="auto"/>
              </w:rPr>
            </w:pPr>
          </w:p>
        </w:tc>
        <w:tc>
          <w:tcPr>
            <w:tcW w:w="920" w:type="dxa"/>
            <w:vAlign w:val="bottom"/>
            <w:tcBorders>
              <w:bottom w:val="single" w:sz="8" w:color="auto"/>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318" w:lineRule="auto"/>
        <w:tabs>
          <w:tab w:leader="none" w:pos="323"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2012.</w:t>
      </w:r>
    </w:p>
    <w:p>
      <w:pPr>
        <w:spacing w:after="0" w:line="12" w:lineRule="exact"/>
        <w:rPr>
          <w:sz w:val="20"/>
          <w:szCs w:val="20"/>
          <w:color w:val="auto"/>
        </w:rPr>
      </w:pPr>
    </w:p>
    <w:p>
      <w:pPr>
        <w:ind w:left="323" w:hanging="323"/>
        <w:spacing w:after="0"/>
        <w:tabs>
          <w:tab w:leader="none" w:pos="323"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69" w:lineRule="exact"/>
        <w:rPr>
          <w:sz w:val="20"/>
          <w:szCs w:val="20"/>
          <w:color w:val="auto"/>
        </w:rPr>
      </w:pPr>
    </w:p>
    <w:p>
      <w:pPr>
        <w:ind w:left="323" w:hanging="323"/>
        <w:spacing w:after="0"/>
        <w:tabs>
          <w:tab w:leader="none" w:pos="323"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Reflects the estimated lump-sum intrinsic value of unvested stock options.</w:t>
      </w:r>
    </w:p>
    <w:p>
      <w:pPr>
        <w:spacing w:after="0" w:line="288"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083"/>
          </w:cols>
          <w:pgMar w:left="437" w:top="463" w:right="379" w:bottom="1440" w:gutter="0" w:footer="0" w:header="0"/>
        </w:sectPr>
      </w:pPr>
    </w:p>
    <w:bookmarkStart w:id="67" w:name="page68"/>
    <w:bookmarkEnd w:id="67"/>
    <w:p>
      <w:pPr>
        <w:ind w:left="323" w:hanging="323"/>
        <w:spacing w:after="0"/>
        <w:tabs>
          <w:tab w:leader="none" w:pos="323" w:val="left"/>
        </w:tabs>
        <w:numPr>
          <w:ilvl w:val="0"/>
          <w:numId w:val="6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6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606925"/>
                    </a:xfrm>
                    <a:prstGeom prst="rect">
                      <a:avLst/>
                    </a:prstGeom>
                    <a:noFill/>
                  </pic:spPr>
                </pic:pic>
              </a:graphicData>
            </a:graphic>
          </wp:anchor>
        </w:drawing>
        <w:t>Reflects the difference between the value of the unvested Incentive Stock Plan share units at year-end and the amount of cash invested by the executive officer in the share units.</w:t>
      </w:r>
    </w:p>
    <w:p>
      <w:pPr>
        <w:spacing w:after="0" w:line="92" w:lineRule="exact"/>
        <w:rPr>
          <w:sz w:val="20"/>
          <w:szCs w:val="20"/>
          <w:color w:val="auto"/>
        </w:rPr>
      </w:pPr>
    </w:p>
    <w:p>
      <w:pPr>
        <w:jc w:val="both"/>
        <w:ind w:left="323" w:hanging="323"/>
        <w:spacing w:after="0" w:line="288" w:lineRule="auto"/>
        <w:tabs>
          <w:tab w:leader="none" w:pos="323"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Reflects the incremental value of the benefit (including three times Martin Marietta’s match to the defined contribution plan) payable upon a qualifying termination of employment following a change of control. 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58.</w:t>
      </w:r>
    </w:p>
    <w:p>
      <w:pPr>
        <w:spacing w:after="0" w:line="30" w:lineRule="exact"/>
        <w:rPr>
          <w:sz w:val="20"/>
          <w:szCs w:val="20"/>
          <w:color w:val="auto"/>
        </w:rPr>
      </w:pPr>
    </w:p>
    <w:p>
      <w:pPr>
        <w:ind w:left="323" w:right="20" w:hanging="323"/>
        <w:spacing w:after="0" w:line="239" w:lineRule="auto"/>
        <w:tabs>
          <w:tab w:leader="none" w:pos="323"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58" w:lineRule="exact"/>
        <w:rPr>
          <w:sz w:val="20"/>
          <w:szCs w:val="20"/>
          <w:color w:val="auto"/>
        </w:rPr>
      </w:pPr>
    </w:p>
    <w:p>
      <w:pPr>
        <w:ind w:left="323" w:hanging="323"/>
        <w:spacing w:after="0" w:line="239" w:lineRule="auto"/>
        <w:tabs>
          <w:tab w:leader="none" w:pos="323"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58" w:lineRule="exact"/>
        <w:rPr>
          <w:sz w:val="20"/>
          <w:szCs w:val="20"/>
          <w:color w:val="auto"/>
        </w:rPr>
      </w:pPr>
    </w:p>
    <w:p>
      <w:pPr>
        <w:ind w:left="323" w:hanging="323"/>
        <w:spacing w:after="0" w:line="239" w:lineRule="auto"/>
        <w:tabs>
          <w:tab w:leader="none" w:pos="3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Nye, Ms. Lloyd, Ms. Bar, Mr. McCunniff, and Ms. Guzzo were not eligible to retire on December 31, 2012. Reflects the value as if Mr. Nye, Ms. Lloyd, Ms. Bar, Mr. McCunniff, and Ms. Guzzo were retirement eligible on December 31, 2012.</w:t>
      </w: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PROPOSAL 4</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ADVISORY VOTE ON THE COMPENSATION OF OUR</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NAMED EXECUTIVE OFFICERS</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i w:val="1"/>
          <w:iCs w:val="1"/>
          <w:color w:val="auto"/>
        </w:rPr>
        <w:t>(Item 4 on Proxy Card)</w:t>
      </w:r>
    </w:p>
    <w:p>
      <w:pPr>
        <w:spacing w:after="0" w:line="165"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59" w:lineRule="exact"/>
        <w:rPr>
          <w:sz w:val="20"/>
          <w:szCs w:val="20"/>
          <w:color w:val="auto"/>
        </w:rPr>
      </w:pPr>
    </w:p>
    <w:p>
      <w:pPr>
        <w:jc w:val="both"/>
        <w:ind w:left="443" w:firstLine="425"/>
        <w:spacing w:after="0" w:line="259" w:lineRule="auto"/>
        <w:rPr>
          <w:sz w:val="20"/>
          <w:szCs w:val="20"/>
          <w:color w:val="auto"/>
        </w:rPr>
      </w:pPr>
      <w:r>
        <w:rPr>
          <w:rFonts w:ascii="Arial" w:cs="Arial" w:eastAsia="Arial" w:hAnsi="Arial"/>
          <w:sz w:val="18"/>
          <w:szCs w:val="18"/>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14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2012 was appropriate and aligned with 2012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7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UNANIMOUSLY RECOMMENDS</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THIS PROPOSAL</w:t>
      </w:r>
    </w:p>
    <w:p>
      <w:pPr>
        <w:spacing w:after="0" w:line="300"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063"/>
          </w:cols>
          <w:pgMar w:left="437" w:top="466" w:right="399" w:bottom="1440" w:gutter="0" w:footer="0" w:header="0"/>
        </w:sectPr>
      </w:pPr>
    </w:p>
    <w:bookmarkStart w:id="68" w:name="page69"/>
    <w:bookmarkEnd w:id="68"/>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47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5447665"/>
                    </a:xfrm>
                    <a:prstGeom prst="rect">
                      <a:avLst/>
                    </a:prstGeom>
                    <a:noFill/>
                  </pic:spPr>
                </pic:pic>
              </a:graphicData>
            </a:graphic>
          </wp:anchor>
        </w:drawing>
        <w:t>Securities Authorized for Issuance Under Equity Compensation Plans</w:t>
      </w:r>
    </w:p>
    <w:p>
      <w:pPr>
        <w:spacing w:after="0" w:line="90" w:lineRule="exact"/>
        <w:rPr>
          <w:sz w:val="20"/>
          <w:szCs w:val="20"/>
          <w:color w:val="auto"/>
        </w:rPr>
      </w:pPr>
    </w:p>
    <w:p>
      <w:pPr>
        <w:jc w:val="both"/>
        <w:ind w:left="3" w:right="20" w:firstLine="775"/>
        <w:spacing w:after="0" w:line="290" w:lineRule="auto"/>
        <w:rPr>
          <w:sz w:val="20"/>
          <w:szCs w:val="20"/>
          <w:color w:val="auto"/>
        </w:rPr>
      </w:pPr>
      <w:r>
        <w:rPr>
          <w:rFonts w:ascii="Arial" w:cs="Arial" w:eastAsia="Arial" w:hAnsi="Arial"/>
          <w:sz w:val="16"/>
          <w:szCs w:val="16"/>
          <w:color w:val="auto"/>
        </w:rPr>
        <w:t>The following table shows information as of December 31, 2012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93"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E0E0E0"/>
          </w:tcPr>
          <w:p>
            <w:pPr>
              <w:spacing w:after="0"/>
              <w:rPr>
                <w:sz w:val="12"/>
                <w:szCs w:val="12"/>
                <w:color w:val="auto"/>
              </w:rPr>
            </w:pPr>
          </w:p>
        </w:tc>
        <w:tc>
          <w:tcPr>
            <w:tcW w:w="9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62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tcBorders>
            <w:shd w:val="clear" w:color="auto" w:fill="E0E0E0"/>
          </w:tcPr>
          <w:p>
            <w:pPr>
              <w:spacing w:after="0"/>
              <w:rPr>
                <w:sz w:val="12"/>
                <w:szCs w:val="12"/>
                <w:color w:val="auto"/>
              </w:rPr>
            </w:pPr>
          </w:p>
        </w:tc>
        <w:tc>
          <w:tcPr>
            <w:tcW w:w="1680" w:type="dxa"/>
            <w:vAlign w:val="bottom"/>
            <w:tcBorders>
              <w:top w:val="single" w:sz="8" w:color="auto"/>
            </w:tcBorders>
            <w:shd w:val="clear" w:color="auto" w:fill="E0E0E0"/>
          </w:tcPr>
          <w:p>
            <w:pPr>
              <w:spacing w:after="0"/>
              <w:rPr>
                <w:sz w:val="12"/>
                <w:szCs w:val="12"/>
                <w:color w:val="auto"/>
              </w:rPr>
            </w:pPr>
          </w:p>
        </w:tc>
        <w:tc>
          <w:tcPr>
            <w:tcW w:w="1180" w:type="dxa"/>
            <w:vAlign w:val="bottom"/>
            <w:tcBorders>
              <w:top w:val="single" w:sz="8" w:color="auto"/>
            </w:tcBorders>
            <w:shd w:val="clear" w:color="auto" w:fill="E0E0E0"/>
          </w:tcPr>
          <w:p>
            <w:pPr>
              <w:spacing w:after="0"/>
              <w:rPr>
                <w:sz w:val="12"/>
                <w:szCs w:val="12"/>
                <w:color w:val="auto"/>
              </w:rPr>
            </w:pPr>
          </w:p>
        </w:tc>
        <w:tc>
          <w:tcPr>
            <w:tcW w:w="1660" w:type="dxa"/>
            <w:vAlign w:val="bottom"/>
            <w:tcBorders>
              <w:top w:val="single" w:sz="8" w:color="auto"/>
            </w:tcBorders>
            <w:shd w:val="clear" w:color="auto" w:fill="E0E0E0"/>
          </w:tcPr>
          <w:p>
            <w:pPr>
              <w:spacing w:after="0"/>
              <w:rPr>
                <w:sz w:val="12"/>
                <w:szCs w:val="12"/>
                <w:color w:val="auto"/>
              </w:rPr>
            </w:pPr>
          </w:p>
        </w:tc>
        <w:tc>
          <w:tcPr>
            <w:tcW w:w="1180" w:type="dxa"/>
            <w:vAlign w:val="bottom"/>
            <w:tcBorders>
              <w:top w:val="single" w:sz="8" w:color="auto"/>
            </w:tcBorders>
            <w:shd w:val="clear" w:color="auto" w:fill="E0E0E0"/>
          </w:tcPr>
          <w:p>
            <w:pPr>
              <w:spacing w:after="0"/>
              <w:rPr>
                <w:sz w:val="12"/>
                <w:szCs w:val="12"/>
                <w:color w:val="auto"/>
              </w:rPr>
            </w:pPr>
          </w:p>
        </w:tc>
        <w:tc>
          <w:tcPr>
            <w:tcW w:w="1580" w:type="dxa"/>
            <w:vAlign w:val="bottom"/>
            <w:tcBorders>
              <w:top w:val="single" w:sz="8" w:color="auto"/>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1660" w:type="dxa"/>
            <w:vAlign w:val="bottom"/>
            <w:shd w:val="clear" w:color="auto" w:fill="E0E0E0"/>
          </w:tcPr>
          <w:p>
            <w:pPr>
              <w:spacing w:after="0"/>
              <w:rPr>
                <w:sz w:val="12"/>
                <w:szCs w:val="12"/>
                <w:color w:val="auto"/>
              </w:rPr>
            </w:pPr>
          </w:p>
        </w:tc>
        <w:tc>
          <w:tcPr>
            <w:tcW w:w="118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62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60"/>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2840" w:type="dxa"/>
            <w:vAlign w:val="bottom"/>
            <w:gridSpan w:val="2"/>
            <w:shd w:val="clear" w:color="auto" w:fill="E0E0E0"/>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Weighted-average exercise</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vMerge w:val="restart"/>
            <w:shd w:val="clear" w:color="auto" w:fill="E0E0E0"/>
          </w:tcPr>
          <w:p>
            <w:pPr>
              <w:spacing w:after="0"/>
              <w:rPr>
                <w:sz w:val="20"/>
                <w:szCs w:val="20"/>
                <w:color w:val="auto"/>
              </w:rPr>
            </w:pPr>
            <w:r>
              <w:rPr>
                <w:rFonts w:ascii="Arial" w:cs="Arial" w:eastAsia="Arial" w:hAnsi="Arial"/>
                <w:sz w:val="14"/>
                <w:szCs w:val="14"/>
                <w:b w:val="1"/>
                <w:bCs w:val="1"/>
                <w:color w:val="auto"/>
                <w:w w:val="93"/>
              </w:rPr>
              <w:t>Plan Category</w:t>
            </w:r>
          </w:p>
        </w:tc>
        <w:tc>
          <w:tcPr>
            <w:tcW w:w="1700" w:type="dxa"/>
            <w:vAlign w:val="bottom"/>
            <w:gridSpan w:val="2"/>
            <w:vMerge w:val="restart"/>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2860" w:type="dxa"/>
            <w:vAlign w:val="bottom"/>
            <w:gridSpan w:val="2"/>
            <w:shd w:val="clear" w:color="auto" w:fill="E0E0E0"/>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840" w:type="dxa"/>
            <w:vAlign w:val="bottom"/>
            <w:gridSpan w:val="2"/>
            <w:shd w:val="clear" w:color="auto" w:fill="E0E0E0"/>
          </w:tcPr>
          <w:p>
            <w:pPr>
              <w:jc w:val="right"/>
              <w:ind w:right="118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55"/>
        </w:trPr>
        <w:tc>
          <w:tcPr>
            <w:tcW w:w="120" w:type="dxa"/>
            <w:vAlign w:val="bottom"/>
            <w:tcBorders>
              <w:left w:val="single" w:sz="8" w:color="auto"/>
            </w:tcBorders>
            <w:shd w:val="clear" w:color="auto" w:fill="E0E0E0"/>
          </w:tcPr>
          <w:p>
            <w:pPr>
              <w:spacing w:after="0"/>
              <w:rPr>
                <w:sz w:val="13"/>
                <w:szCs w:val="13"/>
                <w:color w:val="auto"/>
              </w:rPr>
            </w:pPr>
          </w:p>
        </w:tc>
        <w:tc>
          <w:tcPr>
            <w:tcW w:w="900" w:type="dxa"/>
            <w:vAlign w:val="bottom"/>
            <w:vMerge w:val="continue"/>
            <w:shd w:val="clear" w:color="auto" w:fill="E0E0E0"/>
          </w:tcPr>
          <w:p>
            <w:pPr>
              <w:spacing w:after="0"/>
              <w:rPr>
                <w:sz w:val="13"/>
                <w:szCs w:val="13"/>
                <w:color w:val="auto"/>
              </w:rPr>
            </w:pPr>
          </w:p>
        </w:tc>
        <w:tc>
          <w:tcPr>
            <w:tcW w:w="1700" w:type="dxa"/>
            <w:vAlign w:val="bottom"/>
            <w:gridSpan w:val="2"/>
            <w:vMerge w:val="continue"/>
            <w:shd w:val="clear" w:color="auto" w:fill="E0E0E0"/>
          </w:tcPr>
          <w:p>
            <w:pPr>
              <w:spacing w:after="0"/>
              <w:rPr>
                <w:sz w:val="13"/>
                <w:szCs w:val="13"/>
                <w:color w:val="auto"/>
              </w:rPr>
            </w:pPr>
          </w:p>
        </w:tc>
        <w:tc>
          <w:tcPr>
            <w:tcW w:w="1080" w:type="dxa"/>
            <w:vAlign w:val="bottom"/>
            <w:shd w:val="clear" w:color="auto" w:fill="E0E0E0"/>
          </w:tcPr>
          <w:p>
            <w:pPr>
              <w:spacing w:after="0"/>
              <w:rPr>
                <w:sz w:val="13"/>
                <w:szCs w:val="13"/>
                <w:color w:val="auto"/>
              </w:rPr>
            </w:pPr>
          </w:p>
        </w:tc>
        <w:tc>
          <w:tcPr>
            <w:tcW w:w="2860" w:type="dxa"/>
            <w:vAlign w:val="bottom"/>
            <w:gridSpan w:val="2"/>
            <w:shd w:val="clear" w:color="auto" w:fill="E0E0E0"/>
          </w:tcPr>
          <w:p>
            <w:pPr>
              <w:jc w:val="center"/>
              <w:ind w:right="1160"/>
              <w:spacing w:after="0" w:line="148" w:lineRule="exact"/>
              <w:rPr>
                <w:sz w:val="20"/>
                <w:szCs w:val="20"/>
                <w:color w:val="auto"/>
              </w:rPr>
            </w:pPr>
            <w:r>
              <w:rPr>
                <w:rFonts w:ascii="Arial" w:cs="Arial" w:eastAsia="Arial" w:hAnsi="Arial"/>
                <w:sz w:val="14"/>
                <w:szCs w:val="14"/>
                <w:b w:val="1"/>
                <w:bCs w:val="1"/>
                <w:color w:val="auto"/>
                <w:w w:val="86"/>
              </w:rPr>
              <w:t>options, warrants, and rights</w:t>
            </w:r>
          </w:p>
        </w:tc>
        <w:tc>
          <w:tcPr>
            <w:tcW w:w="2840" w:type="dxa"/>
            <w:vAlign w:val="bottom"/>
            <w:gridSpan w:val="2"/>
            <w:shd w:val="clear" w:color="auto" w:fill="E0E0E0"/>
          </w:tcPr>
          <w:p>
            <w:pPr>
              <w:jc w:val="center"/>
              <w:ind w:right="1180"/>
              <w:spacing w:after="0" w:line="148" w:lineRule="exact"/>
              <w:rPr>
                <w:sz w:val="20"/>
                <w:szCs w:val="20"/>
                <w:color w:val="auto"/>
              </w:rPr>
            </w:pPr>
            <w:r>
              <w:rPr>
                <w:rFonts w:ascii="Arial" w:cs="Arial" w:eastAsia="Arial" w:hAnsi="Arial"/>
                <w:sz w:val="14"/>
                <w:szCs w:val="14"/>
                <w:b w:val="1"/>
                <w:bCs w:val="1"/>
                <w:color w:val="auto"/>
                <w:w w:val="88"/>
              </w:rPr>
              <w:t>warrants, and rights</w:t>
            </w:r>
          </w:p>
        </w:tc>
        <w:tc>
          <w:tcPr>
            <w:tcW w:w="1580" w:type="dxa"/>
            <w:vAlign w:val="bottom"/>
            <w:tcBorders>
              <w:right w:val="single" w:sz="8" w:color="auto"/>
            </w:tcBorders>
            <w:gridSpan w:val="2"/>
            <w:shd w:val="clear" w:color="auto" w:fill="E0E0E0"/>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55"/>
        </w:trPr>
        <w:tc>
          <w:tcPr>
            <w:tcW w:w="120" w:type="dxa"/>
            <w:vAlign w:val="bottom"/>
            <w:tcBorders>
              <w:top w:val="single" w:sz="8" w:color="E0E0E0"/>
              <w:left w:val="single" w:sz="8" w:color="auto"/>
              <w:bottom w:val="single" w:sz="8" w:color="auto"/>
            </w:tcBorders>
            <w:shd w:val="clear" w:color="auto" w:fill="E0E0E0"/>
          </w:tcPr>
          <w:p>
            <w:pPr>
              <w:spacing w:after="0"/>
              <w:rPr>
                <w:sz w:val="21"/>
                <w:szCs w:val="21"/>
                <w:color w:val="auto"/>
              </w:rPr>
            </w:pPr>
          </w:p>
        </w:tc>
        <w:tc>
          <w:tcPr>
            <w:tcW w:w="900" w:type="dxa"/>
            <w:vAlign w:val="bottom"/>
            <w:tcBorders>
              <w:top w:val="single" w:sz="8" w:color="auto"/>
              <w:bottom w:val="single" w:sz="8" w:color="auto"/>
            </w:tcBorders>
            <w:shd w:val="clear" w:color="auto" w:fill="E0E0E0"/>
          </w:tcPr>
          <w:p>
            <w:pPr>
              <w:spacing w:after="0"/>
              <w:rPr>
                <w:sz w:val="21"/>
                <w:szCs w:val="21"/>
                <w:color w:val="auto"/>
              </w:rPr>
            </w:pPr>
          </w:p>
        </w:tc>
        <w:tc>
          <w:tcPr>
            <w:tcW w:w="80" w:type="dxa"/>
            <w:vAlign w:val="bottom"/>
            <w:tcBorders>
              <w:top w:val="single" w:sz="8" w:color="E0E0E0"/>
              <w:bottom w:val="single" w:sz="8" w:color="auto"/>
            </w:tcBorders>
            <w:shd w:val="clear" w:color="auto" w:fill="E0E0E0"/>
          </w:tcPr>
          <w:p>
            <w:pPr>
              <w:spacing w:after="0"/>
              <w:rPr>
                <w:sz w:val="21"/>
                <w:szCs w:val="21"/>
                <w:color w:val="auto"/>
              </w:rPr>
            </w:pPr>
          </w:p>
        </w:tc>
        <w:tc>
          <w:tcPr>
            <w:tcW w:w="1620" w:type="dxa"/>
            <w:vAlign w:val="bottom"/>
            <w:tcBorders>
              <w:top w:val="single" w:sz="8" w:color="E0E0E0"/>
              <w:bottom w:val="single" w:sz="8" w:color="auto"/>
            </w:tcBorders>
            <w:shd w:val="clear" w:color="auto" w:fill="E0E0E0"/>
          </w:tcPr>
          <w:p>
            <w:pPr>
              <w:spacing w:after="0"/>
              <w:rPr>
                <w:sz w:val="21"/>
                <w:szCs w:val="21"/>
                <w:color w:val="auto"/>
              </w:rPr>
            </w:pPr>
          </w:p>
        </w:tc>
        <w:tc>
          <w:tcPr>
            <w:tcW w:w="1080" w:type="dxa"/>
            <w:vAlign w:val="bottom"/>
            <w:tcBorders>
              <w:top w:val="single" w:sz="8" w:color="E0E0E0"/>
              <w:bottom w:val="single" w:sz="8" w:color="E0E0E0"/>
            </w:tcBorders>
            <w:shd w:val="clear" w:color="auto" w:fill="E0E0E0"/>
          </w:tcPr>
          <w:p>
            <w:pPr>
              <w:spacing w:after="0"/>
              <w:rPr>
                <w:sz w:val="21"/>
                <w:szCs w:val="21"/>
                <w:color w:val="auto"/>
              </w:rPr>
            </w:pPr>
          </w:p>
        </w:tc>
        <w:tc>
          <w:tcPr>
            <w:tcW w:w="168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86"/>
              </w:rPr>
              <w:t>(a)</w:t>
            </w:r>
            <w:r>
              <w:rPr>
                <w:rFonts w:ascii="Arial" w:cs="Arial" w:eastAsia="Arial" w:hAnsi="Arial"/>
                <w:sz w:val="22"/>
                <w:szCs w:val="22"/>
                <w:b w:val="1"/>
                <w:bCs w:val="1"/>
                <w:color w:val="auto"/>
                <w:w w:val="86"/>
                <w:vertAlign w:val="superscript"/>
              </w:rPr>
              <w:t>1</w:t>
            </w:r>
          </w:p>
        </w:tc>
        <w:tc>
          <w:tcPr>
            <w:tcW w:w="1180" w:type="dxa"/>
            <w:vAlign w:val="bottom"/>
            <w:tcBorders>
              <w:top w:val="single" w:sz="8" w:color="E0E0E0"/>
              <w:bottom w:val="single" w:sz="8" w:color="E0E0E0"/>
            </w:tcBorders>
            <w:shd w:val="clear" w:color="auto" w:fill="E0E0E0"/>
          </w:tcPr>
          <w:p>
            <w:pPr>
              <w:spacing w:after="0"/>
              <w:rPr>
                <w:sz w:val="21"/>
                <w:szCs w:val="21"/>
                <w:color w:val="auto"/>
              </w:rPr>
            </w:pPr>
          </w:p>
        </w:tc>
        <w:tc>
          <w:tcPr>
            <w:tcW w:w="166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84"/>
              </w:rPr>
              <w:t>(b)</w:t>
            </w:r>
            <w:r>
              <w:rPr>
                <w:rFonts w:ascii="Arial" w:cs="Arial" w:eastAsia="Arial" w:hAnsi="Arial"/>
                <w:sz w:val="22"/>
                <w:szCs w:val="22"/>
                <w:b w:val="1"/>
                <w:bCs w:val="1"/>
                <w:color w:val="auto"/>
                <w:w w:val="84"/>
                <w:vertAlign w:val="superscript"/>
              </w:rPr>
              <w:t>2</w:t>
            </w:r>
          </w:p>
        </w:tc>
        <w:tc>
          <w:tcPr>
            <w:tcW w:w="1180" w:type="dxa"/>
            <w:vAlign w:val="bottom"/>
            <w:tcBorders>
              <w:top w:val="single" w:sz="8" w:color="E0E0E0"/>
              <w:bottom w:val="single" w:sz="8" w:color="E0E0E0"/>
            </w:tcBorders>
            <w:shd w:val="clear" w:color="auto" w:fill="E0E0E0"/>
          </w:tcPr>
          <w:p>
            <w:pPr>
              <w:spacing w:after="0"/>
              <w:rPr>
                <w:sz w:val="21"/>
                <w:szCs w:val="21"/>
                <w:color w:val="auto"/>
              </w:rPr>
            </w:pPr>
          </w:p>
        </w:tc>
        <w:tc>
          <w:tcPr>
            <w:tcW w:w="1360" w:type="dxa"/>
            <w:vAlign w:val="bottom"/>
            <w:tcBorders>
              <w:top w:val="single" w:sz="8" w:color="auto"/>
              <w:bottom w:val="single" w:sz="8" w:color="E0E0E0"/>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78"/>
              </w:rPr>
              <w:t>(c)</w:t>
            </w:r>
            <w:r>
              <w:rPr>
                <w:rFonts w:ascii="Arial" w:cs="Arial" w:eastAsia="Arial" w:hAnsi="Arial"/>
                <w:sz w:val="22"/>
                <w:szCs w:val="22"/>
                <w:b w:val="1"/>
                <w:bCs w:val="1"/>
                <w:color w:val="auto"/>
                <w:w w:val="78"/>
                <w:vertAlign w:val="superscript"/>
              </w:rPr>
              <w:t>3</w:t>
            </w:r>
          </w:p>
        </w:tc>
        <w:tc>
          <w:tcPr>
            <w:tcW w:w="220" w:type="dxa"/>
            <w:vAlign w:val="bottom"/>
            <w:tcBorders>
              <w:top w:val="single" w:sz="8" w:color="E0E0E0"/>
              <w:bottom w:val="single" w:sz="8" w:color="E0E0E0"/>
              <w:right w:val="single" w:sz="8" w:color="auto"/>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20" w:type="dxa"/>
            <w:vAlign w:val="bottom"/>
            <w:tcBorders>
              <w:top w:val="single" w:sz="8" w:color="E0E0E0"/>
              <w:left w:val="single" w:sz="8" w:color="auto"/>
            </w:tcBorders>
            <w:shd w:val="clear" w:color="auto" w:fill="E0E0E0"/>
          </w:tcPr>
          <w:p>
            <w:pPr>
              <w:spacing w:after="0"/>
              <w:rPr>
                <w:sz w:val="15"/>
                <w:szCs w:val="15"/>
                <w:color w:val="auto"/>
              </w:rPr>
            </w:pPr>
          </w:p>
        </w:tc>
        <w:tc>
          <w:tcPr>
            <w:tcW w:w="2600" w:type="dxa"/>
            <w:vAlign w:val="bottom"/>
            <w:tcBorders>
              <w:top w:val="single" w:sz="8" w:color="E0E0E0"/>
            </w:tcBorders>
            <w:gridSpan w:val="3"/>
            <w:shd w:val="clear" w:color="auto" w:fill="E0E0E0"/>
          </w:tcPr>
          <w:p>
            <w:pPr>
              <w:spacing w:after="0" w:line="182" w:lineRule="exact"/>
              <w:rPr>
                <w:sz w:val="20"/>
                <w:szCs w:val="20"/>
                <w:color w:val="auto"/>
              </w:rPr>
            </w:pPr>
            <w:r>
              <w:rPr>
                <w:rFonts w:ascii="Arial" w:cs="Arial" w:eastAsia="Arial" w:hAnsi="Arial"/>
                <w:sz w:val="18"/>
                <w:szCs w:val="18"/>
                <w:color w:val="auto"/>
              </w:rPr>
              <w:t>Equity compensation plans</w:t>
            </w:r>
          </w:p>
        </w:tc>
        <w:tc>
          <w:tcPr>
            <w:tcW w:w="1080" w:type="dxa"/>
            <w:vAlign w:val="bottom"/>
            <w:tcBorders>
              <w:top w:val="single" w:sz="8" w:color="auto"/>
            </w:tcBorders>
            <w:shd w:val="clear" w:color="auto" w:fill="E0E0E0"/>
          </w:tcPr>
          <w:p>
            <w:pPr>
              <w:spacing w:after="0"/>
              <w:rPr>
                <w:sz w:val="15"/>
                <w:szCs w:val="15"/>
                <w:color w:val="auto"/>
              </w:rPr>
            </w:pPr>
          </w:p>
        </w:tc>
        <w:tc>
          <w:tcPr>
            <w:tcW w:w="1680" w:type="dxa"/>
            <w:vAlign w:val="bottom"/>
            <w:tcBorders>
              <w:top w:val="single" w:sz="8" w:color="auto"/>
            </w:tcBorders>
            <w:shd w:val="clear" w:color="auto" w:fill="E0E0E0"/>
          </w:tcPr>
          <w:p>
            <w:pPr>
              <w:spacing w:after="0"/>
              <w:rPr>
                <w:sz w:val="15"/>
                <w:szCs w:val="15"/>
                <w:color w:val="auto"/>
              </w:rPr>
            </w:pPr>
          </w:p>
        </w:tc>
        <w:tc>
          <w:tcPr>
            <w:tcW w:w="1180" w:type="dxa"/>
            <w:vAlign w:val="bottom"/>
            <w:tcBorders>
              <w:top w:val="single" w:sz="8" w:color="auto"/>
            </w:tcBorders>
            <w:shd w:val="clear" w:color="auto" w:fill="E0E0E0"/>
          </w:tcPr>
          <w:p>
            <w:pPr>
              <w:spacing w:after="0"/>
              <w:rPr>
                <w:sz w:val="15"/>
                <w:szCs w:val="15"/>
                <w:color w:val="auto"/>
              </w:rPr>
            </w:pPr>
          </w:p>
        </w:tc>
        <w:tc>
          <w:tcPr>
            <w:tcW w:w="1660" w:type="dxa"/>
            <w:vAlign w:val="bottom"/>
            <w:tcBorders>
              <w:top w:val="single" w:sz="8" w:color="auto"/>
            </w:tcBorders>
            <w:shd w:val="clear" w:color="auto" w:fill="E0E0E0"/>
          </w:tcPr>
          <w:p>
            <w:pPr>
              <w:spacing w:after="0"/>
              <w:rPr>
                <w:sz w:val="15"/>
                <w:szCs w:val="15"/>
                <w:color w:val="auto"/>
              </w:rPr>
            </w:pPr>
          </w:p>
        </w:tc>
        <w:tc>
          <w:tcPr>
            <w:tcW w:w="1180" w:type="dxa"/>
            <w:vAlign w:val="bottom"/>
            <w:tcBorders>
              <w:top w:val="single" w:sz="8" w:color="auto"/>
            </w:tcBorders>
            <w:shd w:val="clear" w:color="auto" w:fill="E0E0E0"/>
          </w:tcPr>
          <w:p>
            <w:pPr>
              <w:spacing w:after="0"/>
              <w:rPr>
                <w:sz w:val="15"/>
                <w:szCs w:val="15"/>
                <w:color w:val="auto"/>
              </w:rPr>
            </w:pPr>
          </w:p>
        </w:tc>
        <w:tc>
          <w:tcPr>
            <w:tcW w:w="136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auto"/>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 w:type="dxa"/>
            <w:vAlign w:val="bottom"/>
            <w:tcBorders>
              <w:left w:val="single" w:sz="8" w:color="auto"/>
            </w:tcBorders>
            <w:shd w:val="clear" w:color="auto" w:fill="E0E0E0"/>
          </w:tcPr>
          <w:p>
            <w:pPr>
              <w:spacing w:after="0"/>
              <w:rPr>
                <w:sz w:val="19"/>
                <w:szCs w:val="19"/>
                <w:color w:val="auto"/>
              </w:rPr>
            </w:pPr>
          </w:p>
        </w:tc>
        <w:tc>
          <w:tcPr>
            <w:tcW w:w="2600" w:type="dxa"/>
            <w:vAlign w:val="bottom"/>
            <w:gridSpan w:val="3"/>
            <w:shd w:val="clear" w:color="auto" w:fill="E0E0E0"/>
          </w:tcPr>
          <w:p>
            <w:pPr>
              <w:ind w:left="220"/>
              <w:spacing w:after="0"/>
              <w:rPr>
                <w:sz w:val="20"/>
                <w:szCs w:val="20"/>
                <w:color w:val="auto"/>
              </w:rPr>
            </w:pPr>
            <w:r>
              <w:rPr>
                <w:rFonts w:ascii="Arial" w:cs="Arial" w:eastAsia="Arial" w:hAnsi="Arial"/>
                <w:sz w:val="18"/>
                <w:szCs w:val="18"/>
                <w:color w:val="auto"/>
              </w:rPr>
              <w:t>approved by shareholders</w:t>
            </w:r>
          </w:p>
        </w:tc>
        <w:tc>
          <w:tcPr>
            <w:tcW w:w="1080" w:type="dxa"/>
            <w:vAlign w:val="bottom"/>
            <w:shd w:val="clear" w:color="auto" w:fill="E0E0E0"/>
          </w:tcPr>
          <w:p>
            <w:pPr>
              <w:spacing w:after="0"/>
              <w:rPr>
                <w:sz w:val="19"/>
                <w:szCs w:val="19"/>
                <w:color w:val="auto"/>
              </w:rPr>
            </w:pPr>
          </w:p>
        </w:tc>
        <w:tc>
          <w:tcPr>
            <w:tcW w:w="2860" w:type="dxa"/>
            <w:vAlign w:val="bottom"/>
            <w:gridSpan w:val="2"/>
            <w:shd w:val="clear" w:color="auto" w:fill="E0E0E0"/>
          </w:tcPr>
          <w:p>
            <w:pPr>
              <w:jc w:val="right"/>
              <w:ind w:right="1180"/>
              <w:spacing w:after="0"/>
              <w:rPr>
                <w:sz w:val="20"/>
                <w:szCs w:val="20"/>
                <w:color w:val="auto"/>
              </w:rPr>
            </w:pPr>
            <w:r>
              <w:rPr>
                <w:rFonts w:ascii="Arial" w:cs="Arial" w:eastAsia="Arial" w:hAnsi="Arial"/>
                <w:sz w:val="18"/>
                <w:szCs w:val="18"/>
                <w:color w:val="auto"/>
              </w:rPr>
              <w:t>1,294,278</w:t>
            </w:r>
          </w:p>
        </w:tc>
        <w:tc>
          <w:tcPr>
            <w:tcW w:w="2840" w:type="dxa"/>
            <w:vAlign w:val="bottom"/>
            <w:gridSpan w:val="2"/>
            <w:shd w:val="clear" w:color="auto" w:fill="E0E0E0"/>
          </w:tcPr>
          <w:p>
            <w:pPr>
              <w:jc w:val="right"/>
              <w:ind w:right="1180"/>
              <w:spacing w:after="0"/>
              <w:rPr>
                <w:sz w:val="20"/>
                <w:szCs w:val="20"/>
                <w:color w:val="auto"/>
              </w:rPr>
            </w:pPr>
            <w:r>
              <w:rPr>
                <w:rFonts w:ascii="Arial" w:cs="Arial" w:eastAsia="Arial" w:hAnsi="Arial"/>
                <w:sz w:val="18"/>
                <w:szCs w:val="18"/>
                <w:color w:val="auto"/>
              </w:rPr>
              <w:t>77.72</w:t>
            </w:r>
          </w:p>
        </w:tc>
        <w:tc>
          <w:tcPr>
            <w:tcW w:w="158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rPr>
              <w:t>837,745</w:t>
            </w: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approved by shareholders</w:t>
            </w:r>
          </w:p>
        </w:tc>
        <w:tc>
          <w:tcPr>
            <w:tcW w:w="1080" w:type="dxa"/>
            <w:vAlign w:val="bottom"/>
          </w:tcPr>
          <w:p>
            <w:pPr>
              <w:spacing w:after="0"/>
              <w:rPr>
                <w:sz w:val="19"/>
                <w:szCs w:val="19"/>
                <w:color w:val="auto"/>
              </w:rPr>
            </w:pPr>
          </w:p>
        </w:tc>
        <w:tc>
          <w:tcPr>
            <w:tcW w:w="2860" w:type="dxa"/>
            <w:vAlign w:val="bottom"/>
            <w:gridSpan w:val="2"/>
          </w:tcPr>
          <w:p>
            <w:pPr>
              <w:jc w:val="right"/>
              <w:ind w:right="1180"/>
              <w:spacing w:after="0"/>
              <w:rPr>
                <w:sz w:val="20"/>
                <w:szCs w:val="20"/>
                <w:color w:val="auto"/>
              </w:rPr>
            </w:pPr>
            <w:r>
              <w:rPr>
                <w:rFonts w:ascii="Arial" w:cs="Arial" w:eastAsia="Arial" w:hAnsi="Arial"/>
                <w:sz w:val="18"/>
                <w:szCs w:val="18"/>
                <w:color w:val="auto"/>
              </w:rPr>
              <w:t>None</w:t>
            </w:r>
          </w:p>
        </w:tc>
        <w:tc>
          <w:tcPr>
            <w:tcW w:w="2840" w:type="dxa"/>
            <w:vAlign w:val="bottom"/>
            <w:gridSpan w:val="2"/>
          </w:tcPr>
          <w:p>
            <w:pPr>
              <w:jc w:val="right"/>
              <w:ind w:right="1180"/>
              <w:spacing w:after="0"/>
              <w:rPr>
                <w:sz w:val="20"/>
                <w:szCs w:val="20"/>
                <w:color w:val="auto"/>
              </w:rPr>
            </w:pPr>
            <w:r>
              <w:rPr>
                <w:rFonts w:ascii="Arial" w:cs="Arial" w:eastAsia="Arial" w:hAnsi="Arial"/>
                <w:sz w:val="18"/>
                <w:szCs w:val="18"/>
                <w:color w:val="auto"/>
              </w:rPr>
              <w:t>None</w:t>
            </w:r>
          </w:p>
        </w:tc>
        <w:tc>
          <w:tcPr>
            <w:tcW w:w="1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shd w:val="clear" w:color="auto" w:fill="E0E0E0"/>
          </w:tcPr>
          <w:p>
            <w:pPr>
              <w:spacing w:after="0"/>
              <w:rPr>
                <w:sz w:val="18"/>
                <w:szCs w:val="18"/>
                <w:color w:val="auto"/>
              </w:rPr>
            </w:pPr>
          </w:p>
        </w:tc>
        <w:tc>
          <w:tcPr>
            <w:tcW w:w="2600" w:type="dxa"/>
            <w:vAlign w:val="bottom"/>
            <w:tcBorders>
              <w:bottom w:val="single" w:sz="8" w:color="auto"/>
            </w:tcBorders>
            <w:gridSpan w:val="3"/>
            <w:shd w:val="clear" w:color="auto" w:fill="E0E0E0"/>
          </w:tcPr>
          <w:p>
            <w:pPr>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auto"/>
            </w:tcBorders>
            <w:gridSpan w:val="3"/>
            <w:shd w:val="clear" w:color="auto" w:fill="E0E0E0"/>
          </w:tcPr>
          <w:p>
            <w:pPr>
              <w:jc w:val="right"/>
              <w:ind w:right="1180"/>
              <w:spacing w:after="0"/>
              <w:rPr>
                <w:sz w:val="20"/>
                <w:szCs w:val="20"/>
                <w:color w:val="auto"/>
              </w:rPr>
            </w:pPr>
            <w:r>
              <w:rPr>
                <w:rFonts w:ascii="Arial" w:cs="Arial" w:eastAsia="Arial" w:hAnsi="Arial"/>
                <w:sz w:val="18"/>
                <w:szCs w:val="18"/>
                <w:color w:val="auto"/>
              </w:rPr>
              <w:t>1,294,278</w:t>
            </w:r>
          </w:p>
        </w:tc>
        <w:tc>
          <w:tcPr>
            <w:tcW w:w="2840" w:type="dxa"/>
            <w:vAlign w:val="bottom"/>
            <w:tcBorders>
              <w:bottom w:val="single" w:sz="8" w:color="auto"/>
            </w:tcBorders>
            <w:gridSpan w:val="2"/>
            <w:shd w:val="clear" w:color="auto" w:fill="E0E0E0"/>
          </w:tcPr>
          <w:p>
            <w:pPr>
              <w:jc w:val="right"/>
              <w:ind w:right="1180"/>
              <w:spacing w:after="0"/>
              <w:rPr>
                <w:sz w:val="20"/>
                <w:szCs w:val="20"/>
                <w:color w:val="auto"/>
              </w:rPr>
            </w:pPr>
            <w:r>
              <w:rPr>
                <w:rFonts w:ascii="Arial" w:cs="Arial" w:eastAsia="Arial" w:hAnsi="Arial"/>
                <w:sz w:val="18"/>
                <w:szCs w:val="18"/>
                <w:color w:val="auto"/>
              </w:rPr>
              <w:t>77.72</w:t>
            </w:r>
          </w:p>
        </w:tc>
        <w:tc>
          <w:tcPr>
            <w:tcW w:w="1580" w:type="dxa"/>
            <w:vAlign w:val="bottom"/>
            <w:tcBorders>
              <w:bottom w:val="single" w:sz="8" w:color="auto"/>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rPr>
              <w:t>837,745</w:t>
            </w: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23" w:right="20" w:hanging="323"/>
        <w:spacing w:after="0" w:line="288" w:lineRule="auto"/>
        <w:tabs>
          <w:tab w:leader="none" w:pos="323"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Includes 1,027,957 stock options that have a weighted-average exercise price of $96.10; 238,594 restricted stock units that have a $0 exercise price; and 27,727 stock units granted in accordance with Martin Marietta’s Incentive Stock Plan that are credited to participants at an average weighted cost of $65.14.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30" w:lineRule="exact"/>
        <w:rPr>
          <w:sz w:val="20"/>
          <w:szCs w:val="20"/>
          <w:color w:val="auto"/>
        </w:rPr>
      </w:pPr>
    </w:p>
    <w:p>
      <w:pPr>
        <w:ind w:left="323" w:hanging="323"/>
        <w:spacing w:after="0"/>
        <w:tabs>
          <w:tab w:leader="none" w:pos="323"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69" w:lineRule="exact"/>
        <w:rPr>
          <w:sz w:val="20"/>
          <w:szCs w:val="20"/>
          <w:color w:val="auto"/>
        </w:rPr>
      </w:pPr>
    </w:p>
    <w:p>
      <w:pPr>
        <w:jc w:val="both"/>
        <w:ind w:left="323" w:right="20" w:hanging="323"/>
        <w:spacing w:after="0" w:line="230" w:lineRule="auto"/>
        <w:tabs>
          <w:tab w:leader="none" w:pos="323"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2012 in the following amounts: Directors’ Plan (166,841 shares), Stock-Based Award Plan (462,929 shares), and Achievement Plan (207,975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217"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jc w:val="both"/>
        <w:ind w:left="3" w:right="20" w:firstLine="775"/>
        <w:spacing w:after="0" w:line="255" w:lineRule="auto"/>
        <w:rPr>
          <w:sz w:val="20"/>
          <w:szCs w:val="20"/>
          <w:color w:val="auto"/>
        </w:rPr>
      </w:pPr>
      <w:r>
        <w:rPr>
          <w:rFonts w:ascii="Arial" w:cs="Arial" w:eastAsia="Arial" w:hAnsi="Arial"/>
          <w:sz w:val="18"/>
          <w:szCs w:val="18"/>
          <w:color w:val="auto"/>
        </w:rPr>
        <w:t>The Audit Committee Report beginning on page 32 and the Management Development and Compensation Committee Report beginning on page 33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278"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083"/>
          </w:cols>
          <w:pgMar w:left="437" w:top="469" w:right="3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61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2961005"/>
                    </a:xfrm>
                    <a:prstGeom prst="rect">
                      <a:avLst/>
                    </a:prstGeom>
                    <a:noFill/>
                  </pic:spPr>
                </pic:pic>
              </a:graphicData>
            </a:graphic>
          </wp:anchor>
        </w:drawing>
        <w:t>SHAREHOLDERS’ PROPOSALS FOR 2014 ANNUAL MEETING</w:t>
      </w:r>
    </w:p>
    <w:p>
      <w:pPr>
        <w:spacing w:after="0" w:line="177" w:lineRule="exact"/>
        <w:rPr>
          <w:sz w:val="20"/>
          <w:szCs w:val="20"/>
          <w:color w:val="auto"/>
        </w:rPr>
      </w:pPr>
    </w:p>
    <w:p>
      <w:pPr>
        <w:jc w:val="both"/>
        <w:ind w:firstLine="775"/>
        <w:spacing w:after="0" w:line="301" w:lineRule="auto"/>
        <w:rPr>
          <w:sz w:val="20"/>
          <w:szCs w:val="20"/>
          <w:color w:val="auto"/>
        </w:rPr>
      </w:pPr>
      <w:r>
        <w:rPr>
          <w:rFonts w:ascii="Arial" w:cs="Arial" w:eastAsia="Arial" w:hAnsi="Arial"/>
          <w:sz w:val="15"/>
          <w:szCs w:val="15"/>
          <w:color w:val="auto"/>
        </w:rPr>
        <w:t>Proposals by shareholders intended to be presented at the 2014 Annual Meeting of Shareholders of Martin Marietta must be received by the Secretary of Martin Marietta no later than December , 2013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2014 Annual Meeting of Shareholders, proposals must be received by the Secretary of Martin Marietta no earlier than January , 2014 and no later than February</w:t>
      </w:r>
    </w:p>
    <w:p>
      <w:pPr>
        <w:spacing w:after="0" w:line="4" w:lineRule="exact"/>
        <w:rPr>
          <w:sz w:val="20"/>
          <w:szCs w:val="20"/>
          <w:color w:val="auto"/>
        </w:rPr>
      </w:pPr>
    </w:p>
    <w:p>
      <w:pPr>
        <w:jc w:val="both"/>
        <w:ind w:firstLine="233"/>
        <w:spacing w:after="0" w:line="253" w:lineRule="auto"/>
        <w:tabs>
          <w:tab w:leader="none" w:pos="3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2014.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13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MARTIN MARIETTA MATERIALS, INC.</w:t>
      </w:r>
    </w:p>
    <w:p>
      <w:pPr>
        <w:spacing w:after="0" w:line="1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April</w:t>
        <w:tab/>
        <w:t>, 2013</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060"/>
          </w:cols>
          <w:pgMar w:left="440" w:top="463" w:right="399" w:bottom="1440" w:gutter="0" w:footer="0" w:header="0"/>
        </w:sectPr>
      </w:pPr>
    </w:p>
    <w:bookmarkStart w:id="70" w:name="page71"/>
    <w:bookmarkEnd w:id="70"/>
    <w:p>
      <w:pPr>
        <w:ind w:left="5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64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864735"/>
                    </a:xfrm>
                    <a:prstGeom prst="rect">
                      <a:avLst/>
                    </a:prstGeom>
                    <a:noFill/>
                  </pic:spPr>
                </pic:pic>
              </a:graphicData>
            </a:graphic>
          </wp:anchor>
        </w:drawing>
        <w:t>APPENDIX A</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POTENTIAL NEW BOARD MEMBERS</w:t>
      </w:r>
    </w:p>
    <w:p>
      <w:pPr>
        <w:spacing w:after="0" w:line="165"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xml:space="preserve">: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w:t>
      </w:r>
      <w:r>
        <w:rPr>
          <w:rFonts w:ascii="Arial" w:cs="Arial" w:eastAsia="Arial" w:hAnsi="Arial"/>
          <w:sz w:val="16"/>
          <w:szCs w:val="16"/>
          <w:color w:val="auto"/>
        </w:rPr>
        <w:t>Corporate Governance Guidelines</w:t>
      </w:r>
      <w:r>
        <w:rPr>
          <w:rFonts w:ascii="Arial" w:cs="Arial" w:eastAsia="Arial" w:hAnsi="Arial"/>
          <w:sz w:val="16"/>
          <w:szCs w:val="16"/>
          <w:i w:val="1"/>
          <w:iCs w:val="1"/>
          <w:color w:val="auto"/>
        </w:rPr>
        <w:t>.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8" w:lineRule="exact"/>
        <w:rPr>
          <w:sz w:val="20"/>
          <w:szCs w:val="20"/>
          <w:color w:val="auto"/>
        </w:rPr>
      </w:pPr>
    </w:p>
    <w:p>
      <w:pPr>
        <w:ind w:left="940" w:hanging="168"/>
        <w:spacing w:after="0"/>
        <w:tabs>
          <w:tab w:leader="none" w:pos="9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Martin Marietta.</w:t>
      </w:r>
    </w:p>
    <w:p>
      <w:pPr>
        <w:spacing w:after="0" w:line="194" w:lineRule="exact"/>
        <w:rPr>
          <w:rFonts w:ascii="Arial" w:cs="Arial" w:eastAsia="Arial" w:hAnsi="Arial"/>
          <w:sz w:val="16"/>
          <w:szCs w:val="16"/>
          <w:color w:val="auto"/>
        </w:rPr>
      </w:pPr>
    </w:p>
    <w:p>
      <w:pPr>
        <w:ind w:left="940" w:hanging="168"/>
        <w:spacing w:after="0"/>
        <w:tabs>
          <w:tab w:leader="none" w:pos="9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194" w:lineRule="exact"/>
        <w:rPr>
          <w:rFonts w:ascii="Arial" w:cs="Arial" w:eastAsia="Arial" w:hAnsi="Arial"/>
          <w:sz w:val="16"/>
          <w:szCs w:val="16"/>
          <w:color w:val="auto"/>
        </w:rPr>
      </w:pPr>
    </w:p>
    <w:p>
      <w:pPr>
        <w:ind w:left="940" w:hanging="168"/>
        <w:spacing w:after="0"/>
        <w:tabs>
          <w:tab w:leader="none" w:pos="9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Martin Marietta.</w:t>
      </w:r>
    </w:p>
    <w:p>
      <w:pPr>
        <w:spacing w:after="0" w:line="194" w:lineRule="exact"/>
        <w:rPr>
          <w:rFonts w:ascii="Arial" w:cs="Arial" w:eastAsia="Arial" w:hAnsi="Arial"/>
          <w:sz w:val="16"/>
          <w:szCs w:val="16"/>
          <w:color w:val="auto"/>
        </w:rPr>
      </w:pPr>
    </w:p>
    <w:p>
      <w:pPr>
        <w:ind w:firstLine="772"/>
        <w:spacing w:after="0" w:line="268" w:lineRule="auto"/>
        <w:tabs>
          <w:tab w:leader="none" w:pos="9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Consideration should be given to diversity on the Board. Such diversity may include type of experience, education, skill sets, ethnic origin, gender and other items that will enable the Board to have broad knowledge base and diverse viewpoints.</w:t>
      </w:r>
    </w:p>
    <w:p>
      <w:pPr>
        <w:spacing w:after="0" w:line="131" w:lineRule="exact"/>
        <w:rPr>
          <w:rFonts w:ascii="Arial" w:cs="Arial" w:eastAsia="Arial" w:hAnsi="Arial"/>
          <w:sz w:val="18"/>
          <w:szCs w:val="18"/>
          <w:color w:val="auto"/>
        </w:rPr>
      </w:pPr>
    </w:p>
    <w:p>
      <w:pPr>
        <w:ind w:left="960" w:hanging="188"/>
        <w:spacing w:after="0"/>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Marietta.</w:t>
      </w:r>
    </w:p>
    <w:p>
      <w:pPr>
        <w:spacing w:after="0" w:line="164" w:lineRule="exact"/>
        <w:rPr>
          <w:rFonts w:ascii="Arial" w:cs="Arial" w:eastAsia="Arial" w:hAnsi="Arial"/>
          <w:sz w:val="16"/>
          <w:szCs w:val="16"/>
          <w:color w:val="auto"/>
        </w:rPr>
      </w:pPr>
    </w:p>
    <w:p>
      <w:pPr>
        <w:jc w:val="both"/>
        <w:ind w:firstLine="772"/>
        <w:spacing w:after="0" w:line="259" w:lineRule="auto"/>
        <w:tabs>
          <w:tab w:leader="none" w:pos="9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firstLine="772"/>
        <w:spacing w:after="0" w:line="259" w:lineRule="auto"/>
        <w:tabs>
          <w:tab w:leader="none" w:pos="9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40" w:lineRule="exact"/>
        <w:rPr>
          <w:rFonts w:ascii="Arial" w:cs="Arial" w:eastAsia="Arial" w:hAnsi="Arial"/>
          <w:sz w:val="18"/>
          <w:szCs w:val="18"/>
          <w:color w:val="auto"/>
        </w:rPr>
      </w:pPr>
    </w:p>
    <w:p>
      <w:pPr>
        <w:jc w:val="both"/>
        <w:ind w:firstLine="772"/>
        <w:spacing w:after="0" w:line="259" w:lineRule="auto"/>
        <w:tabs>
          <w:tab w:leader="none" w:pos="9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060"/>
          </w:cols>
          <w:pgMar w:left="440" w:top="463" w:right="399" w:bottom="1440" w:gutter="0" w:footer="0" w:header="0"/>
        </w:sectPr>
      </w:pPr>
    </w:p>
    <w:bookmarkStart w:id="71" w:name="page72"/>
    <w:bookmarkEnd w:id="71"/>
    <w:p>
      <w:pPr>
        <w:ind w:left="940" w:hanging="168"/>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10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1210945"/>
                    </a:xfrm>
                    <a:prstGeom prst="rect">
                      <a:avLst/>
                    </a:prstGeom>
                    <a:noFill/>
                  </pic:spPr>
                </pic:pic>
              </a:graphicData>
            </a:graphic>
          </wp:anchor>
        </w:drawing>
        <w:t>Public company experience is highly desirable.</w:t>
      </w:r>
    </w:p>
    <w:p>
      <w:pPr>
        <w:spacing w:after="0" w:line="171" w:lineRule="exact"/>
        <w:rPr>
          <w:rFonts w:ascii="Arial" w:cs="Arial" w:eastAsia="Arial" w:hAnsi="Arial"/>
          <w:sz w:val="18"/>
          <w:szCs w:val="18"/>
          <w:color w:val="auto"/>
        </w:rPr>
      </w:pPr>
    </w:p>
    <w:p>
      <w:pPr>
        <w:ind w:firstLine="772"/>
        <w:spacing w:after="0" w:line="268" w:lineRule="auto"/>
        <w:tabs>
          <w:tab w:leader="none" w:pos="10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Candidates from education or nonprofit organizations will be considered where there is a specific priority need identified by the Board and where such a candidate can add value.</w:t>
      </w:r>
    </w:p>
    <w:p>
      <w:pPr>
        <w:spacing w:after="0" w:line="131" w:lineRule="exact"/>
        <w:rPr>
          <w:rFonts w:ascii="Arial" w:cs="Arial" w:eastAsia="Arial" w:hAnsi="Arial"/>
          <w:sz w:val="18"/>
          <w:szCs w:val="18"/>
          <w:color w:val="auto"/>
        </w:rPr>
      </w:pPr>
    </w:p>
    <w:p>
      <w:pPr>
        <w:ind w:firstLine="772"/>
        <w:spacing w:after="0" w:line="268" w:lineRule="auto"/>
        <w:tabs>
          <w:tab w:leader="none" w:pos="10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Board candidates ideally would serve on no more than three for-profit boards inclusive of Martin Marietta Materials to assure adequate time to discharge the duties of a Board member.</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060"/>
          </w:cols>
          <w:pgMar w:left="440" w:top="469" w:right="3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APPENDIX B</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NON-GAAP FINANCIAL MEASURES</w:t>
      </w:r>
    </w:p>
    <w:p>
      <w:pPr>
        <w:spacing w:after="0" w:line="177" w:lineRule="exact"/>
        <w:rPr>
          <w:sz w:val="20"/>
          <w:szCs w:val="20"/>
          <w:color w:val="auto"/>
        </w:rPr>
      </w:pPr>
    </w:p>
    <w:p>
      <w:pPr>
        <w:jc w:val="both"/>
        <w:ind w:right="20" w:firstLine="775"/>
        <w:spacing w:after="0" w:line="289" w:lineRule="auto"/>
        <w:rPr>
          <w:sz w:val="20"/>
          <w:szCs w:val="20"/>
          <w:color w:val="auto"/>
        </w:rPr>
      </w:pPr>
      <w:r>
        <w:rPr>
          <w:rFonts w:ascii="Arial" w:cs="Arial" w:eastAsia="Arial" w:hAnsi="Arial"/>
          <w:sz w:val="16"/>
          <w:szCs w:val="16"/>
          <w:color w:val="auto"/>
        </w:rPr>
        <w:t>Adjusted net earnings attributable to Martin Marietta (“Adjusted Net Earnings”) and adjusted earnings per diluted share (“Adjusted EPS”) and the percentage change in Adjusted EPS for the year ended December 31, 2012 compared with 2011 represent non-GAAP financial measures as they exclude the impact from business development expenses. Management presents these non-GAAP measures in its Compensation Discussion and Analysis as these represent measures Martin Marietta’s Management Development and Compensation Committee (“the Committee”) considered in determining executive incentive compensation for the year ended December 31, 2012. The Committee believed the assessment of management’s performance for 2012 should be exclusive of business development expenses, the majority of which related to a proposed significant business combination that was not consummated. Further, Martin Marietta believes that Adjusted Net Earnings and Adjusted EPS represent more meaningful comparisons of performance considering the unusually significant impact of business development expenses in 2012 and 2011.</w:t>
      </w:r>
    </w:p>
    <w:p>
      <w:pPr>
        <w:spacing w:after="0" w:line="118" w:lineRule="exact"/>
        <w:rPr>
          <w:sz w:val="20"/>
          <w:szCs w:val="20"/>
          <w:color w:val="auto"/>
        </w:rPr>
      </w:pPr>
    </w:p>
    <w:p>
      <w:pPr>
        <w:jc w:val="both"/>
        <w:ind w:right="20" w:firstLine="775"/>
        <w:spacing w:after="0" w:line="255" w:lineRule="auto"/>
        <w:rPr>
          <w:sz w:val="20"/>
          <w:szCs w:val="20"/>
          <w:color w:val="auto"/>
        </w:rPr>
      </w:pPr>
      <w:r>
        <w:rPr>
          <w:rFonts w:ascii="Arial" w:cs="Arial" w:eastAsia="Arial" w:hAnsi="Arial"/>
          <w:sz w:val="18"/>
          <w:szCs w:val="18"/>
          <w:color w:val="auto"/>
        </w:rPr>
        <w:t>The following presents the calculation of the earnings per diluted share impact of business development expenses, reconciles net earnings attributable to Martin Marietta in accordance with generally accepted accounting principles (“GAAP”) to Adjusted Net Earnings for the years ended December 31, 2012 and 2011, reconciles earnings per diluted share in accordance with GAAP to Adjusted EPS for the years ended December 31, 2012 and 2011, and presents the percentage increase in Adjusted EPS for the year ended December 31, 2012 compared with 2011 (dollars, other than per share amounts, and number of shares in millions):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0" w:type="dxa"/>
            <w:vAlign w:val="bottom"/>
            <w:tcBorders>
              <w:top w:val="single" w:sz="8" w:color="auto"/>
              <w:left w:val="single" w:sz="8" w:color="auto"/>
            </w:tcBorders>
            <w:shd w:val="clear" w:color="auto" w:fill="E0E0E0"/>
          </w:tcPr>
          <w:p>
            <w:pPr>
              <w:spacing w:after="0"/>
              <w:rPr>
                <w:sz w:val="22"/>
                <w:szCs w:val="22"/>
                <w:color w:val="auto"/>
              </w:rPr>
            </w:pPr>
          </w:p>
        </w:tc>
        <w:tc>
          <w:tcPr>
            <w:tcW w:w="800" w:type="dxa"/>
            <w:vAlign w:val="bottom"/>
            <w:tcBorders>
              <w:top w:val="single" w:sz="8" w:color="auto"/>
            </w:tcBorders>
            <w:shd w:val="clear" w:color="auto" w:fill="E0E0E0"/>
          </w:tcPr>
          <w:p>
            <w:pPr>
              <w:spacing w:after="0"/>
              <w:rPr>
                <w:sz w:val="22"/>
                <w:szCs w:val="22"/>
                <w:color w:val="auto"/>
              </w:rPr>
            </w:pPr>
          </w:p>
        </w:tc>
        <w:tc>
          <w:tcPr>
            <w:tcW w:w="120" w:type="dxa"/>
            <w:vAlign w:val="bottom"/>
            <w:tcBorders>
              <w:top w:val="single" w:sz="8" w:color="auto"/>
            </w:tcBorders>
            <w:shd w:val="clear" w:color="auto" w:fill="E0E0E0"/>
          </w:tcPr>
          <w:p>
            <w:pPr>
              <w:spacing w:after="0"/>
              <w:rPr>
                <w:sz w:val="22"/>
                <w:szCs w:val="22"/>
                <w:color w:val="auto"/>
              </w:rPr>
            </w:pPr>
          </w:p>
        </w:tc>
        <w:tc>
          <w:tcPr>
            <w:tcW w:w="120" w:type="dxa"/>
            <w:vAlign w:val="bottom"/>
            <w:tcBorders>
              <w:top w:val="single" w:sz="8" w:color="auto"/>
            </w:tcBorders>
            <w:shd w:val="clear" w:color="auto" w:fill="E0E0E0"/>
          </w:tcPr>
          <w:p>
            <w:pPr>
              <w:spacing w:after="0"/>
              <w:rPr>
                <w:sz w:val="22"/>
                <w:szCs w:val="22"/>
                <w:color w:val="auto"/>
              </w:rPr>
            </w:pPr>
          </w:p>
        </w:tc>
        <w:tc>
          <w:tcPr>
            <w:tcW w:w="2040" w:type="dxa"/>
            <w:vAlign w:val="bottom"/>
            <w:tcBorders>
              <w:top w:val="single" w:sz="8" w:color="auto"/>
              <w:right w:val="single" w:sz="8" w:color="auto"/>
            </w:tcBorders>
            <w:gridSpan w:val="6"/>
            <w:shd w:val="clear" w:color="auto" w:fill="E0E0E0"/>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gridSpan w:val="3"/>
            <w:shd w:val="clear" w:color="auto" w:fill="E0E0E0"/>
          </w:tcPr>
          <w:p>
            <w:pPr>
              <w:jc w:val="right"/>
              <w:ind w:right="9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35.1</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Income tax effect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After-tax impact of 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21.2</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Diluted number of common shares outstanding</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Borders>
              <w:left w:val="single" w:sz="8" w:color="auto"/>
            </w:tcBorders>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46.0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Earnings per diluted share impact of business development expenses</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0E0E0"/>
          </w:tcPr>
          <w:p>
            <w:pPr>
              <w:spacing w:after="0"/>
              <w:rPr>
                <w:sz w:val="18"/>
                <w:szCs w:val="18"/>
                <w:color w:val="auto"/>
              </w:rPr>
            </w:pPr>
          </w:p>
        </w:tc>
        <w:tc>
          <w:tcPr>
            <w:tcW w:w="5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0.46</w:t>
            </w:r>
          </w:p>
        </w:tc>
        <w:tc>
          <w:tcPr>
            <w:tcW w:w="6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spacing w:after="0"/>
              <w:rPr>
                <w:sz w:val="15"/>
                <w:szCs w:val="15"/>
                <w:color w:val="auto"/>
              </w:rPr>
            </w:pPr>
          </w:p>
        </w:tc>
        <w:tc>
          <w:tcPr>
            <w:tcW w:w="154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0" w:type="dxa"/>
            <w:vAlign w:val="bottom"/>
            <w:tcBorders>
              <w:left w:val="single" w:sz="8" w:color="auto"/>
            </w:tcBorders>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40" w:type="dxa"/>
            <w:vAlign w:val="bottom"/>
            <w:tcBorders>
              <w:right w:val="single" w:sz="8" w:color="auto"/>
            </w:tcBorders>
            <w:gridSpan w:val="6"/>
            <w:shd w:val="clear" w:color="auto" w:fill="E0E0E0"/>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400" w:type="dxa"/>
            <w:vAlign w:val="bottom"/>
            <w:tcBorders>
              <w:top w:val="single" w:sz="8" w:color="auto"/>
              <w:bottom w:val="single" w:sz="8" w:color="auto"/>
            </w:tcBorders>
            <w:shd w:val="clear" w:color="auto" w:fill="E0E0E0"/>
          </w:tcPr>
          <w:p>
            <w:pPr>
              <w:ind w:left="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Net earnings attributable to Martin Marietta in accordance with GAAP</w:t>
            </w: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2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0E0E0"/>
          </w:tcPr>
          <w:p>
            <w:pPr>
              <w:jc w:val="right"/>
              <w:ind w:right="620"/>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80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Add: after-tax impact of business development expenses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Adjusted Net Earnings</w:t>
            </w:r>
          </w:p>
        </w:tc>
        <w:tc>
          <w:tcPr>
            <w:tcW w:w="1040" w:type="dxa"/>
            <w:vAlign w:val="bottom"/>
            <w:gridSpan w:val="3"/>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0E0E0"/>
          </w:tcPr>
          <w:p>
            <w:pPr>
              <w:jc w:val="right"/>
              <w:ind w:right="62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080"/>
          </w:cols>
          <w:pgMar w:left="440" w:top="463" w:right="37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92"/>
        </w:trPr>
        <w:tc>
          <w:tcPr>
            <w:tcW w:w="220" w:type="dxa"/>
            <w:vAlign w:val="bottom"/>
            <w:tcBorders>
              <w:top w:val="single" w:sz="8" w:color="auto"/>
              <w:left w:val="single" w:sz="8" w:color="auto"/>
            </w:tcBorders>
          </w:tcPr>
          <w:p>
            <w:pPr>
              <w:spacing w:after="0"/>
              <w:rPr>
                <w:sz w:val="16"/>
                <w:szCs w:val="16"/>
                <w:color w:val="auto"/>
              </w:rPr>
            </w:pPr>
          </w:p>
        </w:tc>
        <w:tc>
          <w:tcPr>
            <w:tcW w:w="79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right w:val="single" w:sz="8" w:color="auto"/>
            </w:tcBorders>
          </w:tcPr>
          <w:p>
            <w:pPr>
              <w:spacing w:after="0"/>
              <w:rPr>
                <w:sz w:val="20"/>
                <w:szCs w:val="20"/>
                <w:color w:val="auto"/>
              </w:rPr>
            </w:pPr>
          </w:p>
        </w:tc>
        <w:tc>
          <w:tcPr>
            <w:tcW w:w="798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140" w:type="dxa"/>
            <w:vAlign w:val="bottom"/>
            <w:tcBorders>
              <w:right w:val="single" w:sz="8" w:color="auto"/>
            </w:tcBorders>
            <w:gridSpan w:val="5"/>
            <w:shd w:val="clear" w:color="auto" w:fill="E0E0E0"/>
          </w:tcPr>
          <w:p>
            <w:pPr>
              <w:jc w:val="right"/>
              <w:ind w:right="500"/>
              <w:spacing w:after="0"/>
              <w:rPr>
                <w:sz w:val="20"/>
                <w:szCs w:val="20"/>
                <w:color w:val="auto"/>
              </w:rPr>
            </w:pPr>
            <w:r>
              <w:rPr>
                <w:rFonts w:ascii="Arial" w:cs="Arial" w:eastAsia="Arial" w:hAnsi="Arial"/>
                <w:sz w:val="14"/>
                <w:szCs w:val="14"/>
                <w:b w:val="1"/>
                <w:bCs w:val="1"/>
                <w:color w:val="auto"/>
                <w:w w:val="94"/>
              </w:rPr>
              <w:t>Year Ended December 31,</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Borders>
              <w:left w:val="single" w:sz="8" w:color="auto"/>
              <w:right w:val="single" w:sz="8" w:color="auto"/>
            </w:tcBorders>
          </w:tcPr>
          <w:p>
            <w:pPr>
              <w:spacing w:after="0"/>
              <w:rPr>
                <w:sz w:val="19"/>
                <w:szCs w:val="19"/>
                <w:color w:val="auto"/>
              </w:rPr>
            </w:pPr>
          </w:p>
        </w:tc>
        <w:tc>
          <w:tcPr>
            <w:tcW w:w="7980" w:type="dxa"/>
            <w:vAlign w:val="bottom"/>
            <w:tcBorders>
              <w:top w:val="single" w:sz="8" w:color="E0E0E0"/>
              <w:bottom w:val="single" w:sz="8" w:color="auto"/>
            </w:tcBorders>
            <w:shd w:val="clear" w:color="auto" w:fill="E0E0E0"/>
          </w:tcPr>
          <w:p>
            <w:pPr>
              <w:spacing w:after="0"/>
              <w:rPr>
                <w:sz w:val="19"/>
                <w:szCs w:val="19"/>
                <w:color w:val="auto"/>
              </w:rPr>
            </w:pPr>
          </w:p>
        </w:tc>
        <w:tc>
          <w:tcPr>
            <w:tcW w:w="80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auto"/>
              <w:bottom w:val="single" w:sz="8" w:color="auto"/>
            </w:tcBorders>
            <w:shd w:val="clear" w:color="auto" w:fill="E0E0E0"/>
          </w:tcPr>
          <w:p>
            <w:pPr>
              <w:spacing w:after="0"/>
              <w:rPr>
                <w:sz w:val="19"/>
                <w:szCs w:val="19"/>
                <w:color w:val="auto"/>
              </w:rPr>
            </w:pPr>
          </w:p>
        </w:tc>
        <w:tc>
          <w:tcPr>
            <w:tcW w:w="500" w:type="dxa"/>
            <w:vAlign w:val="bottom"/>
            <w:tcBorders>
              <w:top w:val="single" w:sz="8" w:color="auto"/>
              <w:bottom w:val="single" w:sz="8" w:color="auto"/>
            </w:tcBorders>
            <w:shd w:val="clear" w:color="auto" w:fill="E0E0E0"/>
          </w:tcPr>
          <w:p>
            <w:pPr>
              <w:jc w:val="right"/>
              <w:ind w:right="98"/>
              <w:spacing w:after="0"/>
              <w:rPr>
                <w:sz w:val="20"/>
                <w:szCs w:val="20"/>
                <w:color w:val="auto"/>
              </w:rPr>
            </w:pPr>
            <w:r>
              <w:rPr>
                <w:rFonts w:ascii="Arial" w:cs="Arial" w:eastAsia="Arial" w:hAnsi="Arial"/>
                <w:sz w:val="14"/>
                <w:szCs w:val="14"/>
                <w:b w:val="1"/>
                <w:bCs w:val="1"/>
                <w:color w:val="auto"/>
                <w:w w:val="96"/>
              </w:rPr>
              <w:t>2012</w:t>
            </w: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Arial" w:cs="Arial" w:eastAsia="Arial" w:hAnsi="Arial"/>
                <w:sz w:val="18"/>
                <w:szCs w:val="18"/>
                <w:color w:val="auto"/>
              </w:rPr>
              <w:t>Earnings per diluted share in accordance with GAAP</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1.83</w:t>
            </w:r>
          </w:p>
        </w:tc>
        <w:tc>
          <w:tcPr>
            <w:tcW w:w="7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1.78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 EPS impact of business development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0.25</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right w:val="single" w:sz="8" w:color="auto"/>
            </w:tcBorders>
          </w:tcPr>
          <w:p>
            <w:pPr>
              <w:spacing w:after="0"/>
              <w:rPr>
                <w:sz w:val="2"/>
                <w:szCs w:val="2"/>
                <w:color w:val="auto"/>
              </w:rPr>
            </w:pPr>
          </w:p>
        </w:tc>
        <w:tc>
          <w:tcPr>
            <w:tcW w:w="7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Arial" w:cs="Arial" w:eastAsia="Arial" w:hAnsi="Arial"/>
                <w:sz w:val="18"/>
                <w:szCs w:val="18"/>
                <w:color w:val="auto"/>
              </w:rPr>
              <w:t>Adjusted EPS</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2.29</w:t>
            </w:r>
          </w:p>
        </w:tc>
        <w:tc>
          <w:tcPr>
            <w:tcW w:w="7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2.03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vMerge w:val="restart"/>
          </w:tcPr>
          <w:p>
            <w:pPr>
              <w:ind w:left="100"/>
              <w:spacing w:after="0"/>
              <w:rPr>
                <w:sz w:val="20"/>
                <w:szCs w:val="20"/>
                <w:color w:val="auto"/>
              </w:rPr>
            </w:pPr>
            <w:r>
              <w:rPr>
                <w:rFonts w:ascii="Arial" w:cs="Arial" w:eastAsia="Arial" w:hAnsi="Arial"/>
                <w:sz w:val="18"/>
                <w:szCs w:val="18"/>
                <w:color w:val="auto"/>
              </w:rPr>
              <w:t>Adjusted EPS for year ended December 31, 2012</w:t>
            </w: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vMerge w:val="continue"/>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shd w:val="clear" w:color="auto" w:fill="E0E0E0"/>
          </w:tcPr>
          <w:p>
            <w:pPr>
              <w:ind w:left="100"/>
              <w:spacing w:after="0"/>
              <w:rPr>
                <w:sz w:val="20"/>
                <w:szCs w:val="20"/>
                <w:color w:val="auto"/>
              </w:rPr>
            </w:pPr>
            <w:r>
              <w:rPr>
                <w:rFonts w:ascii="Arial" w:cs="Arial" w:eastAsia="Arial" w:hAnsi="Arial"/>
                <w:sz w:val="18"/>
                <w:szCs w:val="18"/>
                <w:color w:val="auto"/>
              </w:rPr>
              <w:t>Adjusted EPS for year ended December 31, 2011</w:t>
            </w:r>
          </w:p>
        </w:tc>
        <w:tc>
          <w:tcPr>
            <w:tcW w:w="80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2.03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vMerge w:val="restart"/>
          </w:tcPr>
          <w:p>
            <w:pPr>
              <w:ind w:left="100"/>
              <w:spacing w:after="0"/>
              <w:rPr>
                <w:sz w:val="20"/>
                <w:szCs w:val="20"/>
                <w:color w:val="auto"/>
              </w:rPr>
            </w:pPr>
            <w:r>
              <w:rPr>
                <w:rFonts w:ascii="Arial" w:cs="Arial" w:eastAsia="Arial" w:hAnsi="Arial"/>
                <w:sz w:val="18"/>
                <w:szCs w:val="18"/>
                <w:color w:val="auto"/>
              </w:rPr>
              <w:t>Percentage increase in Adjusted EPS in 2012 compared with 2011</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Borders>
              <w:left w:val="single" w:sz="8" w:color="auto"/>
              <w:right w:val="single" w:sz="8" w:color="auto"/>
            </w:tcBorders>
          </w:tcPr>
          <w:p>
            <w:pPr>
              <w:spacing w:after="0"/>
              <w:rPr>
                <w:sz w:val="18"/>
                <w:szCs w:val="18"/>
                <w:color w:val="auto"/>
              </w:rPr>
            </w:pPr>
          </w:p>
        </w:tc>
        <w:tc>
          <w:tcPr>
            <w:tcW w:w="7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Borders>
              <w:left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20" w:type="dxa"/>
            <w:vAlign w:val="bottom"/>
            <w:tcBorders>
              <w:left w:val="single" w:sz="8" w:color="auto"/>
              <w:bottom w:val="single" w:sz="8" w:color="auto"/>
            </w:tcBorders>
          </w:tcPr>
          <w:p>
            <w:pPr>
              <w:spacing w:after="0"/>
              <w:rPr>
                <w:sz w:val="11"/>
                <w:szCs w:val="11"/>
                <w:color w:val="auto"/>
              </w:rPr>
            </w:pPr>
          </w:p>
        </w:tc>
        <w:tc>
          <w:tcPr>
            <w:tcW w:w="7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60"/>
          </w:cols>
          <w:pgMar w:left="240" w:top="265" w:right="199" w:bottom="1440" w:gutter="0" w:footer="0" w:header="0"/>
        </w:sectPr>
      </w:pPr>
    </w:p>
    <w:bookmarkStart w:id="74" w:name="page75"/>
    <w:bookmarkEnd w:id="74"/>
    <w:p>
      <w:pPr>
        <w:ind w:left="50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9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5259070"/>
                    </a:xfrm>
                    <a:prstGeom prst="rect">
                      <a:avLst/>
                    </a:prstGeom>
                    <a:noFill/>
                  </pic:spPr>
                </pic:pic>
              </a:graphicData>
            </a:graphic>
          </wp:anchor>
        </w:drawing>
        <w:t>APPENDIX C</w:t>
      </w:r>
    </w:p>
    <w:p>
      <w:pPr>
        <w:spacing w:after="0" w:line="171" w:lineRule="exact"/>
        <w:rPr>
          <w:sz w:val="20"/>
          <w:szCs w:val="20"/>
          <w:color w:val="auto"/>
        </w:rPr>
      </w:pPr>
    </w:p>
    <w:p>
      <w:pPr>
        <w:ind w:left="2903"/>
        <w:spacing w:after="0"/>
        <w:rPr>
          <w:sz w:val="20"/>
          <w:szCs w:val="20"/>
          <w:color w:val="auto"/>
        </w:rPr>
      </w:pPr>
      <w:r>
        <w:rPr>
          <w:rFonts w:ascii="Arial" w:cs="Arial" w:eastAsia="Arial" w:hAnsi="Arial"/>
          <w:sz w:val="18"/>
          <w:szCs w:val="18"/>
          <w:b w:val="1"/>
          <w:bCs w:val="1"/>
          <w:color w:val="auto"/>
        </w:rPr>
        <w:t>Proposed Amendments to Martin Marietta’s Articles of Incorporation</w:t>
      </w:r>
    </w:p>
    <w:p>
      <w:pPr>
        <w:spacing w:after="0" w:line="21" w:lineRule="exact"/>
        <w:rPr>
          <w:sz w:val="20"/>
          <w:szCs w:val="20"/>
          <w:color w:val="auto"/>
        </w:rPr>
      </w:pPr>
    </w:p>
    <w:p>
      <w:pPr>
        <w:ind w:left="3" w:right="2480" w:firstLine="2489"/>
        <w:spacing w:after="0" w:line="387" w:lineRule="auto"/>
        <w:rPr>
          <w:sz w:val="20"/>
          <w:szCs w:val="20"/>
          <w:color w:val="auto"/>
        </w:rPr>
      </w:pPr>
      <w:r>
        <w:rPr>
          <w:rFonts w:ascii="Arial" w:cs="Arial" w:eastAsia="Arial" w:hAnsi="Arial"/>
          <w:sz w:val="18"/>
          <w:szCs w:val="18"/>
          <w:b w:val="1"/>
          <w:bCs w:val="1"/>
          <w:color w:val="auto"/>
        </w:rPr>
        <w:t xml:space="preserve">Regarding Majority Voting in Director Elections Other Than Contested Elections </w:t>
      </w:r>
      <w:r>
        <w:rPr>
          <w:rFonts w:ascii="Arial" w:cs="Arial" w:eastAsia="Arial" w:hAnsi="Arial"/>
          <w:sz w:val="18"/>
          <w:szCs w:val="18"/>
          <w:color w:val="auto"/>
        </w:rPr>
        <w:t>(a) The following is added as new Article 5(b)(iv) immediately following Article 5(b)(iii):</w:t>
      </w:r>
    </w:p>
    <w:p>
      <w:pPr>
        <w:spacing w:after="0" w:line="1" w:lineRule="exact"/>
        <w:rPr>
          <w:sz w:val="20"/>
          <w:szCs w:val="20"/>
          <w:color w:val="auto"/>
        </w:rPr>
      </w:pPr>
    </w:p>
    <w:p>
      <w:pPr>
        <w:jc w:val="both"/>
        <w:ind w:left="443"/>
        <w:spacing w:after="0" w:line="287" w:lineRule="auto"/>
        <w:rPr>
          <w:sz w:val="20"/>
          <w:szCs w:val="20"/>
          <w:color w:val="auto"/>
        </w:rPr>
      </w:pPr>
      <w:r>
        <w:rPr>
          <w:rFonts w:ascii="Arial" w:cs="Arial" w:eastAsia="Arial" w:hAnsi="Arial"/>
          <w:sz w:val="16"/>
          <w:szCs w:val="16"/>
          <w:color w:val="auto"/>
        </w:rPr>
        <w:t>“(iv) Except as otherwise provided in these Articles, for the election of directors, other than with respect to a Contested Election (as defined below), by the shareholders at any annual meeting, or special meeting called for that purpose, at which a quorum is present each director shall be elected by a vote of the majority of the votes cast with respect to the election of such director by the shares entitled to vote in the election of directors at such meeting. In a Contested Election, directors shall be elected by a plurality of the votes cast by the shares entitled to vote in the election of directors at such a meeting at which a quorum is present. For purposes of this Article 5(b)(iv), a “vote of the majority of the votes cast” means a shareholder vote in which the number of votes cast “for” the election of a director exceeds the number of votes cast “against” that director’s election. A “Contested Election” means an election of directors at a meeting of shareholders for the election of directors for which there are more nominees for election to the Board of Directors than open directorships on the Board of Directors to be filled pursuant to that election. In the event that, other than in a Contested Election, a nominee is not elected by a vote of the majority of the votes cast with respect to that nominee’s election, the Board of Directors may decrease the number of directors, fill any vacancy or take other appropriate action.”</w:t>
      </w:r>
    </w:p>
    <w:p>
      <w:pPr>
        <w:spacing w:after="0" w:line="123" w:lineRule="exact"/>
        <w:rPr>
          <w:sz w:val="20"/>
          <w:szCs w:val="20"/>
          <w:color w:val="auto"/>
        </w:rPr>
      </w:pPr>
    </w:p>
    <w:p>
      <w:pPr>
        <w:ind w:left="3" w:hanging="3"/>
        <w:spacing w:after="0" w:line="268" w:lineRule="auto"/>
        <w:tabs>
          <w:tab w:leader="none" w:pos="2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final sentence of Article 5(a) is amended and restated to read as follows (with deletions marked by strikethrough and additions, if any, marked by underlining):</w:t>
      </w:r>
    </w:p>
    <w:p>
      <w:pPr>
        <w:spacing w:after="0" w:line="51" w:lineRule="exact"/>
        <w:rPr>
          <w:sz w:val="20"/>
          <w:szCs w:val="20"/>
          <w:color w:val="auto"/>
        </w:rPr>
      </w:pPr>
    </w:p>
    <w:p>
      <w:pPr>
        <w:jc w:val="both"/>
        <w:ind w:left="443"/>
        <w:spacing w:after="0" w:line="259" w:lineRule="auto"/>
        <w:rPr>
          <w:sz w:val="20"/>
          <w:szCs w:val="20"/>
          <w:color w:val="auto"/>
        </w:rPr>
      </w:pPr>
      <w:r>
        <w:rPr>
          <w:rFonts w:ascii="Arial" w:cs="Arial" w:eastAsia="Arial" w:hAnsi="Arial"/>
          <w:sz w:val="18"/>
          <w:szCs w:val="18"/>
          <w:color w:val="auto"/>
        </w:rPr>
        <w:t xml:space="preserve">“By vote of a majority of the Board of Directors or shareholders of the Corporation, the number of directors of the Corporation may be increased or decreased, from time to time, within the range above specified </w:t>
      </w:r>
      <w:r>
        <w:rPr>
          <w:rFonts w:ascii="Arial" w:cs="Arial" w:eastAsia="Arial" w:hAnsi="Arial"/>
          <w:sz w:val="18"/>
          <w:szCs w:val="18"/>
          <w:color w:val="auto"/>
          <w:strike w:val="1"/>
        </w:rPr>
        <w:t>provided, however, that the tenure of office of a director shall not be affected by any</w:t>
      </w:r>
      <w:r>
        <w:rPr>
          <w:rFonts w:ascii="Arial" w:cs="Arial" w:eastAsia="Arial" w:hAnsi="Arial"/>
          <w:sz w:val="18"/>
          <w:szCs w:val="18"/>
          <w:color w:val="auto"/>
        </w:rPr>
        <w:t xml:space="preserve"> </w:t>
      </w:r>
      <w:r>
        <w:rPr>
          <w:rFonts w:ascii="Arial" w:cs="Arial" w:eastAsia="Arial" w:hAnsi="Arial"/>
          <w:sz w:val="18"/>
          <w:szCs w:val="18"/>
          <w:color w:val="auto"/>
          <w:strike w:val="1"/>
        </w:rPr>
        <w:t>decrease in the number of directors so made by the Board or the shareholders</w:t>
      </w:r>
      <w:r>
        <w:rPr>
          <w:rFonts w:ascii="Arial" w:cs="Arial" w:eastAsia="Arial" w:hAnsi="Arial"/>
          <w:sz w:val="18"/>
          <w:szCs w:val="18"/>
          <w:color w:val="auto"/>
        </w:rPr>
        <w:t>.”</w:t>
      </w:r>
    </w:p>
    <w:p>
      <w:pPr>
        <w:spacing w:after="0" w:line="140" w:lineRule="exact"/>
        <w:rPr>
          <w:sz w:val="20"/>
          <w:szCs w:val="20"/>
          <w:color w:val="auto"/>
        </w:rPr>
      </w:pPr>
    </w:p>
    <w:p>
      <w:pPr>
        <w:ind w:left="3" w:hanging="3"/>
        <w:spacing w:after="0" w:line="268" w:lineRule="auto"/>
        <w:tabs>
          <w:tab w:leader="none" w:pos="2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final sentence of Article 5(b)(i) (which reads: “Those persons who receive the highest votes at a meeting at which a quorum is present shall be deemed to have been elected”) is deleted in its entirety.</w:t>
      </w:r>
    </w:p>
    <w:p>
      <w:pPr>
        <w:spacing w:after="0" w:line="131" w:lineRule="exact"/>
        <w:rPr>
          <w:rFonts w:ascii="Arial" w:cs="Arial" w:eastAsia="Arial" w:hAnsi="Arial"/>
          <w:sz w:val="18"/>
          <w:szCs w:val="18"/>
          <w:color w:val="auto"/>
        </w:rPr>
      </w:pPr>
    </w:p>
    <w:p>
      <w:pPr>
        <w:ind w:left="3" w:hanging="3"/>
        <w:spacing w:after="0" w:line="268"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final sentence of Article 5(b)(ii) is amended and restated to read as follows (with deletions, if any, marked by strikethrough and additions marked by underlining):</w:t>
      </w:r>
    </w:p>
    <w:p>
      <w:pPr>
        <w:spacing w:after="0" w:line="51" w:lineRule="exact"/>
        <w:rPr>
          <w:sz w:val="20"/>
          <w:szCs w:val="20"/>
          <w:color w:val="auto"/>
        </w:rPr>
      </w:pPr>
    </w:p>
    <w:p>
      <w:pPr>
        <w:jc w:val="both"/>
        <w:ind w:left="443"/>
        <w:spacing w:after="0" w:line="259" w:lineRule="auto"/>
        <w:rPr>
          <w:sz w:val="20"/>
          <w:szCs w:val="20"/>
          <w:color w:val="auto"/>
        </w:rPr>
      </w:pPr>
      <w:r>
        <w:rPr>
          <w:rFonts w:ascii="Arial" w:cs="Arial" w:eastAsia="Arial" w:hAnsi="Arial"/>
          <w:sz w:val="18"/>
          <w:szCs w:val="18"/>
          <w:color w:val="auto"/>
        </w:rPr>
        <w:t xml:space="preserve">“A director shall hold office until the annual meeting for the year in which his or her term expires, and </w:t>
      </w:r>
      <w:r>
        <w:rPr>
          <w:rFonts w:ascii="Arial" w:cs="Arial" w:eastAsia="Arial" w:hAnsi="Arial"/>
          <w:sz w:val="18"/>
          <w:szCs w:val="18"/>
          <w:u w:val="single" w:color="auto"/>
          <w:color w:val="auto"/>
        </w:rPr>
        <w:t>shall continue to hold office after the expiration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such term only</w:t>
      </w:r>
      <w:r>
        <w:rPr>
          <w:rFonts w:ascii="Arial" w:cs="Arial" w:eastAsia="Arial" w:hAnsi="Arial"/>
          <w:sz w:val="18"/>
          <w:szCs w:val="18"/>
          <w:color w:val="auto"/>
        </w:rPr>
        <w:t xml:space="preserve"> until his or her successor shall be elected and shall qualify </w:t>
      </w:r>
      <w:r>
        <w:rPr>
          <w:rFonts w:ascii="Arial" w:cs="Arial" w:eastAsia="Arial" w:hAnsi="Arial"/>
          <w:sz w:val="18"/>
          <w:szCs w:val="18"/>
          <w:u w:val="single" w:color="auto"/>
          <w:color w:val="auto"/>
        </w:rPr>
        <w:t>or until there is a decrease in the number of directors</w:t>
      </w:r>
      <w:r>
        <w:rPr>
          <w:rFonts w:ascii="Arial" w:cs="Arial" w:eastAsia="Arial" w:hAnsi="Arial"/>
          <w:sz w:val="18"/>
          <w:szCs w:val="18"/>
          <w:color w:val="auto"/>
        </w:rPr>
        <w:t xml:space="preserve">, subject, </w:t>
      </w:r>
      <w:r>
        <w:rPr>
          <w:rFonts w:ascii="Arial" w:cs="Arial" w:eastAsia="Arial" w:hAnsi="Arial"/>
          <w:sz w:val="18"/>
          <w:szCs w:val="18"/>
          <w:u w:val="single" w:color="auto"/>
          <w:color w:val="auto"/>
        </w:rPr>
        <w:t>in each</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instance</w:t>
      </w:r>
      <w:r>
        <w:rPr>
          <w:rFonts w:ascii="Arial" w:cs="Arial" w:eastAsia="Arial" w:hAnsi="Arial"/>
          <w:sz w:val="18"/>
          <w:szCs w:val="18"/>
          <w:color w:val="auto"/>
        </w:rPr>
        <w:t>, however, to prior death, resignation, retirement, disqualification or removal from office.”</w:t>
      </w:r>
    </w:p>
    <w:p>
      <w:pPr>
        <w:spacing w:after="0" w:line="140" w:lineRule="exact"/>
        <w:rPr>
          <w:sz w:val="20"/>
          <w:szCs w:val="20"/>
          <w:color w:val="auto"/>
        </w:rPr>
      </w:pPr>
    </w:p>
    <w:p>
      <w:pPr>
        <w:ind w:left="3" w:hanging="3"/>
        <w:spacing w:after="0" w:line="268" w:lineRule="auto"/>
        <w:tabs>
          <w:tab w:leader="none" w:pos="2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sentence of Article 5(c) is amended and restated to read as follows (with deletions, marked by strikethrough and additions marked by underlining):</w:t>
      </w:r>
    </w:p>
    <w:p>
      <w:pPr>
        <w:spacing w:after="0" w:line="51" w:lineRule="exact"/>
        <w:rPr>
          <w:sz w:val="20"/>
          <w:szCs w:val="20"/>
          <w:color w:val="auto"/>
        </w:rPr>
      </w:pPr>
    </w:p>
    <w:p>
      <w:pPr>
        <w:ind w:left="44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Except for vacancies resulting from an increase in the number of directors, vacancies</w:t>
      </w:r>
      <w:r>
        <w:rPr>
          <w:rFonts w:ascii="Arial" w:cs="Arial" w:eastAsia="Arial" w:hAnsi="Arial"/>
          <w:sz w:val="16"/>
          <w:szCs w:val="16"/>
          <w:color w:val="auto"/>
        </w:rPr>
        <w:t xml:space="preserve"> </w:t>
      </w:r>
      <w:r>
        <w:rPr>
          <w:rFonts w:ascii="Arial" w:cs="Arial" w:eastAsia="Arial" w:hAnsi="Arial"/>
          <w:sz w:val="16"/>
          <w:szCs w:val="16"/>
          <w:color w:val="auto"/>
          <w:strike w:val="1"/>
        </w:rPr>
        <w:t>Vacancies</w:t>
      </w:r>
      <w:r>
        <w:rPr>
          <w:rFonts w:ascii="Arial" w:cs="Arial" w:eastAsia="Arial" w:hAnsi="Arial"/>
          <w:sz w:val="16"/>
          <w:szCs w:val="16"/>
          <w:color w:val="auto"/>
        </w:rPr>
        <w:t xml:space="preserve"> in the Board of Directors, </w:t>
      </w:r>
      <w:r>
        <w:rPr>
          <w:rFonts w:ascii="Arial" w:cs="Arial" w:eastAsia="Arial" w:hAnsi="Arial"/>
          <w:sz w:val="16"/>
          <w:szCs w:val="16"/>
          <w:color w:val="auto"/>
          <w:strike w:val="1"/>
        </w:rPr>
        <w:t>except for vacancies</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resulting from an increase in the number of directors </w:t>
      </w:r>
      <w:r>
        <w:rPr>
          <w:rFonts w:ascii="Arial" w:cs="Arial" w:eastAsia="Arial" w:hAnsi="Arial"/>
          <w:sz w:val="16"/>
          <w:szCs w:val="16"/>
          <w:u w:val="single" w:color="auto"/>
          <w:color w:val="auto"/>
          <w:strike w:val="1"/>
        </w:rPr>
        <w:t>including vacancies resulting from the failure of the shareholders to elect the full</w:t>
      </w:r>
    </w:p>
    <w:p>
      <w:pPr>
        <w:spacing w:after="0" w:line="221"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063"/>
          </w:cols>
          <w:pgMar w:left="437" w:top="463" w:right="399" w:bottom="1440" w:gutter="0" w:footer="0" w:header="0"/>
        </w:sectPr>
      </w:pPr>
    </w:p>
    <w:bookmarkStart w:id="75" w:name="page76"/>
    <w:bookmarkEnd w:id="75"/>
    <w:p>
      <w:pPr>
        <w:jc w:val="both"/>
        <w:ind w:left="443"/>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9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1297305"/>
                    </a:xfrm>
                    <a:prstGeom prst="rect">
                      <a:avLst/>
                    </a:prstGeom>
                    <a:noFill/>
                  </pic:spPr>
                </pic:pic>
              </a:graphicData>
            </a:graphic>
          </wp:anchor>
        </w:drawing>
        <w:t>authorized number of directors</w:t>
      </w:r>
      <w:r>
        <w:rPr>
          <w:rFonts w:ascii="Arial" w:cs="Arial" w:eastAsia="Arial" w:hAnsi="Arial"/>
          <w:sz w:val="18"/>
          <w:szCs w:val="18"/>
          <w:color w:val="auto"/>
        </w:rPr>
        <w:t xml:space="preserve">, shall be filled only by a majority vote of the </w:t>
      </w:r>
      <w:r>
        <w:rPr>
          <w:rFonts w:ascii="Arial" w:cs="Arial" w:eastAsia="Arial" w:hAnsi="Arial"/>
          <w:sz w:val="18"/>
          <w:szCs w:val="18"/>
          <w:color w:val="auto"/>
          <w:strike w:val="1"/>
        </w:rPr>
        <w:t>remaining</w:t>
      </w:r>
      <w:r>
        <w:rPr>
          <w:rFonts w:ascii="Arial" w:cs="Arial" w:eastAsia="Arial" w:hAnsi="Arial"/>
          <w:sz w:val="18"/>
          <w:szCs w:val="18"/>
          <w:color w:val="auto"/>
        </w:rPr>
        <w:t xml:space="preserve"> directors then in office, though less than a quorum, except that vacancies resulting from removal from office by a vote of the shareholders may be filled by the shareholders at the same meeting at which such removal occurs.”</w:t>
      </w:r>
    </w:p>
    <w:p>
      <w:pPr>
        <w:spacing w:after="0" w:line="140" w:lineRule="exact"/>
        <w:rPr>
          <w:sz w:val="20"/>
          <w:szCs w:val="20"/>
          <w:color w:val="auto"/>
        </w:rPr>
      </w:pPr>
    </w:p>
    <w:p>
      <w:pPr>
        <w:ind w:left="3" w:hanging="3"/>
        <w:spacing w:after="0" w:line="268" w:lineRule="auto"/>
        <w:tabs>
          <w:tab w:leader="none" w:pos="2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final sentence of Article 5(c) is amended and restated to read as follows (with deletions, marked by strikethrough and additions marked by underlining):</w:t>
      </w:r>
    </w:p>
    <w:p>
      <w:pPr>
        <w:spacing w:after="0" w:line="51" w:lineRule="exact"/>
        <w:rPr>
          <w:sz w:val="20"/>
          <w:szCs w:val="20"/>
          <w:color w:val="auto"/>
        </w:rPr>
      </w:pPr>
    </w:p>
    <w:p>
      <w:pPr>
        <w:ind w:left="443"/>
        <w:spacing w:after="0"/>
        <w:rPr>
          <w:sz w:val="20"/>
          <w:szCs w:val="20"/>
          <w:color w:val="auto"/>
        </w:rPr>
      </w:pPr>
      <w:r>
        <w:rPr>
          <w:rFonts w:ascii="Arial" w:cs="Arial" w:eastAsia="Arial" w:hAnsi="Arial"/>
          <w:sz w:val="16"/>
          <w:szCs w:val="16"/>
          <w:color w:val="auto"/>
        </w:rPr>
        <w:t xml:space="preserve">“No decrease in the number of directors constituting the Board of Directors shall </w:t>
      </w:r>
      <w:r>
        <w:rPr>
          <w:rFonts w:ascii="Arial" w:cs="Arial" w:eastAsia="Arial" w:hAnsi="Arial"/>
          <w:sz w:val="16"/>
          <w:szCs w:val="16"/>
          <w:color w:val="auto"/>
          <w:strike w:val="1"/>
        </w:rPr>
        <w:t>affect the tenure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shorten the term</w:t>
      </w:r>
      <w:r>
        <w:rPr>
          <w:rFonts w:ascii="Arial" w:cs="Arial" w:eastAsia="Arial" w:hAnsi="Arial"/>
          <w:sz w:val="16"/>
          <w:szCs w:val="16"/>
          <w:color w:val="auto"/>
        </w:rPr>
        <w:t xml:space="preserve"> of any incumbent director.”</w:t>
      </w:r>
    </w:p>
    <w:p>
      <w:pPr>
        <w:spacing w:after="0" w:line="330"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063"/>
          </w:cols>
          <w:pgMar w:left="437" w:top="469" w:right="39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3862070</wp:posOffset>
            </wp:positionV>
            <wp:extent cx="246126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4612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Martin Marietta Materials,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Stock Symbol: MLM</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7"/>
          <w:szCs w:val="17"/>
          <w:color w:val="auto"/>
        </w:rPr>
        <w:t>FOLD AND DETACH HERE</w:t>
      </w:r>
      <w:r>
        <w:rPr>
          <w:rFonts w:ascii="Arial" w:cs="Arial" w:eastAsia="Arial" w:hAnsi="Arial"/>
          <w:sz w:val="11"/>
          <w:szCs w:val="11"/>
          <w:color w:val="auto"/>
        </w:rPr>
        <w:t xml:space="preserve"> q</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to be held May 23, 2013</w:t>
      </w:r>
    </w:p>
    <w:p>
      <w:pPr>
        <w:spacing w:after="0" w:line="16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23, 2013, and at any adjournment thereof.</w:t>
      </w:r>
    </w:p>
    <w:p>
      <w:pPr>
        <w:spacing w:after="0" w:line="101" w:lineRule="exact"/>
        <w:rPr>
          <w:sz w:val="20"/>
          <w:szCs w:val="20"/>
          <w:color w:val="auto"/>
        </w:rPr>
      </w:pPr>
    </w:p>
    <w:p>
      <w:pPr>
        <w:ind w:left="460" w:right="460"/>
        <w:spacing w:after="0" w:line="339" w:lineRule="auto"/>
        <w:rPr>
          <w:sz w:val="20"/>
          <w:szCs w:val="20"/>
          <w:color w:val="auto"/>
        </w:rPr>
      </w:pPr>
      <w:r>
        <w:rPr>
          <w:rFonts w:ascii="Arial" w:cs="Arial" w:eastAsia="Arial" w:hAnsi="Arial"/>
          <w:sz w:val="16"/>
          <w:szCs w:val="16"/>
          <w:b w:val="1"/>
          <w:bCs w:val="1"/>
          <w:color w:val="auto"/>
        </w:rPr>
        <w:t>YOU DO NOT NEED TO MARK ANY BOXES IF YOU WISH TO VOTE IN ACCORDANCE WITH THE BOARD OF DIRECTORS’ RECOMMENDATIONS. PLEASE DATE AND SIGN THE PROXY AND RETURN IT PROMPTLY IN THE ENCLOSED ENVELOPE.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ITEMS 1, 2, 3 AND 4:</w:t>
      </w:r>
    </w:p>
    <w:p>
      <w:pPr>
        <w:spacing w:after="0" w:line="218" w:lineRule="exact"/>
        <w:rPr>
          <w:sz w:val="20"/>
          <w:szCs w:val="20"/>
          <w:color w:val="auto"/>
        </w:rPr>
      </w:pPr>
    </w:p>
    <w:p>
      <w:pPr>
        <w:ind w:left="680" w:hanging="672"/>
        <w:spacing w:after="0"/>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Election of Directors: Nominees are C. Howard Nye, Laree E. Perez and Dennis L. Rediker for the terms described in the Martin Marietta Materials,</w:t>
      </w:r>
    </w:p>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w w:val="90"/>
              </w:rPr>
              <w:t>Inc. Proxy Statement dated April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2013.</w:t>
            </w:r>
          </w:p>
        </w:tc>
      </w:tr>
      <w:tr>
        <w:trPr>
          <w:trHeight w:val="20"/>
        </w:trPr>
        <w:tc>
          <w:tcPr>
            <w:tcW w:w="2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20" w:hanging="214"/>
        <w:spacing w:after="0"/>
        <w:tabs>
          <w:tab w:leader="none" w:pos="1820" w:val="left"/>
        </w:tabs>
        <w:numPr>
          <w:ilvl w:val="1"/>
          <w:numId w:val="8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listed nominees (except do not vote for the nominee(s) whose name(s) I have written below):</w:t>
      </w:r>
    </w:p>
    <w:p>
      <w:pPr>
        <w:spacing w:after="0" w:line="265" w:lineRule="exact"/>
        <w:rPr>
          <w:rFonts w:ascii="MS PGothic" w:cs="MS PGothic" w:eastAsia="MS PGothic" w:hAnsi="MS PGothic"/>
          <w:sz w:val="18"/>
          <w:szCs w:val="18"/>
          <w:color w:val="auto"/>
        </w:rPr>
      </w:pPr>
    </w:p>
    <w:p>
      <w:pPr>
        <w:ind w:left="1820" w:hanging="214"/>
        <w:spacing w:after="0"/>
        <w:tabs>
          <w:tab w:leader="none" w:pos="1820" w:val="left"/>
        </w:tabs>
        <w:numPr>
          <w:ilvl w:val="1"/>
          <w:numId w:val="8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the listed nominees</w:t>
      </w:r>
    </w:p>
    <w:p>
      <w:pPr>
        <w:spacing w:after="0" w:line="217" w:lineRule="exact"/>
        <w:rPr>
          <w:rFonts w:ascii="MS PGothic" w:cs="MS PGothic" w:eastAsia="MS PGothic" w:hAnsi="MS PGothic"/>
          <w:sz w:val="18"/>
          <w:szCs w:val="18"/>
          <w:color w:val="auto"/>
        </w:rPr>
      </w:pPr>
    </w:p>
    <w:p>
      <w:pPr>
        <w:ind w:left="680" w:hanging="672"/>
        <w:spacing w:after="0"/>
        <w:tabs>
          <w:tab w:leader="none" w:pos="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amend Martin Marietta Materials, Inc.’s Articles of Incorporation to provide for majority voting in director elections other than 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-436880</wp:posOffset>
            </wp:positionV>
            <wp:extent cx="2821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0"/>
          <w:szCs w:val="20"/>
          <w:color w:val="auto"/>
        </w:rPr>
      </w:pPr>
    </w:p>
    <w:p>
      <w:pPr>
        <w:ind w:left="2000"/>
        <w:spacing w:after="0" w:line="207" w:lineRule="exact"/>
        <w:tabs>
          <w:tab w:leader="none" w:pos="4600" w:val="left"/>
          <w:tab w:leader="none" w:pos="7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44" w:lineRule="exact"/>
        <w:rPr>
          <w:sz w:val="20"/>
          <w:szCs w:val="20"/>
          <w:color w:val="auto"/>
        </w:rPr>
      </w:pPr>
    </w:p>
    <w:p>
      <w:pPr>
        <w:ind w:left="680" w:hanging="672"/>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Ratification of selection of Ernst &amp; Young LLP as independent auditors.</w:t>
      </w:r>
    </w:p>
    <w:p>
      <w:pPr>
        <w:spacing w:after="0" w:line="139" w:lineRule="exact"/>
        <w:rPr>
          <w:sz w:val="20"/>
          <w:szCs w:val="20"/>
          <w:color w:val="auto"/>
        </w:rPr>
      </w:pPr>
    </w:p>
    <w:p>
      <w:pPr>
        <w:ind w:left="2000"/>
        <w:spacing w:after="0" w:line="207" w:lineRule="exact"/>
        <w:tabs>
          <w:tab w:leader="none" w:pos="4600" w:val="left"/>
          <w:tab w:leader="none" w:pos="7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44" w:lineRule="exact"/>
        <w:rPr>
          <w:sz w:val="20"/>
          <w:szCs w:val="20"/>
          <w:color w:val="auto"/>
        </w:rPr>
      </w:pPr>
    </w:p>
    <w:p>
      <w:pPr>
        <w:ind w:left="680" w:hanging="672"/>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Martin Marietta Materials, Inc.’s named executive officers.</w:t>
      </w:r>
    </w:p>
    <w:p>
      <w:pPr>
        <w:spacing w:after="0" w:line="139" w:lineRule="exact"/>
        <w:rPr>
          <w:sz w:val="20"/>
          <w:szCs w:val="20"/>
          <w:color w:val="auto"/>
        </w:rPr>
      </w:pPr>
    </w:p>
    <w:p>
      <w:pPr>
        <w:ind w:left="2000"/>
        <w:spacing w:after="0" w:line="207" w:lineRule="exact"/>
        <w:tabs>
          <w:tab w:leader="none" w:pos="4560" w:val="left"/>
          <w:tab w:leader="none" w:pos="7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Abstain</w:t>
      </w:r>
    </w:p>
    <w:p>
      <w:pPr>
        <w:spacing w:after="0" w:line="244" w:lineRule="exact"/>
        <w:rPr>
          <w:sz w:val="20"/>
          <w:szCs w:val="20"/>
          <w:color w:val="auto"/>
        </w:rPr>
      </w:pPr>
    </w:p>
    <w:p>
      <w:pPr>
        <w:ind w:left="680" w:hanging="672"/>
        <w:spacing w:after="0"/>
        <w:tabs>
          <w:tab w:leader="none" w:pos="6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 their discretion, the proxies are authorized to vote upon such other business as may properly come before the meeting, or any adjournments thereof.</w:t>
      </w:r>
    </w:p>
    <w:p>
      <w:pPr>
        <w:sectPr>
          <w:pgSz w:w="11900" w:h="16838" w:orient="portrait"/>
          <w:cols w:equalWidth="0" w:num="1">
            <w:col w:w="11260"/>
          </w:cols>
          <w:pgMar w:left="240" w:top="1440" w:right="399"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7"/>
          <w:szCs w:val="17"/>
          <w:color w:val="auto"/>
        </w:rPr>
        <w:t>FOLD AND DETACH HERE</w:t>
      </w:r>
      <w:r>
        <w:rPr>
          <w:rFonts w:ascii="Arial" w:cs="Arial" w:eastAsia="Arial" w:hAnsi="Arial"/>
          <w:sz w:val="11"/>
          <w:szCs w:val="11"/>
          <w:color w:val="auto"/>
        </w:rPr>
        <w:t xml:space="preserve"> q</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to amend Martin Marietta Materials, Inc.’s Articles of Incorporation to provide for majority voting in director elections other than contested elections,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selection of Ernst &amp; Young LLP as independent auditors,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to approve, by a non-binding advisory vote, the compensation of our named executive officers.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Please date and sign exactly as printed below and return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promptly in the enclosed postage paid envelope</w:t>
      </w:r>
    </w:p>
    <w:p>
      <w:pPr>
        <w:spacing w:after="0" w:line="111" w:lineRule="exact"/>
        <w:rPr>
          <w:sz w:val="20"/>
          <w:szCs w:val="20"/>
          <w:color w:val="auto"/>
        </w:rPr>
      </w:pPr>
    </w:p>
    <w:p>
      <w:pPr>
        <w:ind w:left="6860"/>
        <w:spacing w:after="0"/>
        <w:tabs>
          <w:tab w:leader="none" w:pos="8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-13970</wp:posOffset>
            </wp:positionV>
            <wp:extent cx="9194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Signature if held jointly</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(When signing as attorney, executor, administrator, trustee,</w:t>
      </w:r>
    </w:p>
    <w:p>
      <w:pPr>
        <w:spacing w:after="0" w:line="56"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guardian, etc., give title as such. If joint account, each joint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owner should sign. If a corporation or a partnership, sign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full corporate name or partnership name, as the case may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 by an authorized person.)</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lvl w:ilvl="1">
      <w:lvlJc w:val="left"/>
      <w:lvlText w:val="(%2)"/>
      <w:numFmt w:val="decimal"/>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bullet"/>
      <w:start w:val="1"/>
    </w:lvl>
  </w:abstractNum>
  <w:abstractNum w:abstractNumId="7">
    <w:nsid w:val="6DE91B18"/>
    <w:multiLevelType w:val="hybridMultilevel"/>
    <w:lvl w:ilvl="0">
      <w:lvlJc w:val="left"/>
      <w:lvlText w:val="1"/>
      <w:numFmt w:val="bullet"/>
      <w:start w:val="1"/>
    </w:lvl>
  </w:abstractNum>
  <w:abstractNum w:abstractNumId="8">
    <w:nsid w:val="38437FDB"/>
    <w:multiLevelType w:val="hybridMultilevel"/>
    <w:lvl w:ilvl="0">
      <w:lvlJc w:val="left"/>
      <w:lvlText w:val="2"/>
      <w:numFmt w:val="bullet"/>
      <w:start w:val="1"/>
    </w:lvl>
  </w:abstractNum>
  <w:abstractNum w:abstractNumId="9">
    <w:nsid w:val="7644A45C"/>
    <w:multiLevelType w:val="hybridMultilevel"/>
    <w:lvl w:ilvl="0">
      <w:lvlJc w:val="left"/>
      <w:lvlText w:val="3"/>
      <w:numFmt w:val="bullet"/>
      <w:start w:val="1"/>
    </w:lvl>
  </w:abstractNum>
  <w:abstractNum w:abstractNumId="10">
    <w:nsid w:val="32FFF902"/>
    <w:multiLevelType w:val="hybridMultilevel"/>
    <w:lvl w:ilvl="0">
      <w:lvlJc w:val="left"/>
      <w:lvlText w:val="4"/>
      <w:numFmt w:val="bullet"/>
      <w:start w:val="1"/>
    </w:lvl>
  </w:abstractNum>
  <w:abstractNum w:abstractNumId="11">
    <w:nsid w:val="684A481A"/>
    <w:multiLevelType w:val="hybridMultilevel"/>
    <w:lvl w:ilvl="0">
      <w:lvlJc w:val="left"/>
      <w:lvlText w:val="5"/>
      <w:numFmt w:val="bullet"/>
      <w:start w:val="1"/>
    </w:lvl>
  </w:abstractNum>
  <w:abstractNum w:abstractNumId="12">
    <w:nsid w:val="579478FE"/>
    <w:multiLevelType w:val="hybridMultilevel"/>
    <w:lvl w:ilvl="0">
      <w:lvlJc w:val="left"/>
      <w:lvlText w:val="6"/>
      <w:numFmt w:val="bullet"/>
      <w:start w:val="1"/>
    </w:lvl>
  </w:abstractNum>
  <w:abstractNum w:abstractNumId="13">
    <w:nsid w:val="749ABB43"/>
    <w:multiLevelType w:val="hybridMultilevel"/>
    <w:lvl w:ilvl="0">
      <w:lvlJc w:val="left"/>
      <w:lvlText w:val="7"/>
      <w:numFmt w:val="bullet"/>
      <w:start w:val="1"/>
    </w:lvl>
  </w:abstractNum>
  <w:abstractNum w:abstractNumId="14">
    <w:nsid w:val="3DC240FB"/>
    <w:multiLevelType w:val="hybridMultilevel"/>
    <w:lvl w:ilvl="0">
      <w:lvlJc w:val="left"/>
      <w:lvlText w:val="1"/>
      <w:numFmt w:val="bullet"/>
      <w:start w:val="1"/>
    </w:lvl>
  </w:abstractNum>
  <w:abstractNum w:abstractNumId="15">
    <w:nsid w:val="1BA026FA"/>
    <w:multiLevelType w:val="hybridMultilevel"/>
    <w:lvl w:ilvl="0">
      <w:lvlJc w:val="left"/>
      <w:lvlText w:val="2"/>
      <w:numFmt w:val="bullet"/>
      <w:start w:val="1"/>
    </w:lvl>
  </w:abstractNum>
  <w:abstractNum w:abstractNumId="16">
    <w:nsid w:val="79A1DEAA"/>
    <w:multiLevelType w:val="hybridMultilevel"/>
    <w:lvl w:ilvl="0">
      <w:lvlJc w:val="left"/>
      <w:lvlText w:val="3"/>
      <w:numFmt w:val="bullet"/>
      <w:start w:val="1"/>
    </w:lvl>
  </w:abstractNum>
  <w:abstractNum w:abstractNumId="17">
    <w:nsid w:val="75C6C33A"/>
    <w:multiLevelType w:val="hybridMultilevel"/>
    <w:lvl w:ilvl="0">
      <w:lvlJc w:val="left"/>
      <w:lvlText w:val="4"/>
      <w:numFmt w:val="bullet"/>
      <w:start w:val="1"/>
    </w:lvl>
  </w:abstractNum>
  <w:abstractNum w:abstractNumId="18">
    <w:nsid w:val="12E685FB"/>
    <w:multiLevelType w:val="hybridMultilevel"/>
    <w:lvl w:ilvl="0">
      <w:lvlJc w:val="left"/>
      <w:lvlText w:val="5"/>
      <w:numFmt w:val="bullet"/>
      <w:start w:val="1"/>
    </w:lvl>
  </w:abstractNum>
  <w:abstractNum w:abstractNumId="19">
    <w:nsid w:val="70C6A529"/>
    <w:multiLevelType w:val="hybridMultilevel"/>
    <w:lvl w:ilvl="0">
      <w:lvlJc w:val="left"/>
      <w:lvlText w:val="6"/>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lvl w:ilvl="1">
      <w:lvlJc w:val="left"/>
      <w:lvlText w:val="¯"/>
      <w:numFmt w:val="bullet"/>
      <w:start w:val="1"/>
    </w:lvl>
  </w:abstractNum>
  <w:abstractNum w:abstractNumId="28">
    <w:nsid w:val="180115BE"/>
    <w:multiLevelType w:val="hybridMultilevel"/>
    <w:lvl w:ilvl="0">
      <w:lvlJc w:val="left"/>
      <w:lvlText w:val="•"/>
      <w:numFmt w:val="bullet"/>
      <w:start w:val="1"/>
    </w:lvl>
    <w:lvl w:ilvl="1">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lvl w:ilvl="1">
      <w:lvlJc w:val="left"/>
      <w:lvlText w:val="¯"/>
      <w:numFmt w:val="bullet"/>
      <w:start w:val="1"/>
    </w:lvl>
  </w:abstractNum>
  <w:abstractNum w:abstractNumId="42">
    <w:nsid w:val="5FF87E05"/>
    <w:multiLevelType w:val="hybridMultilevel"/>
    <w:lvl w:ilvl="0">
      <w:lvlJc w:val="left"/>
      <w:lvlText w:val="•"/>
      <w:numFmt w:val="bullet"/>
      <w:start w:val="1"/>
    </w:lvl>
    <w:lvl w:ilvl="1">
      <w:lvlJc w:val="left"/>
      <w:lvlText w:val="¯"/>
      <w:numFmt w:val="bullet"/>
      <w:start w:val="1"/>
    </w:lvl>
  </w:abstractNum>
  <w:abstractNum w:abstractNumId="43">
    <w:nsid w:val="2F305DEF"/>
    <w:multiLevelType w:val="hybridMultilevel"/>
    <w:lvl w:ilvl="0">
      <w:lvlJc w:val="left"/>
      <w:lvlText w:val="(%1)"/>
      <w:numFmt w:val="decimal"/>
      <w:start w:val="2"/>
    </w:lvl>
  </w:abstractNum>
  <w:abstractNum w:abstractNumId="44">
    <w:nsid w:val="25A70BF7"/>
    <w:multiLevelType w:val="hybridMultilevel"/>
    <w:lvl w:ilvl="0">
      <w:lvlJc w:val="left"/>
      <w:lvlText w:val="(%1)"/>
      <w:numFmt w:val="upperLetter"/>
      <w:start w:val="1"/>
    </w:lvl>
  </w:abstractNum>
  <w:abstractNum w:abstractNumId="45">
    <w:nsid w:val="1DBABF00"/>
    <w:multiLevelType w:val="hybridMultilevel"/>
    <w:lvl w:ilvl="0">
      <w:lvlJc w:val="left"/>
      <w:lvlText w:val="1"/>
      <w:numFmt w:val="bullet"/>
      <w:start w:val="1"/>
    </w:lvl>
  </w:abstractNum>
  <w:abstractNum w:abstractNumId="46">
    <w:nsid w:val="4AD084E9"/>
    <w:multiLevelType w:val="hybridMultilevel"/>
    <w:lvl w:ilvl="0">
      <w:lvlJc w:val="left"/>
      <w:lvlText w:val="2"/>
      <w:numFmt w:val="bullet"/>
      <w:start w:val="1"/>
    </w:lvl>
  </w:abstractNum>
  <w:abstractNum w:abstractNumId="47">
    <w:nsid w:val="1F48EAA1"/>
    <w:multiLevelType w:val="hybridMultilevel"/>
    <w:lvl w:ilvl="0">
      <w:lvlJc w:val="left"/>
      <w:lvlText w:val="3"/>
      <w:numFmt w:val="bullet"/>
      <w:start w:val="1"/>
    </w:lvl>
  </w:abstractNum>
  <w:abstractNum w:abstractNumId="48">
    <w:nsid w:val="1381823A"/>
    <w:multiLevelType w:val="hybridMultilevel"/>
    <w:lvl w:ilvl="0">
      <w:lvlJc w:val="left"/>
      <w:lvlText w:val="4"/>
      <w:numFmt w:val="bullet"/>
      <w:start w:val="1"/>
    </w:lvl>
  </w:abstractNum>
  <w:abstractNum w:abstractNumId="49">
    <w:nsid w:val="5DB70AE5"/>
    <w:multiLevelType w:val="hybridMultilevel"/>
    <w:lvl w:ilvl="0">
      <w:lvlJc w:val="left"/>
      <w:lvlText w:val="5"/>
      <w:numFmt w:val="bullet"/>
      <w:start w:val="1"/>
    </w:lvl>
  </w:abstractNum>
  <w:abstractNum w:abstractNumId="50">
    <w:nsid w:val="100F8FCA"/>
    <w:multiLevelType w:val="hybridMultilevel"/>
    <w:lvl w:ilvl="0">
      <w:lvlJc w:val="left"/>
      <w:lvlText w:val="6"/>
      <w:numFmt w:val="bullet"/>
      <w:start w:val="1"/>
    </w:lvl>
  </w:abstractNum>
  <w:abstractNum w:abstractNumId="51">
    <w:nsid w:val="6590700B"/>
    <w:multiLevelType w:val="hybridMultilevel"/>
    <w:lvl w:ilvl="0">
      <w:lvlJc w:val="left"/>
      <w:lvlText w:val="7"/>
      <w:numFmt w:val="bullet"/>
      <w:start w:val="1"/>
    </w:lvl>
  </w:abstractNum>
  <w:abstractNum w:abstractNumId="52">
    <w:nsid w:val="15014ACB"/>
    <w:multiLevelType w:val="hybridMultilevel"/>
    <w:lvl w:ilvl="0">
      <w:lvlJc w:val="left"/>
      <w:lvlText w:val="8"/>
      <w:numFmt w:val="bullet"/>
      <w:start w:val="1"/>
    </w:lvl>
  </w:abstractNum>
  <w:abstractNum w:abstractNumId="53">
    <w:nsid w:val="5F5E7FD0"/>
    <w:multiLevelType w:val="hybridMultilevel"/>
    <w:lvl w:ilvl="0">
      <w:lvlJc w:val="left"/>
      <w:lvlText w:val="1"/>
      <w:numFmt w:val="bullet"/>
      <w:start w:val="1"/>
    </w:lvl>
  </w:abstractNum>
  <w:abstractNum w:abstractNumId="54">
    <w:nsid w:val="98A3148"/>
    <w:multiLevelType w:val="hybridMultilevel"/>
    <w:lvl w:ilvl="0">
      <w:lvlJc w:val="left"/>
      <w:lvlText w:val="2"/>
      <w:numFmt w:val="bullet"/>
      <w:start w:val="1"/>
    </w:lvl>
  </w:abstractNum>
  <w:abstractNum w:abstractNumId="55">
    <w:nsid w:val="799D0247"/>
    <w:multiLevelType w:val="hybridMultilevel"/>
    <w:lvl w:ilvl="0">
      <w:lvlJc w:val="left"/>
      <w:lvlText w:val="3"/>
      <w:numFmt w:val="bullet"/>
      <w:start w:val="1"/>
    </w:lvl>
  </w:abstractNum>
  <w:abstractNum w:abstractNumId="56">
    <w:nsid w:val="6B94764"/>
    <w:multiLevelType w:val="hybridMultilevel"/>
    <w:lvl w:ilvl="0">
      <w:lvlJc w:val="left"/>
      <w:lvlText w:val="4"/>
      <w:numFmt w:val="bullet"/>
      <w:start w:val="1"/>
    </w:lvl>
  </w:abstractNum>
  <w:abstractNum w:abstractNumId="57">
    <w:nsid w:val="42C296BD"/>
    <w:multiLevelType w:val="hybridMultilevel"/>
    <w:lvl w:ilvl="0">
      <w:lvlJc w:val="left"/>
      <w:lvlText w:val="5"/>
      <w:numFmt w:val="bullet"/>
      <w:start w:val="1"/>
    </w:lvl>
  </w:abstractNum>
  <w:abstractNum w:abstractNumId="58">
    <w:nsid w:val="168E121F"/>
    <w:multiLevelType w:val="hybridMultilevel"/>
    <w:lvl w:ilvl="0">
      <w:lvlJc w:val="left"/>
      <w:lvlText w:val="1"/>
      <w:numFmt w:val="bullet"/>
      <w:start w:val="1"/>
    </w:lvl>
  </w:abstractNum>
  <w:abstractNum w:abstractNumId="59">
    <w:nsid w:val="1EBA5D23"/>
    <w:multiLevelType w:val="hybridMultilevel"/>
    <w:lvl w:ilvl="0">
      <w:lvlJc w:val="left"/>
      <w:lvlText w:val="%1"/>
      <w:numFmt w:val="decimal"/>
      <w:start w:val="10"/>
    </w:lvl>
  </w:abstractNum>
  <w:abstractNum w:abstractNumId="60">
    <w:nsid w:val="661E3F1E"/>
    <w:multiLevelType w:val="hybridMultilevel"/>
    <w:lvl w:ilvl="0">
      <w:lvlJc w:val="left"/>
      <w:lvlText w:val="1"/>
      <w:numFmt w:val="bullet"/>
      <w:start w:val="1"/>
    </w:lvl>
  </w:abstractNum>
  <w:abstractNum w:abstractNumId="61">
    <w:nsid w:val="5DC79EA8"/>
    <w:multiLevelType w:val="hybridMultilevel"/>
    <w:lvl w:ilvl="0">
      <w:lvlJc w:val="left"/>
      <w:lvlText w:val="2"/>
      <w:numFmt w:val="bullet"/>
      <w:start w:val="1"/>
    </w:lvl>
  </w:abstractNum>
  <w:abstractNum w:abstractNumId="62">
    <w:nsid w:val="540A471C"/>
    <w:multiLevelType w:val="hybridMultilevel"/>
    <w:lvl w:ilvl="0">
      <w:lvlJc w:val="left"/>
      <w:lvlText w:val="1"/>
      <w:numFmt w:val="bullet"/>
      <w:start w:val="1"/>
    </w:lvl>
  </w:abstractNum>
  <w:abstractNum w:abstractNumId="63">
    <w:nsid w:val="7BD3EE7B"/>
    <w:multiLevelType w:val="hybridMultilevel"/>
    <w:lvl w:ilvl="0">
      <w:lvlJc w:val="left"/>
      <w:lvlText w:val="1"/>
      <w:numFmt w:val="bullet"/>
      <w:start w:val="1"/>
    </w:lvl>
  </w:abstractNum>
  <w:abstractNum w:abstractNumId="64">
    <w:nsid w:val="51D9C564"/>
    <w:multiLevelType w:val="hybridMultilevel"/>
    <w:lvl w:ilvl="0">
      <w:lvlJc w:val="left"/>
      <w:lvlText w:val="2"/>
      <w:numFmt w:val="bullet"/>
      <w:start w:val="1"/>
    </w:lvl>
  </w:abstractNum>
  <w:abstractNum w:abstractNumId="65">
    <w:nsid w:val="613EFDC5"/>
    <w:multiLevelType w:val="hybridMultilevel"/>
    <w:lvl w:ilvl="0">
      <w:lvlJc w:val="left"/>
      <w:lvlText w:val="3"/>
      <w:numFmt w:val="bullet"/>
      <w:start w:val="1"/>
    </w:lvl>
  </w:abstractNum>
  <w:abstractNum w:abstractNumId="66">
    <w:nsid w:val="BF72B14"/>
    <w:multiLevelType w:val="hybridMultilevel"/>
    <w:lvl w:ilvl="0">
      <w:lvlJc w:val="left"/>
      <w:lvlText w:val="5"/>
      <w:numFmt w:val="bullet"/>
      <w:start w:val="1"/>
    </w:lvl>
  </w:abstractNum>
  <w:abstractNum w:abstractNumId="67">
    <w:nsid w:val="11447B73"/>
    <w:multiLevelType w:val="hybridMultilevel"/>
    <w:lvl w:ilvl="0">
      <w:lvlJc w:val="left"/>
      <w:lvlText w:val="6"/>
      <w:numFmt w:val="bullet"/>
      <w:start w:val="1"/>
    </w:lvl>
  </w:abstractNum>
  <w:abstractNum w:abstractNumId="68">
    <w:nsid w:val="42963E5A"/>
    <w:multiLevelType w:val="hybridMultilevel"/>
    <w:lvl w:ilvl="0">
      <w:lvlJc w:val="left"/>
      <w:lvlText w:val="7"/>
      <w:numFmt w:val="bullet"/>
      <w:start w:val="1"/>
    </w:lvl>
  </w:abstractNum>
  <w:abstractNum w:abstractNumId="69">
    <w:nsid w:val="A0382C5"/>
    <w:multiLevelType w:val="hybridMultilevel"/>
    <w:lvl w:ilvl="0">
      <w:lvlJc w:val="left"/>
      <w:lvlText w:val="8"/>
      <w:numFmt w:val="bullet"/>
      <w:start w:val="1"/>
    </w:lvl>
  </w:abstractNum>
  <w:abstractNum w:abstractNumId="70">
    <w:nsid w:val="8F2B15E"/>
    <w:multiLevelType w:val="hybridMultilevel"/>
    <w:lvl w:ilvl="0">
      <w:lvlJc w:val="left"/>
      <w:lvlText w:val="9"/>
      <w:numFmt w:val="bullet"/>
      <w:start w:val="1"/>
    </w:lvl>
  </w:abstractNum>
  <w:abstractNum w:abstractNumId="71">
    <w:nsid w:val="1A32234B"/>
    <w:multiLevelType w:val="hybridMultilevel"/>
    <w:lvl w:ilvl="0">
      <w:lvlJc w:val="left"/>
      <w:lvlText w:val="1"/>
      <w:numFmt w:val="bullet"/>
      <w:start w:val="1"/>
    </w:lvl>
  </w:abstractNum>
  <w:abstractNum w:abstractNumId="72">
    <w:nsid w:val="3B0FD379"/>
    <w:multiLevelType w:val="hybridMultilevel"/>
    <w:lvl w:ilvl="0">
      <w:lvlJc w:val="left"/>
      <w:lvlText w:val="2"/>
      <w:numFmt w:val="bullet"/>
      <w:start w:val="1"/>
    </w:lvl>
  </w:abstractNum>
  <w:abstractNum w:abstractNumId="73">
    <w:nsid w:val="68EB2F63"/>
    <w:multiLevelType w:val="hybridMultilevel"/>
    <w:lvl w:ilvl="0">
      <w:lvlJc w:val="left"/>
      <w:lvlText w:val="3"/>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1."/>
      <w:numFmt w:val="decimal"/>
      <w:start w:val="1"/>
    </w:lvl>
  </w:abstractNum>
  <w:abstractNum w:abstractNumId="76">
    <w:nsid w:val="6A5EE64"/>
    <w:multiLevelType w:val="hybridMultilevel"/>
    <w:lvl w:ilvl="0">
      <w:lvlJc w:val="left"/>
      <w:lvlText w:val="%1."/>
      <w:numFmt w:val="decimal"/>
      <w:start w:val="9"/>
    </w:lvl>
  </w:abstractNum>
  <w:abstractNum w:abstractNumId="77">
    <w:nsid w:val="14330624"/>
    <w:multiLevelType w:val="hybridMultilevel"/>
    <w:lvl w:ilvl="0">
      <w:lvlJc w:val="left"/>
      <w:lvlText w:val="(%1)"/>
      <w:numFmt w:val="lowerLetter"/>
      <w:start w:val="2"/>
    </w:lvl>
  </w:abstractNum>
  <w:abstractNum w:abstractNumId="78">
    <w:nsid w:val="7FFFCA11"/>
    <w:multiLevelType w:val="hybridMultilevel"/>
    <w:lvl w:ilvl="0">
      <w:lvlJc w:val="left"/>
      <w:lvlText w:val="(%1)"/>
      <w:numFmt w:val="lowerLetter"/>
      <w:start w:val="3"/>
    </w:lvl>
  </w:abstractNum>
  <w:abstractNum w:abstractNumId="79">
    <w:nsid w:val="1A27709E"/>
    <w:multiLevelType w:val="hybridMultilevel"/>
    <w:lvl w:ilvl="0">
      <w:lvlJc w:val="left"/>
      <w:lvlText w:val="(%1)"/>
      <w:numFmt w:val="lowerLetter"/>
      <w:start w:val="5"/>
    </w:lvl>
  </w:abstractNum>
  <w:abstractNum w:abstractNumId="80">
    <w:nsid w:val="71EA1109"/>
    <w:multiLevelType w:val="hybridMultilevel"/>
    <w:lvl w:ilvl="0">
      <w:lvlJc w:val="left"/>
      <w:lvlText w:val="(%1)"/>
      <w:numFmt w:val="lowerLetter"/>
      <w:start w:val="6"/>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
      <w:numFmt w:val="bullet"/>
      <w:start w:val="1"/>
    </w:lvl>
  </w:abstractNum>
  <w:abstractNum w:abstractNumId="83">
    <w:nsid w:val="6EB5BD4"/>
    <w:multiLevelType w:val="hybridMultilevel"/>
    <w:lvl w:ilvl="0">
      <w:lvlJc w:val="left"/>
      <w:lvlText w:val="%1."/>
      <w:numFmt w:val="decimal"/>
      <w:start w:val="3"/>
    </w:lvl>
  </w:abstractNum>
  <w:abstractNum w:abstractNumId="84">
    <w:nsid w:val="6F6DD9AC"/>
    <w:multiLevelType w:val="hybridMultilevel"/>
    <w:lvl w:ilvl="0">
      <w:lvlJc w:val="left"/>
      <w:lvlText w:val="%1."/>
      <w:numFmt w:val="decimal"/>
      <w:start w:val="4"/>
    </w:lvl>
  </w:abstractNum>
  <w:abstractNum w:abstractNumId="85">
    <w:nsid w:val="94211F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2019-12-06T10:28:03Z</dcterms:created>
  <dcterms:modified xsi:type="dcterms:W3CDTF">2019-12-06T10:28:03Z</dcterms:modified>
</cp:coreProperties>
</file>